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306F5" w14:textId="5E004F03" w:rsidR="00002990" w:rsidRPr="003072C6" w:rsidRDefault="005E6AFA" w:rsidP="00A55989">
      <w:pPr>
        <w:pStyle w:val="DHHSbodynospace"/>
      </w:pPr>
      <w:r>
        <w:rPr>
          <w:noProof/>
        </w:rPr>
        <w:drawing>
          <wp:anchor distT="0" distB="0" distL="114300" distR="114300" simplePos="0" relativeHeight="251658240" behindDoc="1" locked="1" layoutInCell="0" allowOverlap="1" wp14:anchorId="3EED5602" wp14:editId="58C378DB">
            <wp:simplePos x="0" y="0"/>
            <wp:positionH relativeFrom="page">
              <wp:posOffset>0</wp:posOffset>
            </wp:positionH>
            <wp:positionV relativeFrom="page">
              <wp:posOffset>0</wp:posOffset>
            </wp:positionV>
            <wp:extent cx="7563485" cy="10700385"/>
            <wp:effectExtent l="0" t="0" r="0" b="0"/>
            <wp:wrapNone/>
            <wp:docPr id="98"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2FA0A5EE" w14:textId="77777777" w:rsidTr="004C5777">
        <w:trPr>
          <w:trHeight w:val="3988"/>
        </w:trPr>
        <w:tc>
          <w:tcPr>
            <w:tcW w:w="7938" w:type="dxa"/>
            <w:shd w:val="clear" w:color="auto" w:fill="auto"/>
          </w:tcPr>
          <w:p w14:paraId="48EE909D" w14:textId="4FA2EB27" w:rsidR="00C416E1" w:rsidRPr="003072C6" w:rsidRDefault="00FD3F22" w:rsidP="00E91933">
            <w:pPr>
              <w:pStyle w:val="DHHSreportmaintitlewhite"/>
            </w:pPr>
            <w:r w:rsidRPr="00FD3F22">
              <w:t>Mental health lived experience engagement framework</w:t>
            </w:r>
          </w:p>
          <w:p w14:paraId="032EA5F0" w14:textId="38241102" w:rsidR="00444D82" w:rsidRPr="003072C6" w:rsidRDefault="00444D82" w:rsidP="00E91933">
            <w:pPr>
              <w:pStyle w:val="DHHSreportsubtitlewhite"/>
            </w:pPr>
          </w:p>
        </w:tc>
      </w:tr>
      <w:tr w:rsidR="001817CD" w:rsidRPr="003072C6" w14:paraId="1226E5D2" w14:textId="77777777" w:rsidTr="004C5777">
        <w:trPr>
          <w:trHeight w:val="4664"/>
        </w:trPr>
        <w:tc>
          <w:tcPr>
            <w:tcW w:w="10252" w:type="dxa"/>
            <w:shd w:val="clear" w:color="auto" w:fill="auto"/>
          </w:tcPr>
          <w:p w14:paraId="25D9087A" w14:textId="5AAD56DC" w:rsidR="00BC01C1" w:rsidRPr="003072C6" w:rsidRDefault="00BC01C1" w:rsidP="004F3441">
            <w:pPr>
              <w:pStyle w:val="Coverinstructions"/>
            </w:pPr>
          </w:p>
        </w:tc>
      </w:tr>
    </w:tbl>
    <w:p w14:paraId="794B7749" w14:textId="77777777" w:rsidR="0069374A" w:rsidRPr="003072C6" w:rsidRDefault="0069374A" w:rsidP="00C2657D">
      <w:pPr>
        <w:pStyle w:val="DHHSbodynospace"/>
        <w:ind w:left="-454"/>
      </w:pPr>
    </w:p>
    <w:p w14:paraId="5F2C2F18" w14:textId="77777777" w:rsidR="00C51B1C" w:rsidRDefault="00C51B1C" w:rsidP="00CA6D4E">
      <w:pPr>
        <w:pStyle w:val="DHHSbodynospace"/>
        <w:sectPr w:rsidR="00C51B1C" w:rsidSect="00A55989">
          <w:footerReference w:type="default" r:id="rId9"/>
          <w:type w:val="oddPage"/>
          <w:pgSz w:w="11906" w:h="16838"/>
          <w:pgMar w:top="3969" w:right="1304" w:bottom="1134" w:left="1304" w:header="454" w:footer="567" w:gutter="0"/>
          <w:cols w:space="720"/>
          <w:docGrid w:linePitch="360"/>
        </w:sectPr>
      </w:pPr>
    </w:p>
    <w:p w14:paraId="3D17840F" w14:textId="3AC1ED92" w:rsidR="00AC0C3B" w:rsidRPr="003072C6" w:rsidRDefault="009208F5" w:rsidP="00CA6D4E">
      <w:pPr>
        <w:pStyle w:val="DHHSbodynospace"/>
      </w:pPr>
      <w:r w:rsidRPr="003072C6">
        <w:lastRenderedPageBreak/>
        <w:br w:type="page"/>
      </w:r>
      <w:r w:rsidR="005E6AFA">
        <w:rPr>
          <w:noProof/>
        </w:rPr>
        <mc:AlternateContent>
          <mc:Choice Requires="wps">
            <w:drawing>
              <wp:anchor distT="0" distB="0" distL="114300" distR="114300" simplePos="0" relativeHeight="251657216" behindDoc="0" locked="0" layoutInCell="1" allowOverlap="1" wp14:anchorId="32095D00" wp14:editId="0BE7129E">
                <wp:simplePos x="0" y="0"/>
                <wp:positionH relativeFrom="column">
                  <wp:posOffset>4572000</wp:posOffset>
                </wp:positionH>
                <wp:positionV relativeFrom="paragraph">
                  <wp:posOffset>10172700</wp:posOffset>
                </wp:positionV>
                <wp:extent cx="2514600" cy="342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8D85DD0" w14:textId="77777777" w:rsidR="00583BA4" w:rsidRDefault="00583BA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95D00"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" filled="f" stroked="f">
                <v:textbox>
                  <w:txbxContent>
                    <w:p w14:paraId="28D85DD0" w14:textId="77777777" w:rsidR="00583BA4" w:rsidRDefault="00583BA4"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325"/>
      </w:tblGrid>
      <w:tr w:rsidR="00DE24E6" w:rsidRPr="003072C6" w14:paraId="6EE14B56" w14:textId="77777777" w:rsidTr="00CA6D4E">
        <w:trPr>
          <w:trHeight w:val="7402"/>
        </w:trPr>
        <w:tc>
          <w:tcPr>
            <w:tcW w:w="9298" w:type="dxa"/>
            <w:shd w:val="clear" w:color="auto" w:fill="auto"/>
            <w:vAlign w:val="center"/>
          </w:tcPr>
          <w:p w14:paraId="7E17B756" w14:textId="6F4436E0" w:rsidR="00BB47D7" w:rsidRPr="003072C6" w:rsidRDefault="00FD3F22" w:rsidP="00630937">
            <w:pPr>
              <w:pStyle w:val="DHHSreportsubtitle"/>
            </w:pPr>
            <w:r w:rsidRPr="00FD3F22">
              <w:rPr>
                <w:color w:val="201547"/>
                <w:sz w:val="50"/>
                <w:szCs w:val="24"/>
              </w:rPr>
              <w:lastRenderedPageBreak/>
              <w:t>Mental health lived experience engagement framework</w:t>
            </w:r>
          </w:p>
        </w:tc>
      </w:tr>
      <w:tr w:rsidR="009906C7" w:rsidRPr="003072C6" w14:paraId="206C6457" w14:textId="77777777" w:rsidTr="009906C7">
        <w:tc>
          <w:tcPr>
            <w:tcW w:w="9298" w:type="dxa"/>
            <w:shd w:val="clear" w:color="auto" w:fill="auto"/>
            <w:vAlign w:val="center"/>
          </w:tcPr>
          <w:p w14:paraId="54140E10" w14:textId="77777777" w:rsidR="009906C7" w:rsidRPr="003072C6" w:rsidRDefault="009906C7" w:rsidP="009906C7">
            <w:pPr>
              <w:pStyle w:val="DHHSbody"/>
            </w:pPr>
          </w:p>
        </w:tc>
      </w:tr>
    </w:tbl>
    <w:p w14:paraId="79521FFD" w14:textId="77777777" w:rsidR="00CA6D4E" w:rsidRPr="003072C6" w:rsidRDefault="00CA6D4E" w:rsidP="00CA6D4E">
      <w:pPr>
        <w:pStyle w:val="DHHSbodynospace"/>
      </w:pPr>
    </w:p>
    <w:p w14:paraId="5EA22A90"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026"/>
      </w:tblGrid>
      <w:tr w:rsidR="00564E8F" w:rsidRPr="003072C6" w14:paraId="0C0B5717" w14:textId="77777777" w:rsidTr="00564E8F">
        <w:trPr>
          <w:trHeight w:val="4313"/>
        </w:trPr>
        <w:tc>
          <w:tcPr>
            <w:tcW w:w="9401" w:type="dxa"/>
          </w:tcPr>
          <w:p w14:paraId="13284C7F" w14:textId="2E8B9229" w:rsidR="00564E8F" w:rsidRPr="00605B5B" w:rsidRDefault="00564E8F" w:rsidP="00031263">
            <w:pPr>
              <w:pStyle w:val="DHHSbody"/>
              <w:rPr>
                <w:i/>
                <w:color w:val="008950"/>
                <w:sz w:val="26"/>
                <w:szCs w:val="26"/>
              </w:rPr>
            </w:pPr>
          </w:p>
        </w:tc>
      </w:tr>
      <w:tr w:rsidR="00564E8F" w:rsidRPr="003072C6" w14:paraId="3F29BD02" w14:textId="77777777" w:rsidTr="001F09DC">
        <w:trPr>
          <w:trHeight w:val="6336"/>
        </w:trPr>
        <w:tc>
          <w:tcPr>
            <w:tcW w:w="9401" w:type="dxa"/>
            <w:vAlign w:val="bottom"/>
          </w:tcPr>
          <w:p w14:paraId="766D5144" w14:textId="77777777" w:rsidR="00FD3F22" w:rsidRPr="00FD3F22" w:rsidRDefault="00FD3F22" w:rsidP="00FD3F22">
            <w:pPr>
              <w:pStyle w:val="DHHSbody"/>
              <w:rPr>
                <w:sz w:val="22"/>
              </w:rPr>
            </w:pPr>
            <w:r w:rsidRPr="00FD3F22">
              <w:rPr>
                <w:sz w:val="22"/>
              </w:rPr>
              <w:t xml:space="preserve">To receive this publication in an accessible format phone (03) 9096 8288, using the National Relay Service 13 36 77 if required, or </w:t>
            </w:r>
            <w:hyperlink r:id="rId10" w:history="1">
              <w:r w:rsidRPr="00FD3F22">
                <w:rPr>
                  <w:rStyle w:val="Hyperlink"/>
                  <w:sz w:val="22"/>
                </w:rPr>
                <w:t>email Lived Experience Engagement</w:t>
              </w:r>
            </w:hyperlink>
            <w:r w:rsidRPr="00FD3F22">
              <w:rPr>
                <w:sz w:val="22"/>
              </w:rPr>
              <w:t xml:space="preserve"> &lt;lived-experience-engagement-team@dhhs.vic.gov.au&gt;.</w:t>
            </w:r>
          </w:p>
          <w:p w14:paraId="5AD39C08" w14:textId="77777777" w:rsidR="00FD3F22" w:rsidRPr="00605B5B" w:rsidRDefault="00FD3F22" w:rsidP="00FD3F22">
            <w:pPr>
              <w:pStyle w:val="DHHSbody"/>
            </w:pPr>
            <w:r w:rsidRPr="00605B5B">
              <w:t>Authorised and published by the Victorian Governmen</w:t>
            </w:r>
            <w:r>
              <w:t>t, 1 Treasury Place, Melbourne.</w:t>
            </w:r>
          </w:p>
          <w:p w14:paraId="0315C257" w14:textId="77777777" w:rsidR="00FD3F22" w:rsidRPr="00605B5B" w:rsidRDefault="00FD3F22" w:rsidP="00FD3F22">
            <w:pPr>
              <w:pStyle w:val="DHHSbody"/>
            </w:pPr>
            <w:r w:rsidRPr="00605B5B">
              <w:t xml:space="preserve">© State of Victoria, Department of Health </w:t>
            </w:r>
            <w:r>
              <w:t>and</w:t>
            </w:r>
            <w:r w:rsidRPr="00605B5B">
              <w:t xml:space="preserve"> Human Services</w:t>
            </w:r>
            <w:r>
              <w:t>, June 2019.</w:t>
            </w:r>
          </w:p>
          <w:p w14:paraId="74CD3880" w14:textId="77777777" w:rsidR="00FD3F22" w:rsidRPr="00605B5B" w:rsidRDefault="00FD3F22" w:rsidP="00FD3F22">
            <w:pPr>
              <w:pStyle w:val="DHHSbody"/>
            </w:pPr>
            <w:r w:rsidRPr="00886121">
              <w:t>Where the term ‘Aboriginal’ is used it refers to both Aboriginal and Torres Strait Islander people. Indigenous is retained when it is part of the title of a report, program or quotation.</w:t>
            </w:r>
          </w:p>
          <w:p w14:paraId="7FFD8FD8" w14:textId="77777777" w:rsidR="00FD3F22" w:rsidRPr="00605B5B" w:rsidRDefault="00FD3F22" w:rsidP="00FD3F22">
            <w:pPr>
              <w:pStyle w:val="DHHSbody"/>
            </w:pPr>
            <w:r w:rsidRPr="002832F3">
              <w:rPr>
                <w:rFonts w:cs="Arial"/>
                <w:bCs/>
              </w:rPr>
              <w:t>ISBN</w:t>
            </w:r>
            <w:r>
              <w:rPr>
                <w:rFonts w:cs="Arial"/>
                <w:b/>
                <w:bCs/>
              </w:rPr>
              <w:t xml:space="preserve"> </w:t>
            </w:r>
            <w:r>
              <w:rPr>
                <w:rFonts w:cs="Arial"/>
              </w:rPr>
              <w:t>978-1-76069-763-1</w:t>
            </w:r>
            <w:r>
              <w:rPr>
                <w:rFonts w:cs="Arial"/>
                <w:b/>
                <w:bCs/>
              </w:rPr>
              <w:t> </w:t>
            </w:r>
          </w:p>
          <w:p w14:paraId="3D84404A" w14:textId="668A5688" w:rsidR="00FD3F22" w:rsidRPr="00605B5B" w:rsidRDefault="00FD3F22" w:rsidP="00FD3F22">
            <w:pPr>
              <w:pStyle w:val="DHHSbody"/>
              <w:rPr>
                <w:szCs w:val="19"/>
              </w:rPr>
            </w:pPr>
            <w:r w:rsidRPr="00605B5B">
              <w:rPr>
                <w:szCs w:val="19"/>
              </w:rPr>
              <w:t>Available at</w:t>
            </w:r>
            <w:r w:rsidR="00013DAC">
              <w:rPr>
                <w:szCs w:val="19"/>
              </w:rPr>
              <w:t>:</w:t>
            </w:r>
            <w:r w:rsidRPr="00605B5B">
              <w:rPr>
                <w:szCs w:val="19"/>
              </w:rPr>
              <w:t xml:space="preserve"> </w:t>
            </w:r>
            <w:hyperlink r:id="rId11" w:history="1">
              <w:r w:rsidR="003244BA" w:rsidRPr="003244BA">
                <w:rPr>
                  <w:rStyle w:val="Hyperlink"/>
                  <w:szCs w:val="19"/>
                </w:rPr>
                <w:t>Mental health lived experience framework</w:t>
              </w:r>
            </w:hyperlink>
            <w:r w:rsidR="003244BA">
              <w:rPr>
                <w:szCs w:val="19"/>
              </w:rPr>
              <w:t xml:space="preserve"> &lt;</w:t>
            </w:r>
            <w:r w:rsidR="003244BA" w:rsidRPr="003244BA">
              <w:rPr>
                <w:szCs w:val="19"/>
              </w:rPr>
              <w:t>https://www.dhhs.vic.gov.au/publications/mental-health-lived-experience-engagement-framework</w:t>
            </w:r>
            <w:r w:rsidR="003244BA">
              <w:rPr>
                <w:szCs w:val="19"/>
              </w:rPr>
              <w:t>&gt;</w:t>
            </w:r>
            <w:bookmarkStart w:id="0" w:name="_GoBack"/>
            <w:bookmarkEnd w:id="0"/>
          </w:p>
          <w:p w14:paraId="61240D93" w14:textId="71634A83" w:rsidR="00564E8F" w:rsidRPr="003072C6" w:rsidRDefault="00564E8F" w:rsidP="00FD3F22">
            <w:pPr>
              <w:pStyle w:val="DHHSbody"/>
            </w:pPr>
          </w:p>
        </w:tc>
      </w:tr>
      <w:tr w:rsidR="009906C7" w:rsidRPr="003072C6" w14:paraId="4E405AD2" w14:textId="77777777" w:rsidTr="009906C7">
        <w:tc>
          <w:tcPr>
            <w:tcW w:w="9401" w:type="dxa"/>
            <w:vAlign w:val="bottom"/>
          </w:tcPr>
          <w:p w14:paraId="3F44D230" w14:textId="77777777" w:rsidR="009906C7" w:rsidRPr="003072C6" w:rsidRDefault="009906C7" w:rsidP="009906C7">
            <w:pPr>
              <w:pStyle w:val="DHHSbody"/>
            </w:pPr>
          </w:p>
        </w:tc>
      </w:tr>
    </w:tbl>
    <w:p w14:paraId="15E90CE6" w14:textId="77777777" w:rsidR="00ED4D17" w:rsidRPr="003072C6" w:rsidRDefault="00ED4D17" w:rsidP="003072C6">
      <w:pPr>
        <w:pStyle w:val="DHHSbody"/>
      </w:pPr>
    </w:p>
    <w:p w14:paraId="5A8CC7A1" w14:textId="77777777" w:rsidR="00F61A49" w:rsidRDefault="00F61A49" w:rsidP="00F61A49">
      <w:pPr>
        <w:pStyle w:val="Heading1"/>
        <w:tabs>
          <w:tab w:val="center" w:pos="4513"/>
        </w:tabs>
      </w:pPr>
      <w:bookmarkStart w:id="1" w:name="_Toc534374298"/>
      <w:bookmarkStart w:id="2" w:name="_Toc13830179"/>
      <w:r>
        <w:lastRenderedPageBreak/>
        <w:t>Foreword</w:t>
      </w:r>
      <w:bookmarkEnd w:id="1"/>
      <w:bookmarkEnd w:id="2"/>
      <w:r>
        <w:t xml:space="preserve"> </w:t>
      </w:r>
    </w:p>
    <w:p w14:paraId="65D34660" w14:textId="77777777" w:rsidR="00F61A49" w:rsidRDefault="00F61A49" w:rsidP="00F61A49">
      <w:pPr>
        <w:pStyle w:val="Heading2"/>
      </w:pPr>
      <w:bookmarkStart w:id="3" w:name="_Toc534374299"/>
      <w:bookmarkStart w:id="4" w:name="_Toc13830180"/>
      <w:r>
        <w:t xml:space="preserve">Maggie Toko, Co-Chair, </w:t>
      </w:r>
      <w:r w:rsidRPr="00960B05">
        <w:t>Lived Experience Leadership Expert Reference Group</w:t>
      </w:r>
      <w:bookmarkEnd w:id="3"/>
      <w:bookmarkEnd w:id="4"/>
      <w:r w:rsidRPr="00960B05">
        <w:t xml:space="preserve"> </w:t>
      </w:r>
    </w:p>
    <w:p w14:paraId="753FB760" w14:textId="77777777" w:rsidR="00F61A49" w:rsidRPr="00A50D11" w:rsidRDefault="00F61A49" w:rsidP="00F61A49">
      <w:pPr>
        <w:pStyle w:val="DHHSbody"/>
      </w:pPr>
      <w:r w:rsidRPr="00A50D11">
        <w:t xml:space="preserve">The </w:t>
      </w:r>
      <w:r w:rsidRPr="00195E7C">
        <w:rPr>
          <w:i/>
        </w:rPr>
        <w:t xml:space="preserve">Mental </w:t>
      </w:r>
      <w:r>
        <w:rPr>
          <w:i/>
        </w:rPr>
        <w:t>h</w:t>
      </w:r>
      <w:r w:rsidRPr="00195E7C">
        <w:rPr>
          <w:i/>
        </w:rPr>
        <w:t xml:space="preserve">ealth </w:t>
      </w:r>
      <w:r>
        <w:rPr>
          <w:i/>
        </w:rPr>
        <w:t>l</w:t>
      </w:r>
      <w:r w:rsidRPr="00195E7C">
        <w:rPr>
          <w:i/>
        </w:rPr>
        <w:t xml:space="preserve">ived </w:t>
      </w:r>
      <w:r>
        <w:rPr>
          <w:i/>
        </w:rPr>
        <w:t>e</w:t>
      </w:r>
      <w:r w:rsidRPr="00195E7C">
        <w:rPr>
          <w:i/>
        </w:rPr>
        <w:t xml:space="preserve">xperience </w:t>
      </w:r>
      <w:r>
        <w:rPr>
          <w:i/>
        </w:rPr>
        <w:t>e</w:t>
      </w:r>
      <w:r w:rsidRPr="00195E7C">
        <w:rPr>
          <w:i/>
        </w:rPr>
        <w:t xml:space="preserve">ngagement </w:t>
      </w:r>
      <w:r>
        <w:rPr>
          <w:i/>
        </w:rPr>
        <w:t>f</w:t>
      </w:r>
      <w:r w:rsidRPr="00195E7C">
        <w:rPr>
          <w:i/>
        </w:rPr>
        <w:t>ramework</w:t>
      </w:r>
      <w:r w:rsidRPr="00A50D11">
        <w:t xml:space="preserve"> encapsulates the importance of co</w:t>
      </w:r>
      <w:r>
        <w:t>-</w:t>
      </w:r>
      <w:r w:rsidRPr="00A50D11">
        <w:t>design and co</w:t>
      </w:r>
      <w:r>
        <w:t>-</w:t>
      </w:r>
      <w:r w:rsidRPr="00A50D11">
        <w:t>production.</w:t>
      </w:r>
      <w:r>
        <w:t xml:space="preserve"> </w:t>
      </w:r>
      <w:r w:rsidRPr="00A50D11">
        <w:t>It is a bold statement to imply that a system should change</w:t>
      </w:r>
      <w:r>
        <w:t>.</w:t>
      </w:r>
      <w:r w:rsidRPr="00A50D11">
        <w:t xml:space="preserve"> </w:t>
      </w:r>
      <w:r>
        <w:t>I</w:t>
      </w:r>
      <w:r w:rsidRPr="00A50D11">
        <w:t>t is even greater when mental health consumers are brought to the table to speak about what direction to take.</w:t>
      </w:r>
      <w:r>
        <w:t xml:space="preserve"> </w:t>
      </w:r>
      <w:r w:rsidRPr="00A50D11">
        <w:t xml:space="preserve">This </w:t>
      </w:r>
      <w:r>
        <w:t>framework</w:t>
      </w:r>
      <w:r w:rsidRPr="00A50D11">
        <w:t xml:space="preserve"> allows for the process of change to occur.</w:t>
      </w:r>
    </w:p>
    <w:p w14:paraId="286ACA4C" w14:textId="77777777" w:rsidR="00F61A49" w:rsidRPr="00A50D11" w:rsidRDefault="00F61A49" w:rsidP="00F61A49">
      <w:pPr>
        <w:pStyle w:val="DHHSbody"/>
      </w:pPr>
      <w:r>
        <w:t>M</w:t>
      </w:r>
      <w:r w:rsidRPr="00A50D11">
        <w:t xml:space="preserve">ental health consumers have been </w:t>
      </w:r>
      <w:proofErr w:type="gramStart"/>
      <w:r w:rsidRPr="00A50D11">
        <w:t>witness</w:t>
      </w:r>
      <w:proofErr w:type="gramEnd"/>
      <w:r w:rsidRPr="00A50D11">
        <w:t xml:space="preserve"> to decisions made on their behalf, often without consultation. This has meant that a system of inequity is embossed on service delivery and representation throughout Victoria.</w:t>
      </w:r>
      <w:r>
        <w:t xml:space="preserve"> </w:t>
      </w:r>
      <w:r w:rsidRPr="00A50D11">
        <w:t xml:space="preserve">The language used in this </w:t>
      </w:r>
      <w:r>
        <w:t>framework</w:t>
      </w:r>
      <w:r w:rsidRPr="00A50D11">
        <w:t xml:space="preserve"> embraces the voice of consumers by shaping the direction of communication going forward.</w:t>
      </w:r>
      <w:r>
        <w:t xml:space="preserve"> </w:t>
      </w:r>
    </w:p>
    <w:p w14:paraId="23DF9928" w14:textId="77777777" w:rsidR="00F61A49" w:rsidRPr="00A50D11" w:rsidRDefault="00F61A49" w:rsidP="00F61A49">
      <w:pPr>
        <w:pStyle w:val="DHHSbody"/>
      </w:pPr>
      <w:r w:rsidRPr="00A50D11">
        <w:t xml:space="preserve">This </w:t>
      </w:r>
      <w:r>
        <w:t>framework</w:t>
      </w:r>
      <w:r w:rsidRPr="00A50D11">
        <w:t xml:space="preserve"> </w:t>
      </w:r>
      <w:proofErr w:type="gramStart"/>
      <w:r w:rsidRPr="00A50D11">
        <w:t>takes into account</w:t>
      </w:r>
      <w:proofErr w:type="gramEnd"/>
      <w:r w:rsidRPr="00A50D11">
        <w:t xml:space="preserve"> that the reader and learner are one and the same.</w:t>
      </w:r>
      <w:r>
        <w:t xml:space="preserve"> </w:t>
      </w:r>
      <w:r w:rsidRPr="00A50D11">
        <w:t xml:space="preserve">It expects that someone with fresh eyes can look across the </w:t>
      </w:r>
      <w:r>
        <w:t>framework</w:t>
      </w:r>
      <w:r w:rsidRPr="00A50D11">
        <w:t xml:space="preserve"> and gather a sense of what is being said and for what reason.</w:t>
      </w:r>
      <w:r>
        <w:t xml:space="preserve"> </w:t>
      </w:r>
      <w:r w:rsidRPr="00A50D11">
        <w:t xml:space="preserve">It allows for self-reflection and questions the status quo. This </w:t>
      </w:r>
      <w:r>
        <w:t>framework</w:t>
      </w:r>
      <w:r w:rsidRPr="00A50D11">
        <w:t xml:space="preserve"> highlights the value of the </w:t>
      </w:r>
      <w:r>
        <w:t>c</w:t>
      </w:r>
      <w:r w:rsidRPr="00A50D11">
        <w:t xml:space="preserve">onsumer voice as a leader in change. </w:t>
      </w:r>
    </w:p>
    <w:p w14:paraId="54035B50" w14:textId="77777777" w:rsidR="00F61A49" w:rsidRPr="00A50D11" w:rsidRDefault="00F61A49" w:rsidP="00F61A49">
      <w:pPr>
        <w:pStyle w:val="DHHSbody"/>
      </w:pPr>
      <w:r w:rsidRPr="00A50D11">
        <w:t>It is important that consumers remain at the forefront in planning and delivery of their own healthcare needs</w:t>
      </w:r>
      <w:r>
        <w:t>,</w:t>
      </w:r>
      <w:r w:rsidRPr="00A50D11">
        <w:t xml:space="preserve"> and this can only be done by ensuring that consumers are engaged at the negotiation table. We expect that some of the recommendations will be challenging because we are asking for a shift in thinking, a new paradigm.</w:t>
      </w:r>
      <w:r>
        <w:t xml:space="preserve"> </w:t>
      </w:r>
      <w:r w:rsidRPr="00A50D11">
        <w:t xml:space="preserve">The collaborative value of sharing space with consumers should not be underestimated. </w:t>
      </w:r>
      <w:r>
        <w:t>C</w:t>
      </w:r>
      <w:r w:rsidRPr="00A50D11">
        <w:t xml:space="preserve">onsumers </w:t>
      </w:r>
      <w:r>
        <w:t>are</w:t>
      </w:r>
      <w:r w:rsidRPr="00A50D11">
        <w:t xml:space="preserve"> significant stakeholder</w:t>
      </w:r>
      <w:r>
        <w:t>s</w:t>
      </w:r>
      <w:r w:rsidRPr="00A50D11">
        <w:t>.</w:t>
      </w:r>
    </w:p>
    <w:p w14:paraId="1FD2E65A" w14:textId="77777777" w:rsidR="00F61A49" w:rsidRPr="00A50D11" w:rsidRDefault="00F61A49" w:rsidP="00F61A49">
      <w:pPr>
        <w:pStyle w:val="DHHSbody"/>
      </w:pPr>
      <w:r w:rsidRPr="00A50D11">
        <w:t xml:space="preserve">It is a </w:t>
      </w:r>
      <w:r>
        <w:t>framework</w:t>
      </w:r>
      <w:r w:rsidRPr="00A50D11">
        <w:t xml:space="preserve"> that will continue to grow as new issues are identified.</w:t>
      </w:r>
      <w:r>
        <w:t xml:space="preserve"> </w:t>
      </w:r>
      <w:r w:rsidRPr="00A50D11">
        <w:t xml:space="preserve">The importance of its growth will be the inclusion of the consumer voice in shaping its future. The </w:t>
      </w:r>
      <w:r>
        <w:t>D</w:t>
      </w:r>
      <w:r w:rsidRPr="00A50D11">
        <w:t xml:space="preserve">epartment of Health and Human Services has taken a step forward in commissioning this </w:t>
      </w:r>
      <w:r>
        <w:t>framework</w:t>
      </w:r>
      <w:r w:rsidRPr="00A50D11">
        <w:t xml:space="preserve"> as it recogni</w:t>
      </w:r>
      <w:r>
        <w:t>s</w:t>
      </w:r>
      <w:r w:rsidRPr="00A50D11">
        <w:t>es that being responsible for promoting health</w:t>
      </w:r>
      <w:r>
        <w:t xml:space="preserve"> </w:t>
      </w:r>
      <w:r w:rsidRPr="00A50D11">
        <w:t>care in Victoria’s community requires a shared approach.</w:t>
      </w:r>
      <w:r>
        <w:t xml:space="preserve"> </w:t>
      </w:r>
      <w:r w:rsidRPr="00A50D11">
        <w:t>The continued need to address the discrimination and stigma of mental health consumers seeps through all walks of life</w:t>
      </w:r>
      <w:r>
        <w:t>.</w:t>
      </w:r>
      <w:r w:rsidRPr="00A50D11">
        <w:t xml:space="preserve"> </w:t>
      </w:r>
      <w:r>
        <w:t>E</w:t>
      </w:r>
      <w:r w:rsidRPr="00A50D11">
        <w:t xml:space="preserve">nabling opportunities for consumers to actively participate in decision making that guides the future of policies and procedures </w:t>
      </w:r>
      <w:r>
        <w:t>that</w:t>
      </w:r>
      <w:r w:rsidRPr="00A50D11">
        <w:t xml:space="preserve"> affect Victorians is a positive move.</w:t>
      </w:r>
    </w:p>
    <w:p w14:paraId="78DBDFD0" w14:textId="77777777" w:rsidR="00F61A49" w:rsidRPr="00A50D11" w:rsidRDefault="00F61A49" w:rsidP="00F61A49">
      <w:pPr>
        <w:pStyle w:val="DHHSbody"/>
      </w:pPr>
      <w:r w:rsidRPr="00A50D11">
        <w:t xml:space="preserve">The </w:t>
      </w:r>
      <w:r>
        <w:rPr>
          <w:i/>
        </w:rPr>
        <w:t>Victoria’s 10-y</w:t>
      </w:r>
      <w:r w:rsidRPr="00195E7C">
        <w:rPr>
          <w:i/>
        </w:rPr>
        <w:t xml:space="preserve">ear </w:t>
      </w:r>
      <w:r>
        <w:rPr>
          <w:i/>
        </w:rPr>
        <w:t>m</w:t>
      </w:r>
      <w:r w:rsidRPr="00195E7C">
        <w:rPr>
          <w:i/>
        </w:rPr>
        <w:t xml:space="preserve">ental </w:t>
      </w:r>
      <w:r>
        <w:rPr>
          <w:i/>
        </w:rPr>
        <w:t>h</w:t>
      </w:r>
      <w:r w:rsidRPr="00195E7C">
        <w:rPr>
          <w:i/>
        </w:rPr>
        <w:t xml:space="preserve">ealth </w:t>
      </w:r>
      <w:r>
        <w:rPr>
          <w:i/>
        </w:rPr>
        <w:t>p</w:t>
      </w:r>
      <w:r w:rsidRPr="00195E7C">
        <w:rPr>
          <w:i/>
        </w:rPr>
        <w:t>lan,</w:t>
      </w:r>
      <w:r>
        <w:t xml:space="preserve"> </w:t>
      </w:r>
      <w:r w:rsidRPr="005307FD">
        <w:t>Lived Experience Leadership Expert Reference Group</w:t>
      </w:r>
      <w:r w:rsidRPr="00A50D11">
        <w:t xml:space="preserve"> has worked constructively to achieve a </w:t>
      </w:r>
      <w:r>
        <w:t>framework</w:t>
      </w:r>
      <w:r w:rsidRPr="00A50D11">
        <w:t xml:space="preserve"> that is consumer and carer</w:t>
      </w:r>
      <w:r>
        <w:t>-</w:t>
      </w:r>
      <w:r w:rsidRPr="00A50D11">
        <w:t>focused – it is an example of what it means to work together.</w:t>
      </w:r>
      <w:r>
        <w:t xml:space="preserve"> </w:t>
      </w:r>
      <w:r w:rsidRPr="00A50D11">
        <w:t xml:space="preserve">It sets </w:t>
      </w:r>
      <w:r>
        <w:t>the</w:t>
      </w:r>
      <w:r w:rsidRPr="00A50D11">
        <w:t xml:space="preserve"> collaborative benchmark high for </w:t>
      </w:r>
      <w:proofErr w:type="gramStart"/>
      <w:r w:rsidRPr="00A50D11">
        <w:t>all</w:t>
      </w:r>
      <w:r>
        <w:t xml:space="preserve"> </w:t>
      </w:r>
      <w:r w:rsidRPr="00A50D11">
        <w:t>of</w:t>
      </w:r>
      <w:proofErr w:type="gramEnd"/>
      <w:r w:rsidRPr="00A50D11">
        <w:t xml:space="preserve"> the </w:t>
      </w:r>
      <w:r>
        <w:t>framework’</w:t>
      </w:r>
      <w:r w:rsidRPr="00A50D11">
        <w:t>s users.</w:t>
      </w:r>
    </w:p>
    <w:p w14:paraId="26261597" w14:textId="77777777" w:rsidR="00F61A49" w:rsidRDefault="00F61A49" w:rsidP="00F61A49">
      <w:pPr>
        <w:pStyle w:val="DHHSbody"/>
      </w:pPr>
      <w:r w:rsidRPr="00A50D11">
        <w:t xml:space="preserve">I think it is important that there be an expectation that the </w:t>
      </w:r>
      <w:r>
        <w:t>framework</w:t>
      </w:r>
      <w:r w:rsidRPr="00A50D11">
        <w:t xml:space="preserve"> be embraced by those who use it</w:t>
      </w:r>
      <w:r>
        <w:t>.</w:t>
      </w:r>
      <w:r w:rsidRPr="00A50D11">
        <w:t xml:space="preserve"> </w:t>
      </w:r>
      <w:r>
        <w:t>I</w:t>
      </w:r>
      <w:r w:rsidRPr="00A50D11">
        <w:t>t is</w:t>
      </w:r>
      <w:r>
        <w:t>,</w:t>
      </w:r>
      <w:r w:rsidRPr="00A50D11">
        <w:t xml:space="preserve"> after</w:t>
      </w:r>
      <w:r>
        <w:t xml:space="preserve"> </w:t>
      </w:r>
      <w:r w:rsidRPr="00A50D11">
        <w:t>all</w:t>
      </w:r>
      <w:r>
        <w:t>,</w:t>
      </w:r>
      <w:r w:rsidRPr="00A50D11">
        <w:t xml:space="preserve"> about being inclusive and progressive</w:t>
      </w:r>
      <w:r>
        <w:t>.</w:t>
      </w:r>
      <w:r w:rsidRPr="00A50D11">
        <w:t xml:space="preserve"> </w:t>
      </w:r>
      <w:r>
        <w:t>I</w:t>
      </w:r>
      <w:r w:rsidRPr="00A50D11">
        <w:t>t sits at the heart of consumer</w:t>
      </w:r>
      <w:r>
        <w:t>s’</w:t>
      </w:r>
      <w:r w:rsidRPr="00A50D11">
        <w:t xml:space="preserve"> and carers</w:t>
      </w:r>
      <w:r>
        <w:t>’</w:t>
      </w:r>
      <w:r w:rsidRPr="00A50D11">
        <w:t xml:space="preserve"> human rights.</w:t>
      </w:r>
    </w:p>
    <w:p w14:paraId="1E171268" w14:textId="77777777" w:rsidR="00F61A49" w:rsidRDefault="00F61A49" w:rsidP="00F61A49">
      <w:pPr>
        <w:pStyle w:val="DHHSbody"/>
      </w:pPr>
    </w:p>
    <w:p w14:paraId="7629DD5F" w14:textId="77777777" w:rsidR="00F61A49" w:rsidRPr="005307FD" w:rsidRDefault="00F61A49" w:rsidP="00F61A49">
      <w:pPr>
        <w:pStyle w:val="DHHSbodynospace"/>
      </w:pPr>
      <w:r w:rsidRPr="00A50D11">
        <w:t>Maggie Toko</w:t>
      </w:r>
    </w:p>
    <w:p w14:paraId="3F1E6B31" w14:textId="77777777" w:rsidR="00F61A49" w:rsidRPr="005307FD" w:rsidRDefault="00F61A49" w:rsidP="00F61A49">
      <w:pPr>
        <w:pStyle w:val="DHHSbodynospace"/>
      </w:pPr>
      <w:r w:rsidRPr="005307FD">
        <w:t>Chief Executive Officer, Victorian Mental Illness Awareness Council (VMIAC)</w:t>
      </w:r>
    </w:p>
    <w:p w14:paraId="0D02FD03" w14:textId="77777777" w:rsidR="00F61A49" w:rsidRPr="00A50D11" w:rsidRDefault="00F61A49" w:rsidP="00F61A49">
      <w:pPr>
        <w:pStyle w:val="DHHSbodynospace"/>
      </w:pPr>
      <w:r w:rsidRPr="005307FD">
        <w:t>Co-chair, Lived Experience</w:t>
      </w:r>
      <w:r>
        <w:t xml:space="preserve"> Leadership Expert </w:t>
      </w:r>
      <w:r w:rsidRPr="00A50D11">
        <w:t xml:space="preserve">Reference Group </w:t>
      </w:r>
    </w:p>
    <w:p w14:paraId="46B11722" w14:textId="77777777" w:rsidR="00F61A49" w:rsidRDefault="00F61A49" w:rsidP="00F61A49">
      <w:pPr>
        <w:pStyle w:val="Heading2"/>
      </w:pPr>
      <w:r>
        <w:br w:type="page"/>
      </w:r>
      <w:bookmarkStart w:id="5" w:name="_Toc534374300"/>
      <w:bookmarkStart w:id="6" w:name="_Toc13830181"/>
      <w:r>
        <w:lastRenderedPageBreak/>
        <w:t xml:space="preserve">Marie Piu, Co-Chair, </w:t>
      </w:r>
      <w:r w:rsidRPr="00960B05">
        <w:t>Lived Experience Leadership Expert Reference Group</w:t>
      </w:r>
      <w:bookmarkEnd w:id="5"/>
      <w:bookmarkEnd w:id="6"/>
      <w:r w:rsidRPr="00960B05">
        <w:t xml:space="preserve"> </w:t>
      </w:r>
    </w:p>
    <w:p w14:paraId="12D1524A" w14:textId="77777777" w:rsidR="00F61A49" w:rsidRPr="00E028BB" w:rsidRDefault="00F61A49" w:rsidP="00F61A49">
      <w:pPr>
        <w:pStyle w:val="DHHSbody"/>
      </w:pPr>
      <w:r w:rsidRPr="00E028BB">
        <w:t xml:space="preserve">I have been very pleased to be </w:t>
      </w:r>
      <w:r>
        <w:t>c</w:t>
      </w:r>
      <w:r w:rsidRPr="00E028BB">
        <w:t>o-</w:t>
      </w:r>
      <w:r>
        <w:t>c</w:t>
      </w:r>
      <w:r w:rsidRPr="00E028BB">
        <w:t xml:space="preserve">hair of the </w:t>
      </w:r>
      <w:r w:rsidRPr="005307FD">
        <w:t>Lived Experience Leadership Expert Reference Group</w:t>
      </w:r>
      <w:r w:rsidRPr="00E028BB">
        <w:t xml:space="preserve"> and work alongside the Victorian Mental Illness Awareness Council and other key stakeholders in the development of this </w:t>
      </w:r>
      <w:r w:rsidRPr="00082B1D">
        <w:rPr>
          <w:i/>
        </w:rPr>
        <w:t xml:space="preserve">Mental </w:t>
      </w:r>
      <w:r>
        <w:rPr>
          <w:i/>
        </w:rPr>
        <w:t>h</w:t>
      </w:r>
      <w:r w:rsidRPr="00082B1D">
        <w:rPr>
          <w:i/>
        </w:rPr>
        <w:t xml:space="preserve">ealth </w:t>
      </w:r>
      <w:r>
        <w:rPr>
          <w:i/>
        </w:rPr>
        <w:t>l</w:t>
      </w:r>
      <w:r w:rsidRPr="00082B1D">
        <w:rPr>
          <w:i/>
        </w:rPr>
        <w:t xml:space="preserve">ived </w:t>
      </w:r>
      <w:r>
        <w:rPr>
          <w:i/>
        </w:rPr>
        <w:t>e</w:t>
      </w:r>
      <w:r w:rsidRPr="00082B1D">
        <w:rPr>
          <w:i/>
        </w:rPr>
        <w:t xml:space="preserve">xperience </w:t>
      </w:r>
      <w:r>
        <w:rPr>
          <w:i/>
        </w:rPr>
        <w:t>engagement f</w:t>
      </w:r>
      <w:r w:rsidRPr="00082B1D">
        <w:rPr>
          <w:i/>
        </w:rPr>
        <w:t>ramework</w:t>
      </w:r>
      <w:r w:rsidRPr="00E028BB">
        <w:t xml:space="preserve">. </w:t>
      </w:r>
    </w:p>
    <w:p w14:paraId="034E99AF" w14:textId="77777777" w:rsidR="00F61A49" w:rsidRPr="00844759" w:rsidRDefault="00F61A49" w:rsidP="00F61A49">
      <w:pPr>
        <w:pStyle w:val="DHHSbody"/>
      </w:pPr>
      <w:r w:rsidRPr="00D20300">
        <w:t xml:space="preserve">This </w:t>
      </w:r>
      <w:r>
        <w:t>f</w:t>
      </w:r>
      <w:r w:rsidRPr="00D20300">
        <w:t xml:space="preserve">ramework heralds a new beginning. It is an explicit statement </w:t>
      </w:r>
      <w:r w:rsidRPr="009B3D3D">
        <w:t xml:space="preserve">by </w:t>
      </w:r>
      <w:r>
        <w:t>the department</w:t>
      </w:r>
      <w:r w:rsidRPr="009B3D3D">
        <w:t xml:space="preserve"> recognising that mental health and wellbeing issues impact not only on the person with the mental health issues, but their family, friends and comm</w:t>
      </w:r>
      <w:r w:rsidRPr="00844759">
        <w:t>unity. Further, it confirms a commitment to inform all service development and delivery with the experience of those with mental health lived experience. The era of delivering top</w:t>
      </w:r>
      <w:r>
        <w:t>-</w:t>
      </w:r>
      <w:r w:rsidRPr="00844759">
        <w:t>down solutions, regardless of how well intentioned</w:t>
      </w:r>
      <w:r>
        <w:t>,</w:t>
      </w:r>
      <w:r w:rsidRPr="00844759">
        <w:t xml:space="preserve"> is now over. </w:t>
      </w:r>
    </w:p>
    <w:p w14:paraId="796A75E9" w14:textId="77777777" w:rsidR="00F61A49" w:rsidRDefault="00F61A49" w:rsidP="00F61A49">
      <w:pPr>
        <w:pStyle w:val="DHHSbody"/>
      </w:pPr>
      <w:r w:rsidRPr="00E028BB">
        <w:t xml:space="preserve">Research indicates that many people with lived experience (carers) providing informal supports experience barriers to inclusion in the recovery journey of the person they support. This is particularly true for those from marginalised groups </w:t>
      </w:r>
      <w:r>
        <w:t>–</w:t>
      </w:r>
      <w:r w:rsidRPr="00E028BB">
        <w:t xml:space="preserve"> Aboriginal and Torres Strait Islander, regional and rural, immigrant, refugee and LGBTI groups, ‘hidden</w:t>
      </w:r>
      <w:r>
        <w:t>’</w:t>
      </w:r>
      <w:r w:rsidRPr="00E028BB">
        <w:t xml:space="preserve"> carers including young people, children and seniors who struggle to be identified, included and appropriately supported. We need to provide a tailored and integrated response to all these groups in our society. </w:t>
      </w:r>
    </w:p>
    <w:p w14:paraId="043A535A" w14:textId="77777777" w:rsidR="00F61A49" w:rsidRPr="0060203A" w:rsidRDefault="00F61A49" w:rsidP="00F61A49">
      <w:pPr>
        <w:pStyle w:val="DHHSbody"/>
      </w:pPr>
      <w:r w:rsidRPr="0060203A">
        <w:t xml:space="preserve">This </w:t>
      </w:r>
      <w:r>
        <w:t>f</w:t>
      </w:r>
      <w:r w:rsidRPr="0060203A">
        <w:t xml:space="preserve">ramework is part of the answer to the stigma and lack of trust in seeking help outside of friends or family </w:t>
      </w:r>
      <w:r>
        <w:t xml:space="preserve">that </w:t>
      </w:r>
      <w:r w:rsidRPr="0060203A">
        <w:t>is a reality due to the perceived one</w:t>
      </w:r>
      <w:r>
        <w:t>-</w:t>
      </w:r>
      <w:r w:rsidRPr="0060203A">
        <w:t>size</w:t>
      </w:r>
      <w:r>
        <w:t>-</w:t>
      </w:r>
      <w:r w:rsidRPr="0060203A">
        <w:t>fits</w:t>
      </w:r>
      <w:r>
        <w:t>-</w:t>
      </w:r>
      <w:r w:rsidRPr="0060203A">
        <w:t xml:space="preserve">all approach provided by our </w:t>
      </w:r>
      <w:r>
        <w:t>W</w:t>
      </w:r>
      <w:r w:rsidRPr="0060203A">
        <w:t>estern biomedical system.</w:t>
      </w:r>
      <w:r>
        <w:t xml:space="preserve"> </w:t>
      </w:r>
      <w:r w:rsidRPr="0060203A">
        <w:t xml:space="preserve">This document complements </w:t>
      </w:r>
      <w:r w:rsidRPr="005243CA">
        <w:rPr>
          <w:i/>
        </w:rPr>
        <w:t>Balit Murrup: Aboriginal social emotional wellbeing framework 2017</w:t>
      </w:r>
      <w:r>
        <w:rPr>
          <w:i/>
        </w:rPr>
        <w:t>–</w:t>
      </w:r>
      <w:r w:rsidRPr="005243CA">
        <w:rPr>
          <w:i/>
        </w:rPr>
        <w:t>2027</w:t>
      </w:r>
      <w:r>
        <w:t>,</w:t>
      </w:r>
      <w:r w:rsidRPr="0060203A">
        <w:t xml:space="preserve"> where this need for a more responsive system is clearly articulated:</w:t>
      </w:r>
    </w:p>
    <w:p w14:paraId="4C9C56DF" w14:textId="77777777" w:rsidR="00F61A49" w:rsidRDefault="00F61A49" w:rsidP="00F61A49">
      <w:pPr>
        <w:pStyle w:val="DHHSquote"/>
      </w:pPr>
      <w:r w:rsidRPr="00E028BB">
        <w:rPr>
          <w:color w:val="333333"/>
        </w:rPr>
        <w:t xml:space="preserve"> .</w:t>
      </w:r>
      <w:r>
        <w:rPr>
          <w:color w:val="333333"/>
        </w:rPr>
        <w:t>.</w:t>
      </w:r>
      <w:r w:rsidRPr="00E028BB">
        <w:rPr>
          <w:color w:val="333333"/>
        </w:rPr>
        <w:t>.</w:t>
      </w:r>
      <w:r>
        <w:rPr>
          <w:color w:val="333333"/>
        </w:rPr>
        <w:t xml:space="preserve"> m</w:t>
      </w:r>
      <w:r w:rsidRPr="00E028BB">
        <w:rPr>
          <w:color w:val="333333"/>
        </w:rPr>
        <w:t>y daughter, family and community need</w:t>
      </w:r>
      <w:r w:rsidRPr="00E028BB">
        <w:t xml:space="preserve"> an Aboriginal and mainstream mental health system that listens, engages and responds to our needs and works together with us to find what works best over the long term.</w:t>
      </w:r>
    </w:p>
    <w:p w14:paraId="24BD852D" w14:textId="77777777" w:rsidR="00F61A49" w:rsidRPr="00E028BB" w:rsidRDefault="00F61A49" w:rsidP="00F61A49">
      <w:pPr>
        <w:pStyle w:val="DHHSquote"/>
        <w:rPr>
          <w:color w:val="333333"/>
        </w:rPr>
      </w:pPr>
      <w:r>
        <w:rPr>
          <w:color w:val="333333"/>
        </w:rPr>
        <w:t>–</w:t>
      </w:r>
      <w:r w:rsidRPr="00E028BB">
        <w:t xml:space="preserve"> Aunty Louise</w:t>
      </w:r>
      <w:r>
        <w:t>,</w:t>
      </w:r>
      <w:r w:rsidRPr="00E028BB">
        <w:t xml:space="preserve"> </w:t>
      </w:r>
      <w:r w:rsidRPr="00667F11">
        <w:rPr>
          <w:i/>
        </w:rPr>
        <w:t>Balit Murrup</w:t>
      </w:r>
      <w:r>
        <w:t>, p.</w:t>
      </w:r>
      <w:r w:rsidRPr="00082B1D">
        <w:t xml:space="preserve"> 4</w:t>
      </w:r>
    </w:p>
    <w:p w14:paraId="15AAD2DC" w14:textId="77777777" w:rsidR="00F61A49" w:rsidRPr="00BD7ABE" w:rsidRDefault="00F61A49" w:rsidP="00F61A49">
      <w:pPr>
        <w:pStyle w:val="DHHSbody"/>
      </w:pPr>
      <w:r w:rsidRPr="00D20300">
        <w:t xml:space="preserve">By its very nature, this </w:t>
      </w:r>
      <w:r>
        <w:t>f</w:t>
      </w:r>
      <w:r w:rsidRPr="00D20300">
        <w:t>ramework will</w:t>
      </w:r>
      <w:r w:rsidRPr="009B3D3D">
        <w:t xml:space="preserve"> be a powerful tool that you, the policymakers and a</w:t>
      </w:r>
      <w:r w:rsidRPr="00BD7ABE">
        <w:t>dvisors, can use as a mechanism</w:t>
      </w:r>
      <w:r>
        <w:t xml:space="preserve"> to</w:t>
      </w:r>
      <w:r w:rsidRPr="00BD7ABE">
        <w:t>:</w:t>
      </w:r>
    </w:p>
    <w:p w14:paraId="55680EA6" w14:textId="77777777" w:rsidR="00F61A49" w:rsidRPr="00844759" w:rsidRDefault="00F61A49" w:rsidP="00F61A49">
      <w:pPr>
        <w:pStyle w:val="DHHSbullet1"/>
      </w:pPr>
      <w:r w:rsidRPr="00844759">
        <w:t>address real and perceived barriers to help seeking across cultures and in rural and regional areas</w:t>
      </w:r>
    </w:p>
    <w:p w14:paraId="1406D026" w14:textId="77777777" w:rsidR="00F61A49" w:rsidRPr="00E028BB" w:rsidRDefault="00F61A49" w:rsidP="00F61A49">
      <w:pPr>
        <w:pStyle w:val="DHHSbullet1"/>
      </w:pPr>
      <w:r w:rsidRPr="00E028BB">
        <w:t xml:space="preserve">provide a tailored response recognising that we are not all the same and that diversity must be accommodated and celebrated rather than ignored or feared </w:t>
      </w:r>
    </w:p>
    <w:p w14:paraId="646BED1D" w14:textId="77777777" w:rsidR="00F61A49" w:rsidRPr="00E028BB" w:rsidRDefault="00F61A49" w:rsidP="00F61A49">
      <w:pPr>
        <w:pStyle w:val="DHHSbullet1"/>
      </w:pPr>
      <w:r w:rsidRPr="00E028BB">
        <w:t xml:space="preserve">redress the very real power imbalance that has historically existed in decision making between those with </w:t>
      </w:r>
      <w:r>
        <w:t>l</w:t>
      </w:r>
      <w:r w:rsidRPr="00E028BB">
        <w:t xml:space="preserve">ived </w:t>
      </w:r>
      <w:r>
        <w:t>e</w:t>
      </w:r>
      <w:r w:rsidRPr="00E028BB">
        <w:t xml:space="preserve">xperience and services </w:t>
      </w:r>
    </w:p>
    <w:p w14:paraId="1B744AED" w14:textId="77777777" w:rsidR="00F61A49" w:rsidRPr="00E028BB" w:rsidRDefault="00F61A49" w:rsidP="00F61A49">
      <w:pPr>
        <w:pStyle w:val="DHHSbullet1"/>
      </w:pPr>
      <w:r w:rsidRPr="00E028BB">
        <w:t xml:space="preserve">send a message to services that the authentic engagement of people with </w:t>
      </w:r>
      <w:r>
        <w:t>l</w:t>
      </w:r>
      <w:r w:rsidRPr="00E028BB">
        <w:t xml:space="preserve">ived </w:t>
      </w:r>
      <w:r>
        <w:t>e</w:t>
      </w:r>
      <w:r w:rsidRPr="00E028BB">
        <w:t>xperience is essential to achiev</w:t>
      </w:r>
      <w:r>
        <w:t>ing</w:t>
      </w:r>
      <w:r w:rsidRPr="00E028BB">
        <w:t xml:space="preserve"> mental health and wellbeing recovery </w:t>
      </w:r>
    </w:p>
    <w:p w14:paraId="576B3452" w14:textId="77777777" w:rsidR="00F61A49" w:rsidRPr="00E028BB" w:rsidRDefault="00F61A49" w:rsidP="00F61A49">
      <w:pPr>
        <w:pStyle w:val="DHHSbullet1"/>
      </w:pPr>
      <w:r w:rsidRPr="00E028BB">
        <w:t xml:space="preserve">ensure the importance of the contribution and needs of family, friends and other carers is acknowledged consistent with </w:t>
      </w:r>
      <w:r w:rsidRPr="00E028BB">
        <w:rPr>
          <w:color w:val="333333"/>
        </w:rPr>
        <w:t xml:space="preserve">the </w:t>
      </w:r>
      <w:r w:rsidRPr="00082B1D">
        <w:rPr>
          <w:i/>
          <w:color w:val="333333"/>
        </w:rPr>
        <w:t>Mental Health Act</w:t>
      </w:r>
      <w:r w:rsidRPr="00F12FA6">
        <w:rPr>
          <w:color w:val="333333"/>
        </w:rPr>
        <w:t xml:space="preserve"> </w:t>
      </w:r>
      <w:r w:rsidRPr="00E06AE8">
        <w:rPr>
          <w:i/>
          <w:color w:val="333333"/>
        </w:rPr>
        <w:t>2014</w:t>
      </w:r>
      <w:r w:rsidRPr="00F12FA6">
        <w:rPr>
          <w:color w:val="333333"/>
        </w:rPr>
        <w:t xml:space="preserve"> and the </w:t>
      </w:r>
      <w:r w:rsidRPr="00082B1D">
        <w:rPr>
          <w:i/>
          <w:color w:val="333333"/>
        </w:rPr>
        <w:t>Carer Recognition Act</w:t>
      </w:r>
      <w:r w:rsidRPr="00F12FA6">
        <w:rPr>
          <w:color w:val="333333"/>
        </w:rPr>
        <w:t xml:space="preserve"> </w:t>
      </w:r>
      <w:r w:rsidRPr="00E06AE8">
        <w:rPr>
          <w:i/>
          <w:color w:val="333333"/>
        </w:rPr>
        <w:t>2012</w:t>
      </w:r>
    </w:p>
    <w:p w14:paraId="46C31FE8" w14:textId="77777777" w:rsidR="00F61A49" w:rsidRPr="00082B1D" w:rsidRDefault="00F61A49" w:rsidP="00F61A49">
      <w:pPr>
        <w:pStyle w:val="DHHSbullet1"/>
        <w:rPr>
          <w:i/>
        </w:rPr>
      </w:pPr>
      <w:r w:rsidRPr="00E028BB">
        <w:t>ensure that family and friends (carers) will be essential partners in treatment, service delivery, planning, research and evaluation consistent with the</w:t>
      </w:r>
      <w:r w:rsidRPr="00082B1D">
        <w:rPr>
          <w:i/>
        </w:rPr>
        <w:t xml:space="preserve"> Working together with families and carers Chief Psychiatrist’s guideline </w:t>
      </w:r>
      <w:r w:rsidRPr="00E06AE8">
        <w:t>(2018)</w:t>
      </w:r>
    </w:p>
    <w:p w14:paraId="46ABD342" w14:textId="77777777" w:rsidR="00F61A49" w:rsidRPr="00D20300" w:rsidRDefault="00F61A49" w:rsidP="00F61A49">
      <w:pPr>
        <w:pStyle w:val="DHHSbullet1lastline"/>
      </w:pPr>
      <w:r w:rsidRPr="00D20300">
        <w:t>learn with and from each other</w:t>
      </w:r>
      <w:r>
        <w:t>.</w:t>
      </w:r>
    </w:p>
    <w:p w14:paraId="48D46BDC" w14:textId="77777777" w:rsidR="00F61A49" w:rsidRDefault="00F61A49" w:rsidP="00F61A49">
      <w:pPr>
        <w:pStyle w:val="DHHSbody"/>
      </w:pPr>
      <w:r w:rsidRPr="00D20300">
        <w:t>Tandem</w:t>
      </w:r>
      <w:r w:rsidRPr="009B3D3D">
        <w:t xml:space="preserve"> looks forward to working with you to bring this tool to life as part of the continual review and refinement required to achieve a safe, funded, inclusive and fair </w:t>
      </w:r>
      <w:r>
        <w:t>m</w:t>
      </w:r>
      <w:r w:rsidRPr="00E028BB">
        <w:t xml:space="preserve">ental </w:t>
      </w:r>
      <w:r>
        <w:t>h</w:t>
      </w:r>
      <w:r w:rsidRPr="00E028BB">
        <w:t xml:space="preserve">ealth </w:t>
      </w:r>
      <w:r>
        <w:t>s</w:t>
      </w:r>
      <w:r w:rsidRPr="00E028BB">
        <w:t xml:space="preserve">ervice system for </w:t>
      </w:r>
      <w:r w:rsidRPr="00D20300">
        <w:t>Victoria. I commend th</w:t>
      </w:r>
      <w:r w:rsidRPr="009B3D3D">
        <w:t xml:space="preserve">e </w:t>
      </w:r>
      <w:r w:rsidRPr="00082B1D">
        <w:rPr>
          <w:i/>
        </w:rPr>
        <w:t xml:space="preserve">Mental </w:t>
      </w:r>
      <w:r>
        <w:rPr>
          <w:i/>
        </w:rPr>
        <w:t>h</w:t>
      </w:r>
      <w:r w:rsidRPr="00082B1D">
        <w:rPr>
          <w:i/>
        </w:rPr>
        <w:t xml:space="preserve">ealth </w:t>
      </w:r>
      <w:r>
        <w:rPr>
          <w:i/>
        </w:rPr>
        <w:t>l</w:t>
      </w:r>
      <w:r w:rsidRPr="00082B1D">
        <w:rPr>
          <w:i/>
        </w:rPr>
        <w:t xml:space="preserve">ived </w:t>
      </w:r>
      <w:r>
        <w:rPr>
          <w:i/>
        </w:rPr>
        <w:t>e</w:t>
      </w:r>
      <w:r w:rsidRPr="00082B1D">
        <w:rPr>
          <w:i/>
        </w:rPr>
        <w:t xml:space="preserve">xperience </w:t>
      </w:r>
      <w:r>
        <w:rPr>
          <w:i/>
        </w:rPr>
        <w:t>e</w:t>
      </w:r>
      <w:r w:rsidRPr="00082B1D">
        <w:rPr>
          <w:i/>
        </w:rPr>
        <w:t xml:space="preserve">ngagement </w:t>
      </w:r>
      <w:r>
        <w:rPr>
          <w:i/>
        </w:rPr>
        <w:t>f</w:t>
      </w:r>
      <w:r w:rsidRPr="00082B1D">
        <w:rPr>
          <w:i/>
        </w:rPr>
        <w:t>ramework</w:t>
      </w:r>
      <w:r w:rsidRPr="00E028BB">
        <w:t xml:space="preserve"> to you.</w:t>
      </w:r>
    </w:p>
    <w:p w14:paraId="183AAB72" w14:textId="77777777" w:rsidR="00F61A49" w:rsidRPr="00E028BB" w:rsidRDefault="00F61A49" w:rsidP="00F61A49">
      <w:pPr>
        <w:pStyle w:val="DHHSbodynospace"/>
      </w:pPr>
    </w:p>
    <w:p w14:paraId="1DCFE3B2" w14:textId="77777777" w:rsidR="00F61A49" w:rsidRPr="0085314C" w:rsidRDefault="00F61A49" w:rsidP="00F61A49">
      <w:pPr>
        <w:pStyle w:val="DHHSbodynospace"/>
      </w:pPr>
      <w:r w:rsidRPr="0085314C">
        <w:t>Marie Piu MAPS</w:t>
      </w:r>
    </w:p>
    <w:p w14:paraId="4B5EEEBE" w14:textId="77777777" w:rsidR="00F61A49" w:rsidRPr="0085314C" w:rsidRDefault="00F61A49" w:rsidP="00F61A49">
      <w:pPr>
        <w:pStyle w:val="DHHSbodynospace"/>
      </w:pPr>
      <w:r w:rsidRPr="0085314C">
        <w:t>Chief Executive Officer</w:t>
      </w:r>
      <w:r>
        <w:t>,</w:t>
      </w:r>
      <w:r w:rsidRPr="0085314C">
        <w:t xml:space="preserve"> Tandem</w:t>
      </w:r>
    </w:p>
    <w:p w14:paraId="13F9C904" w14:textId="77777777" w:rsidR="00F61A49" w:rsidRPr="00D136BD" w:rsidRDefault="00F61A49" w:rsidP="00F61A49">
      <w:pPr>
        <w:pStyle w:val="DHHSbodynospace"/>
      </w:pPr>
      <w:r w:rsidRPr="00D136BD">
        <w:t>Co-</w:t>
      </w:r>
      <w:r>
        <w:t>c</w:t>
      </w:r>
      <w:r w:rsidRPr="00D136BD">
        <w:t>hair</w:t>
      </w:r>
      <w:r>
        <w:t>,</w:t>
      </w:r>
      <w:r w:rsidRPr="00D136BD">
        <w:t xml:space="preserve"> Lived Experience </w:t>
      </w:r>
      <w:r>
        <w:t xml:space="preserve">Leadership </w:t>
      </w:r>
      <w:r w:rsidRPr="00D136BD">
        <w:t xml:space="preserve">Expert </w:t>
      </w:r>
      <w:r>
        <w:t>Reference</w:t>
      </w:r>
      <w:r w:rsidRPr="00D136BD">
        <w:t xml:space="preserve"> Group</w:t>
      </w:r>
    </w:p>
    <w:p w14:paraId="70A157B2" w14:textId="555FA5A0" w:rsidR="00C71A3A" w:rsidRDefault="00C71A3A" w:rsidP="00F61A49">
      <w:pPr>
        <w:pStyle w:val="DHHSTOCheadingreport"/>
      </w:pPr>
    </w:p>
    <w:p w14:paraId="5161BF45" w14:textId="77777777" w:rsidR="00F61A49" w:rsidRPr="00636934" w:rsidRDefault="00F61A49" w:rsidP="00F61A49">
      <w:pPr>
        <w:pStyle w:val="DHHSTOCheadingreport"/>
      </w:pPr>
      <w:r w:rsidRPr="00C71A3A">
        <w:br w:type="page"/>
      </w:r>
      <w:r w:rsidRPr="00636934">
        <w:lastRenderedPageBreak/>
        <w:t>Contents</w:t>
      </w:r>
    </w:p>
    <w:p w14:paraId="2D3C94B8" w14:textId="02D8E615" w:rsidR="000A20BA" w:rsidRDefault="00F61A4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3830179" w:history="1">
        <w:r w:rsidR="000A20BA" w:rsidRPr="00F94756">
          <w:rPr>
            <w:rStyle w:val="Hyperlink"/>
          </w:rPr>
          <w:t>Foreword</w:t>
        </w:r>
        <w:r w:rsidR="000A20BA">
          <w:rPr>
            <w:webHidden/>
          </w:rPr>
          <w:tab/>
        </w:r>
        <w:r w:rsidR="000A20BA">
          <w:rPr>
            <w:webHidden/>
          </w:rPr>
          <w:fldChar w:fldCharType="begin"/>
        </w:r>
        <w:r w:rsidR="000A20BA">
          <w:rPr>
            <w:webHidden/>
          </w:rPr>
          <w:instrText xml:space="preserve"> PAGEREF _Toc13830179 \h </w:instrText>
        </w:r>
        <w:r w:rsidR="000A20BA">
          <w:rPr>
            <w:webHidden/>
          </w:rPr>
        </w:r>
        <w:r w:rsidR="000A20BA">
          <w:rPr>
            <w:webHidden/>
          </w:rPr>
          <w:fldChar w:fldCharType="separate"/>
        </w:r>
        <w:r w:rsidR="000A20BA">
          <w:rPr>
            <w:webHidden/>
          </w:rPr>
          <w:t>4</w:t>
        </w:r>
        <w:r w:rsidR="000A20BA">
          <w:rPr>
            <w:webHidden/>
          </w:rPr>
          <w:fldChar w:fldCharType="end"/>
        </w:r>
      </w:hyperlink>
    </w:p>
    <w:p w14:paraId="08222E4A" w14:textId="02E7E286" w:rsidR="000A20BA" w:rsidRDefault="003244BA">
      <w:pPr>
        <w:pStyle w:val="TOC2"/>
        <w:rPr>
          <w:rFonts w:asciiTheme="minorHAnsi" w:eastAsiaTheme="minorEastAsia" w:hAnsiTheme="minorHAnsi" w:cstheme="minorBidi"/>
          <w:sz w:val="22"/>
          <w:szCs w:val="22"/>
          <w:lang w:eastAsia="en-AU"/>
        </w:rPr>
      </w:pPr>
      <w:hyperlink w:anchor="_Toc13830180" w:history="1">
        <w:r w:rsidR="000A20BA" w:rsidRPr="00F94756">
          <w:rPr>
            <w:rStyle w:val="Hyperlink"/>
          </w:rPr>
          <w:t>Maggie Toko, Co-Chair, Lived Experience Leadership Expert Reference Group</w:t>
        </w:r>
        <w:r w:rsidR="000A20BA">
          <w:rPr>
            <w:webHidden/>
          </w:rPr>
          <w:tab/>
        </w:r>
        <w:r w:rsidR="000A20BA">
          <w:rPr>
            <w:webHidden/>
          </w:rPr>
          <w:fldChar w:fldCharType="begin"/>
        </w:r>
        <w:r w:rsidR="000A20BA">
          <w:rPr>
            <w:webHidden/>
          </w:rPr>
          <w:instrText xml:space="preserve"> PAGEREF _Toc13830180 \h </w:instrText>
        </w:r>
        <w:r w:rsidR="000A20BA">
          <w:rPr>
            <w:webHidden/>
          </w:rPr>
        </w:r>
        <w:r w:rsidR="000A20BA">
          <w:rPr>
            <w:webHidden/>
          </w:rPr>
          <w:fldChar w:fldCharType="separate"/>
        </w:r>
        <w:r w:rsidR="000A20BA">
          <w:rPr>
            <w:webHidden/>
          </w:rPr>
          <w:t>4</w:t>
        </w:r>
        <w:r w:rsidR="000A20BA">
          <w:rPr>
            <w:webHidden/>
          </w:rPr>
          <w:fldChar w:fldCharType="end"/>
        </w:r>
      </w:hyperlink>
    </w:p>
    <w:p w14:paraId="22567F63" w14:textId="05A0D4F0" w:rsidR="000A20BA" w:rsidRDefault="003244BA">
      <w:pPr>
        <w:pStyle w:val="TOC2"/>
        <w:rPr>
          <w:rFonts w:asciiTheme="minorHAnsi" w:eastAsiaTheme="minorEastAsia" w:hAnsiTheme="minorHAnsi" w:cstheme="minorBidi"/>
          <w:sz w:val="22"/>
          <w:szCs w:val="22"/>
          <w:lang w:eastAsia="en-AU"/>
        </w:rPr>
      </w:pPr>
      <w:hyperlink w:anchor="_Toc13830181" w:history="1">
        <w:r w:rsidR="000A20BA" w:rsidRPr="00F94756">
          <w:rPr>
            <w:rStyle w:val="Hyperlink"/>
          </w:rPr>
          <w:t>Marie Piu, Co-Chair, Lived Experience Leadership Expert Reference Group</w:t>
        </w:r>
        <w:r w:rsidR="000A20BA">
          <w:rPr>
            <w:webHidden/>
          </w:rPr>
          <w:tab/>
        </w:r>
        <w:r w:rsidR="000A20BA">
          <w:rPr>
            <w:webHidden/>
          </w:rPr>
          <w:fldChar w:fldCharType="begin"/>
        </w:r>
        <w:r w:rsidR="000A20BA">
          <w:rPr>
            <w:webHidden/>
          </w:rPr>
          <w:instrText xml:space="preserve"> PAGEREF _Toc13830181 \h </w:instrText>
        </w:r>
        <w:r w:rsidR="000A20BA">
          <w:rPr>
            <w:webHidden/>
          </w:rPr>
        </w:r>
        <w:r w:rsidR="000A20BA">
          <w:rPr>
            <w:webHidden/>
          </w:rPr>
          <w:fldChar w:fldCharType="separate"/>
        </w:r>
        <w:r w:rsidR="000A20BA">
          <w:rPr>
            <w:webHidden/>
          </w:rPr>
          <w:t>5</w:t>
        </w:r>
        <w:r w:rsidR="000A20BA">
          <w:rPr>
            <w:webHidden/>
          </w:rPr>
          <w:fldChar w:fldCharType="end"/>
        </w:r>
      </w:hyperlink>
    </w:p>
    <w:p w14:paraId="6B61BCC6" w14:textId="34C464EE" w:rsidR="000A20BA" w:rsidRDefault="003244BA">
      <w:pPr>
        <w:pStyle w:val="TOC1"/>
        <w:rPr>
          <w:rFonts w:asciiTheme="minorHAnsi" w:eastAsiaTheme="minorEastAsia" w:hAnsiTheme="minorHAnsi" w:cstheme="minorBidi"/>
          <w:b w:val="0"/>
          <w:sz w:val="22"/>
          <w:szCs w:val="22"/>
          <w:lang w:eastAsia="en-AU"/>
        </w:rPr>
      </w:pPr>
      <w:hyperlink w:anchor="_Toc13830182" w:history="1">
        <w:r w:rsidR="000A20BA" w:rsidRPr="00F94756">
          <w:rPr>
            <w:rStyle w:val="Hyperlink"/>
          </w:rPr>
          <w:t>Acknowledgements</w:t>
        </w:r>
        <w:r w:rsidR="000A20BA">
          <w:rPr>
            <w:webHidden/>
          </w:rPr>
          <w:tab/>
        </w:r>
        <w:r w:rsidR="000A20BA">
          <w:rPr>
            <w:webHidden/>
          </w:rPr>
          <w:fldChar w:fldCharType="begin"/>
        </w:r>
        <w:r w:rsidR="000A20BA">
          <w:rPr>
            <w:webHidden/>
          </w:rPr>
          <w:instrText xml:space="preserve"> PAGEREF _Toc13830182 \h </w:instrText>
        </w:r>
        <w:r w:rsidR="000A20BA">
          <w:rPr>
            <w:webHidden/>
          </w:rPr>
        </w:r>
        <w:r w:rsidR="000A20BA">
          <w:rPr>
            <w:webHidden/>
          </w:rPr>
          <w:fldChar w:fldCharType="separate"/>
        </w:r>
        <w:r w:rsidR="000A20BA">
          <w:rPr>
            <w:webHidden/>
          </w:rPr>
          <w:t>8</w:t>
        </w:r>
        <w:r w:rsidR="000A20BA">
          <w:rPr>
            <w:webHidden/>
          </w:rPr>
          <w:fldChar w:fldCharType="end"/>
        </w:r>
      </w:hyperlink>
    </w:p>
    <w:p w14:paraId="1F93E088" w14:textId="316E457A" w:rsidR="000A20BA" w:rsidRDefault="003244BA">
      <w:pPr>
        <w:pStyle w:val="TOC2"/>
        <w:rPr>
          <w:rFonts w:asciiTheme="minorHAnsi" w:eastAsiaTheme="minorEastAsia" w:hAnsiTheme="minorHAnsi" w:cstheme="minorBidi"/>
          <w:sz w:val="22"/>
          <w:szCs w:val="22"/>
          <w:lang w:eastAsia="en-AU"/>
        </w:rPr>
      </w:pPr>
      <w:hyperlink w:anchor="_Toc13830183" w:history="1">
        <w:r w:rsidR="000A20BA" w:rsidRPr="00F94756">
          <w:rPr>
            <w:rStyle w:val="Hyperlink"/>
            <w:lang w:eastAsia="en-AU"/>
          </w:rPr>
          <w:t>Lived Experience Leadership Expert Reference Group</w:t>
        </w:r>
        <w:r w:rsidR="000A20BA">
          <w:rPr>
            <w:webHidden/>
          </w:rPr>
          <w:tab/>
        </w:r>
        <w:r w:rsidR="000A20BA">
          <w:rPr>
            <w:webHidden/>
          </w:rPr>
          <w:fldChar w:fldCharType="begin"/>
        </w:r>
        <w:r w:rsidR="000A20BA">
          <w:rPr>
            <w:webHidden/>
          </w:rPr>
          <w:instrText xml:space="preserve"> PAGEREF _Toc13830183 \h </w:instrText>
        </w:r>
        <w:r w:rsidR="000A20BA">
          <w:rPr>
            <w:webHidden/>
          </w:rPr>
        </w:r>
        <w:r w:rsidR="000A20BA">
          <w:rPr>
            <w:webHidden/>
          </w:rPr>
          <w:fldChar w:fldCharType="separate"/>
        </w:r>
        <w:r w:rsidR="000A20BA">
          <w:rPr>
            <w:webHidden/>
          </w:rPr>
          <w:t>8</w:t>
        </w:r>
        <w:r w:rsidR="000A20BA">
          <w:rPr>
            <w:webHidden/>
          </w:rPr>
          <w:fldChar w:fldCharType="end"/>
        </w:r>
      </w:hyperlink>
    </w:p>
    <w:p w14:paraId="07198AC4" w14:textId="572DA651" w:rsidR="000A20BA" w:rsidRDefault="003244BA">
      <w:pPr>
        <w:pStyle w:val="TOC2"/>
        <w:rPr>
          <w:rFonts w:asciiTheme="minorHAnsi" w:eastAsiaTheme="minorEastAsia" w:hAnsiTheme="minorHAnsi" w:cstheme="minorBidi"/>
          <w:sz w:val="22"/>
          <w:szCs w:val="22"/>
          <w:lang w:eastAsia="en-AU"/>
        </w:rPr>
      </w:pPr>
      <w:hyperlink w:anchor="_Toc13830184" w:history="1">
        <w:r w:rsidR="000A20BA" w:rsidRPr="00F94756">
          <w:rPr>
            <w:rStyle w:val="Hyperlink"/>
            <w:lang w:eastAsia="en-AU"/>
          </w:rPr>
          <w:t>Subcommittee</w:t>
        </w:r>
        <w:r w:rsidR="000A20BA">
          <w:rPr>
            <w:webHidden/>
          </w:rPr>
          <w:tab/>
        </w:r>
        <w:r w:rsidR="000A20BA">
          <w:rPr>
            <w:webHidden/>
          </w:rPr>
          <w:fldChar w:fldCharType="begin"/>
        </w:r>
        <w:r w:rsidR="000A20BA">
          <w:rPr>
            <w:webHidden/>
          </w:rPr>
          <w:instrText xml:space="preserve"> PAGEREF _Toc13830184 \h </w:instrText>
        </w:r>
        <w:r w:rsidR="000A20BA">
          <w:rPr>
            <w:webHidden/>
          </w:rPr>
        </w:r>
        <w:r w:rsidR="000A20BA">
          <w:rPr>
            <w:webHidden/>
          </w:rPr>
          <w:fldChar w:fldCharType="separate"/>
        </w:r>
        <w:r w:rsidR="000A20BA">
          <w:rPr>
            <w:webHidden/>
          </w:rPr>
          <w:t>8</w:t>
        </w:r>
        <w:r w:rsidR="000A20BA">
          <w:rPr>
            <w:webHidden/>
          </w:rPr>
          <w:fldChar w:fldCharType="end"/>
        </w:r>
      </w:hyperlink>
    </w:p>
    <w:p w14:paraId="79ED2E02" w14:textId="1FBF76C7" w:rsidR="000A20BA" w:rsidRDefault="003244BA">
      <w:pPr>
        <w:pStyle w:val="TOC1"/>
        <w:rPr>
          <w:rFonts w:asciiTheme="minorHAnsi" w:eastAsiaTheme="minorEastAsia" w:hAnsiTheme="minorHAnsi" w:cstheme="minorBidi"/>
          <w:b w:val="0"/>
          <w:sz w:val="22"/>
          <w:szCs w:val="22"/>
          <w:lang w:eastAsia="en-AU"/>
        </w:rPr>
      </w:pPr>
      <w:hyperlink w:anchor="_Toc13830185" w:history="1">
        <w:r w:rsidR="000A20BA" w:rsidRPr="00F94756">
          <w:rPr>
            <w:rStyle w:val="Hyperlink"/>
          </w:rPr>
          <w:t>Key messages</w:t>
        </w:r>
        <w:r w:rsidR="000A20BA">
          <w:rPr>
            <w:webHidden/>
          </w:rPr>
          <w:tab/>
        </w:r>
        <w:r w:rsidR="000A20BA">
          <w:rPr>
            <w:webHidden/>
          </w:rPr>
          <w:fldChar w:fldCharType="begin"/>
        </w:r>
        <w:r w:rsidR="000A20BA">
          <w:rPr>
            <w:webHidden/>
          </w:rPr>
          <w:instrText xml:space="preserve"> PAGEREF _Toc13830185 \h </w:instrText>
        </w:r>
        <w:r w:rsidR="000A20BA">
          <w:rPr>
            <w:webHidden/>
          </w:rPr>
        </w:r>
        <w:r w:rsidR="000A20BA">
          <w:rPr>
            <w:webHidden/>
          </w:rPr>
          <w:fldChar w:fldCharType="separate"/>
        </w:r>
        <w:r w:rsidR="000A20BA">
          <w:rPr>
            <w:webHidden/>
          </w:rPr>
          <w:t>9</w:t>
        </w:r>
        <w:r w:rsidR="000A20BA">
          <w:rPr>
            <w:webHidden/>
          </w:rPr>
          <w:fldChar w:fldCharType="end"/>
        </w:r>
      </w:hyperlink>
    </w:p>
    <w:p w14:paraId="1B0AF465" w14:textId="600F16B8" w:rsidR="000A20BA" w:rsidRDefault="003244BA">
      <w:pPr>
        <w:pStyle w:val="TOC1"/>
        <w:rPr>
          <w:rFonts w:asciiTheme="minorHAnsi" w:eastAsiaTheme="minorEastAsia" w:hAnsiTheme="minorHAnsi" w:cstheme="minorBidi"/>
          <w:b w:val="0"/>
          <w:sz w:val="22"/>
          <w:szCs w:val="22"/>
          <w:lang w:eastAsia="en-AU"/>
        </w:rPr>
      </w:pPr>
      <w:hyperlink w:anchor="_Toc13830186" w:history="1">
        <w:r w:rsidR="000A20BA" w:rsidRPr="00F94756">
          <w:rPr>
            <w:rStyle w:val="Hyperlink"/>
          </w:rPr>
          <w:t>Language and definition</w:t>
        </w:r>
        <w:r w:rsidR="000A20BA">
          <w:rPr>
            <w:webHidden/>
          </w:rPr>
          <w:tab/>
        </w:r>
        <w:r w:rsidR="000A20BA">
          <w:rPr>
            <w:webHidden/>
          </w:rPr>
          <w:fldChar w:fldCharType="begin"/>
        </w:r>
        <w:r w:rsidR="000A20BA">
          <w:rPr>
            <w:webHidden/>
          </w:rPr>
          <w:instrText xml:space="preserve"> PAGEREF _Toc13830186 \h </w:instrText>
        </w:r>
        <w:r w:rsidR="000A20BA">
          <w:rPr>
            <w:webHidden/>
          </w:rPr>
        </w:r>
        <w:r w:rsidR="000A20BA">
          <w:rPr>
            <w:webHidden/>
          </w:rPr>
          <w:fldChar w:fldCharType="separate"/>
        </w:r>
        <w:r w:rsidR="000A20BA">
          <w:rPr>
            <w:webHidden/>
          </w:rPr>
          <w:t>10</w:t>
        </w:r>
        <w:r w:rsidR="000A20BA">
          <w:rPr>
            <w:webHidden/>
          </w:rPr>
          <w:fldChar w:fldCharType="end"/>
        </w:r>
      </w:hyperlink>
    </w:p>
    <w:p w14:paraId="0E4E8F4D" w14:textId="6E45C95C" w:rsidR="000A20BA" w:rsidRDefault="003244BA">
      <w:pPr>
        <w:pStyle w:val="TOC1"/>
        <w:rPr>
          <w:rFonts w:asciiTheme="minorHAnsi" w:eastAsiaTheme="minorEastAsia" w:hAnsiTheme="minorHAnsi" w:cstheme="minorBidi"/>
          <w:b w:val="0"/>
          <w:sz w:val="22"/>
          <w:szCs w:val="22"/>
          <w:lang w:eastAsia="en-AU"/>
        </w:rPr>
      </w:pPr>
      <w:hyperlink w:anchor="_Toc13830187" w:history="1">
        <w:r w:rsidR="000A20BA" w:rsidRPr="00F94756">
          <w:rPr>
            <w:rStyle w:val="Hyperlink"/>
          </w:rPr>
          <w:t>Preface</w:t>
        </w:r>
        <w:r w:rsidR="000A20BA">
          <w:rPr>
            <w:webHidden/>
          </w:rPr>
          <w:tab/>
        </w:r>
        <w:r w:rsidR="000A20BA">
          <w:rPr>
            <w:webHidden/>
          </w:rPr>
          <w:fldChar w:fldCharType="begin"/>
        </w:r>
        <w:r w:rsidR="000A20BA">
          <w:rPr>
            <w:webHidden/>
          </w:rPr>
          <w:instrText xml:space="preserve"> PAGEREF _Toc13830187 \h </w:instrText>
        </w:r>
        <w:r w:rsidR="000A20BA">
          <w:rPr>
            <w:webHidden/>
          </w:rPr>
        </w:r>
        <w:r w:rsidR="000A20BA">
          <w:rPr>
            <w:webHidden/>
          </w:rPr>
          <w:fldChar w:fldCharType="separate"/>
        </w:r>
        <w:r w:rsidR="000A20BA">
          <w:rPr>
            <w:webHidden/>
          </w:rPr>
          <w:t>12</w:t>
        </w:r>
        <w:r w:rsidR="000A20BA">
          <w:rPr>
            <w:webHidden/>
          </w:rPr>
          <w:fldChar w:fldCharType="end"/>
        </w:r>
      </w:hyperlink>
    </w:p>
    <w:p w14:paraId="76DC30D2" w14:textId="32179E17" w:rsidR="000A20BA" w:rsidRDefault="003244BA">
      <w:pPr>
        <w:pStyle w:val="TOC2"/>
        <w:rPr>
          <w:rFonts w:asciiTheme="minorHAnsi" w:eastAsiaTheme="minorEastAsia" w:hAnsiTheme="minorHAnsi" w:cstheme="minorBidi"/>
          <w:sz w:val="22"/>
          <w:szCs w:val="22"/>
          <w:lang w:eastAsia="en-AU"/>
        </w:rPr>
      </w:pPr>
      <w:hyperlink w:anchor="_Toc13830188" w:history="1">
        <w:r w:rsidR="000A20BA" w:rsidRPr="00F94756">
          <w:rPr>
            <w:rStyle w:val="Hyperlink"/>
            <w:lang w:eastAsia="en-AU"/>
          </w:rPr>
          <w:t>Why we need a mental health lived experience engagement framework</w:t>
        </w:r>
        <w:r w:rsidR="000A20BA">
          <w:rPr>
            <w:webHidden/>
          </w:rPr>
          <w:tab/>
        </w:r>
        <w:r w:rsidR="000A20BA">
          <w:rPr>
            <w:webHidden/>
          </w:rPr>
          <w:fldChar w:fldCharType="begin"/>
        </w:r>
        <w:r w:rsidR="000A20BA">
          <w:rPr>
            <w:webHidden/>
          </w:rPr>
          <w:instrText xml:space="preserve"> PAGEREF _Toc13830188 \h </w:instrText>
        </w:r>
        <w:r w:rsidR="000A20BA">
          <w:rPr>
            <w:webHidden/>
          </w:rPr>
        </w:r>
        <w:r w:rsidR="000A20BA">
          <w:rPr>
            <w:webHidden/>
          </w:rPr>
          <w:fldChar w:fldCharType="separate"/>
        </w:r>
        <w:r w:rsidR="000A20BA">
          <w:rPr>
            <w:webHidden/>
          </w:rPr>
          <w:t>12</w:t>
        </w:r>
        <w:r w:rsidR="000A20BA">
          <w:rPr>
            <w:webHidden/>
          </w:rPr>
          <w:fldChar w:fldCharType="end"/>
        </w:r>
      </w:hyperlink>
    </w:p>
    <w:p w14:paraId="7849DCCD" w14:textId="6F45F4A9" w:rsidR="000A20BA" w:rsidRDefault="003244BA">
      <w:pPr>
        <w:pStyle w:val="TOC1"/>
        <w:rPr>
          <w:rFonts w:asciiTheme="minorHAnsi" w:eastAsiaTheme="minorEastAsia" w:hAnsiTheme="minorHAnsi" w:cstheme="minorBidi"/>
          <w:b w:val="0"/>
          <w:sz w:val="22"/>
          <w:szCs w:val="22"/>
          <w:lang w:eastAsia="en-AU"/>
        </w:rPr>
      </w:pPr>
      <w:hyperlink w:anchor="_Toc13830189" w:history="1">
        <w:r w:rsidR="000A20BA" w:rsidRPr="00F94756">
          <w:rPr>
            <w:rStyle w:val="Hyperlink"/>
          </w:rPr>
          <w:t>Policy context Mental Health Expert Taskforce</w:t>
        </w:r>
        <w:r w:rsidR="000A20BA">
          <w:rPr>
            <w:webHidden/>
          </w:rPr>
          <w:tab/>
        </w:r>
        <w:r w:rsidR="000A20BA">
          <w:rPr>
            <w:webHidden/>
          </w:rPr>
          <w:fldChar w:fldCharType="begin"/>
        </w:r>
        <w:r w:rsidR="000A20BA">
          <w:rPr>
            <w:webHidden/>
          </w:rPr>
          <w:instrText xml:space="preserve"> PAGEREF _Toc13830189 \h </w:instrText>
        </w:r>
        <w:r w:rsidR="000A20BA">
          <w:rPr>
            <w:webHidden/>
          </w:rPr>
        </w:r>
        <w:r w:rsidR="000A20BA">
          <w:rPr>
            <w:webHidden/>
          </w:rPr>
          <w:fldChar w:fldCharType="separate"/>
        </w:r>
        <w:r w:rsidR="000A20BA">
          <w:rPr>
            <w:webHidden/>
          </w:rPr>
          <w:t>14</w:t>
        </w:r>
        <w:r w:rsidR="000A20BA">
          <w:rPr>
            <w:webHidden/>
          </w:rPr>
          <w:fldChar w:fldCharType="end"/>
        </w:r>
      </w:hyperlink>
    </w:p>
    <w:p w14:paraId="44A88FB2" w14:textId="3FBE94A4" w:rsidR="000A20BA" w:rsidRDefault="003244BA">
      <w:pPr>
        <w:pStyle w:val="TOC2"/>
        <w:rPr>
          <w:rFonts w:asciiTheme="minorHAnsi" w:eastAsiaTheme="minorEastAsia" w:hAnsiTheme="minorHAnsi" w:cstheme="minorBidi"/>
          <w:sz w:val="22"/>
          <w:szCs w:val="22"/>
          <w:lang w:eastAsia="en-AU"/>
        </w:rPr>
      </w:pPr>
      <w:hyperlink w:anchor="_Toc13830190" w:history="1">
        <w:r w:rsidR="000A20BA" w:rsidRPr="00F94756">
          <w:rPr>
            <w:rStyle w:val="Hyperlink"/>
            <w:lang w:eastAsia="en-AU"/>
          </w:rPr>
          <w:t>Lived Experience Leadership Expert Reference Group</w:t>
        </w:r>
        <w:r w:rsidR="000A20BA">
          <w:rPr>
            <w:webHidden/>
          </w:rPr>
          <w:tab/>
        </w:r>
        <w:r w:rsidR="000A20BA">
          <w:rPr>
            <w:webHidden/>
          </w:rPr>
          <w:fldChar w:fldCharType="begin"/>
        </w:r>
        <w:r w:rsidR="000A20BA">
          <w:rPr>
            <w:webHidden/>
          </w:rPr>
          <w:instrText xml:space="preserve"> PAGEREF _Toc13830190 \h </w:instrText>
        </w:r>
        <w:r w:rsidR="000A20BA">
          <w:rPr>
            <w:webHidden/>
          </w:rPr>
        </w:r>
        <w:r w:rsidR="000A20BA">
          <w:rPr>
            <w:webHidden/>
          </w:rPr>
          <w:fldChar w:fldCharType="separate"/>
        </w:r>
        <w:r w:rsidR="000A20BA">
          <w:rPr>
            <w:webHidden/>
          </w:rPr>
          <w:t>14</w:t>
        </w:r>
        <w:r w:rsidR="000A20BA">
          <w:rPr>
            <w:webHidden/>
          </w:rPr>
          <w:fldChar w:fldCharType="end"/>
        </w:r>
      </w:hyperlink>
    </w:p>
    <w:p w14:paraId="119D76CF" w14:textId="799CBC46" w:rsidR="000A20BA" w:rsidRDefault="003244BA">
      <w:pPr>
        <w:pStyle w:val="TOC2"/>
        <w:rPr>
          <w:rFonts w:asciiTheme="minorHAnsi" w:eastAsiaTheme="minorEastAsia" w:hAnsiTheme="minorHAnsi" w:cstheme="minorBidi"/>
          <w:sz w:val="22"/>
          <w:szCs w:val="22"/>
          <w:lang w:eastAsia="en-AU"/>
        </w:rPr>
      </w:pPr>
      <w:hyperlink w:anchor="_Toc13830191" w:history="1">
        <w:r w:rsidR="000A20BA" w:rsidRPr="00F94756">
          <w:rPr>
            <w:rStyle w:val="Hyperlink"/>
          </w:rPr>
          <w:t>Victorian Government policies</w:t>
        </w:r>
        <w:r w:rsidR="000A20BA">
          <w:rPr>
            <w:webHidden/>
          </w:rPr>
          <w:tab/>
        </w:r>
        <w:r w:rsidR="000A20BA">
          <w:rPr>
            <w:webHidden/>
          </w:rPr>
          <w:fldChar w:fldCharType="begin"/>
        </w:r>
        <w:r w:rsidR="000A20BA">
          <w:rPr>
            <w:webHidden/>
          </w:rPr>
          <w:instrText xml:space="preserve"> PAGEREF _Toc13830191 \h </w:instrText>
        </w:r>
        <w:r w:rsidR="000A20BA">
          <w:rPr>
            <w:webHidden/>
          </w:rPr>
        </w:r>
        <w:r w:rsidR="000A20BA">
          <w:rPr>
            <w:webHidden/>
          </w:rPr>
          <w:fldChar w:fldCharType="separate"/>
        </w:r>
        <w:r w:rsidR="000A20BA">
          <w:rPr>
            <w:webHidden/>
          </w:rPr>
          <w:t>15</w:t>
        </w:r>
        <w:r w:rsidR="000A20BA">
          <w:rPr>
            <w:webHidden/>
          </w:rPr>
          <w:fldChar w:fldCharType="end"/>
        </w:r>
      </w:hyperlink>
    </w:p>
    <w:p w14:paraId="60E3A030" w14:textId="2E9F4603" w:rsidR="000A20BA" w:rsidRDefault="003244BA">
      <w:pPr>
        <w:pStyle w:val="TOC2"/>
        <w:rPr>
          <w:rFonts w:asciiTheme="minorHAnsi" w:eastAsiaTheme="minorEastAsia" w:hAnsiTheme="minorHAnsi" w:cstheme="minorBidi"/>
          <w:sz w:val="22"/>
          <w:szCs w:val="22"/>
          <w:lang w:eastAsia="en-AU"/>
        </w:rPr>
      </w:pPr>
      <w:hyperlink w:anchor="_Toc13830192" w:history="1">
        <w:r w:rsidR="000A20BA" w:rsidRPr="00F94756">
          <w:rPr>
            <w:rStyle w:val="Hyperlink"/>
          </w:rPr>
          <w:t>Public participation framework</w:t>
        </w:r>
        <w:r w:rsidR="000A20BA">
          <w:rPr>
            <w:webHidden/>
          </w:rPr>
          <w:tab/>
        </w:r>
        <w:r w:rsidR="000A20BA">
          <w:rPr>
            <w:webHidden/>
          </w:rPr>
          <w:fldChar w:fldCharType="begin"/>
        </w:r>
        <w:r w:rsidR="000A20BA">
          <w:rPr>
            <w:webHidden/>
          </w:rPr>
          <w:instrText xml:space="preserve"> PAGEREF _Toc13830192 \h </w:instrText>
        </w:r>
        <w:r w:rsidR="000A20BA">
          <w:rPr>
            <w:webHidden/>
          </w:rPr>
        </w:r>
        <w:r w:rsidR="000A20BA">
          <w:rPr>
            <w:webHidden/>
          </w:rPr>
          <w:fldChar w:fldCharType="separate"/>
        </w:r>
        <w:r w:rsidR="000A20BA">
          <w:rPr>
            <w:webHidden/>
          </w:rPr>
          <w:t>16</w:t>
        </w:r>
        <w:r w:rsidR="000A20BA">
          <w:rPr>
            <w:webHidden/>
          </w:rPr>
          <w:fldChar w:fldCharType="end"/>
        </w:r>
      </w:hyperlink>
    </w:p>
    <w:p w14:paraId="17854C19" w14:textId="0D7921EC" w:rsidR="000A20BA" w:rsidRDefault="003244BA">
      <w:pPr>
        <w:pStyle w:val="TOC1"/>
        <w:rPr>
          <w:rFonts w:asciiTheme="minorHAnsi" w:eastAsiaTheme="minorEastAsia" w:hAnsiTheme="minorHAnsi" w:cstheme="minorBidi"/>
          <w:b w:val="0"/>
          <w:sz w:val="22"/>
          <w:szCs w:val="22"/>
          <w:lang w:eastAsia="en-AU"/>
        </w:rPr>
      </w:pPr>
      <w:hyperlink w:anchor="_Toc13830193" w:history="1">
        <w:r w:rsidR="000A20BA" w:rsidRPr="00F94756">
          <w:rPr>
            <w:rStyle w:val="Hyperlink"/>
          </w:rPr>
          <w:t>Consumer and carer context</w:t>
        </w:r>
        <w:r w:rsidR="000A20BA">
          <w:rPr>
            <w:webHidden/>
          </w:rPr>
          <w:tab/>
        </w:r>
        <w:r w:rsidR="000A20BA">
          <w:rPr>
            <w:webHidden/>
          </w:rPr>
          <w:fldChar w:fldCharType="begin"/>
        </w:r>
        <w:r w:rsidR="000A20BA">
          <w:rPr>
            <w:webHidden/>
          </w:rPr>
          <w:instrText xml:space="preserve"> PAGEREF _Toc13830193 \h </w:instrText>
        </w:r>
        <w:r w:rsidR="000A20BA">
          <w:rPr>
            <w:webHidden/>
          </w:rPr>
        </w:r>
        <w:r w:rsidR="000A20BA">
          <w:rPr>
            <w:webHidden/>
          </w:rPr>
          <w:fldChar w:fldCharType="separate"/>
        </w:r>
        <w:r w:rsidR="000A20BA">
          <w:rPr>
            <w:webHidden/>
          </w:rPr>
          <w:t>18</w:t>
        </w:r>
        <w:r w:rsidR="000A20BA">
          <w:rPr>
            <w:webHidden/>
          </w:rPr>
          <w:fldChar w:fldCharType="end"/>
        </w:r>
      </w:hyperlink>
    </w:p>
    <w:p w14:paraId="6FC51BD1" w14:textId="066FD496" w:rsidR="000A20BA" w:rsidRDefault="003244BA">
      <w:pPr>
        <w:pStyle w:val="TOC1"/>
        <w:rPr>
          <w:rFonts w:asciiTheme="minorHAnsi" w:eastAsiaTheme="minorEastAsia" w:hAnsiTheme="minorHAnsi" w:cstheme="minorBidi"/>
          <w:b w:val="0"/>
          <w:sz w:val="22"/>
          <w:szCs w:val="22"/>
          <w:lang w:eastAsia="en-AU"/>
        </w:rPr>
      </w:pPr>
      <w:hyperlink w:anchor="_Toc13830194" w:history="1">
        <w:r w:rsidR="000A20BA" w:rsidRPr="00F94756">
          <w:rPr>
            <w:rStyle w:val="Hyperlink"/>
          </w:rPr>
          <w:t>Foundations for effective engagement</w:t>
        </w:r>
        <w:r w:rsidR="000A20BA">
          <w:rPr>
            <w:webHidden/>
          </w:rPr>
          <w:tab/>
        </w:r>
        <w:r w:rsidR="000A20BA">
          <w:rPr>
            <w:webHidden/>
          </w:rPr>
          <w:fldChar w:fldCharType="begin"/>
        </w:r>
        <w:r w:rsidR="000A20BA">
          <w:rPr>
            <w:webHidden/>
          </w:rPr>
          <w:instrText xml:space="preserve"> PAGEREF _Toc13830194 \h </w:instrText>
        </w:r>
        <w:r w:rsidR="000A20BA">
          <w:rPr>
            <w:webHidden/>
          </w:rPr>
        </w:r>
        <w:r w:rsidR="000A20BA">
          <w:rPr>
            <w:webHidden/>
          </w:rPr>
          <w:fldChar w:fldCharType="separate"/>
        </w:r>
        <w:r w:rsidR="000A20BA">
          <w:rPr>
            <w:webHidden/>
          </w:rPr>
          <w:t>20</w:t>
        </w:r>
        <w:r w:rsidR="000A20BA">
          <w:rPr>
            <w:webHidden/>
          </w:rPr>
          <w:fldChar w:fldCharType="end"/>
        </w:r>
      </w:hyperlink>
    </w:p>
    <w:p w14:paraId="77C91EBA" w14:textId="7DFD2679" w:rsidR="000A20BA" w:rsidRDefault="003244BA">
      <w:pPr>
        <w:pStyle w:val="TOC2"/>
        <w:rPr>
          <w:rFonts w:asciiTheme="minorHAnsi" w:eastAsiaTheme="minorEastAsia" w:hAnsiTheme="minorHAnsi" w:cstheme="minorBidi"/>
          <w:sz w:val="22"/>
          <w:szCs w:val="22"/>
          <w:lang w:eastAsia="en-AU"/>
        </w:rPr>
      </w:pPr>
      <w:hyperlink w:anchor="_Toc13830195" w:history="1">
        <w:r w:rsidR="000A20BA" w:rsidRPr="00F94756">
          <w:rPr>
            <w:rStyle w:val="Hyperlink"/>
            <w:lang w:eastAsia="en-AU"/>
          </w:rPr>
          <w:t>Engagement levels</w:t>
        </w:r>
        <w:r w:rsidR="000A20BA">
          <w:rPr>
            <w:webHidden/>
          </w:rPr>
          <w:tab/>
        </w:r>
        <w:r w:rsidR="000A20BA">
          <w:rPr>
            <w:webHidden/>
          </w:rPr>
          <w:fldChar w:fldCharType="begin"/>
        </w:r>
        <w:r w:rsidR="000A20BA">
          <w:rPr>
            <w:webHidden/>
          </w:rPr>
          <w:instrText xml:space="preserve"> PAGEREF _Toc13830195 \h </w:instrText>
        </w:r>
        <w:r w:rsidR="000A20BA">
          <w:rPr>
            <w:webHidden/>
          </w:rPr>
        </w:r>
        <w:r w:rsidR="000A20BA">
          <w:rPr>
            <w:webHidden/>
          </w:rPr>
          <w:fldChar w:fldCharType="separate"/>
        </w:r>
        <w:r w:rsidR="000A20BA">
          <w:rPr>
            <w:webHidden/>
          </w:rPr>
          <w:t>20</w:t>
        </w:r>
        <w:r w:rsidR="000A20BA">
          <w:rPr>
            <w:webHidden/>
          </w:rPr>
          <w:fldChar w:fldCharType="end"/>
        </w:r>
      </w:hyperlink>
    </w:p>
    <w:p w14:paraId="79ACC4DF" w14:textId="00C75B36" w:rsidR="000A20BA" w:rsidRDefault="003244BA">
      <w:pPr>
        <w:pStyle w:val="TOC2"/>
        <w:rPr>
          <w:rFonts w:asciiTheme="minorHAnsi" w:eastAsiaTheme="minorEastAsia" w:hAnsiTheme="minorHAnsi" w:cstheme="minorBidi"/>
          <w:sz w:val="22"/>
          <w:szCs w:val="22"/>
          <w:lang w:eastAsia="en-AU"/>
        </w:rPr>
      </w:pPr>
      <w:hyperlink w:anchor="_Toc13830196" w:history="1">
        <w:r w:rsidR="000A20BA" w:rsidRPr="00F94756">
          <w:rPr>
            <w:rStyle w:val="Hyperlink"/>
          </w:rPr>
          <w:t>Beyond participation</w:t>
        </w:r>
        <w:r w:rsidR="000A20BA">
          <w:rPr>
            <w:webHidden/>
          </w:rPr>
          <w:tab/>
        </w:r>
        <w:r w:rsidR="000A20BA">
          <w:rPr>
            <w:webHidden/>
          </w:rPr>
          <w:fldChar w:fldCharType="begin"/>
        </w:r>
        <w:r w:rsidR="000A20BA">
          <w:rPr>
            <w:webHidden/>
          </w:rPr>
          <w:instrText xml:space="preserve"> PAGEREF _Toc13830196 \h </w:instrText>
        </w:r>
        <w:r w:rsidR="000A20BA">
          <w:rPr>
            <w:webHidden/>
          </w:rPr>
        </w:r>
        <w:r w:rsidR="000A20BA">
          <w:rPr>
            <w:webHidden/>
          </w:rPr>
          <w:fldChar w:fldCharType="separate"/>
        </w:r>
        <w:r w:rsidR="000A20BA">
          <w:rPr>
            <w:webHidden/>
          </w:rPr>
          <w:t>21</w:t>
        </w:r>
        <w:r w:rsidR="000A20BA">
          <w:rPr>
            <w:webHidden/>
          </w:rPr>
          <w:fldChar w:fldCharType="end"/>
        </w:r>
      </w:hyperlink>
    </w:p>
    <w:p w14:paraId="7409903A" w14:textId="4FF3628D" w:rsidR="000A20BA" w:rsidRDefault="003244BA">
      <w:pPr>
        <w:pStyle w:val="TOC2"/>
        <w:rPr>
          <w:rFonts w:asciiTheme="minorHAnsi" w:eastAsiaTheme="minorEastAsia" w:hAnsiTheme="minorHAnsi" w:cstheme="minorBidi"/>
          <w:sz w:val="22"/>
          <w:szCs w:val="22"/>
          <w:lang w:eastAsia="en-AU"/>
        </w:rPr>
      </w:pPr>
      <w:hyperlink w:anchor="_Toc13830197" w:history="1">
        <w:r w:rsidR="000A20BA" w:rsidRPr="00F94756">
          <w:rPr>
            <w:rStyle w:val="Hyperlink"/>
          </w:rPr>
          <w:t>Remunerating consumers and carers</w:t>
        </w:r>
        <w:r w:rsidR="000A20BA">
          <w:rPr>
            <w:webHidden/>
          </w:rPr>
          <w:tab/>
        </w:r>
        <w:r w:rsidR="000A20BA">
          <w:rPr>
            <w:webHidden/>
          </w:rPr>
          <w:fldChar w:fldCharType="begin"/>
        </w:r>
        <w:r w:rsidR="000A20BA">
          <w:rPr>
            <w:webHidden/>
          </w:rPr>
          <w:instrText xml:space="preserve"> PAGEREF _Toc13830197 \h </w:instrText>
        </w:r>
        <w:r w:rsidR="000A20BA">
          <w:rPr>
            <w:webHidden/>
          </w:rPr>
        </w:r>
        <w:r w:rsidR="000A20BA">
          <w:rPr>
            <w:webHidden/>
          </w:rPr>
          <w:fldChar w:fldCharType="separate"/>
        </w:r>
        <w:r w:rsidR="000A20BA">
          <w:rPr>
            <w:webHidden/>
          </w:rPr>
          <w:t>21</w:t>
        </w:r>
        <w:r w:rsidR="000A20BA">
          <w:rPr>
            <w:webHidden/>
          </w:rPr>
          <w:fldChar w:fldCharType="end"/>
        </w:r>
      </w:hyperlink>
    </w:p>
    <w:p w14:paraId="2DEEEC98" w14:textId="4D65EBE3" w:rsidR="000A20BA" w:rsidRDefault="003244BA">
      <w:pPr>
        <w:pStyle w:val="TOC2"/>
        <w:rPr>
          <w:rFonts w:asciiTheme="minorHAnsi" w:eastAsiaTheme="minorEastAsia" w:hAnsiTheme="minorHAnsi" w:cstheme="minorBidi"/>
          <w:sz w:val="22"/>
          <w:szCs w:val="22"/>
          <w:lang w:eastAsia="en-AU"/>
        </w:rPr>
      </w:pPr>
      <w:hyperlink w:anchor="_Toc13830198" w:history="1">
        <w:r w:rsidR="000A20BA" w:rsidRPr="00F94756">
          <w:rPr>
            <w:rStyle w:val="Hyperlink"/>
          </w:rPr>
          <w:t>Safe and meaningful engagement</w:t>
        </w:r>
        <w:r w:rsidR="000A20BA">
          <w:rPr>
            <w:webHidden/>
          </w:rPr>
          <w:tab/>
        </w:r>
        <w:r w:rsidR="000A20BA">
          <w:rPr>
            <w:webHidden/>
          </w:rPr>
          <w:fldChar w:fldCharType="begin"/>
        </w:r>
        <w:r w:rsidR="000A20BA">
          <w:rPr>
            <w:webHidden/>
          </w:rPr>
          <w:instrText xml:space="preserve"> PAGEREF _Toc13830198 \h </w:instrText>
        </w:r>
        <w:r w:rsidR="000A20BA">
          <w:rPr>
            <w:webHidden/>
          </w:rPr>
        </w:r>
        <w:r w:rsidR="000A20BA">
          <w:rPr>
            <w:webHidden/>
          </w:rPr>
          <w:fldChar w:fldCharType="separate"/>
        </w:r>
        <w:r w:rsidR="000A20BA">
          <w:rPr>
            <w:webHidden/>
          </w:rPr>
          <w:t>22</w:t>
        </w:r>
        <w:r w:rsidR="000A20BA">
          <w:rPr>
            <w:webHidden/>
          </w:rPr>
          <w:fldChar w:fldCharType="end"/>
        </w:r>
      </w:hyperlink>
    </w:p>
    <w:p w14:paraId="41F74FDF" w14:textId="7531D1D0" w:rsidR="000A20BA" w:rsidRDefault="003244BA">
      <w:pPr>
        <w:pStyle w:val="TOC1"/>
        <w:rPr>
          <w:rFonts w:asciiTheme="minorHAnsi" w:eastAsiaTheme="minorEastAsia" w:hAnsiTheme="minorHAnsi" w:cstheme="minorBidi"/>
          <w:b w:val="0"/>
          <w:sz w:val="22"/>
          <w:szCs w:val="22"/>
          <w:lang w:eastAsia="en-AU"/>
        </w:rPr>
      </w:pPr>
      <w:hyperlink w:anchor="_Toc13830199" w:history="1">
        <w:r w:rsidR="000A20BA" w:rsidRPr="00F94756">
          <w:rPr>
            <w:rStyle w:val="Hyperlink"/>
          </w:rPr>
          <w:t>Tools for engagement</w:t>
        </w:r>
        <w:r w:rsidR="000A20BA">
          <w:rPr>
            <w:webHidden/>
          </w:rPr>
          <w:tab/>
        </w:r>
        <w:r w:rsidR="000A20BA">
          <w:rPr>
            <w:webHidden/>
          </w:rPr>
          <w:fldChar w:fldCharType="begin"/>
        </w:r>
        <w:r w:rsidR="000A20BA">
          <w:rPr>
            <w:webHidden/>
          </w:rPr>
          <w:instrText xml:space="preserve"> PAGEREF _Toc13830199 \h </w:instrText>
        </w:r>
        <w:r w:rsidR="000A20BA">
          <w:rPr>
            <w:webHidden/>
          </w:rPr>
        </w:r>
        <w:r w:rsidR="000A20BA">
          <w:rPr>
            <w:webHidden/>
          </w:rPr>
          <w:fldChar w:fldCharType="separate"/>
        </w:r>
        <w:r w:rsidR="000A20BA">
          <w:rPr>
            <w:webHidden/>
          </w:rPr>
          <w:t>24</w:t>
        </w:r>
        <w:r w:rsidR="000A20BA">
          <w:rPr>
            <w:webHidden/>
          </w:rPr>
          <w:fldChar w:fldCharType="end"/>
        </w:r>
      </w:hyperlink>
    </w:p>
    <w:p w14:paraId="47BFF0E2" w14:textId="4DA1A6B4" w:rsidR="000A20BA" w:rsidRDefault="003244BA">
      <w:pPr>
        <w:pStyle w:val="TOC2"/>
        <w:rPr>
          <w:rFonts w:asciiTheme="minorHAnsi" w:eastAsiaTheme="minorEastAsia" w:hAnsiTheme="minorHAnsi" w:cstheme="minorBidi"/>
          <w:sz w:val="22"/>
          <w:szCs w:val="22"/>
          <w:lang w:eastAsia="en-AU"/>
        </w:rPr>
      </w:pPr>
      <w:hyperlink w:anchor="_Toc13830200" w:history="1">
        <w:r w:rsidR="000A20BA" w:rsidRPr="00F94756">
          <w:rPr>
            <w:rStyle w:val="Hyperlink"/>
            <w:lang w:eastAsia="en-AU"/>
          </w:rPr>
          <w:t>A model for engagement</w:t>
        </w:r>
        <w:r w:rsidR="000A20BA">
          <w:rPr>
            <w:webHidden/>
          </w:rPr>
          <w:tab/>
        </w:r>
        <w:r w:rsidR="000A20BA">
          <w:rPr>
            <w:webHidden/>
          </w:rPr>
          <w:fldChar w:fldCharType="begin"/>
        </w:r>
        <w:r w:rsidR="000A20BA">
          <w:rPr>
            <w:webHidden/>
          </w:rPr>
          <w:instrText xml:space="preserve"> PAGEREF _Toc13830200 \h </w:instrText>
        </w:r>
        <w:r w:rsidR="000A20BA">
          <w:rPr>
            <w:webHidden/>
          </w:rPr>
        </w:r>
        <w:r w:rsidR="000A20BA">
          <w:rPr>
            <w:webHidden/>
          </w:rPr>
          <w:fldChar w:fldCharType="separate"/>
        </w:r>
        <w:r w:rsidR="000A20BA">
          <w:rPr>
            <w:webHidden/>
          </w:rPr>
          <w:t>24</w:t>
        </w:r>
        <w:r w:rsidR="000A20BA">
          <w:rPr>
            <w:webHidden/>
          </w:rPr>
          <w:fldChar w:fldCharType="end"/>
        </w:r>
      </w:hyperlink>
    </w:p>
    <w:p w14:paraId="2988E3E5" w14:textId="391FE753" w:rsidR="000A20BA" w:rsidRDefault="003244BA">
      <w:pPr>
        <w:pStyle w:val="TOC2"/>
        <w:rPr>
          <w:rFonts w:asciiTheme="minorHAnsi" w:eastAsiaTheme="minorEastAsia" w:hAnsiTheme="minorHAnsi" w:cstheme="minorBidi"/>
          <w:sz w:val="22"/>
          <w:szCs w:val="22"/>
          <w:lang w:eastAsia="en-AU"/>
        </w:rPr>
      </w:pPr>
      <w:hyperlink w:anchor="_Toc13830201" w:history="1">
        <w:r w:rsidR="000A20BA" w:rsidRPr="00F94756">
          <w:rPr>
            <w:rStyle w:val="Hyperlink"/>
          </w:rPr>
          <w:t>Engagement decision tool</w:t>
        </w:r>
        <w:r w:rsidR="000A20BA">
          <w:rPr>
            <w:webHidden/>
          </w:rPr>
          <w:tab/>
        </w:r>
        <w:r w:rsidR="000A20BA">
          <w:rPr>
            <w:webHidden/>
          </w:rPr>
          <w:fldChar w:fldCharType="begin"/>
        </w:r>
        <w:r w:rsidR="000A20BA">
          <w:rPr>
            <w:webHidden/>
          </w:rPr>
          <w:instrText xml:space="preserve"> PAGEREF _Toc13830201 \h </w:instrText>
        </w:r>
        <w:r w:rsidR="000A20BA">
          <w:rPr>
            <w:webHidden/>
          </w:rPr>
        </w:r>
        <w:r w:rsidR="000A20BA">
          <w:rPr>
            <w:webHidden/>
          </w:rPr>
          <w:fldChar w:fldCharType="separate"/>
        </w:r>
        <w:r w:rsidR="000A20BA">
          <w:rPr>
            <w:webHidden/>
          </w:rPr>
          <w:t>25</w:t>
        </w:r>
        <w:r w:rsidR="000A20BA">
          <w:rPr>
            <w:webHidden/>
          </w:rPr>
          <w:fldChar w:fldCharType="end"/>
        </w:r>
      </w:hyperlink>
    </w:p>
    <w:p w14:paraId="039BA136" w14:textId="0FF70DA1" w:rsidR="000A20BA" w:rsidRDefault="003244BA">
      <w:pPr>
        <w:pStyle w:val="TOC2"/>
        <w:rPr>
          <w:rFonts w:asciiTheme="minorHAnsi" w:eastAsiaTheme="minorEastAsia" w:hAnsiTheme="minorHAnsi" w:cstheme="minorBidi"/>
          <w:sz w:val="22"/>
          <w:szCs w:val="22"/>
          <w:lang w:eastAsia="en-AU"/>
        </w:rPr>
      </w:pPr>
      <w:hyperlink w:anchor="_Toc13830202" w:history="1">
        <w:r w:rsidR="000A20BA" w:rsidRPr="00F94756">
          <w:rPr>
            <w:rStyle w:val="Hyperlink"/>
          </w:rPr>
          <w:t>Indicators of success</w:t>
        </w:r>
        <w:r w:rsidR="000A20BA">
          <w:rPr>
            <w:webHidden/>
          </w:rPr>
          <w:tab/>
        </w:r>
        <w:r w:rsidR="000A20BA">
          <w:rPr>
            <w:webHidden/>
          </w:rPr>
          <w:fldChar w:fldCharType="begin"/>
        </w:r>
        <w:r w:rsidR="000A20BA">
          <w:rPr>
            <w:webHidden/>
          </w:rPr>
          <w:instrText xml:space="preserve"> PAGEREF _Toc13830202 \h </w:instrText>
        </w:r>
        <w:r w:rsidR="000A20BA">
          <w:rPr>
            <w:webHidden/>
          </w:rPr>
        </w:r>
        <w:r w:rsidR="000A20BA">
          <w:rPr>
            <w:webHidden/>
          </w:rPr>
          <w:fldChar w:fldCharType="separate"/>
        </w:r>
        <w:r w:rsidR="000A20BA">
          <w:rPr>
            <w:webHidden/>
          </w:rPr>
          <w:t>26</w:t>
        </w:r>
        <w:r w:rsidR="000A20BA">
          <w:rPr>
            <w:webHidden/>
          </w:rPr>
          <w:fldChar w:fldCharType="end"/>
        </w:r>
      </w:hyperlink>
    </w:p>
    <w:p w14:paraId="04844001" w14:textId="75177058" w:rsidR="000A20BA" w:rsidRDefault="003244BA">
      <w:pPr>
        <w:pStyle w:val="TOC2"/>
        <w:rPr>
          <w:rFonts w:asciiTheme="minorHAnsi" w:eastAsiaTheme="minorEastAsia" w:hAnsiTheme="minorHAnsi" w:cstheme="minorBidi"/>
          <w:sz w:val="22"/>
          <w:szCs w:val="22"/>
          <w:lang w:eastAsia="en-AU"/>
        </w:rPr>
      </w:pPr>
      <w:hyperlink w:anchor="_Toc13830203" w:history="1">
        <w:r w:rsidR="000A20BA" w:rsidRPr="00F94756">
          <w:rPr>
            <w:rStyle w:val="Hyperlink"/>
          </w:rPr>
          <w:t>Identifying consumer and carer participants</w:t>
        </w:r>
        <w:r w:rsidR="000A20BA">
          <w:rPr>
            <w:webHidden/>
          </w:rPr>
          <w:tab/>
        </w:r>
        <w:r w:rsidR="000A20BA">
          <w:rPr>
            <w:webHidden/>
          </w:rPr>
          <w:fldChar w:fldCharType="begin"/>
        </w:r>
        <w:r w:rsidR="000A20BA">
          <w:rPr>
            <w:webHidden/>
          </w:rPr>
          <w:instrText xml:space="preserve"> PAGEREF _Toc13830203 \h </w:instrText>
        </w:r>
        <w:r w:rsidR="000A20BA">
          <w:rPr>
            <w:webHidden/>
          </w:rPr>
        </w:r>
        <w:r w:rsidR="000A20BA">
          <w:rPr>
            <w:webHidden/>
          </w:rPr>
          <w:fldChar w:fldCharType="separate"/>
        </w:r>
        <w:r w:rsidR="000A20BA">
          <w:rPr>
            <w:webHidden/>
          </w:rPr>
          <w:t>30</w:t>
        </w:r>
        <w:r w:rsidR="000A20BA">
          <w:rPr>
            <w:webHidden/>
          </w:rPr>
          <w:fldChar w:fldCharType="end"/>
        </w:r>
      </w:hyperlink>
    </w:p>
    <w:p w14:paraId="6098205B" w14:textId="7134899E" w:rsidR="000A20BA" w:rsidRDefault="003244BA">
      <w:pPr>
        <w:pStyle w:val="TOC2"/>
        <w:rPr>
          <w:rFonts w:asciiTheme="minorHAnsi" w:eastAsiaTheme="minorEastAsia" w:hAnsiTheme="minorHAnsi" w:cstheme="minorBidi"/>
          <w:sz w:val="22"/>
          <w:szCs w:val="22"/>
          <w:lang w:eastAsia="en-AU"/>
        </w:rPr>
      </w:pPr>
      <w:hyperlink w:anchor="_Toc13830204" w:history="1">
        <w:r w:rsidR="000A20BA" w:rsidRPr="00F94756">
          <w:rPr>
            <w:rStyle w:val="Hyperlink"/>
          </w:rPr>
          <w:t>Consumer and carer professionals and organisations</w:t>
        </w:r>
        <w:r w:rsidR="000A20BA">
          <w:rPr>
            <w:webHidden/>
          </w:rPr>
          <w:tab/>
        </w:r>
        <w:r w:rsidR="000A20BA">
          <w:rPr>
            <w:webHidden/>
          </w:rPr>
          <w:fldChar w:fldCharType="begin"/>
        </w:r>
        <w:r w:rsidR="000A20BA">
          <w:rPr>
            <w:webHidden/>
          </w:rPr>
          <w:instrText xml:space="preserve"> PAGEREF _Toc13830204 \h </w:instrText>
        </w:r>
        <w:r w:rsidR="000A20BA">
          <w:rPr>
            <w:webHidden/>
          </w:rPr>
        </w:r>
        <w:r w:rsidR="000A20BA">
          <w:rPr>
            <w:webHidden/>
          </w:rPr>
          <w:fldChar w:fldCharType="separate"/>
        </w:r>
        <w:r w:rsidR="000A20BA">
          <w:rPr>
            <w:webHidden/>
          </w:rPr>
          <w:t>31</w:t>
        </w:r>
        <w:r w:rsidR="000A20BA">
          <w:rPr>
            <w:webHidden/>
          </w:rPr>
          <w:fldChar w:fldCharType="end"/>
        </w:r>
      </w:hyperlink>
    </w:p>
    <w:p w14:paraId="471E3387" w14:textId="1DFE557C" w:rsidR="000A20BA" w:rsidRDefault="003244BA">
      <w:pPr>
        <w:pStyle w:val="TOC2"/>
        <w:rPr>
          <w:rFonts w:asciiTheme="minorHAnsi" w:eastAsiaTheme="minorEastAsia" w:hAnsiTheme="minorHAnsi" w:cstheme="minorBidi"/>
          <w:sz w:val="22"/>
          <w:szCs w:val="22"/>
          <w:lang w:eastAsia="en-AU"/>
        </w:rPr>
      </w:pPr>
      <w:hyperlink w:anchor="_Toc13830205" w:history="1">
        <w:r w:rsidR="000A20BA" w:rsidRPr="00F94756">
          <w:rPr>
            <w:rStyle w:val="Hyperlink"/>
          </w:rPr>
          <w:t>Engage Vic</w:t>
        </w:r>
        <w:r w:rsidR="000A20BA">
          <w:rPr>
            <w:webHidden/>
          </w:rPr>
          <w:tab/>
        </w:r>
        <w:r w:rsidR="000A20BA">
          <w:rPr>
            <w:webHidden/>
          </w:rPr>
          <w:fldChar w:fldCharType="begin"/>
        </w:r>
        <w:r w:rsidR="000A20BA">
          <w:rPr>
            <w:webHidden/>
          </w:rPr>
          <w:instrText xml:space="preserve"> PAGEREF _Toc13830205 \h </w:instrText>
        </w:r>
        <w:r w:rsidR="000A20BA">
          <w:rPr>
            <w:webHidden/>
          </w:rPr>
        </w:r>
        <w:r w:rsidR="000A20BA">
          <w:rPr>
            <w:webHidden/>
          </w:rPr>
          <w:fldChar w:fldCharType="separate"/>
        </w:r>
        <w:r w:rsidR="000A20BA">
          <w:rPr>
            <w:webHidden/>
          </w:rPr>
          <w:t>32</w:t>
        </w:r>
        <w:r w:rsidR="000A20BA">
          <w:rPr>
            <w:webHidden/>
          </w:rPr>
          <w:fldChar w:fldCharType="end"/>
        </w:r>
      </w:hyperlink>
    </w:p>
    <w:p w14:paraId="6CAB8E2B" w14:textId="42C7CB14" w:rsidR="000A20BA" w:rsidRDefault="003244BA">
      <w:pPr>
        <w:pStyle w:val="TOC2"/>
        <w:rPr>
          <w:rFonts w:asciiTheme="minorHAnsi" w:eastAsiaTheme="minorEastAsia" w:hAnsiTheme="minorHAnsi" w:cstheme="minorBidi"/>
          <w:sz w:val="22"/>
          <w:szCs w:val="22"/>
          <w:lang w:eastAsia="en-AU"/>
        </w:rPr>
      </w:pPr>
      <w:hyperlink w:anchor="_Toc13830206" w:history="1">
        <w:r w:rsidR="000A20BA" w:rsidRPr="00F94756">
          <w:rPr>
            <w:rStyle w:val="Hyperlink"/>
          </w:rPr>
          <w:t>Stakeholder engagement toolkit</w:t>
        </w:r>
        <w:r w:rsidR="000A20BA">
          <w:rPr>
            <w:webHidden/>
          </w:rPr>
          <w:tab/>
        </w:r>
        <w:r w:rsidR="000A20BA">
          <w:rPr>
            <w:webHidden/>
          </w:rPr>
          <w:fldChar w:fldCharType="begin"/>
        </w:r>
        <w:r w:rsidR="000A20BA">
          <w:rPr>
            <w:webHidden/>
          </w:rPr>
          <w:instrText xml:space="preserve"> PAGEREF _Toc13830206 \h </w:instrText>
        </w:r>
        <w:r w:rsidR="000A20BA">
          <w:rPr>
            <w:webHidden/>
          </w:rPr>
        </w:r>
        <w:r w:rsidR="000A20BA">
          <w:rPr>
            <w:webHidden/>
          </w:rPr>
          <w:fldChar w:fldCharType="separate"/>
        </w:r>
        <w:r w:rsidR="000A20BA">
          <w:rPr>
            <w:webHidden/>
          </w:rPr>
          <w:t>33</w:t>
        </w:r>
        <w:r w:rsidR="000A20BA">
          <w:rPr>
            <w:webHidden/>
          </w:rPr>
          <w:fldChar w:fldCharType="end"/>
        </w:r>
      </w:hyperlink>
    </w:p>
    <w:p w14:paraId="0C79F672" w14:textId="18328AEC" w:rsidR="000A20BA" w:rsidRDefault="003244BA">
      <w:pPr>
        <w:pStyle w:val="TOC1"/>
        <w:rPr>
          <w:rFonts w:asciiTheme="minorHAnsi" w:eastAsiaTheme="minorEastAsia" w:hAnsiTheme="minorHAnsi" w:cstheme="minorBidi"/>
          <w:b w:val="0"/>
          <w:sz w:val="22"/>
          <w:szCs w:val="22"/>
          <w:lang w:eastAsia="en-AU"/>
        </w:rPr>
      </w:pPr>
      <w:hyperlink w:anchor="_Toc13830207" w:history="1">
        <w:r w:rsidR="000A20BA" w:rsidRPr="00F94756">
          <w:rPr>
            <w:rStyle w:val="Hyperlink"/>
            <w:rFonts w:eastAsia="Times"/>
          </w:rPr>
          <w:t>Appendix 1: Further e</w:t>
        </w:r>
        <w:r w:rsidR="000A20BA" w:rsidRPr="00F94756">
          <w:rPr>
            <w:rStyle w:val="Hyperlink"/>
          </w:rPr>
          <w:t>ngagement resources</w:t>
        </w:r>
        <w:r w:rsidR="000A20BA">
          <w:rPr>
            <w:webHidden/>
          </w:rPr>
          <w:tab/>
        </w:r>
        <w:r w:rsidR="000A20BA">
          <w:rPr>
            <w:webHidden/>
          </w:rPr>
          <w:fldChar w:fldCharType="begin"/>
        </w:r>
        <w:r w:rsidR="000A20BA">
          <w:rPr>
            <w:webHidden/>
          </w:rPr>
          <w:instrText xml:space="preserve"> PAGEREF _Toc13830207 \h </w:instrText>
        </w:r>
        <w:r w:rsidR="000A20BA">
          <w:rPr>
            <w:webHidden/>
          </w:rPr>
        </w:r>
        <w:r w:rsidR="000A20BA">
          <w:rPr>
            <w:webHidden/>
          </w:rPr>
          <w:fldChar w:fldCharType="separate"/>
        </w:r>
        <w:r w:rsidR="000A20BA">
          <w:rPr>
            <w:webHidden/>
          </w:rPr>
          <w:t>34</w:t>
        </w:r>
        <w:r w:rsidR="000A20BA">
          <w:rPr>
            <w:webHidden/>
          </w:rPr>
          <w:fldChar w:fldCharType="end"/>
        </w:r>
      </w:hyperlink>
    </w:p>
    <w:p w14:paraId="3DF01967" w14:textId="02E86222" w:rsidR="000A20BA" w:rsidRDefault="003244BA">
      <w:pPr>
        <w:pStyle w:val="TOC1"/>
        <w:rPr>
          <w:rFonts w:asciiTheme="minorHAnsi" w:eastAsiaTheme="minorEastAsia" w:hAnsiTheme="minorHAnsi" w:cstheme="minorBidi"/>
          <w:b w:val="0"/>
          <w:sz w:val="22"/>
          <w:szCs w:val="22"/>
          <w:lang w:eastAsia="en-AU"/>
        </w:rPr>
      </w:pPr>
      <w:hyperlink w:anchor="_Toc13830208" w:history="1">
        <w:r w:rsidR="000A20BA" w:rsidRPr="00F94756">
          <w:rPr>
            <w:rStyle w:val="Hyperlink"/>
          </w:rPr>
          <w:t>Appendix 2: Text from Figures 3 and 4</w:t>
        </w:r>
        <w:r w:rsidR="000A20BA">
          <w:rPr>
            <w:webHidden/>
          </w:rPr>
          <w:tab/>
        </w:r>
        <w:r w:rsidR="000A20BA">
          <w:rPr>
            <w:webHidden/>
          </w:rPr>
          <w:fldChar w:fldCharType="begin"/>
        </w:r>
        <w:r w:rsidR="000A20BA">
          <w:rPr>
            <w:webHidden/>
          </w:rPr>
          <w:instrText xml:space="preserve"> PAGEREF _Toc13830208 \h </w:instrText>
        </w:r>
        <w:r w:rsidR="000A20BA">
          <w:rPr>
            <w:webHidden/>
          </w:rPr>
        </w:r>
        <w:r w:rsidR="000A20BA">
          <w:rPr>
            <w:webHidden/>
          </w:rPr>
          <w:fldChar w:fldCharType="separate"/>
        </w:r>
        <w:r w:rsidR="000A20BA">
          <w:rPr>
            <w:webHidden/>
          </w:rPr>
          <w:t>35</w:t>
        </w:r>
        <w:r w:rsidR="000A20BA">
          <w:rPr>
            <w:webHidden/>
          </w:rPr>
          <w:fldChar w:fldCharType="end"/>
        </w:r>
      </w:hyperlink>
    </w:p>
    <w:p w14:paraId="3F0B61C7" w14:textId="4707331A" w:rsidR="000A20BA" w:rsidRDefault="003244BA">
      <w:pPr>
        <w:pStyle w:val="TOC2"/>
        <w:rPr>
          <w:rFonts w:asciiTheme="minorHAnsi" w:eastAsiaTheme="minorEastAsia" w:hAnsiTheme="minorHAnsi" w:cstheme="minorBidi"/>
          <w:sz w:val="22"/>
          <w:szCs w:val="22"/>
          <w:lang w:eastAsia="en-AU"/>
        </w:rPr>
      </w:pPr>
      <w:hyperlink w:anchor="_Toc13830209" w:history="1">
        <w:r w:rsidR="000A20BA" w:rsidRPr="00F94756">
          <w:rPr>
            <w:rStyle w:val="Hyperlink"/>
          </w:rPr>
          <w:t xml:space="preserve">Figure 3: </w:t>
        </w:r>
        <w:r w:rsidR="000A20BA" w:rsidRPr="00F94756">
          <w:rPr>
            <w:rStyle w:val="Hyperlink"/>
            <w:lang w:eastAsia="en-AU"/>
          </w:rPr>
          <w:t>Engagement model</w:t>
        </w:r>
        <w:r w:rsidR="000A20BA">
          <w:rPr>
            <w:webHidden/>
          </w:rPr>
          <w:tab/>
        </w:r>
        <w:r w:rsidR="000A20BA">
          <w:rPr>
            <w:webHidden/>
          </w:rPr>
          <w:fldChar w:fldCharType="begin"/>
        </w:r>
        <w:r w:rsidR="000A20BA">
          <w:rPr>
            <w:webHidden/>
          </w:rPr>
          <w:instrText xml:space="preserve"> PAGEREF _Toc13830209 \h </w:instrText>
        </w:r>
        <w:r w:rsidR="000A20BA">
          <w:rPr>
            <w:webHidden/>
          </w:rPr>
        </w:r>
        <w:r w:rsidR="000A20BA">
          <w:rPr>
            <w:webHidden/>
          </w:rPr>
          <w:fldChar w:fldCharType="separate"/>
        </w:r>
        <w:r w:rsidR="000A20BA">
          <w:rPr>
            <w:webHidden/>
          </w:rPr>
          <w:t>35</w:t>
        </w:r>
        <w:r w:rsidR="000A20BA">
          <w:rPr>
            <w:webHidden/>
          </w:rPr>
          <w:fldChar w:fldCharType="end"/>
        </w:r>
      </w:hyperlink>
    </w:p>
    <w:p w14:paraId="32B2F592" w14:textId="48C6510C" w:rsidR="000A20BA" w:rsidRDefault="003244BA">
      <w:pPr>
        <w:pStyle w:val="TOC2"/>
        <w:rPr>
          <w:rFonts w:asciiTheme="minorHAnsi" w:eastAsiaTheme="minorEastAsia" w:hAnsiTheme="minorHAnsi" w:cstheme="minorBidi"/>
          <w:sz w:val="22"/>
          <w:szCs w:val="22"/>
          <w:lang w:eastAsia="en-AU"/>
        </w:rPr>
      </w:pPr>
      <w:hyperlink w:anchor="_Toc13830210" w:history="1">
        <w:r w:rsidR="000A20BA" w:rsidRPr="00F94756">
          <w:rPr>
            <w:rStyle w:val="Hyperlink"/>
          </w:rPr>
          <w:t>Figure 4: Engagement decision tool</w:t>
        </w:r>
        <w:r w:rsidR="000A20BA">
          <w:rPr>
            <w:webHidden/>
          </w:rPr>
          <w:tab/>
        </w:r>
        <w:r w:rsidR="000A20BA">
          <w:rPr>
            <w:webHidden/>
          </w:rPr>
          <w:fldChar w:fldCharType="begin"/>
        </w:r>
        <w:r w:rsidR="000A20BA">
          <w:rPr>
            <w:webHidden/>
          </w:rPr>
          <w:instrText xml:space="preserve"> PAGEREF _Toc13830210 \h </w:instrText>
        </w:r>
        <w:r w:rsidR="000A20BA">
          <w:rPr>
            <w:webHidden/>
          </w:rPr>
        </w:r>
        <w:r w:rsidR="000A20BA">
          <w:rPr>
            <w:webHidden/>
          </w:rPr>
          <w:fldChar w:fldCharType="separate"/>
        </w:r>
        <w:r w:rsidR="000A20BA">
          <w:rPr>
            <w:webHidden/>
          </w:rPr>
          <w:t>35</w:t>
        </w:r>
        <w:r w:rsidR="000A20BA">
          <w:rPr>
            <w:webHidden/>
          </w:rPr>
          <w:fldChar w:fldCharType="end"/>
        </w:r>
      </w:hyperlink>
    </w:p>
    <w:p w14:paraId="1683B98F" w14:textId="7E66C6EB" w:rsidR="000A20BA" w:rsidRDefault="003244BA">
      <w:pPr>
        <w:pStyle w:val="TOC1"/>
        <w:rPr>
          <w:rFonts w:asciiTheme="minorHAnsi" w:eastAsiaTheme="minorEastAsia" w:hAnsiTheme="minorHAnsi" w:cstheme="minorBidi"/>
          <w:b w:val="0"/>
          <w:sz w:val="22"/>
          <w:szCs w:val="22"/>
          <w:lang w:eastAsia="en-AU"/>
        </w:rPr>
      </w:pPr>
      <w:hyperlink w:anchor="_Toc13830211" w:history="1">
        <w:r w:rsidR="000A20BA" w:rsidRPr="00F94756">
          <w:rPr>
            <w:rStyle w:val="Hyperlink"/>
          </w:rPr>
          <w:t>References and further reading</w:t>
        </w:r>
        <w:r w:rsidR="000A20BA">
          <w:rPr>
            <w:webHidden/>
          </w:rPr>
          <w:tab/>
        </w:r>
        <w:r w:rsidR="000A20BA">
          <w:rPr>
            <w:webHidden/>
          </w:rPr>
          <w:fldChar w:fldCharType="begin"/>
        </w:r>
        <w:r w:rsidR="000A20BA">
          <w:rPr>
            <w:webHidden/>
          </w:rPr>
          <w:instrText xml:space="preserve"> PAGEREF _Toc13830211 \h </w:instrText>
        </w:r>
        <w:r w:rsidR="000A20BA">
          <w:rPr>
            <w:webHidden/>
          </w:rPr>
        </w:r>
        <w:r w:rsidR="000A20BA">
          <w:rPr>
            <w:webHidden/>
          </w:rPr>
          <w:fldChar w:fldCharType="separate"/>
        </w:r>
        <w:r w:rsidR="000A20BA">
          <w:rPr>
            <w:webHidden/>
          </w:rPr>
          <w:t>37</w:t>
        </w:r>
        <w:r w:rsidR="000A20BA">
          <w:rPr>
            <w:webHidden/>
          </w:rPr>
          <w:fldChar w:fldCharType="end"/>
        </w:r>
      </w:hyperlink>
    </w:p>
    <w:p w14:paraId="192F6DD5" w14:textId="62608E36" w:rsidR="00F61A49" w:rsidRPr="003072C6" w:rsidRDefault="00F61A49" w:rsidP="00F61A49">
      <w:pPr>
        <w:pStyle w:val="TOC2"/>
        <w:rPr>
          <w:noProof w:val="0"/>
        </w:rPr>
      </w:pPr>
      <w:r w:rsidRPr="003072C6">
        <w:rPr>
          <w:noProof w:val="0"/>
        </w:rPr>
        <w:fldChar w:fldCharType="end"/>
      </w:r>
    </w:p>
    <w:p w14:paraId="4B955214" w14:textId="77777777" w:rsidR="00F61A49" w:rsidRPr="003072C6" w:rsidRDefault="00F61A49" w:rsidP="00F61A49">
      <w:pPr>
        <w:pStyle w:val="DHHSbody"/>
      </w:pPr>
      <w:r w:rsidRPr="003072C6">
        <w:br w:type="page"/>
      </w:r>
    </w:p>
    <w:p w14:paraId="0FE3DC8F" w14:textId="77777777" w:rsidR="00F61A49" w:rsidRPr="00E33C2F" w:rsidRDefault="00F61A49" w:rsidP="00F61A49">
      <w:pPr>
        <w:pStyle w:val="Heading1"/>
      </w:pPr>
      <w:bookmarkStart w:id="7" w:name="_Toc506896057"/>
      <w:bookmarkStart w:id="8" w:name="_Toc515974567"/>
      <w:bookmarkStart w:id="9" w:name="_Toc534374297"/>
      <w:bookmarkStart w:id="10" w:name="_Toc13830182"/>
      <w:r w:rsidRPr="00E33C2F">
        <w:lastRenderedPageBreak/>
        <w:t>Acknowledgement</w:t>
      </w:r>
      <w:bookmarkEnd w:id="7"/>
      <w:bookmarkEnd w:id="8"/>
      <w:r>
        <w:t>s</w:t>
      </w:r>
      <w:bookmarkEnd w:id="9"/>
      <w:bookmarkEnd w:id="10"/>
    </w:p>
    <w:p w14:paraId="339111D9" w14:textId="77777777" w:rsidR="00F61A49" w:rsidRDefault="00F61A49" w:rsidP="00F61A49">
      <w:pPr>
        <w:pStyle w:val="DHHSbody"/>
        <w:sectPr w:rsidR="00F61A49" w:rsidSect="00C71A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5F6678A3" w14:textId="77777777" w:rsidR="00F61A49" w:rsidRPr="0085314C" w:rsidRDefault="00F61A49" w:rsidP="00F61A49">
      <w:pPr>
        <w:pStyle w:val="DHHSbody"/>
      </w:pPr>
      <w:r w:rsidRPr="0085314C">
        <w:rPr>
          <w:rStyle w:val="bodyChar"/>
        </w:rPr>
        <w:t xml:space="preserve">This framework was developed with the support and active participation of many people. </w:t>
      </w:r>
      <w:proofErr w:type="gramStart"/>
      <w:r w:rsidRPr="0085314C">
        <w:rPr>
          <w:rStyle w:val="bodyChar"/>
        </w:rPr>
        <w:t>In particular, the</w:t>
      </w:r>
      <w:proofErr w:type="gramEnd"/>
      <w:r w:rsidRPr="0085314C">
        <w:rPr>
          <w:rStyle w:val="bodyChar"/>
        </w:rPr>
        <w:t xml:space="preserve"> Mental Health Branch would like to acknowledge the valued contribution of the </w:t>
      </w:r>
      <w:r>
        <w:rPr>
          <w:rStyle w:val="bodyChar"/>
        </w:rPr>
        <w:t>10-</w:t>
      </w:r>
      <w:r w:rsidRPr="0085314C">
        <w:rPr>
          <w:rStyle w:val="bodyChar"/>
        </w:rPr>
        <w:t>Year Mental Health Plan team, the Lived Experience Leadership Expert Reference Group and additional efforts of the subcommittee members, who were instrumental in advancing this project</w:t>
      </w:r>
      <w:r w:rsidRPr="0085314C">
        <w:t>:</w:t>
      </w:r>
    </w:p>
    <w:p w14:paraId="792EF800" w14:textId="77777777" w:rsidR="00F61A49" w:rsidRPr="001B3BEE" w:rsidRDefault="00F61A49" w:rsidP="00F61A49">
      <w:pPr>
        <w:pStyle w:val="Heading2"/>
        <w:rPr>
          <w:noProof/>
          <w:lang w:eastAsia="en-AU"/>
        </w:rPr>
      </w:pPr>
      <w:bookmarkStart w:id="11" w:name="_Toc13830183"/>
      <w:r w:rsidRPr="001B3BEE">
        <w:rPr>
          <w:noProof/>
          <w:lang w:eastAsia="en-AU"/>
        </w:rPr>
        <w:t>Lived Experience Leadership Expert Reference Group</w:t>
      </w:r>
      <w:bookmarkEnd w:id="11"/>
    </w:p>
    <w:p w14:paraId="19ED22B2" w14:textId="77777777" w:rsidR="00F61A49" w:rsidRPr="001B3BEE" w:rsidRDefault="00F61A49" w:rsidP="00F61A49">
      <w:pPr>
        <w:pStyle w:val="DHHSbodynospace"/>
      </w:pPr>
      <w:r w:rsidRPr="001B3BEE">
        <w:t>Ms Christine Abdel Malek</w:t>
      </w:r>
    </w:p>
    <w:p w14:paraId="3958C288" w14:textId="77777777" w:rsidR="00F61A49" w:rsidRPr="001B3BEE" w:rsidRDefault="00F61A49" w:rsidP="00F61A49">
      <w:pPr>
        <w:pStyle w:val="DHHSbodynospace"/>
      </w:pPr>
      <w:r w:rsidRPr="001B3BEE">
        <w:t xml:space="preserve">Mr Gabriel Aleksandrs </w:t>
      </w:r>
    </w:p>
    <w:p w14:paraId="1D2BBA45" w14:textId="77777777" w:rsidR="00F61A49" w:rsidRPr="001B3BEE" w:rsidRDefault="00F61A49" w:rsidP="00F61A49">
      <w:pPr>
        <w:pStyle w:val="DHHSbodynospace"/>
      </w:pPr>
      <w:r w:rsidRPr="001B3BEE">
        <w:t>Ms Katrina Clarke</w:t>
      </w:r>
    </w:p>
    <w:p w14:paraId="31959AE5" w14:textId="77777777" w:rsidR="00F61A49" w:rsidRPr="001B3BEE" w:rsidRDefault="00F61A49" w:rsidP="00F61A49">
      <w:pPr>
        <w:pStyle w:val="DHHSbodynospace"/>
      </w:pPr>
      <w:r w:rsidRPr="001B3BEE">
        <w:t>Ms Rebecca Dominguez</w:t>
      </w:r>
    </w:p>
    <w:p w14:paraId="53641503" w14:textId="77777777" w:rsidR="00F61A49" w:rsidRPr="001B3BEE" w:rsidRDefault="00F61A49" w:rsidP="00F61A49">
      <w:pPr>
        <w:pStyle w:val="DHHSbodynospace"/>
      </w:pPr>
      <w:r w:rsidRPr="001B3BEE">
        <w:t>Ms Vrinda Edan</w:t>
      </w:r>
    </w:p>
    <w:p w14:paraId="4186FB6B" w14:textId="77777777" w:rsidR="00F61A49" w:rsidRPr="001B3BEE" w:rsidRDefault="00F61A49" w:rsidP="00F61A49">
      <w:pPr>
        <w:pStyle w:val="DHHSbodynospace"/>
      </w:pPr>
      <w:r w:rsidRPr="001B3BEE">
        <w:t>Ms Frankie Freeman</w:t>
      </w:r>
    </w:p>
    <w:p w14:paraId="7267FDDA" w14:textId="77777777" w:rsidR="00F61A49" w:rsidRPr="001B3BEE" w:rsidRDefault="00F61A49" w:rsidP="00F61A49">
      <w:pPr>
        <w:pStyle w:val="DHHSbodynospace"/>
      </w:pPr>
      <w:r w:rsidRPr="001B3BEE">
        <w:t>Mr Nathan Grixti</w:t>
      </w:r>
    </w:p>
    <w:p w14:paraId="1A828710" w14:textId="77777777" w:rsidR="00F61A49" w:rsidRPr="001B3BEE" w:rsidRDefault="00F61A49" w:rsidP="00F61A49">
      <w:pPr>
        <w:pStyle w:val="DHHSbodynospace"/>
      </w:pPr>
      <w:r w:rsidRPr="001B3BEE">
        <w:t>Ms Tamara Lovett</w:t>
      </w:r>
    </w:p>
    <w:p w14:paraId="1C8435D3" w14:textId="77777777" w:rsidR="00F61A49" w:rsidRPr="001B3BEE" w:rsidRDefault="00F61A49" w:rsidP="00F61A49">
      <w:pPr>
        <w:pStyle w:val="DHHSbodynospace"/>
      </w:pPr>
      <w:r w:rsidRPr="001B3BEE">
        <w:t>Ms Rachel Lovelock</w:t>
      </w:r>
    </w:p>
    <w:p w14:paraId="17119E4C" w14:textId="77777777" w:rsidR="00F61A49" w:rsidRPr="001B3BEE" w:rsidRDefault="00F61A49" w:rsidP="00F61A49">
      <w:pPr>
        <w:pStyle w:val="DHHSbodynospace"/>
      </w:pPr>
      <w:r w:rsidRPr="001B3BEE">
        <w:t>Dr Peter McKenzie</w:t>
      </w:r>
    </w:p>
    <w:p w14:paraId="19F27765" w14:textId="77777777" w:rsidR="00F61A49" w:rsidRPr="001B3BEE" w:rsidRDefault="00F61A49" w:rsidP="00F61A49">
      <w:pPr>
        <w:pStyle w:val="DHHSbodynospace"/>
      </w:pPr>
      <w:r w:rsidRPr="001B3BEE">
        <w:t>Mr David Neef</w:t>
      </w:r>
    </w:p>
    <w:p w14:paraId="05DB107F" w14:textId="77777777" w:rsidR="00F61A49" w:rsidRPr="001B3BEE" w:rsidRDefault="00F61A49" w:rsidP="00F61A49">
      <w:pPr>
        <w:pStyle w:val="DHHSbodynospace"/>
      </w:pPr>
      <w:r w:rsidRPr="001B3BEE">
        <w:t>Ms Ali Pain</w:t>
      </w:r>
    </w:p>
    <w:p w14:paraId="40149175" w14:textId="77777777" w:rsidR="00F61A49" w:rsidRPr="001B3BEE" w:rsidRDefault="00F61A49" w:rsidP="00F61A49">
      <w:pPr>
        <w:pStyle w:val="DHHSbodynospace"/>
      </w:pPr>
      <w:r w:rsidRPr="001B3BEE">
        <w:t>Ms Marie Piu</w:t>
      </w:r>
    </w:p>
    <w:p w14:paraId="701D0D9E" w14:textId="77777777" w:rsidR="00F61A49" w:rsidRPr="001B3BEE" w:rsidRDefault="00F61A49" w:rsidP="00F61A49">
      <w:pPr>
        <w:pStyle w:val="DHHSbodynospace"/>
      </w:pPr>
      <w:r w:rsidRPr="001B3BEE">
        <w:t>Mr Anthony Stratford</w:t>
      </w:r>
    </w:p>
    <w:p w14:paraId="25A0579E" w14:textId="77777777" w:rsidR="00F61A49" w:rsidRPr="001B3BEE" w:rsidRDefault="00F61A49" w:rsidP="00F61A49">
      <w:pPr>
        <w:pStyle w:val="DHHSbodynospace"/>
      </w:pPr>
      <w:r w:rsidRPr="001B3BEE">
        <w:t>Ms Sherie Stiefler</w:t>
      </w:r>
    </w:p>
    <w:p w14:paraId="134E0D8F" w14:textId="77777777" w:rsidR="00F61A49" w:rsidRPr="001B3BEE" w:rsidRDefault="00F61A49" w:rsidP="00F61A49">
      <w:pPr>
        <w:pStyle w:val="DHHSbodynospace"/>
      </w:pPr>
      <w:r w:rsidRPr="001B3BEE">
        <w:t>Ms Lisa Sweeney</w:t>
      </w:r>
    </w:p>
    <w:p w14:paraId="346AF387" w14:textId="77777777" w:rsidR="00F61A49" w:rsidRPr="001B3BEE" w:rsidRDefault="00F61A49" w:rsidP="00F61A49">
      <w:pPr>
        <w:pStyle w:val="DHHSbodynospace"/>
      </w:pPr>
      <w:r w:rsidRPr="001B3BEE">
        <w:t>Ms Maggie Toko</w:t>
      </w:r>
    </w:p>
    <w:p w14:paraId="060D4DF3" w14:textId="77777777" w:rsidR="00F61A49" w:rsidRPr="001B3BEE" w:rsidRDefault="00F61A49" w:rsidP="00F61A49">
      <w:pPr>
        <w:pStyle w:val="Heading2"/>
        <w:rPr>
          <w:noProof/>
          <w:lang w:eastAsia="en-AU"/>
        </w:rPr>
      </w:pPr>
      <w:bookmarkStart w:id="12" w:name="_Toc13830184"/>
      <w:r w:rsidRPr="001B3BEE">
        <w:rPr>
          <w:noProof/>
          <w:lang w:eastAsia="en-AU"/>
        </w:rPr>
        <w:t>Subcommittee</w:t>
      </w:r>
      <w:bookmarkEnd w:id="12"/>
      <w:r w:rsidRPr="001B3BEE">
        <w:rPr>
          <w:noProof/>
          <w:lang w:eastAsia="en-AU"/>
        </w:rPr>
        <w:t xml:space="preserve"> </w:t>
      </w:r>
    </w:p>
    <w:p w14:paraId="477416D4" w14:textId="77777777" w:rsidR="00F61A49" w:rsidRPr="001B3BEE" w:rsidRDefault="00F61A49" w:rsidP="00F61A49">
      <w:pPr>
        <w:pStyle w:val="DHHSbodynospace"/>
      </w:pPr>
      <w:r w:rsidRPr="001B3BEE">
        <w:t>Ms Katrina Clarke</w:t>
      </w:r>
    </w:p>
    <w:p w14:paraId="4B9C9BA8" w14:textId="77777777" w:rsidR="00F61A49" w:rsidRPr="001B3BEE" w:rsidRDefault="00F61A49" w:rsidP="00F61A49">
      <w:pPr>
        <w:pStyle w:val="DHHSbodynospace"/>
      </w:pPr>
      <w:r w:rsidRPr="001B3BEE">
        <w:t>Ms Frankie Freeman</w:t>
      </w:r>
    </w:p>
    <w:p w14:paraId="520C514D" w14:textId="77777777" w:rsidR="00F61A49" w:rsidRPr="001B3BEE" w:rsidRDefault="00F61A49" w:rsidP="00F61A49">
      <w:pPr>
        <w:pStyle w:val="DHHSbodynospace"/>
      </w:pPr>
      <w:r w:rsidRPr="001B3BEE">
        <w:t>Dr Peter McKenzie</w:t>
      </w:r>
    </w:p>
    <w:p w14:paraId="3D97C593" w14:textId="77777777" w:rsidR="00F61A49" w:rsidRPr="001B3BEE" w:rsidRDefault="00F61A49" w:rsidP="00F61A49">
      <w:pPr>
        <w:pStyle w:val="DHHSbodynospace"/>
      </w:pPr>
      <w:r w:rsidRPr="001B3BEE">
        <w:t>Dr Victoria Palmer</w:t>
      </w:r>
    </w:p>
    <w:p w14:paraId="028360A3" w14:textId="77777777" w:rsidR="00F61A49" w:rsidRPr="001B3BEE" w:rsidRDefault="00F61A49" w:rsidP="00F61A49">
      <w:pPr>
        <w:pStyle w:val="DHHSbodynospace"/>
      </w:pPr>
      <w:r w:rsidRPr="001B3BEE">
        <w:t>Dr Melissa Petrakis</w:t>
      </w:r>
    </w:p>
    <w:p w14:paraId="051F0497" w14:textId="77777777" w:rsidR="00F61A49" w:rsidRPr="001B3BEE" w:rsidRDefault="00F61A49" w:rsidP="00F61A49">
      <w:pPr>
        <w:pStyle w:val="DHHSbodynospace"/>
      </w:pPr>
      <w:r w:rsidRPr="001B3BEE">
        <w:t>Ms Marie Piu</w:t>
      </w:r>
    </w:p>
    <w:p w14:paraId="11FFD141" w14:textId="77777777" w:rsidR="00F61A49" w:rsidRPr="001B3BEE" w:rsidRDefault="00F61A49" w:rsidP="00F61A49">
      <w:pPr>
        <w:pStyle w:val="DHHSbodynospace"/>
      </w:pPr>
      <w:r w:rsidRPr="001B3BEE">
        <w:t>Mr Anthony Stratford</w:t>
      </w:r>
    </w:p>
    <w:p w14:paraId="1E0B5E28" w14:textId="77777777" w:rsidR="00F61A49" w:rsidRPr="0085314C" w:rsidRDefault="00F61A49" w:rsidP="00F61A49">
      <w:pPr>
        <w:pStyle w:val="DHHSbody"/>
        <w:sectPr w:rsidR="00F61A49" w:rsidRPr="0085314C" w:rsidSect="00C71A3A">
          <w:type w:val="continuous"/>
          <w:pgSz w:w="11906" w:h="16838"/>
          <w:pgMar w:top="1440" w:right="1440" w:bottom="1440" w:left="1440" w:header="708" w:footer="708" w:gutter="0"/>
          <w:pgNumType w:start="1"/>
          <w:cols w:space="708"/>
          <w:docGrid w:linePitch="360"/>
        </w:sectPr>
      </w:pPr>
    </w:p>
    <w:p w14:paraId="3527EDED" w14:textId="77777777" w:rsidR="00F61A49" w:rsidRDefault="00F61A49" w:rsidP="00F61A49">
      <w:pPr>
        <w:pStyle w:val="Heading1"/>
      </w:pPr>
      <w:bookmarkStart w:id="13" w:name="_Toc534374301"/>
      <w:bookmarkStart w:id="14" w:name="_Toc13830185"/>
      <w:r>
        <w:lastRenderedPageBreak/>
        <w:t>Key messages</w:t>
      </w:r>
      <w:bookmarkEnd w:id="13"/>
      <w:bookmarkEnd w:id="14"/>
    </w:p>
    <w:p w14:paraId="57DF6092" w14:textId="77777777" w:rsidR="00F61A49" w:rsidRDefault="00F61A49" w:rsidP="00F61A49">
      <w:pPr>
        <w:pStyle w:val="DHHSbullet1"/>
      </w:pPr>
      <w:r>
        <w:t>Consumers, their families and carers who use Victoria’s mental health system have the right to be recognised, respected and included in policy decision making.</w:t>
      </w:r>
    </w:p>
    <w:p w14:paraId="2F889D77" w14:textId="77777777" w:rsidR="00F61A49" w:rsidRDefault="00F61A49" w:rsidP="00F61A49">
      <w:pPr>
        <w:pStyle w:val="DHHSbullet1"/>
      </w:pPr>
      <w:r>
        <w:t>Consumers and carers will be engaged and given opportunities to participate in developing solutions from the outset.</w:t>
      </w:r>
    </w:p>
    <w:p w14:paraId="270DA6EA" w14:textId="77777777" w:rsidR="00F61A49" w:rsidRDefault="00F61A49" w:rsidP="00F61A49">
      <w:pPr>
        <w:pStyle w:val="DHHSbullet1"/>
      </w:pPr>
      <w:r>
        <w:t>All lived experience engagement activities will address issues of safety and power to promote, support and uphold meaningful and productive consumer and carer participation.</w:t>
      </w:r>
    </w:p>
    <w:p w14:paraId="51C919D3" w14:textId="77777777" w:rsidR="00F61A49" w:rsidRDefault="00F61A49" w:rsidP="00F61A49">
      <w:pPr>
        <w:pStyle w:val="DHHSbullet1"/>
      </w:pPr>
      <w:r>
        <w:t>Consumers and carers will be placed at the centre of mental health policy and practice change by engaging them as partners in co-design and co-production.</w:t>
      </w:r>
    </w:p>
    <w:p w14:paraId="2AF0A40C" w14:textId="77777777" w:rsidR="00F61A49" w:rsidRPr="00982DCD" w:rsidRDefault="00F61A49" w:rsidP="00F61A49">
      <w:pPr>
        <w:pStyle w:val="DHHSbullet1"/>
      </w:pPr>
      <w:r>
        <w:t>All staff will be expected to uphold t</w:t>
      </w:r>
      <w:r w:rsidRPr="00134248">
        <w:t xml:space="preserve">he department’s principles of </w:t>
      </w:r>
      <w:r>
        <w:t xml:space="preserve">consumer and carer </w:t>
      </w:r>
      <w:r w:rsidRPr="00134248">
        <w:t>engagement</w:t>
      </w:r>
      <w:r>
        <w:t xml:space="preserve"> in mental health service design and delivery.</w:t>
      </w:r>
    </w:p>
    <w:p w14:paraId="6CD22584" w14:textId="77777777" w:rsidR="00F61A49" w:rsidRPr="002E45C6" w:rsidRDefault="00F61A49" w:rsidP="00F61A49">
      <w:pPr>
        <w:pStyle w:val="DHHSbullet1"/>
      </w:pPr>
      <w:r w:rsidRPr="00DB38F1">
        <w:t xml:space="preserve">All staff </w:t>
      </w:r>
      <w:r>
        <w:t>will have</w:t>
      </w:r>
      <w:r w:rsidRPr="00DB38F1">
        <w:t xml:space="preserve"> a clear understanding of expectations, roles and re</w:t>
      </w:r>
      <w:r>
        <w:t>sponsibilities when undertaking</w:t>
      </w:r>
      <w:r w:rsidRPr="00DB38F1">
        <w:t xml:space="preserve"> engagement</w:t>
      </w:r>
      <w:r>
        <w:t xml:space="preserve"> </w:t>
      </w:r>
      <w:r w:rsidRPr="00DB38F1">
        <w:t>activities</w:t>
      </w:r>
      <w:r>
        <w:t>, and will be resourced and supported accordingly.</w:t>
      </w:r>
      <w:r w:rsidRPr="00DB38F1">
        <w:t xml:space="preserve"> </w:t>
      </w:r>
    </w:p>
    <w:p w14:paraId="54F62BE4" w14:textId="77777777" w:rsidR="00F61A49" w:rsidRDefault="00F61A49" w:rsidP="00F61A49">
      <w:pPr>
        <w:pStyle w:val="Heading1"/>
      </w:pPr>
      <w:bookmarkStart w:id="15" w:name="_Toc534374302"/>
      <w:bookmarkStart w:id="16" w:name="_Toc506896036"/>
      <w:r>
        <w:br w:type="page"/>
      </w:r>
      <w:bookmarkStart w:id="17" w:name="_Toc13830186"/>
      <w:r>
        <w:lastRenderedPageBreak/>
        <w:t>Language and definition</w:t>
      </w:r>
      <w:bookmarkEnd w:id="15"/>
      <w:bookmarkEnd w:id="17"/>
    </w:p>
    <w:p w14:paraId="02FEBC3F" w14:textId="77777777" w:rsidR="00F61A49" w:rsidRPr="0004250E" w:rsidRDefault="00F61A49" w:rsidP="00F61A49">
      <w:pPr>
        <w:pStyle w:val="DHHSbody"/>
        <w:spacing w:line="240" w:lineRule="auto"/>
      </w:pPr>
      <w:r>
        <w:t xml:space="preserve">Unless otherwise specified, in this document </w:t>
      </w:r>
      <w:r w:rsidRPr="00E06AE8">
        <w:rPr>
          <w:b/>
        </w:rPr>
        <w:t>engagement</w:t>
      </w:r>
      <w:r w:rsidRPr="00CF335A">
        <w:t xml:space="preserve"> and </w:t>
      </w:r>
      <w:r w:rsidRPr="009B21E3">
        <w:rPr>
          <w:b/>
        </w:rPr>
        <w:t>participation</w:t>
      </w:r>
      <w:r w:rsidRPr="00CF335A">
        <w:t xml:space="preserve"> refer to the process of engaging mental health consumers and carers </w:t>
      </w:r>
      <w:r w:rsidRPr="00C649C6">
        <w:t xml:space="preserve">to participate at the system and policy levels. </w:t>
      </w:r>
    </w:p>
    <w:p w14:paraId="01887E61" w14:textId="77777777" w:rsidR="00F61A49" w:rsidRDefault="00F61A49" w:rsidP="00F61A49">
      <w:pPr>
        <w:pStyle w:val="DHHSbody"/>
        <w:spacing w:line="240" w:lineRule="auto"/>
      </w:pPr>
      <w:r w:rsidRPr="0004250E">
        <w:t xml:space="preserve">In the interest of brevity, the terms </w:t>
      </w:r>
      <w:r w:rsidRPr="009B21E3">
        <w:rPr>
          <w:b/>
        </w:rPr>
        <w:t>consumer</w:t>
      </w:r>
      <w:r w:rsidRPr="009B21E3">
        <w:t>,</w:t>
      </w:r>
      <w:r w:rsidRPr="009B21E3">
        <w:rPr>
          <w:b/>
        </w:rPr>
        <w:t xml:space="preserve"> carer</w:t>
      </w:r>
      <w:r w:rsidRPr="009B21E3">
        <w:t>,</w:t>
      </w:r>
      <w:r w:rsidRPr="009B21E3">
        <w:rPr>
          <w:b/>
        </w:rPr>
        <w:t xml:space="preserve"> lived experience</w:t>
      </w:r>
      <w:r w:rsidRPr="009B21E3">
        <w:t>,</w:t>
      </w:r>
      <w:r w:rsidRPr="009B21E3">
        <w:rPr>
          <w:b/>
        </w:rPr>
        <w:t xml:space="preserve"> engagement and participation</w:t>
      </w:r>
      <w:r w:rsidRPr="00CF335A">
        <w:t xml:space="preserve"> </w:t>
      </w:r>
      <w:r w:rsidRPr="00733B1E">
        <w:t xml:space="preserve">are used </w:t>
      </w:r>
      <w:r>
        <w:t>throughout this document</w:t>
      </w:r>
      <w:r w:rsidRPr="00733B1E">
        <w:t>.</w:t>
      </w:r>
      <w:r>
        <w:t xml:space="preserve"> In the context of this publication the following definitions apply.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371"/>
      </w:tblGrid>
      <w:tr w:rsidR="00F61A49" w14:paraId="5A77EA29" w14:textId="77777777" w:rsidTr="00C71A3A">
        <w:trPr>
          <w:cantSplit/>
          <w:tblHeader/>
        </w:trPr>
        <w:tc>
          <w:tcPr>
            <w:tcW w:w="2098" w:type="dxa"/>
            <w:shd w:val="clear" w:color="auto" w:fill="auto"/>
          </w:tcPr>
          <w:p w14:paraId="6C64F946" w14:textId="77777777" w:rsidR="00F61A49" w:rsidRPr="00CF76B2" w:rsidRDefault="00F61A49" w:rsidP="00C71A3A">
            <w:pPr>
              <w:pStyle w:val="DHHStablecolhead"/>
            </w:pPr>
            <w:r>
              <w:t>Term</w:t>
            </w:r>
          </w:p>
        </w:tc>
        <w:tc>
          <w:tcPr>
            <w:tcW w:w="7371" w:type="dxa"/>
            <w:shd w:val="clear" w:color="auto" w:fill="auto"/>
          </w:tcPr>
          <w:p w14:paraId="78BBDF71" w14:textId="77777777" w:rsidR="00F61A49" w:rsidRDefault="00F61A49" w:rsidP="00C71A3A">
            <w:pPr>
              <w:pStyle w:val="DHHStablecolhead"/>
            </w:pPr>
            <w:r>
              <w:t>Definition</w:t>
            </w:r>
          </w:p>
        </w:tc>
      </w:tr>
      <w:tr w:rsidR="00F61A49" w14:paraId="116F52DD" w14:textId="77777777" w:rsidTr="00C71A3A">
        <w:trPr>
          <w:cantSplit/>
        </w:trPr>
        <w:tc>
          <w:tcPr>
            <w:tcW w:w="2098" w:type="dxa"/>
            <w:shd w:val="clear" w:color="auto" w:fill="auto"/>
          </w:tcPr>
          <w:p w14:paraId="455F0754" w14:textId="77777777" w:rsidR="00F61A49" w:rsidRPr="00412A73" w:rsidRDefault="00F61A49" w:rsidP="00C71A3A">
            <w:pPr>
              <w:pStyle w:val="DHHStabletext"/>
              <w:rPr>
                <w:b/>
              </w:rPr>
            </w:pPr>
            <w:r w:rsidRPr="00412A73">
              <w:rPr>
                <w:b/>
              </w:rPr>
              <w:t>Consumer</w:t>
            </w:r>
          </w:p>
        </w:tc>
        <w:tc>
          <w:tcPr>
            <w:tcW w:w="7371" w:type="dxa"/>
            <w:shd w:val="clear" w:color="auto" w:fill="auto"/>
          </w:tcPr>
          <w:p w14:paraId="69A8F296" w14:textId="77777777" w:rsidR="00F61A49" w:rsidRPr="00CF76B2" w:rsidRDefault="00F61A49" w:rsidP="00C71A3A">
            <w:pPr>
              <w:pStyle w:val="DHHStabletext"/>
            </w:pPr>
            <w:r>
              <w:t xml:space="preserve">Someone who has an </w:t>
            </w:r>
            <w:r w:rsidRPr="005706E9">
              <w:t>experienc</w:t>
            </w:r>
            <w:r>
              <w:t>e of</w:t>
            </w:r>
            <w:r w:rsidRPr="005706E9">
              <w:t xml:space="preserve"> </w:t>
            </w:r>
            <w:r>
              <w:t>mental illness</w:t>
            </w:r>
            <w:r w:rsidRPr="005706E9">
              <w:t xml:space="preserve">, </w:t>
            </w:r>
            <w:r>
              <w:t xml:space="preserve">and </w:t>
            </w:r>
            <w:r w:rsidRPr="005706E9">
              <w:t xml:space="preserve">who has received, is receiving, or is seeking treatment and support from </w:t>
            </w:r>
            <w:r>
              <w:t xml:space="preserve">publicly funded </w:t>
            </w:r>
            <w:r w:rsidRPr="005706E9">
              <w:t>mental health services</w:t>
            </w:r>
            <w:r>
              <w:t>.</w:t>
            </w:r>
          </w:p>
        </w:tc>
      </w:tr>
      <w:tr w:rsidR="00F61A49" w14:paraId="79C8B2E4" w14:textId="77777777" w:rsidTr="00C71A3A">
        <w:trPr>
          <w:cantSplit/>
        </w:trPr>
        <w:tc>
          <w:tcPr>
            <w:tcW w:w="2098" w:type="dxa"/>
            <w:shd w:val="clear" w:color="auto" w:fill="auto"/>
          </w:tcPr>
          <w:p w14:paraId="76CAB11D" w14:textId="77777777" w:rsidR="00F61A49" w:rsidRPr="00412A73" w:rsidRDefault="00F61A49" w:rsidP="00C71A3A">
            <w:pPr>
              <w:pStyle w:val="DHHStabletext"/>
              <w:rPr>
                <w:b/>
              </w:rPr>
            </w:pPr>
            <w:r w:rsidRPr="00412A73">
              <w:rPr>
                <w:b/>
              </w:rPr>
              <w:t>Carer</w:t>
            </w:r>
          </w:p>
        </w:tc>
        <w:tc>
          <w:tcPr>
            <w:tcW w:w="7371" w:type="dxa"/>
            <w:shd w:val="clear" w:color="auto" w:fill="auto"/>
          </w:tcPr>
          <w:p w14:paraId="58F994A7" w14:textId="77777777" w:rsidR="00F61A49" w:rsidRPr="00CF76B2" w:rsidRDefault="00F61A49" w:rsidP="00C71A3A">
            <w:pPr>
              <w:pStyle w:val="DHHStabletext"/>
            </w:pPr>
            <w:r>
              <w:t>S</w:t>
            </w:r>
            <w:r w:rsidRPr="002D7E18">
              <w:t>omeone who is actively supporting, assisting or providing unpaid care to a consumer. A carer may or may not live with the consumer. A carer may be a family member, friend or other person</w:t>
            </w:r>
            <w:r>
              <w:t xml:space="preserve">, including a person under the age of 18, </w:t>
            </w:r>
            <w:r w:rsidRPr="002D7E18">
              <w:t>who has a significant role in the life of the consumer. Not everyone in providing unpaid support to consumers identif</w:t>
            </w:r>
            <w:r>
              <w:t>ies</w:t>
            </w:r>
            <w:r w:rsidRPr="002D7E18">
              <w:t xml:space="preserve"> as a carer</w:t>
            </w:r>
            <w:r>
              <w:t>;</w:t>
            </w:r>
            <w:r w:rsidRPr="002D7E18">
              <w:t xml:space="preserve"> rather</w:t>
            </w:r>
            <w:r>
              <w:t>,</w:t>
            </w:r>
            <w:r w:rsidRPr="002D7E18">
              <w:t xml:space="preserve"> they prefer to be associated </w:t>
            </w:r>
            <w:r>
              <w:t>by</w:t>
            </w:r>
            <w:r w:rsidRPr="002D7E18">
              <w:t xml:space="preserve"> the characteristic of their relationship (such as partner or sibling)</w:t>
            </w:r>
            <w:r>
              <w:t>.</w:t>
            </w:r>
          </w:p>
        </w:tc>
      </w:tr>
      <w:tr w:rsidR="00F61A49" w14:paraId="2005E8D0" w14:textId="77777777" w:rsidTr="00C71A3A">
        <w:trPr>
          <w:cantSplit/>
        </w:trPr>
        <w:tc>
          <w:tcPr>
            <w:tcW w:w="2098" w:type="dxa"/>
            <w:shd w:val="clear" w:color="auto" w:fill="auto"/>
          </w:tcPr>
          <w:p w14:paraId="2383C812" w14:textId="77777777" w:rsidR="00F61A49" w:rsidRPr="00412A73" w:rsidRDefault="00F61A49" w:rsidP="00C71A3A">
            <w:pPr>
              <w:pStyle w:val="DHHStabletext"/>
              <w:rPr>
                <w:b/>
              </w:rPr>
            </w:pPr>
            <w:r w:rsidRPr="00412A73">
              <w:rPr>
                <w:b/>
              </w:rPr>
              <w:t>Family</w:t>
            </w:r>
          </w:p>
        </w:tc>
        <w:tc>
          <w:tcPr>
            <w:tcW w:w="7371" w:type="dxa"/>
            <w:shd w:val="clear" w:color="auto" w:fill="auto"/>
          </w:tcPr>
          <w:p w14:paraId="119F1C1B" w14:textId="77777777" w:rsidR="00F61A49" w:rsidRPr="00CF76B2" w:rsidRDefault="00F61A49" w:rsidP="00C71A3A">
            <w:pPr>
              <w:pStyle w:val="DHHStabletext"/>
            </w:pPr>
            <w:r w:rsidRPr="00B15CE0">
              <w:t>Family includes the consumer and those with a significant personal relationship with the consumer.</w:t>
            </w:r>
            <w:r>
              <w:t xml:space="preserve"> </w:t>
            </w:r>
            <w:r w:rsidRPr="00B15CE0">
              <w:t xml:space="preserve">This includes biological </w:t>
            </w:r>
            <w:r>
              <w:t>and</w:t>
            </w:r>
            <w:r w:rsidRPr="00B15CE0">
              <w:t xml:space="preserve"> non-biological relatives, intimate partners (including intimate partnerships involving L</w:t>
            </w:r>
            <w:r>
              <w:t xml:space="preserve">GBTI </w:t>
            </w:r>
            <w:r w:rsidRPr="00B15CE0">
              <w:t>people), people in co-habitation, friends, those with kinship responsibilities, and others who play a significant role in the consumer’s life.</w:t>
            </w:r>
          </w:p>
        </w:tc>
      </w:tr>
      <w:tr w:rsidR="00F61A49" w14:paraId="02708557" w14:textId="77777777" w:rsidTr="00C71A3A">
        <w:trPr>
          <w:cantSplit/>
        </w:trPr>
        <w:tc>
          <w:tcPr>
            <w:tcW w:w="2098" w:type="dxa"/>
            <w:shd w:val="clear" w:color="auto" w:fill="auto"/>
          </w:tcPr>
          <w:p w14:paraId="1DC14576" w14:textId="77777777" w:rsidR="00F61A49" w:rsidRPr="00412A73" w:rsidRDefault="00F61A49" w:rsidP="00C71A3A">
            <w:pPr>
              <w:pStyle w:val="DHHStabletext"/>
              <w:rPr>
                <w:b/>
              </w:rPr>
            </w:pPr>
            <w:r w:rsidRPr="00412A73">
              <w:rPr>
                <w:b/>
              </w:rPr>
              <w:t>Lived experience</w:t>
            </w:r>
          </w:p>
        </w:tc>
        <w:tc>
          <w:tcPr>
            <w:tcW w:w="7371" w:type="dxa"/>
            <w:shd w:val="clear" w:color="auto" w:fill="auto"/>
          </w:tcPr>
          <w:p w14:paraId="1A9287CD" w14:textId="77777777" w:rsidR="00F61A49" w:rsidRPr="00CF76B2" w:rsidRDefault="00F61A49" w:rsidP="00C71A3A">
            <w:pPr>
              <w:pStyle w:val="DHHStabletext"/>
            </w:pPr>
            <w:r w:rsidRPr="00E70FF8">
              <w:t>C</w:t>
            </w:r>
            <w:r>
              <w:t xml:space="preserve">onsumers and carers who hold a personal experience of mental illness and the Victorian mental health system. </w:t>
            </w:r>
          </w:p>
        </w:tc>
      </w:tr>
      <w:tr w:rsidR="00F61A49" w14:paraId="26D2A448" w14:textId="77777777" w:rsidTr="00C71A3A">
        <w:trPr>
          <w:cantSplit/>
        </w:trPr>
        <w:tc>
          <w:tcPr>
            <w:tcW w:w="2098" w:type="dxa"/>
            <w:shd w:val="clear" w:color="auto" w:fill="auto"/>
          </w:tcPr>
          <w:p w14:paraId="31B8011F" w14:textId="77777777" w:rsidR="00F61A49" w:rsidRPr="00412A73" w:rsidRDefault="00F61A49" w:rsidP="00C71A3A">
            <w:pPr>
              <w:pStyle w:val="DHHStabletext"/>
              <w:rPr>
                <w:b/>
              </w:rPr>
            </w:pPr>
            <w:r w:rsidRPr="00412A73">
              <w:rPr>
                <w:b/>
              </w:rPr>
              <w:t>Lived experience perspective</w:t>
            </w:r>
          </w:p>
        </w:tc>
        <w:tc>
          <w:tcPr>
            <w:tcW w:w="7371" w:type="dxa"/>
            <w:shd w:val="clear" w:color="auto" w:fill="auto"/>
          </w:tcPr>
          <w:p w14:paraId="7B0FC3AC" w14:textId="77777777" w:rsidR="00F61A49" w:rsidRPr="00CF76B2" w:rsidRDefault="00F61A49" w:rsidP="00C71A3A">
            <w:pPr>
              <w:pStyle w:val="DHHStabletext"/>
            </w:pPr>
            <w:r>
              <w:t xml:space="preserve">An understanding of mental health based on having experienced mental illness or having cared for someone with mental illness. </w:t>
            </w:r>
            <w:r w:rsidRPr="00CF76B2">
              <w:rPr>
                <w:noProof/>
              </w:rPr>
              <w:t xml:space="preserve">Such a perspective is acquired as a result of receiving, or being unable to receive, services in the mental health system. It is based on a belief that consumers and carers are </w:t>
            </w:r>
            <w:r>
              <w:rPr>
                <w:noProof/>
              </w:rPr>
              <w:t>‘</w:t>
            </w:r>
            <w:r w:rsidRPr="00CF76B2">
              <w:rPr>
                <w:noProof/>
              </w:rPr>
              <w:t>the experts</w:t>
            </w:r>
            <w:r>
              <w:rPr>
                <w:noProof/>
              </w:rPr>
              <w:t>’</w:t>
            </w:r>
            <w:r w:rsidRPr="00CF76B2">
              <w:rPr>
                <w:noProof/>
              </w:rPr>
              <w:t xml:space="preserve"> about their own lives and carry the wisdom to best articulate their needs. </w:t>
            </w:r>
          </w:p>
        </w:tc>
      </w:tr>
      <w:tr w:rsidR="00F61A49" w14:paraId="6C0DCBEB" w14:textId="77777777" w:rsidTr="00C71A3A">
        <w:trPr>
          <w:cantSplit/>
        </w:trPr>
        <w:tc>
          <w:tcPr>
            <w:tcW w:w="2098" w:type="dxa"/>
            <w:shd w:val="clear" w:color="auto" w:fill="auto"/>
          </w:tcPr>
          <w:p w14:paraId="79F52F4D" w14:textId="77777777" w:rsidR="00F61A49" w:rsidRPr="00412A73" w:rsidRDefault="00F61A49" w:rsidP="00C71A3A">
            <w:pPr>
              <w:pStyle w:val="DHHStabletext"/>
              <w:rPr>
                <w:b/>
              </w:rPr>
            </w:pPr>
            <w:r w:rsidRPr="00412A73">
              <w:rPr>
                <w:b/>
                <w:noProof/>
              </w:rPr>
              <w:t>Consumer and carer engagement and participation</w:t>
            </w:r>
          </w:p>
        </w:tc>
        <w:tc>
          <w:tcPr>
            <w:tcW w:w="7371" w:type="dxa"/>
            <w:shd w:val="clear" w:color="auto" w:fill="auto"/>
          </w:tcPr>
          <w:p w14:paraId="4E24924F" w14:textId="77777777" w:rsidR="00F61A49" w:rsidRPr="00CF76B2" w:rsidRDefault="00F61A49" w:rsidP="00C71A3A">
            <w:pPr>
              <w:pStyle w:val="DHHStabletext"/>
            </w:pPr>
            <w:r w:rsidRPr="00CF76B2">
              <w:rPr>
                <w:noProof/>
              </w:rPr>
              <w:t>Engagement is a planned process with the specific purpose of working across organisations, stakeholders and communities to involve those most affected by the problem. This involvement could be to shape the decisions or actions of the members of the community, stakeholders or organisation in relation to a problem, opportunity or outcome. Consumer and carer engagement and participation specifically involves mental health consumers and carers to influence the way in which services are designed and delivered. It includes all aspects of identifying problems and opportunities, developing alternatives and making decisions. It uses tools and techniques that are common to a number of problem solving, dispute resolution and communication fields.</w:t>
            </w:r>
          </w:p>
        </w:tc>
      </w:tr>
      <w:tr w:rsidR="00F61A49" w14:paraId="611A1F14" w14:textId="77777777" w:rsidTr="00C71A3A">
        <w:trPr>
          <w:cantSplit/>
        </w:trPr>
        <w:tc>
          <w:tcPr>
            <w:tcW w:w="2098" w:type="dxa"/>
            <w:shd w:val="clear" w:color="auto" w:fill="auto"/>
          </w:tcPr>
          <w:p w14:paraId="6854F3CD" w14:textId="77777777" w:rsidR="00F61A49" w:rsidRPr="00412A73" w:rsidRDefault="00F61A49" w:rsidP="00C71A3A">
            <w:pPr>
              <w:pStyle w:val="DHHStabletext"/>
              <w:rPr>
                <w:b/>
              </w:rPr>
            </w:pPr>
            <w:r w:rsidRPr="00412A73">
              <w:rPr>
                <w:b/>
                <w:noProof/>
              </w:rPr>
              <w:t>Community engagement</w:t>
            </w:r>
          </w:p>
        </w:tc>
        <w:tc>
          <w:tcPr>
            <w:tcW w:w="7371" w:type="dxa"/>
            <w:shd w:val="clear" w:color="auto" w:fill="auto"/>
          </w:tcPr>
          <w:p w14:paraId="1E19DC03" w14:textId="77777777" w:rsidR="00F61A49" w:rsidRPr="00DB517C" w:rsidRDefault="00F61A49" w:rsidP="00C71A3A">
            <w:pPr>
              <w:pStyle w:val="DHHStabletext"/>
              <w:rPr>
                <w:noProof/>
              </w:rPr>
            </w:pPr>
            <w:r w:rsidRPr="00B66E62">
              <w:rPr>
                <w:noProof/>
              </w:rPr>
              <w:t xml:space="preserve">A planned process </w:t>
            </w:r>
            <w:r>
              <w:rPr>
                <w:noProof/>
              </w:rPr>
              <w:t>with</w:t>
            </w:r>
            <w:r w:rsidRPr="00B66E62">
              <w:rPr>
                <w:noProof/>
              </w:rPr>
              <w:t xml:space="preserve"> </w:t>
            </w:r>
            <w:r>
              <w:rPr>
                <w:noProof/>
              </w:rPr>
              <w:t xml:space="preserve">people or </w:t>
            </w:r>
            <w:r w:rsidRPr="00B66E62">
              <w:rPr>
                <w:noProof/>
              </w:rPr>
              <w:t xml:space="preserve">groups to address issues affecting </w:t>
            </w:r>
            <w:r>
              <w:rPr>
                <w:noProof/>
              </w:rPr>
              <w:t xml:space="preserve">them and </w:t>
            </w:r>
            <w:r w:rsidRPr="00B66E62">
              <w:rPr>
                <w:noProof/>
              </w:rPr>
              <w:t>their wellbeing.</w:t>
            </w:r>
            <w:r>
              <w:rPr>
                <w:noProof/>
              </w:rPr>
              <w:t xml:space="preserve"> People or groups can be </w:t>
            </w:r>
            <w:r w:rsidRPr="00B66E62">
              <w:rPr>
                <w:noProof/>
              </w:rPr>
              <w:t>connected by geographic location, special interest or affiliation</w:t>
            </w:r>
            <w:r>
              <w:rPr>
                <w:noProof/>
              </w:rPr>
              <w:t>.</w:t>
            </w:r>
          </w:p>
        </w:tc>
      </w:tr>
      <w:tr w:rsidR="00F61A49" w14:paraId="5A7C324B" w14:textId="77777777" w:rsidTr="00C71A3A">
        <w:trPr>
          <w:cantSplit/>
        </w:trPr>
        <w:tc>
          <w:tcPr>
            <w:tcW w:w="2098" w:type="dxa"/>
            <w:shd w:val="clear" w:color="auto" w:fill="auto"/>
          </w:tcPr>
          <w:p w14:paraId="422720C0" w14:textId="77777777" w:rsidR="00F61A49" w:rsidRPr="00412A73" w:rsidRDefault="00F61A49" w:rsidP="00C71A3A">
            <w:pPr>
              <w:pStyle w:val="DHHStabletext"/>
              <w:rPr>
                <w:b/>
              </w:rPr>
            </w:pPr>
            <w:r w:rsidRPr="00412A73">
              <w:rPr>
                <w:b/>
                <w:noProof/>
              </w:rPr>
              <w:t>Consumer/carer advisory groups (CAGs)</w:t>
            </w:r>
          </w:p>
        </w:tc>
        <w:tc>
          <w:tcPr>
            <w:tcW w:w="7371" w:type="dxa"/>
            <w:shd w:val="clear" w:color="auto" w:fill="auto"/>
          </w:tcPr>
          <w:p w14:paraId="72204176" w14:textId="77777777" w:rsidR="00F61A49" w:rsidRPr="00CF76B2" w:rsidRDefault="00F61A49" w:rsidP="00C71A3A">
            <w:pPr>
              <w:pStyle w:val="DHHStabletext"/>
            </w:pPr>
            <w:r w:rsidRPr="00CF76B2">
              <w:rPr>
                <w:rFonts w:cs="Arial"/>
              </w:rPr>
              <w:t>Local, regional or statewide mental health consumer and/or carer advisory groups established by mental health services with consumers and carers to drive service improvement from a lived experience perspective.</w:t>
            </w:r>
          </w:p>
        </w:tc>
      </w:tr>
      <w:tr w:rsidR="00F61A49" w14:paraId="40996C17" w14:textId="77777777" w:rsidTr="00C71A3A">
        <w:trPr>
          <w:cantSplit/>
        </w:trPr>
        <w:tc>
          <w:tcPr>
            <w:tcW w:w="2098" w:type="dxa"/>
            <w:shd w:val="clear" w:color="auto" w:fill="auto"/>
          </w:tcPr>
          <w:p w14:paraId="69A24CC6" w14:textId="3D656CC3" w:rsidR="00F61A49" w:rsidRPr="00412A73" w:rsidRDefault="00F61A49" w:rsidP="00C71A3A">
            <w:pPr>
              <w:pStyle w:val="DHHStabletext"/>
              <w:rPr>
                <w:b/>
              </w:rPr>
            </w:pPr>
            <w:r w:rsidRPr="00412A73">
              <w:rPr>
                <w:b/>
                <w:noProof/>
              </w:rPr>
              <w:lastRenderedPageBreak/>
              <w:t>Consumer</w:t>
            </w:r>
            <w:r w:rsidR="005E6AFA">
              <w:rPr>
                <w:b/>
                <w:noProof/>
              </w:rPr>
              <w:t xml:space="preserve"> and </w:t>
            </w:r>
            <w:r w:rsidRPr="00412A73">
              <w:rPr>
                <w:b/>
                <w:noProof/>
              </w:rPr>
              <w:t>carer movement</w:t>
            </w:r>
            <w:r w:rsidR="005E6AFA">
              <w:rPr>
                <w:b/>
                <w:noProof/>
              </w:rPr>
              <w:t>s</w:t>
            </w:r>
          </w:p>
        </w:tc>
        <w:tc>
          <w:tcPr>
            <w:tcW w:w="7371" w:type="dxa"/>
            <w:shd w:val="clear" w:color="auto" w:fill="auto"/>
          </w:tcPr>
          <w:p w14:paraId="1268267E" w14:textId="23CAFD55" w:rsidR="00F61A49" w:rsidRPr="00273FCB" w:rsidRDefault="00F61A49" w:rsidP="00C71A3A">
            <w:pPr>
              <w:pStyle w:val="DHHStabletext"/>
            </w:pPr>
            <w:r>
              <w:t>Human rights-based</w:t>
            </w:r>
            <w:r w:rsidRPr="008E699B">
              <w:t xml:space="preserve"> movement</w:t>
            </w:r>
            <w:r w:rsidR="005E6AFA">
              <w:t>s</w:t>
            </w:r>
            <w:r w:rsidRPr="008E699B">
              <w:t xml:space="preserve"> </w:t>
            </w:r>
            <w:r>
              <w:t>comprising people who have mental health challenges or ill-health, who may refer to themselves as</w:t>
            </w:r>
            <w:r w:rsidRPr="008E699B">
              <w:t xml:space="preserve"> consumers</w:t>
            </w:r>
            <w:r w:rsidR="005E6AFA">
              <w:t xml:space="preserve">, </w:t>
            </w:r>
            <w:r>
              <w:t>survivors</w:t>
            </w:r>
            <w:r w:rsidR="005E6AFA">
              <w:t xml:space="preserve">, </w:t>
            </w:r>
            <w:r w:rsidRPr="008E699B">
              <w:t>ex-patients</w:t>
            </w:r>
            <w:r w:rsidR="005E6AFA">
              <w:t xml:space="preserve"> or carers</w:t>
            </w:r>
            <w:r>
              <w:t>. They actively seek</w:t>
            </w:r>
            <w:r w:rsidRPr="008E699B">
              <w:t xml:space="preserve"> to make change</w:t>
            </w:r>
            <w:r>
              <w:t>s</w:t>
            </w:r>
            <w:r w:rsidRPr="008E699B">
              <w:t xml:space="preserve"> in the mental health system and in society</w:t>
            </w:r>
            <w:r>
              <w:t xml:space="preserve"> to improve mental health services and to decrease the</w:t>
            </w:r>
            <w:r w:rsidRPr="008E699B">
              <w:t xml:space="preserve"> economic and social discrimination faced by individuals </w:t>
            </w:r>
            <w:r>
              <w:t>who experience mental illness</w:t>
            </w:r>
            <w:r w:rsidRPr="008E699B">
              <w:t xml:space="preserve">. </w:t>
            </w:r>
          </w:p>
        </w:tc>
      </w:tr>
      <w:tr w:rsidR="00F61A49" w14:paraId="41A323C7" w14:textId="77777777" w:rsidTr="00C71A3A">
        <w:trPr>
          <w:cantSplit/>
        </w:trPr>
        <w:tc>
          <w:tcPr>
            <w:tcW w:w="2098" w:type="dxa"/>
            <w:shd w:val="clear" w:color="auto" w:fill="auto"/>
          </w:tcPr>
          <w:p w14:paraId="58D490A9" w14:textId="77777777" w:rsidR="00F61A49" w:rsidRPr="00412A73" w:rsidRDefault="00F61A49" w:rsidP="00C71A3A">
            <w:pPr>
              <w:pStyle w:val="DHHStabletext"/>
              <w:rPr>
                <w:b/>
              </w:rPr>
            </w:pPr>
            <w:r w:rsidRPr="00412A73">
              <w:rPr>
                <w:b/>
              </w:rPr>
              <w:t>Family</w:t>
            </w:r>
            <w:r>
              <w:rPr>
                <w:b/>
              </w:rPr>
              <w:t>-</w:t>
            </w:r>
            <w:r w:rsidRPr="00412A73">
              <w:rPr>
                <w:b/>
              </w:rPr>
              <w:t>inclusive practice</w:t>
            </w:r>
          </w:p>
        </w:tc>
        <w:tc>
          <w:tcPr>
            <w:tcW w:w="7371" w:type="dxa"/>
            <w:shd w:val="clear" w:color="auto" w:fill="auto"/>
          </w:tcPr>
          <w:p w14:paraId="6DBE8938" w14:textId="77777777" w:rsidR="00F61A49" w:rsidRPr="00CF76B2" w:rsidRDefault="00F61A49" w:rsidP="00C71A3A">
            <w:pPr>
              <w:pStyle w:val="DHHStabletext"/>
            </w:pPr>
            <w:r w:rsidRPr="005706E9">
              <w:t xml:space="preserve">A range of </w:t>
            </w:r>
            <w:r>
              <w:t xml:space="preserve">mental health </w:t>
            </w:r>
            <w:r w:rsidRPr="005706E9">
              <w:t xml:space="preserve">activities </w:t>
            </w:r>
            <w:r>
              <w:t>and services that</w:t>
            </w:r>
            <w:r w:rsidRPr="005706E9">
              <w:t xml:space="preserve"> directly involve members of the consumer’s family in </w:t>
            </w:r>
            <w:r>
              <w:t xml:space="preserve">providing </w:t>
            </w:r>
            <w:r w:rsidRPr="005706E9">
              <w:t>their treatment and care</w:t>
            </w:r>
            <w:r>
              <w:t xml:space="preserve"> to support consumer recovery and family wellbeing and functioning</w:t>
            </w:r>
            <w:r w:rsidRPr="005706E9">
              <w:t>.</w:t>
            </w:r>
          </w:p>
        </w:tc>
      </w:tr>
      <w:tr w:rsidR="00F61A49" w14:paraId="43CF1F81" w14:textId="77777777" w:rsidTr="00C71A3A">
        <w:trPr>
          <w:cantSplit/>
        </w:trPr>
        <w:tc>
          <w:tcPr>
            <w:tcW w:w="2098" w:type="dxa"/>
            <w:shd w:val="clear" w:color="auto" w:fill="auto"/>
          </w:tcPr>
          <w:p w14:paraId="2AA05BA4" w14:textId="77777777" w:rsidR="00F61A49" w:rsidRPr="00412A73" w:rsidRDefault="00F61A49" w:rsidP="00C71A3A">
            <w:pPr>
              <w:pStyle w:val="DHHStabletext"/>
              <w:rPr>
                <w:b/>
              </w:rPr>
            </w:pPr>
            <w:r w:rsidRPr="00412A73">
              <w:rPr>
                <w:b/>
              </w:rPr>
              <w:t>Lived experience workforce</w:t>
            </w:r>
          </w:p>
        </w:tc>
        <w:tc>
          <w:tcPr>
            <w:tcW w:w="7371" w:type="dxa"/>
            <w:shd w:val="clear" w:color="auto" w:fill="auto"/>
          </w:tcPr>
          <w:p w14:paraId="64E86DF4" w14:textId="77777777" w:rsidR="00F61A49" w:rsidRPr="00CF76B2" w:rsidRDefault="00F61A49" w:rsidP="00C71A3A">
            <w:pPr>
              <w:pStyle w:val="DHHStabletext"/>
              <w:rPr>
                <w:rFonts w:ascii="Calibri" w:hAnsi="Calibri"/>
                <w:lang w:val="en-US"/>
              </w:rPr>
            </w:pPr>
            <w:r>
              <w:t>The mental health consumer and carer workforce includes consumer and carer workers whose position description specifies that they have a lived experience.</w:t>
            </w:r>
            <w:r w:rsidRPr="00643186">
              <w:t xml:space="preserve"> </w:t>
            </w:r>
            <w:r>
              <w:t>In the public and private mental health and community sectors, consumers and carers are increasingly being employed specifically to provide expertise based on their lived experience and associated skills. They are employed in positions with titles such as consumer advocate or carer advocate, consumer consultant or carer consultant, peer support worker or mentor.</w:t>
            </w:r>
            <w:r w:rsidRPr="00636A9D">
              <w:t xml:space="preserve"> </w:t>
            </w:r>
            <w:r w:rsidRPr="00CF76B2">
              <w:rPr>
                <w:rFonts w:cs="Arial"/>
              </w:rPr>
              <w:t xml:space="preserve">More information on the history of the lived experience workforce in Victoria is available </w:t>
            </w:r>
            <w:r>
              <w:rPr>
                <w:rFonts w:cs="Arial"/>
              </w:rPr>
              <w:t>from the</w:t>
            </w:r>
            <w:hyperlink r:id="rId18" w:history="1">
              <w:r w:rsidRPr="0087438A">
                <w:rPr>
                  <w:rStyle w:val="Hyperlink"/>
                  <w:rFonts w:cs="Arial"/>
                </w:rPr>
                <w:t xml:space="preserve"> Tandem website</w:t>
              </w:r>
            </w:hyperlink>
            <w:r>
              <w:rPr>
                <w:rFonts w:cs="Arial"/>
              </w:rPr>
              <w:t xml:space="preserve"> &lt;</w:t>
            </w:r>
            <w:r w:rsidRPr="009B21E3">
              <w:t>http://www.tandemcarers.org.au/history-of-the-lived-experience-workforce.php&gt;.</w:t>
            </w:r>
          </w:p>
        </w:tc>
      </w:tr>
      <w:tr w:rsidR="00F61A49" w14:paraId="57CE90E9" w14:textId="77777777" w:rsidTr="00C71A3A">
        <w:trPr>
          <w:cantSplit/>
        </w:trPr>
        <w:tc>
          <w:tcPr>
            <w:tcW w:w="2098" w:type="dxa"/>
            <w:shd w:val="clear" w:color="auto" w:fill="auto"/>
          </w:tcPr>
          <w:p w14:paraId="7BF866FC" w14:textId="77777777" w:rsidR="00F61A49" w:rsidRPr="00412A73" w:rsidRDefault="00F61A49" w:rsidP="00C71A3A">
            <w:pPr>
              <w:pStyle w:val="DHHStabletext"/>
              <w:rPr>
                <w:b/>
              </w:rPr>
            </w:pPr>
            <w:r w:rsidRPr="00412A73">
              <w:rPr>
                <w:b/>
                <w:noProof/>
              </w:rPr>
              <w:t>Partnership</w:t>
            </w:r>
          </w:p>
        </w:tc>
        <w:tc>
          <w:tcPr>
            <w:tcW w:w="7371" w:type="dxa"/>
            <w:shd w:val="clear" w:color="auto" w:fill="auto"/>
          </w:tcPr>
          <w:p w14:paraId="0393CA8F" w14:textId="77777777" w:rsidR="00F61A49" w:rsidRDefault="00F61A49" w:rsidP="00C71A3A">
            <w:pPr>
              <w:pStyle w:val="DHHStabletext"/>
            </w:pPr>
            <w:r>
              <w:rPr>
                <w:noProof/>
              </w:rPr>
              <w:t>The act of e</w:t>
            </w:r>
            <w:r w:rsidRPr="002F556B">
              <w:rPr>
                <w:noProof/>
              </w:rPr>
              <w:t xml:space="preserve">ngaging consumers and carers as active participants </w:t>
            </w:r>
            <w:r>
              <w:rPr>
                <w:noProof/>
              </w:rPr>
              <w:t xml:space="preserve">in service development, design and delivery, </w:t>
            </w:r>
            <w:r w:rsidRPr="002F556B">
              <w:rPr>
                <w:noProof/>
              </w:rPr>
              <w:t>and</w:t>
            </w:r>
            <w:r>
              <w:rPr>
                <w:noProof/>
              </w:rPr>
              <w:t xml:space="preserve"> </w:t>
            </w:r>
            <w:r w:rsidRPr="002F556B">
              <w:rPr>
                <w:noProof/>
              </w:rPr>
              <w:t>recognising that carers and famil</w:t>
            </w:r>
            <w:r>
              <w:rPr>
                <w:noProof/>
              </w:rPr>
              <w:t>ies</w:t>
            </w:r>
            <w:r w:rsidRPr="002F556B">
              <w:rPr>
                <w:noProof/>
              </w:rPr>
              <w:t xml:space="preserve"> play a significant </w:t>
            </w:r>
            <w:r>
              <w:rPr>
                <w:noProof/>
              </w:rPr>
              <w:t xml:space="preserve">role in the lives of consumers. </w:t>
            </w:r>
            <w:r w:rsidRPr="002F556B">
              <w:rPr>
                <w:noProof/>
              </w:rPr>
              <w:t xml:space="preserve">Partnership requires </w:t>
            </w:r>
            <w:r>
              <w:rPr>
                <w:noProof/>
              </w:rPr>
              <w:t>departmental staff</w:t>
            </w:r>
            <w:r w:rsidRPr="002F556B">
              <w:rPr>
                <w:noProof/>
              </w:rPr>
              <w:t xml:space="preserve"> to consciously work with</w:t>
            </w:r>
            <w:r>
              <w:rPr>
                <w:noProof/>
              </w:rPr>
              <w:t xml:space="preserve"> consumers and carers </w:t>
            </w:r>
            <w:r w:rsidRPr="002F556B">
              <w:rPr>
                <w:noProof/>
              </w:rPr>
              <w:t>in a proactive manner.</w:t>
            </w:r>
          </w:p>
        </w:tc>
      </w:tr>
      <w:tr w:rsidR="00F61A49" w14:paraId="2462593B" w14:textId="77777777" w:rsidTr="00C71A3A">
        <w:trPr>
          <w:cantSplit/>
        </w:trPr>
        <w:tc>
          <w:tcPr>
            <w:tcW w:w="2098" w:type="dxa"/>
            <w:shd w:val="clear" w:color="auto" w:fill="auto"/>
          </w:tcPr>
          <w:p w14:paraId="2A9A26FE" w14:textId="77777777" w:rsidR="00F61A49" w:rsidRPr="00412A73" w:rsidRDefault="00F61A49" w:rsidP="00C71A3A">
            <w:pPr>
              <w:pStyle w:val="DHHStabletext"/>
              <w:rPr>
                <w:b/>
              </w:rPr>
            </w:pPr>
            <w:r w:rsidRPr="00412A73">
              <w:rPr>
                <w:b/>
              </w:rPr>
              <w:t>Patient</w:t>
            </w:r>
          </w:p>
        </w:tc>
        <w:tc>
          <w:tcPr>
            <w:tcW w:w="7371" w:type="dxa"/>
            <w:shd w:val="clear" w:color="auto" w:fill="auto"/>
          </w:tcPr>
          <w:p w14:paraId="76D6AAC6" w14:textId="77777777" w:rsidR="00F61A49" w:rsidRPr="00273FCB" w:rsidRDefault="00F61A49" w:rsidP="00C71A3A">
            <w:pPr>
              <w:pStyle w:val="DHHStabletext"/>
            </w:pPr>
            <w:r>
              <w:t>U</w:t>
            </w:r>
            <w:r w:rsidRPr="005706E9">
              <w:t>n</w:t>
            </w:r>
            <w:r>
              <w:t xml:space="preserve">der the </w:t>
            </w:r>
            <w:r w:rsidRPr="00CF76B2">
              <w:rPr>
                <w:i/>
              </w:rPr>
              <w:t>Mental Health Act 2014</w:t>
            </w:r>
            <w:r>
              <w:t>, p</w:t>
            </w:r>
            <w:r w:rsidRPr="005706E9">
              <w:t>ati</w:t>
            </w:r>
            <w:r>
              <w:t>ent means a compulsory patient, a security patient</w:t>
            </w:r>
            <w:r w:rsidRPr="005706E9">
              <w:t xml:space="preserve"> or a forensic patient</w:t>
            </w:r>
            <w:r>
              <w:t>.</w:t>
            </w:r>
            <w:r w:rsidRPr="005706E9">
              <w:t xml:space="preserve"> </w:t>
            </w:r>
          </w:p>
        </w:tc>
      </w:tr>
      <w:tr w:rsidR="00F61A49" w14:paraId="37FE89D8" w14:textId="77777777" w:rsidTr="00C71A3A">
        <w:trPr>
          <w:cantSplit/>
        </w:trPr>
        <w:tc>
          <w:tcPr>
            <w:tcW w:w="2098" w:type="dxa"/>
            <w:shd w:val="clear" w:color="auto" w:fill="auto"/>
          </w:tcPr>
          <w:p w14:paraId="6C05E41A" w14:textId="77777777" w:rsidR="00F61A49" w:rsidRPr="00412A73" w:rsidRDefault="00F61A49" w:rsidP="00C71A3A">
            <w:pPr>
              <w:pStyle w:val="DHHStabletext"/>
              <w:rPr>
                <w:b/>
              </w:rPr>
            </w:pPr>
            <w:r w:rsidRPr="00412A73">
              <w:rPr>
                <w:b/>
                <w:noProof/>
              </w:rPr>
              <w:t xml:space="preserve">Power </w:t>
            </w:r>
            <w:r>
              <w:rPr>
                <w:b/>
                <w:noProof/>
              </w:rPr>
              <w:t>i</w:t>
            </w:r>
            <w:r w:rsidRPr="00412A73">
              <w:rPr>
                <w:b/>
                <w:noProof/>
              </w:rPr>
              <w:t>mbalance</w:t>
            </w:r>
          </w:p>
        </w:tc>
        <w:tc>
          <w:tcPr>
            <w:tcW w:w="7371" w:type="dxa"/>
            <w:shd w:val="clear" w:color="auto" w:fill="auto"/>
          </w:tcPr>
          <w:p w14:paraId="390CB813" w14:textId="77777777" w:rsidR="00F61A49" w:rsidRPr="00CF76B2" w:rsidRDefault="00F61A49" w:rsidP="00C71A3A">
            <w:pPr>
              <w:pStyle w:val="DHHStabletext"/>
              <w:rPr>
                <w:noProof/>
              </w:rPr>
            </w:pPr>
            <w:r w:rsidRPr="00CC56CF">
              <w:rPr>
                <w:noProof/>
              </w:rPr>
              <w:t xml:space="preserve">Power imbalance occurs when society provides advantage to one group over another. Mental health consumers </w:t>
            </w:r>
            <w:r>
              <w:rPr>
                <w:noProof/>
              </w:rPr>
              <w:t>are</w:t>
            </w:r>
            <w:r w:rsidRPr="00CC56CF">
              <w:rPr>
                <w:noProof/>
              </w:rPr>
              <w:t xml:space="preserve"> one such group.</w:t>
            </w:r>
            <w:r>
              <w:rPr>
                <w:noProof/>
              </w:rPr>
              <w:t xml:space="preserve"> Consumers </w:t>
            </w:r>
            <w:r w:rsidRPr="00CC56CF">
              <w:rPr>
                <w:noProof/>
              </w:rPr>
              <w:t xml:space="preserve">can be treated against </w:t>
            </w:r>
            <w:r>
              <w:rPr>
                <w:noProof/>
              </w:rPr>
              <w:t>their</w:t>
            </w:r>
            <w:r w:rsidRPr="00CC56CF">
              <w:rPr>
                <w:noProof/>
              </w:rPr>
              <w:t xml:space="preserve"> will, restrained against </w:t>
            </w:r>
            <w:r>
              <w:rPr>
                <w:noProof/>
              </w:rPr>
              <w:t>their</w:t>
            </w:r>
            <w:r w:rsidRPr="00CC56CF">
              <w:rPr>
                <w:noProof/>
              </w:rPr>
              <w:t xml:space="preserve"> will, have decisions made against </w:t>
            </w:r>
            <w:r>
              <w:rPr>
                <w:noProof/>
              </w:rPr>
              <w:t>their</w:t>
            </w:r>
            <w:r w:rsidRPr="00CC56CF">
              <w:rPr>
                <w:noProof/>
              </w:rPr>
              <w:t xml:space="preserve"> will and consequently the wealth of knowledge that consumers have is </w:t>
            </w:r>
            <w:r>
              <w:rPr>
                <w:noProof/>
              </w:rPr>
              <w:t xml:space="preserve">often </w:t>
            </w:r>
            <w:r w:rsidRPr="00CC56CF">
              <w:rPr>
                <w:noProof/>
              </w:rPr>
              <w:t>ignored.</w:t>
            </w:r>
            <w:r>
              <w:rPr>
                <w:noProof/>
              </w:rPr>
              <w:t xml:space="preserve"> </w:t>
            </w:r>
            <w:r w:rsidRPr="00CC56CF">
              <w:rPr>
                <w:noProof/>
              </w:rPr>
              <w:t xml:space="preserve">The outcome of a power </w:t>
            </w:r>
            <w:r>
              <w:rPr>
                <w:noProof/>
              </w:rPr>
              <w:t>i</w:t>
            </w:r>
            <w:r w:rsidRPr="00CC56CF">
              <w:rPr>
                <w:noProof/>
              </w:rPr>
              <w:t>mbalance is tokenism</w:t>
            </w:r>
            <w:r>
              <w:rPr>
                <w:noProof/>
              </w:rPr>
              <w:t>, where consumers are only given limited capacity to contribute</w:t>
            </w:r>
            <w:r w:rsidRPr="00CC56CF">
              <w:rPr>
                <w:noProof/>
              </w:rPr>
              <w:t>.</w:t>
            </w:r>
            <w:r>
              <w:rPr>
                <w:noProof/>
              </w:rPr>
              <w:t xml:space="preserve"> </w:t>
            </w:r>
            <w:r w:rsidRPr="00CC56CF">
              <w:rPr>
                <w:noProof/>
              </w:rPr>
              <w:t xml:space="preserve">It is important to address this </w:t>
            </w:r>
            <w:r>
              <w:rPr>
                <w:noProof/>
              </w:rPr>
              <w:t>i</w:t>
            </w:r>
            <w:r w:rsidRPr="00CC56CF">
              <w:rPr>
                <w:noProof/>
              </w:rPr>
              <w:t>mbalance by resourcing consumers to have productive participation.</w:t>
            </w:r>
            <w:r w:rsidRPr="00CF76B2">
              <w:rPr>
                <w:noProof/>
              </w:rPr>
              <w:t xml:space="preserve"> </w:t>
            </w:r>
          </w:p>
        </w:tc>
      </w:tr>
      <w:tr w:rsidR="00F61A49" w14:paraId="65909EE0" w14:textId="77777777" w:rsidTr="00C71A3A">
        <w:trPr>
          <w:cantSplit/>
        </w:trPr>
        <w:tc>
          <w:tcPr>
            <w:tcW w:w="2098" w:type="dxa"/>
            <w:shd w:val="clear" w:color="auto" w:fill="auto"/>
          </w:tcPr>
          <w:p w14:paraId="3AFAEE3F" w14:textId="77777777" w:rsidR="00F61A49" w:rsidRPr="00412A73" w:rsidRDefault="00F61A49" w:rsidP="00C71A3A">
            <w:pPr>
              <w:pStyle w:val="DHHStabletext"/>
              <w:rPr>
                <w:b/>
              </w:rPr>
            </w:pPr>
            <w:r w:rsidRPr="00412A73">
              <w:rPr>
                <w:b/>
                <w:noProof/>
              </w:rPr>
              <w:t>Stakeholder</w:t>
            </w:r>
          </w:p>
        </w:tc>
        <w:tc>
          <w:tcPr>
            <w:tcW w:w="7371" w:type="dxa"/>
            <w:shd w:val="clear" w:color="auto" w:fill="auto"/>
          </w:tcPr>
          <w:p w14:paraId="4792CB5E" w14:textId="77777777" w:rsidR="00F61A49" w:rsidRPr="00CF76B2" w:rsidRDefault="00F61A49" w:rsidP="00C71A3A">
            <w:pPr>
              <w:pStyle w:val="DHHStabletext"/>
            </w:pPr>
            <w:r w:rsidRPr="00CF76B2">
              <w:rPr>
                <w:noProof/>
              </w:rPr>
              <w:t>Any individual, group, organisation or political entity with an interest or stake in the outcome of a decision. Stakeholders can be consumers, family members or carers, other community members, policymakers, service providers or other organisations involved with an interest, motivation or need to participate.</w:t>
            </w:r>
          </w:p>
        </w:tc>
      </w:tr>
    </w:tbl>
    <w:p w14:paraId="782BED62" w14:textId="77777777" w:rsidR="00F61A49" w:rsidRDefault="00F61A49" w:rsidP="00F61A49">
      <w:pPr>
        <w:pStyle w:val="DHHSbody"/>
        <w:spacing w:line="240" w:lineRule="auto"/>
        <w:ind w:left="1440" w:hanging="1440"/>
        <w:rPr>
          <w:b/>
        </w:rPr>
      </w:pPr>
    </w:p>
    <w:bookmarkEnd w:id="16"/>
    <w:p w14:paraId="483ECC07" w14:textId="77777777" w:rsidR="00F61A49" w:rsidRDefault="00F61A49" w:rsidP="00F61A49">
      <w:pPr>
        <w:pStyle w:val="Heading1"/>
      </w:pPr>
      <w:r>
        <w:br w:type="page"/>
      </w:r>
      <w:bookmarkStart w:id="18" w:name="_Toc13830187"/>
      <w:r>
        <w:lastRenderedPageBreak/>
        <w:t>Preface</w:t>
      </w:r>
      <w:bookmarkEnd w:id="18"/>
    </w:p>
    <w:p w14:paraId="2C25F319" w14:textId="77777777" w:rsidR="00F61A49" w:rsidRPr="00982BE5" w:rsidRDefault="00F61A49" w:rsidP="00F61A49">
      <w:pPr>
        <w:pStyle w:val="Heading2"/>
        <w:rPr>
          <w:noProof/>
          <w:lang w:eastAsia="en-AU"/>
        </w:rPr>
      </w:pPr>
      <w:bookmarkStart w:id="19" w:name="_Toc13830188"/>
      <w:r w:rsidRPr="000417D8">
        <w:rPr>
          <w:noProof/>
          <w:lang w:eastAsia="en-AU"/>
        </w:rPr>
        <w:t xml:space="preserve">Why we </w:t>
      </w:r>
      <w:r>
        <w:rPr>
          <w:noProof/>
          <w:lang w:eastAsia="en-AU"/>
        </w:rPr>
        <w:t xml:space="preserve">need a mental health lived experience </w:t>
      </w:r>
      <w:r w:rsidRPr="000417D8">
        <w:rPr>
          <w:noProof/>
          <w:lang w:eastAsia="en-AU"/>
        </w:rPr>
        <w:t>engage</w:t>
      </w:r>
      <w:r>
        <w:rPr>
          <w:noProof/>
          <w:lang w:eastAsia="en-AU"/>
        </w:rPr>
        <w:t>ment framework</w:t>
      </w:r>
      <w:bookmarkEnd w:id="19"/>
    </w:p>
    <w:p w14:paraId="46EBD5A8" w14:textId="77777777" w:rsidR="00F61A49" w:rsidRDefault="00F61A49" w:rsidP="00F61A49">
      <w:pPr>
        <w:pStyle w:val="DHHSbody"/>
      </w:pPr>
      <w:r>
        <w:t>The people who use our services are in an ideal position to shape them. P</w:t>
      </w:r>
      <w:r w:rsidRPr="001065C2">
        <w:t>articipation</w:t>
      </w:r>
      <w:r>
        <w:t xml:space="preserve"> by the people who use our services</w:t>
      </w:r>
      <w:r w:rsidRPr="001065C2">
        <w:t xml:space="preserve"> </w:t>
      </w:r>
      <w:r>
        <w:t>is</w:t>
      </w:r>
      <w:r w:rsidRPr="001065C2">
        <w:t xml:space="preserve"> integral to </w:t>
      </w:r>
      <w:r>
        <w:t>ensuring that we develop</w:t>
      </w:r>
      <w:r w:rsidRPr="001065C2">
        <w:t>, implement and evaluat</w:t>
      </w:r>
      <w:r>
        <w:t xml:space="preserve">e </w:t>
      </w:r>
      <w:r w:rsidRPr="001065C2">
        <w:t xml:space="preserve">services and policies that </w:t>
      </w:r>
      <w:r>
        <w:t xml:space="preserve">best </w:t>
      </w:r>
      <w:r w:rsidRPr="001065C2">
        <w:t>support Victorians to be healthy, safe and able to lead a life they value.</w:t>
      </w:r>
      <w:r>
        <w:t xml:space="preserve"> This document is both recognition of this and a guide to improving the way the Department of Health and Human Services puts this approach into practice. </w:t>
      </w:r>
    </w:p>
    <w:p w14:paraId="6070641F" w14:textId="77777777" w:rsidR="00F61A49" w:rsidRDefault="00F61A49" w:rsidP="00F61A49">
      <w:pPr>
        <w:pStyle w:val="DHHSbody"/>
      </w:pPr>
      <w:r w:rsidRPr="001065C2">
        <w:t xml:space="preserve">As we drive </w:t>
      </w:r>
      <w:r>
        <w:t xml:space="preserve">mental health </w:t>
      </w:r>
      <w:r w:rsidRPr="001065C2">
        <w:t>reform across our programs and services, we must engage e</w:t>
      </w:r>
      <w:r>
        <w:t xml:space="preserve">ffectively with consumers and carers, </w:t>
      </w:r>
      <w:r w:rsidRPr="001065C2">
        <w:t>our workforce</w:t>
      </w:r>
      <w:r>
        <w:t xml:space="preserve"> and </w:t>
      </w:r>
      <w:r w:rsidRPr="001065C2">
        <w:t>the broader community</w:t>
      </w:r>
      <w:r>
        <w:t xml:space="preserve">. </w:t>
      </w:r>
      <w:r w:rsidRPr="001065C2">
        <w:t>To do this, we</w:t>
      </w:r>
      <w:r>
        <w:t xml:space="preserve"> recognise that our </w:t>
      </w:r>
      <w:r w:rsidRPr="001065C2">
        <w:t xml:space="preserve">engagement activities </w:t>
      </w:r>
      <w:r>
        <w:t>require a paradigm</w:t>
      </w:r>
      <w:r w:rsidRPr="001065C2">
        <w:t xml:space="preserve"> shift from traditional ‘deli</w:t>
      </w:r>
      <w:r>
        <w:t xml:space="preserve">ver and inform’ methods to ‘involve and </w:t>
      </w:r>
      <w:r w:rsidRPr="001065C2">
        <w:t>collaborate’</w:t>
      </w:r>
      <w:r>
        <w:t xml:space="preserve"> through co-design and co-production approaches</w:t>
      </w:r>
      <w:r w:rsidRPr="001065C2">
        <w:t xml:space="preserve">. </w:t>
      </w:r>
    </w:p>
    <w:p w14:paraId="52BDEE26" w14:textId="77777777" w:rsidR="00F61A49" w:rsidRPr="001065C2" w:rsidRDefault="00F61A49" w:rsidP="00F61A49">
      <w:pPr>
        <w:pStyle w:val="DHHSbody"/>
      </w:pPr>
      <w:r w:rsidRPr="001065C2">
        <w:t xml:space="preserve">Public participation enables Victorians </w:t>
      </w:r>
      <w:r>
        <w:t xml:space="preserve">to develop </w:t>
      </w:r>
      <w:r w:rsidRPr="001065C2">
        <w:t>an improved understanding of government processes and to</w:t>
      </w:r>
      <w:r>
        <w:t xml:space="preserve"> effectively</w:t>
      </w:r>
      <w:r w:rsidRPr="001065C2">
        <w:t xml:space="preserve"> </w:t>
      </w:r>
      <w:r>
        <w:t>influence</w:t>
      </w:r>
      <w:r w:rsidRPr="001065C2">
        <w:t xml:space="preserve"> government decision making</w:t>
      </w:r>
      <w:r>
        <w:t xml:space="preserve">. </w:t>
      </w:r>
      <w:r w:rsidRPr="001065C2">
        <w:t xml:space="preserve">This </w:t>
      </w:r>
      <w:r>
        <w:t>framework</w:t>
      </w:r>
      <w:r w:rsidRPr="001065C2">
        <w:t xml:space="preserve"> focuses on </w:t>
      </w:r>
      <w:r>
        <w:t xml:space="preserve">increasing public participation within a mental health context, and in doing so places consumers and carers at the centre. </w:t>
      </w:r>
    </w:p>
    <w:p w14:paraId="5B660F6E" w14:textId="77777777" w:rsidR="00F61A49" w:rsidRDefault="00F61A49" w:rsidP="00F61A49">
      <w:pPr>
        <w:pStyle w:val="DHHSbody"/>
      </w:pPr>
      <w:r>
        <w:t>Mental health consumers, their families and carers often experience</w:t>
      </w:r>
      <w:r w:rsidRPr="00D531D5">
        <w:t xml:space="preserve"> </w:t>
      </w:r>
      <w:r>
        <w:t>stigma, discrimination and disempowerment</w:t>
      </w:r>
      <w:r w:rsidRPr="001065C2">
        <w:t xml:space="preserve">. </w:t>
      </w:r>
      <w:r>
        <w:t>A willingness to understand and address these</w:t>
      </w:r>
      <w:r w:rsidRPr="001065C2">
        <w:t xml:space="preserve"> </w:t>
      </w:r>
      <w:r>
        <w:t>is essential to creating an environment in which effective engagement is possible</w:t>
      </w:r>
      <w:r w:rsidRPr="001065C2">
        <w:t>.</w:t>
      </w:r>
      <w:r>
        <w:t xml:space="preserve"> This framework aims to provide insight into the barriers and enablers to facilitating this. It also reinforces the unique role that people with a lived experience have in informing our work.</w:t>
      </w:r>
    </w:p>
    <w:p w14:paraId="756AD0D0" w14:textId="77777777" w:rsidR="00F61A49" w:rsidRPr="001065C2" w:rsidRDefault="00F61A49" w:rsidP="00F61A49">
      <w:pPr>
        <w:pStyle w:val="DHHSbody"/>
      </w:pPr>
      <w:r>
        <w:t xml:space="preserve">People </w:t>
      </w:r>
      <w:r w:rsidRPr="002F556B">
        <w:t>have the right to participat</w:t>
      </w:r>
      <w:r>
        <w:t xml:space="preserve">e individually and collectively </w:t>
      </w:r>
      <w:r w:rsidRPr="002F556B">
        <w:t>in all areas of decision</w:t>
      </w:r>
      <w:r>
        <w:t xml:space="preserve"> </w:t>
      </w:r>
      <w:r w:rsidRPr="002F556B">
        <w:t xml:space="preserve">making that </w:t>
      </w:r>
      <w:r>
        <w:t>affect</w:t>
      </w:r>
      <w:r w:rsidRPr="002F556B">
        <w:t xml:space="preserve"> their </w:t>
      </w:r>
      <w:r>
        <w:t>mental health and wellbeing and to be offered genuine and meaningful choices about their care, treatment and circumstances</w:t>
      </w:r>
      <w:r w:rsidRPr="002F556B">
        <w:t>.</w:t>
      </w:r>
      <w:r>
        <w:t xml:space="preserve"> This extends to developing and improving the services they use. </w:t>
      </w:r>
    </w:p>
    <w:p w14:paraId="1DD9C44F" w14:textId="77777777" w:rsidR="00F61A49" w:rsidRDefault="00F61A49" w:rsidP="00F61A49">
      <w:pPr>
        <w:pStyle w:val="DHHSbody"/>
      </w:pPr>
      <w:r w:rsidRPr="001065C2">
        <w:t xml:space="preserve">There are many examples of good engagement practice within the department. However, </w:t>
      </w:r>
      <w:r>
        <w:t xml:space="preserve">the way lived experience engagement is practised is not always consistent or </w:t>
      </w:r>
      <w:r w:rsidRPr="001065C2">
        <w:t>coordinated.</w:t>
      </w:r>
      <w:r>
        <w:t xml:space="preserve"> </w:t>
      </w:r>
      <w:r w:rsidRPr="001065C2">
        <w:t xml:space="preserve">Feedback from </w:t>
      </w:r>
      <w:r>
        <w:t xml:space="preserve">departmental </w:t>
      </w:r>
      <w:r w:rsidRPr="001065C2">
        <w:t>staff has highlighted an inconsistent understanding of expectations around</w:t>
      </w:r>
      <w:r>
        <w:t xml:space="preserve"> engagement and participation,</w:t>
      </w:r>
      <w:r w:rsidRPr="001065C2">
        <w:t xml:space="preserve"> uncertainty a</w:t>
      </w:r>
      <w:r>
        <w:t xml:space="preserve">bout roles and responsibilities, and the need to build clear co-design and co-production methodologies. </w:t>
      </w:r>
      <w:r w:rsidRPr="001065C2">
        <w:t>These issues hinder trust</w:t>
      </w:r>
      <w:r>
        <w:t xml:space="preserve"> </w:t>
      </w:r>
      <w:r w:rsidRPr="001065C2">
        <w:t>with our partners and the public and need to be addressed</w:t>
      </w:r>
      <w:r>
        <w:t>, and this document is a significant step towards doing so.</w:t>
      </w:r>
    </w:p>
    <w:p w14:paraId="464CD135" w14:textId="77777777" w:rsidR="00F61A49" w:rsidRDefault="00F61A49" w:rsidP="00F61A49">
      <w:pPr>
        <w:pStyle w:val="DHHSbody"/>
      </w:pPr>
      <w:r>
        <w:t xml:space="preserve">This framework has been co-produced with consumers and carers and represents a commitment to developing these necessary partnership approaches. I encourage you to use it as you consider the future of our mental health services together with Victoria’s consumers and carers. </w:t>
      </w:r>
    </w:p>
    <w:p w14:paraId="0C02B52D" w14:textId="77777777" w:rsidR="00F61A49" w:rsidRPr="001065C2" w:rsidRDefault="00F61A49" w:rsidP="00F61A49">
      <w:pPr>
        <w:pStyle w:val="DHHSbody"/>
      </w:pPr>
    </w:p>
    <w:p w14:paraId="5EED276F" w14:textId="77777777" w:rsidR="00F61A49" w:rsidRDefault="00F61A49" w:rsidP="00F61A49">
      <w:pPr>
        <w:pStyle w:val="DHHSbody"/>
      </w:pPr>
      <w:r>
        <w:t>Matthew Hercus</w:t>
      </w:r>
    </w:p>
    <w:p w14:paraId="4B0EADFB" w14:textId="77777777" w:rsidR="00F61A49" w:rsidRDefault="00F61A49" w:rsidP="00F61A49">
      <w:pPr>
        <w:pStyle w:val="DHHSbody"/>
        <w:spacing w:after="0"/>
      </w:pPr>
      <w:r>
        <w:t xml:space="preserve">Director </w:t>
      </w:r>
    </w:p>
    <w:p w14:paraId="0D355C2A" w14:textId="77777777" w:rsidR="00F61A49" w:rsidRDefault="00F61A49" w:rsidP="00F61A49">
      <w:pPr>
        <w:pStyle w:val="DHHSbody"/>
        <w:spacing w:after="0"/>
      </w:pPr>
      <w:r>
        <w:t>Mental Health Branch</w:t>
      </w:r>
    </w:p>
    <w:p w14:paraId="531D72E6" w14:textId="77777777" w:rsidR="00F61A49" w:rsidRDefault="00F61A49" w:rsidP="00F61A49">
      <w:pPr>
        <w:pStyle w:val="DHHSbody"/>
        <w:spacing w:after="0"/>
      </w:pPr>
      <w:r>
        <w:t>Department of Health and Human Services</w:t>
      </w:r>
    </w:p>
    <w:p w14:paraId="2BCDD1E0" w14:textId="77777777" w:rsidR="00F61A49" w:rsidRDefault="00F61A49" w:rsidP="00F61A49">
      <w:pPr>
        <w:pStyle w:val="DHHSbody"/>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61A49" w14:paraId="054C51DC" w14:textId="77777777" w:rsidTr="00C71A3A">
        <w:tc>
          <w:tcPr>
            <w:tcW w:w="9242" w:type="dxa"/>
            <w:shd w:val="clear" w:color="auto" w:fill="auto"/>
          </w:tcPr>
          <w:p w14:paraId="11F93C92" w14:textId="77777777" w:rsidR="00F61A49" w:rsidRPr="0085314C" w:rsidRDefault="00F61A49" w:rsidP="00C71A3A">
            <w:pPr>
              <w:pStyle w:val="DHHStablecolhead"/>
            </w:pPr>
            <w:r w:rsidRPr="0085314C">
              <w:lastRenderedPageBreak/>
              <w:t xml:space="preserve">Testimony: Departmental </w:t>
            </w:r>
            <w:r>
              <w:t>p</w:t>
            </w:r>
            <w:r w:rsidRPr="0085314C">
              <w:t>erspective</w:t>
            </w:r>
          </w:p>
          <w:p w14:paraId="21955760" w14:textId="77777777" w:rsidR="00F61A49" w:rsidRDefault="00F61A49" w:rsidP="00C71A3A">
            <w:pPr>
              <w:pStyle w:val="DHHStabletext"/>
            </w:pPr>
            <w:r>
              <w:t xml:space="preserve">This document is the result of a process of engaging with consumers and carers from the outset. Not only does it outline multiple strategies and approaches for consumer and carer engagement, the production of the document itself models the strategies stated. Through articulating the process of consumer and carer engagement it also emphasises that one strategy is not enough to ensure maximum participation. The right to public participation in government processes, and the way this is put into practice, is therefore at the heart of the document. </w:t>
            </w:r>
          </w:p>
          <w:p w14:paraId="7945C966" w14:textId="77777777" w:rsidR="00F61A49" w:rsidRPr="00CF76B2" w:rsidRDefault="00F61A49" w:rsidP="00C71A3A">
            <w:pPr>
              <w:autoSpaceDE w:val="0"/>
              <w:autoSpaceDN w:val="0"/>
              <w:adjustRightInd w:val="0"/>
              <w:spacing w:after="120"/>
              <w:rPr>
                <w:rFonts w:cs="Arial"/>
                <w:i/>
              </w:rPr>
            </w:pPr>
            <w:r w:rsidRPr="00CF76B2">
              <w:rPr>
                <w:rFonts w:ascii="Helv" w:hAnsi="Helv" w:cs="Helv"/>
                <w:i/>
                <w:color w:val="000000"/>
              </w:rPr>
              <w:t>Julie Anderson, Senior Consumer Advisor, Mental Health Branch</w:t>
            </w:r>
          </w:p>
        </w:tc>
      </w:tr>
    </w:tbl>
    <w:p w14:paraId="5BED0584" w14:textId="77777777" w:rsidR="00F61A49" w:rsidRDefault="00F61A49" w:rsidP="00F61A49">
      <w:pPr>
        <w:pStyle w:val="DHHS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61A49" w14:paraId="5B2242FC" w14:textId="77777777" w:rsidTr="00C71A3A">
        <w:tc>
          <w:tcPr>
            <w:tcW w:w="9242" w:type="dxa"/>
            <w:shd w:val="clear" w:color="auto" w:fill="auto"/>
          </w:tcPr>
          <w:p w14:paraId="2EF97351" w14:textId="77777777" w:rsidR="00F61A49" w:rsidRPr="0085314C" w:rsidRDefault="00F61A49" w:rsidP="00C71A3A">
            <w:pPr>
              <w:pStyle w:val="DHHStablecolhead"/>
            </w:pPr>
            <w:r w:rsidRPr="0085314C">
              <w:t xml:space="preserve">Testimony: Departmental </w:t>
            </w:r>
            <w:r>
              <w:t>p</w:t>
            </w:r>
            <w:r w:rsidRPr="0085314C">
              <w:t>erspective</w:t>
            </w:r>
          </w:p>
          <w:p w14:paraId="32C9C684" w14:textId="77777777" w:rsidR="00F61A49" w:rsidRDefault="00F61A49" w:rsidP="00C71A3A">
            <w:pPr>
              <w:pStyle w:val="DHHStabletext"/>
            </w:pPr>
            <w:r>
              <w:t>This document provides a very real opportunity for our staff to develop contemporary approaches to engagement with people with lived experience of mental illness. Consumers, carers and departmental staff have come together to describe what, and importantly how, we would like to engage. It recognises that staff come from many walks of life – they may not know the language, the history or the impacts of power in a mental health context. It recognises that often people are working hard with what they have got and provides resources to help them plan and engage with stakeholders who have lived experience of mental ill-health. It welcomes and guides staff to initiate and consider engagement at the start of every project and decision-making process while acknowledging that staff need fluid approaches that can respond to the demands and deadlines of the everyday. In reading this, I feel more confident that I can approach and talk to other staff to suggest they consider greater consultation, involvement and engagement with consumers and carers, and support a shared language and approach to achieving this. Moving beyond a single invite at the end of a design, having a formal framework can define and set benchmarks. It helps me test and support whether we are talking about the same thing.</w:t>
            </w:r>
          </w:p>
          <w:p w14:paraId="01D17280" w14:textId="77777777" w:rsidR="00F61A49" w:rsidRPr="00CF76B2" w:rsidRDefault="00F61A49" w:rsidP="00C71A3A">
            <w:pPr>
              <w:autoSpaceDE w:val="0"/>
              <w:autoSpaceDN w:val="0"/>
              <w:adjustRightInd w:val="0"/>
              <w:spacing w:after="120"/>
              <w:rPr>
                <w:rFonts w:cs="Arial"/>
                <w:i/>
              </w:rPr>
            </w:pPr>
            <w:r w:rsidRPr="00CF76B2">
              <w:rPr>
                <w:rFonts w:ascii="Helv" w:hAnsi="Helv" w:cs="Helv"/>
                <w:i/>
                <w:color w:val="000000"/>
              </w:rPr>
              <w:t>Frances Sanders, Senior Carer Advisor, Mental Health Branch</w:t>
            </w:r>
          </w:p>
        </w:tc>
      </w:tr>
    </w:tbl>
    <w:p w14:paraId="4C709703" w14:textId="77777777" w:rsidR="00F61A49" w:rsidRDefault="00F61A49" w:rsidP="00F61A49">
      <w:pPr>
        <w:pStyle w:val="DHHSbody"/>
      </w:pPr>
    </w:p>
    <w:p w14:paraId="165E3A4A" w14:textId="77777777" w:rsidR="00F61A49" w:rsidRPr="002C10D9" w:rsidRDefault="00F61A49" w:rsidP="00F61A49">
      <w:pPr>
        <w:pStyle w:val="DHHSbody"/>
      </w:pPr>
    </w:p>
    <w:p w14:paraId="37EEE773" w14:textId="77777777" w:rsidR="00F61A49" w:rsidRDefault="00F61A49" w:rsidP="00F61A49">
      <w:pPr>
        <w:pStyle w:val="Heading1"/>
        <w:rPr>
          <w:rStyle w:val="Heading2Char"/>
        </w:rPr>
      </w:pPr>
      <w:r>
        <w:br w:type="page"/>
      </w:r>
      <w:bookmarkStart w:id="20" w:name="_Toc534374304"/>
      <w:bookmarkStart w:id="21" w:name="_Toc13830189"/>
      <w:r>
        <w:lastRenderedPageBreak/>
        <w:t>Policy context</w:t>
      </w:r>
      <w:r>
        <w:br/>
      </w:r>
      <w:r w:rsidRPr="003336E8">
        <w:rPr>
          <w:rStyle w:val="Heading2Char"/>
        </w:rPr>
        <w:t>Mental Health Expert Taskforce</w:t>
      </w:r>
      <w:bookmarkEnd w:id="20"/>
      <w:bookmarkEnd w:id="21"/>
    </w:p>
    <w:p w14:paraId="6331F3F4" w14:textId="77777777" w:rsidR="00F61A49" w:rsidRPr="003336E8" w:rsidRDefault="00F61A49" w:rsidP="00F61A49">
      <w:pPr>
        <w:pStyle w:val="DHHSbody"/>
        <w:rPr>
          <w:lang w:eastAsia="en-AU"/>
        </w:rPr>
      </w:pPr>
      <w:r>
        <w:rPr>
          <w:lang w:eastAsia="en-AU"/>
        </w:rPr>
        <w:t xml:space="preserve">In 2016 the Victorian </w:t>
      </w:r>
      <w:r w:rsidRPr="003336E8">
        <w:rPr>
          <w:lang w:eastAsia="en-AU"/>
        </w:rPr>
        <w:t>Minister for Mental Health</w:t>
      </w:r>
      <w:r>
        <w:rPr>
          <w:lang w:eastAsia="en-AU"/>
        </w:rPr>
        <w:t xml:space="preserve"> established</w:t>
      </w:r>
      <w:r w:rsidRPr="003336E8">
        <w:rPr>
          <w:lang w:eastAsia="en-AU"/>
        </w:rPr>
        <w:t xml:space="preserve"> </w:t>
      </w:r>
      <w:r>
        <w:rPr>
          <w:lang w:eastAsia="en-AU"/>
        </w:rPr>
        <w:t>the Mental Health Expert Taskforce. The taskforce’s role was</w:t>
      </w:r>
      <w:r w:rsidRPr="003336E8">
        <w:rPr>
          <w:lang w:eastAsia="en-AU"/>
        </w:rPr>
        <w:t xml:space="preserve"> </w:t>
      </w:r>
      <w:r>
        <w:rPr>
          <w:lang w:eastAsia="en-AU"/>
        </w:rPr>
        <w:t>to provide</w:t>
      </w:r>
      <w:r w:rsidRPr="003336E8">
        <w:rPr>
          <w:lang w:eastAsia="en-AU"/>
        </w:rPr>
        <w:t xml:space="preserve"> guidance and advice on implement</w:t>
      </w:r>
      <w:r>
        <w:rPr>
          <w:lang w:eastAsia="en-AU"/>
        </w:rPr>
        <w:t>ing</w:t>
      </w:r>
      <w:r w:rsidRPr="003336E8">
        <w:rPr>
          <w:lang w:eastAsia="en-AU"/>
        </w:rPr>
        <w:t xml:space="preserve"> </w:t>
      </w:r>
      <w:r w:rsidRPr="003A50CD">
        <w:rPr>
          <w:i/>
          <w:lang w:eastAsia="en-AU"/>
        </w:rPr>
        <w:t>Victoria's 10-year mental health plan</w:t>
      </w:r>
      <w:r>
        <w:rPr>
          <w:lang w:eastAsia="en-AU"/>
        </w:rPr>
        <w:t xml:space="preserve">. The taskforce </w:t>
      </w:r>
      <w:r w:rsidRPr="003336E8">
        <w:rPr>
          <w:lang w:eastAsia="en-AU"/>
        </w:rPr>
        <w:t>reflect</w:t>
      </w:r>
      <w:r>
        <w:rPr>
          <w:lang w:eastAsia="en-AU"/>
        </w:rPr>
        <w:t xml:space="preserve">ed the </w:t>
      </w:r>
      <w:r w:rsidRPr="003336E8">
        <w:rPr>
          <w:lang w:eastAsia="en-AU"/>
        </w:rPr>
        <w:t>Victorian Government</w:t>
      </w:r>
      <w:r>
        <w:rPr>
          <w:lang w:eastAsia="en-AU"/>
        </w:rPr>
        <w:t>’</w:t>
      </w:r>
      <w:r w:rsidRPr="003336E8">
        <w:rPr>
          <w:lang w:eastAsia="en-AU"/>
        </w:rPr>
        <w:t>s ongoing commitment to work with the mental health sector and people affected by mental illness to achieve better outcomes for all Victorians.</w:t>
      </w:r>
    </w:p>
    <w:p w14:paraId="0E68B4EE" w14:textId="77777777" w:rsidR="00F61A49" w:rsidRDefault="00F61A49" w:rsidP="00F61A49">
      <w:pPr>
        <w:pStyle w:val="DHHSbody"/>
        <w:rPr>
          <w:lang w:eastAsia="en-AU"/>
        </w:rPr>
      </w:pPr>
      <w:r w:rsidRPr="003336E8">
        <w:rPr>
          <w:lang w:eastAsia="en-AU"/>
        </w:rPr>
        <w:t>Steve Dimopoulos MP, Member for Oakleigh</w:t>
      </w:r>
      <w:r>
        <w:rPr>
          <w:lang w:eastAsia="en-AU"/>
        </w:rPr>
        <w:t>, chaired the taskforce, which</w:t>
      </w:r>
      <w:r w:rsidRPr="003336E8">
        <w:rPr>
          <w:lang w:eastAsia="en-AU"/>
        </w:rPr>
        <w:t xml:space="preserve"> encompass</w:t>
      </w:r>
      <w:r>
        <w:rPr>
          <w:lang w:eastAsia="en-AU"/>
        </w:rPr>
        <w:t>ed</w:t>
      </w:r>
      <w:r w:rsidRPr="003336E8">
        <w:rPr>
          <w:lang w:eastAsia="en-AU"/>
        </w:rPr>
        <w:t xml:space="preserve"> significant experience and expertise among its members</w:t>
      </w:r>
      <w:r>
        <w:rPr>
          <w:lang w:eastAsia="en-AU"/>
        </w:rPr>
        <w:t xml:space="preserve">. </w:t>
      </w:r>
    </w:p>
    <w:p w14:paraId="61F1C768" w14:textId="77777777" w:rsidR="00F61A49" w:rsidRDefault="00F61A49" w:rsidP="00F61A49">
      <w:pPr>
        <w:pStyle w:val="DHHSbody"/>
        <w:rPr>
          <w:lang w:eastAsia="en-AU"/>
        </w:rPr>
      </w:pPr>
      <w:r>
        <w:rPr>
          <w:lang w:eastAsia="en-AU"/>
        </w:rPr>
        <w:t xml:space="preserve">The taskforce established four reference groups to provide advice directly to government and to support the work of the taskforce. These groups were: </w:t>
      </w:r>
    </w:p>
    <w:p w14:paraId="137BBC6C" w14:textId="77777777" w:rsidR="00F61A49" w:rsidRPr="003336E8" w:rsidRDefault="00F61A49" w:rsidP="00F61A49">
      <w:pPr>
        <w:pStyle w:val="DHHSbullet1"/>
        <w:rPr>
          <w:lang w:eastAsia="en-AU"/>
        </w:rPr>
      </w:pPr>
      <w:r w:rsidRPr="003336E8">
        <w:rPr>
          <w:lang w:eastAsia="en-AU"/>
        </w:rPr>
        <w:t>workforce (industrial and peak bodies, educators, managers, peer workforce representatives)</w:t>
      </w:r>
    </w:p>
    <w:p w14:paraId="0CF83455" w14:textId="77777777" w:rsidR="00F61A49" w:rsidRPr="003336E8" w:rsidRDefault="00F61A49" w:rsidP="00F61A49">
      <w:pPr>
        <w:pStyle w:val="DHHSbullet1"/>
        <w:rPr>
          <w:lang w:eastAsia="en-AU"/>
        </w:rPr>
      </w:pPr>
      <w:r>
        <w:rPr>
          <w:lang w:eastAsia="en-AU"/>
        </w:rPr>
        <w:t>the L</w:t>
      </w:r>
      <w:r w:rsidRPr="003336E8">
        <w:rPr>
          <w:lang w:eastAsia="en-AU"/>
        </w:rPr>
        <w:t xml:space="preserve">ived </w:t>
      </w:r>
      <w:r>
        <w:rPr>
          <w:lang w:eastAsia="en-AU"/>
        </w:rPr>
        <w:t>E</w:t>
      </w:r>
      <w:r w:rsidRPr="003336E8">
        <w:rPr>
          <w:lang w:eastAsia="en-AU"/>
        </w:rPr>
        <w:t xml:space="preserve">xperience </w:t>
      </w:r>
      <w:r>
        <w:rPr>
          <w:lang w:eastAsia="en-AU"/>
        </w:rPr>
        <w:t>L</w:t>
      </w:r>
      <w:r w:rsidRPr="003336E8">
        <w:rPr>
          <w:lang w:eastAsia="en-AU"/>
        </w:rPr>
        <w:t xml:space="preserve">eadership </w:t>
      </w:r>
      <w:r>
        <w:rPr>
          <w:lang w:eastAsia="en-AU"/>
        </w:rPr>
        <w:t xml:space="preserve">Expert Reference Group </w:t>
      </w:r>
      <w:r w:rsidRPr="003336E8">
        <w:rPr>
          <w:lang w:eastAsia="en-AU"/>
        </w:rPr>
        <w:t>(</w:t>
      </w:r>
      <w:r>
        <w:rPr>
          <w:lang w:eastAsia="en-AU"/>
        </w:rPr>
        <w:t xml:space="preserve">mental health </w:t>
      </w:r>
      <w:r w:rsidRPr="003336E8">
        <w:rPr>
          <w:lang w:eastAsia="en-AU"/>
        </w:rPr>
        <w:t>consumers and carers)</w:t>
      </w:r>
    </w:p>
    <w:p w14:paraId="28FC6417" w14:textId="77777777" w:rsidR="00F61A49" w:rsidRPr="003336E8" w:rsidRDefault="00F61A49" w:rsidP="00F61A49">
      <w:pPr>
        <w:pStyle w:val="DHHSbullet1"/>
        <w:rPr>
          <w:lang w:eastAsia="en-AU"/>
        </w:rPr>
      </w:pPr>
      <w:r w:rsidRPr="003336E8">
        <w:rPr>
          <w:lang w:eastAsia="en-AU"/>
        </w:rPr>
        <w:t>innovation (including academics, researchers, clinical leaders, consumer and carer academics)</w:t>
      </w:r>
    </w:p>
    <w:p w14:paraId="75989D92" w14:textId="77777777" w:rsidR="00F61A49" w:rsidRPr="003336E8" w:rsidRDefault="00F61A49" w:rsidP="00F61A49">
      <w:pPr>
        <w:pStyle w:val="DHHSbullet1lastline"/>
        <w:rPr>
          <w:lang w:eastAsia="en-AU"/>
        </w:rPr>
      </w:pPr>
      <w:r w:rsidRPr="003336E8">
        <w:rPr>
          <w:lang w:eastAsia="en-AU"/>
        </w:rPr>
        <w:t>Aboriginal social and emotional wellbeing and mental health (Aboriginal consumers and carers, community-controlled health and community service providers, other leaders from the Aboriginal community).</w:t>
      </w:r>
    </w:p>
    <w:p w14:paraId="7AE1D45C" w14:textId="77777777" w:rsidR="00F61A49" w:rsidRPr="003336E8" w:rsidRDefault="00F61A49" w:rsidP="00F61A49">
      <w:pPr>
        <w:pStyle w:val="DHHSbody"/>
      </w:pPr>
      <w:r>
        <w:rPr>
          <w:lang w:eastAsia="en-AU"/>
        </w:rPr>
        <w:t>The taskforce was wound down in 2018.</w:t>
      </w:r>
    </w:p>
    <w:p w14:paraId="449CC409" w14:textId="77777777" w:rsidR="00F61A49" w:rsidRPr="00BA0873" w:rsidRDefault="00F61A49" w:rsidP="00F61A49">
      <w:pPr>
        <w:pStyle w:val="Heading2"/>
        <w:rPr>
          <w:noProof/>
          <w:lang w:eastAsia="en-AU"/>
        </w:rPr>
      </w:pPr>
      <w:bookmarkStart w:id="22" w:name="_Toc534374305"/>
      <w:bookmarkStart w:id="23" w:name="_Toc13830190"/>
      <w:r>
        <w:rPr>
          <w:noProof/>
          <w:lang w:eastAsia="en-AU"/>
        </w:rPr>
        <w:t>Lived Experience Leadership Expert Reference Group</w:t>
      </w:r>
      <w:bookmarkEnd w:id="22"/>
      <w:bookmarkEnd w:id="23"/>
    </w:p>
    <w:p w14:paraId="4D19556D" w14:textId="77777777" w:rsidR="00F61A49" w:rsidRDefault="00F61A49" w:rsidP="00F61A49">
      <w:pPr>
        <w:pStyle w:val="DHHSbody"/>
      </w:pPr>
      <w:r>
        <w:t xml:space="preserve">The government established the Lived Experience Leadership Expert Reference Group as one of the four reference groups to report to the Mental Health Expert Taskforce. Co-chaired by the chief executive officers of VMIAC and Tandem, membership of the reference group was wholly constituted of consumers and carers. </w:t>
      </w:r>
    </w:p>
    <w:p w14:paraId="5FEF0D5D" w14:textId="77777777" w:rsidR="00F61A49" w:rsidRDefault="00F61A49" w:rsidP="00F61A49">
      <w:pPr>
        <w:pStyle w:val="DHHSbody"/>
      </w:pPr>
      <w:r>
        <w:t xml:space="preserve">The taskforce requested that the reference group produce a co-production framework to drive an increase in the level of consumers and carers who could inform policy and service development. After some consideration, the reference group recommended that, instead, it develop an engagement framework, reasoning that it would allow for more comprehensive approaches in using lived experience expertise. This framework is a result of that work. </w:t>
      </w:r>
    </w:p>
    <w:p w14:paraId="70E08FA9" w14:textId="77777777" w:rsidR="00F61A49" w:rsidRPr="00D44117" w:rsidRDefault="00F61A49" w:rsidP="00F61A49">
      <w:pPr>
        <w:pStyle w:val="DHHSbody"/>
      </w:pPr>
      <w:r w:rsidRPr="00D44117">
        <w:t xml:space="preserve">The following </w:t>
      </w:r>
      <w:r>
        <w:t>v</w:t>
      </w:r>
      <w:r w:rsidRPr="00D44117">
        <w:t xml:space="preserve">ision, </w:t>
      </w:r>
      <w:r>
        <w:t>v</w:t>
      </w:r>
      <w:r w:rsidRPr="00D44117">
        <w:t>alues</w:t>
      </w:r>
      <w:r>
        <w:t>, p</w:t>
      </w:r>
      <w:r w:rsidRPr="00D44117">
        <w:t xml:space="preserve">urpose and </w:t>
      </w:r>
      <w:r>
        <w:t>s</w:t>
      </w:r>
      <w:r w:rsidRPr="00D44117">
        <w:t xml:space="preserve">cope were co-produced </w:t>
      </w:r>
      <w:r>
        <w:t xml:space="preserve">by consumers and </w:t>
      </w:r>
      <w:r w:rsidRPr="00D44117">
        <w:t xml:space="preserve">carers through the </w:t>
      </w:r>
      <w:r>
        <w:t>reference group.</w:t>
      </w:r>
      <w:r w:rsidRPr="00D44117">
        <w:t xml:space="preserve"> </w:t>
      </w:r>
    </w:p>
    <w:p w14:paraId="71F42F4B" w14:textId="77777777" w:rsidR="00F61A49" w:rsidRPr="003336E8" w:rsidRDefault="00F61A49" w:rsidP="00F61A49">
      <w:pPr>
        <w:pStyle w:val="Heading3"/>
        <w:rPr>
          <w:noProof/>
          <w:lang w:eastAsia="en-AU"/>
        </w:rPr>
      </w:pPr>
      <w:r w:rsidRPr="003336E8">
        <w:rPr>
          <w:noProof/>
          <w:lang w:eastAsia="en-AU"/>
        </w:rPr>
        <w:t>Vision</w:t>
      </w:r>
    </w:p>
    <w:p w14:paraId="3FC73579" w14:textId="77777777" w:rsidR="00F61A49" w:rsidRDefault="00F61A49" w:rsidP="00F61A49">
      <w:pPr>
        <w:pStyle w:val="DHHSbody"/>
      </w:pPr>
      <w:r>
        <w:t>Consumers, carers, community members, the sector and government working in partnerships to improve the mental health and wellbeing of Victorians through responsive and inclusive mental health services.</w:t>
      </w:r>
    </w:p>
    <w:p w14:paraId="585B4C15" w14:textId="77777777" w:rsidR="00F61A49" w:rsidRPr="003336E8" w:rsidRDefault="00F61A49" w:rsidP="00F61A49">
      <w:pPr>
        <w:pStyle w:val="Heading3"/>
        <w:rPr>
          <w:noProof/>
          <w:lang w:eastAsia="en-AU"/>
        </w:rPr>
      </w:pPr>
      <w:r w:rsidRPr="003336E8">
        <w:rPr>
          <w:noProof/>
          <w:lang w:eastAsia="en-AU"/>
        </w:rPr>
        <w:t>Values</w:t>
      </w:r>
    </w:p>
    <w:p w14:paraId="41829566" w14:textId="77777777" w:rsidR="00F61A49" w:rsidRDefault="00F61A49" w:rsidP="00F61A49">
      <w:pPr>
        <w:pStyle w:val="DHHSbody"/>
      </w:pPr>
      <w:r>
        <w:t>For consumers, carers and community members to participate meaningfully, the values of lived experience engagement depicted in Figure 1 need to be upheld by all those involved.</w:t>
      </w:r>
    </w:p>
    <w:p w14:paraId="49AA46BE" w14:textId="77777777" w:rsidR="00F61A49" w:rsidRPr="00575913" w:rsidRDefault="00F61A49" w:rsidP="00F61A49">
      <w:pPr>
        <w:pStyle w:val="DHHSfigurecaption"/>
        <w:rPr>
          <w:noProof/>
          <w:sz w:val="28"/>
          <w:lang w:eastAsia="en-AU"/>
        </w:rPr>
      </w:pPr>
      <w:r>
        <w:lastRenderedPageBreak/>
        <w:t>Figure 1: Values of lived experience engagement</w:t>
      </w:r>
    </w:p>
    <w:p w14:paraId="2468B4F3" w14:textId="67C27855" w:rsidR="00F61A49" w:rsidRPr="00072D42" w:rsidRDefault="005E6AFA" w:rsidP="00F61A49">
      <w:pPr>
        <w:pStyle w:val="DHHSbody"/>
      </w:pPr>
      <w:r>
        <w:rPr>
          <w:noProof/>
        </w:rPr>
        <w:drawing>
          <wp:inline distT="0" distB="0" distL="0" distR="0" wp14:anchorId="3AD6F9F2" wp14:editId="74C5EA82">
            <wp:extent cx="5730875" cy="1701800"/>
            <wp:effectExtent l="0" t="0" r="0" b="0"/>
            <wp:docPr id="1" name="Picture 1" descr="The values listed are: trust &amp; safety, respect, diversity &amp; inclusivity, transparency &amp; accountability, authenticity &amp; commitment, and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alues listed are: trust &amp; safety, respect, diversity &amp; inclusivity, transparency &amp; accountability, authenticity &amp; commitment, and collaborat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1701800"/>
                    </a:xfrm>
                    <a:prstGeom prst="rect">
                      <a:avLst/>
                    </a:prstGeom>
                    <a:noFill/>
                    <a:ln>
                      <a:noFill/>
                    </a:ln>
                  </pic:spPr>
                </pic:pic>
              </a:graphicData>
            </a:graphic>
          </wp:inline>
        </w:drawing>
      </w:r>
    </w:p>
    <w:p w14:paraId="5FF2A485" w14:textId="77777777" w:rsidR="00F61A49" w:rsidRPr="003336E8" w:rsidRDefault="00F61A49" w:rsidP="00F61A49">
      <w:pPr>
        <w:pStyle w:val="Heading3"/>
        <w:rPr>
          <w:noProof/>
          <w:lang w:eastAsia="en-AU"/>
        </w:rPr>
      </w:pPr>
      <w:r w:rsidRPr="003336E8">
        <w:rPr>
          <w:noProof/>
          <w:lang w:eastAsia="en-AU"/>
        </w:rPr>
        <w:t>Purpose and scope</w:t>
      </w:r>
    </w:p>
    <w:p w14:paraId="7A9E5EC6" w14:textId="77777777" w:rsidR="00F61A49" w:rsidRDefault="00F61A49" w:rsidP="00F61A49">
      <w:pPr>
        <w:pStyle w:val="DHHSbody"/>
      </w:pPr>
      <w:r>
        <w:t xml:space="preserve">To guide departmental staff in actively engaging and partnering with people with lived experience of our mental health services so we can improve those services for the people who use them. </w:t>
      </w:r>
    </w:p>
    <w:p w14:paraId="28A6D7AE" w14:textId="77777777" w:rsidR="00F61A49" w:rsidRDefault="00F61A49" w:rsidP="00F61A49">
      <w:pPr>
        <w:pStyle w:val="DHHSbody"/>
      </w:pPr>
      <w:r>
        <w:t>This framework will:</w:t>
      </w:r>
    </w:p>
    <w:p w14:paraId="23ACEA88" w14:textId="77777777" w:rsidR="00F61A49" w:rsidRPr="002C798E" w:rsidRDefault="00F61A49" w:rsidP="00F61A49">
      <w:pPr>
        <w:pStyle w:val="DHHSbullet1"/>
      </w:pPr>
      <w:r>
        <w:t>support</w:t>
      </w:r>
      <w:r w:rsidRPr="00134248">
        <w:t xml:space="preserve"> the department’s principles of engagement</w:t>
      </w:r>
    </w:p>
    <w:p w14:paraId="3BAE1F59" w14:textId="77777777" w:rsidR="00F61A49" w:rsidRPr="00982DCD" w:rsidRDefault="00F61A49" w:rsidP="00F61A49">
      <w:pPr>
        <w:pStyle w:val="DHHSbullet1"/>
      </w:pPr>
      <w:r w:rsidRPr="00134248">
        <w:t>provide a consistent understanding of expectations</w:t>
      </w:r>
      <w:r>
        <w:t xml:space="preserve"> </w:t>
      </w:r>
      <w:r w:rsidRPr="00134248">
        <w:t>of staff when</w:t>
      </w:r>
      <w:r>
        <w:t xml:space="preserve"> </w:t>
      </w:r>
      <w:r w:rsidRPr="00982DCD">
        <w:t xml:space="preserve">engaging with </w:t>
      </w:r>
      <w:r>
        <w:t>consumers and carers</w:t>
      </w:r>
    </w:p>
    <w:p w14:paraId="21F57F29" w14:textId="77777777" w:rsidR="00F61A49" w:rsidRPr="00982DCD" w:rsidRDefault="00F61A49" w:rsidP="00F61A49">
      <w:pPr>
        <w:pStyle w:val="DHHSbullet1"/>
      </w:pPr>
      <w:r w:rsidRPr="00134248">
        <w:t>provid</w:t>
      </w:r>
      <w:r>
        <w:t>e</w:t>
      </w:r>
      <w:r w:rsidRPr="00134248">
        <w:t xml:space="preserve"> an overview of agreed </w:t>
      </w:r>
      <w:r w:rsidRPr="00982DCD">
        <w:t>engagement and public participation policies</w:t>
      </w:r>
      <w:r>
        <w:t>, approaches, resources</w:t>
      </w:r>
      <w:r w:rsidRPr="00982DCD">
        <w:t xml:space="preserve"> and supports</w:t>
      </w:r>
    </w:p>
    <w:p w14:paraId="621C1BF6" w14:textId="77777777" w:rsidR="00F61A49" w:rsidRDefault="00F61A49" w:rsidP="00F61A49">
      <w:pPr>
        <w:pStyle w:val="DHHSbullet1"/>
      </w:pPr>
      <w:r w:rsidRPr="00982DCD">
        <w:t>build lived experience engagement</w:t>
      </w:r>
      <w:r>
        <w:t>, co-design and co-production</w:t>
      </w:r>
      <w:r w:rsidRPr="00982DCD">
        <w:t xml:space="preserve"> </w:t>
      </w:r>
      <w:r>
        <w:t xml:space="preserve">capability across the department </w:t>
      </w:r>
    </w:p>
    <w:p w14:paraId="6B69A4ED" w14:textId="77777777" w:rsidR="00F61A49" w:rsidRDefault="00F61A49" w:rsidP="00F61A49">
      <w:pPr>
        <w:pStyle w:val="DHHSbullet1lastline"/>
      </w:pPr>
      <w:r>
        <w:t>promote best practice by placing consumers and carers at the centre of policy and practice change by engaging them through co-design and co-production</w:t>
      </w:r>
      <w:r w:rsidRPr="00982DCD">
        <w:t xml:space="preserve">. </w:t>
      </w:r>
    </w:p>
    <w:p w14:paraId="4EE8FBE7" w14:textId="77777777" w:rsidR="00F61A49" w:rsidRDefault="00F61A49" w:rsidP="00F61A49">
      <w:pPr>
        <w:pStyle w:val="DHHSbody"/>
      </w:pPr>
      <w:r w:rsidRPr="001065C2">
        <w:t xml:space="preserve">This framework should be read in conjunction with the department’s </w:t>
      </w:r>
      <w:r>
        <w:rPr>
          <w:i/>
        </w:rPr>
        <w:t>Public participation</w:t>
      </w:r>
      <w:r w:rsidRPr="00D14365">
        <w:rPr>
          <w:i/>
        </w:rPr>
        <w:t xml:space="preserve"> framework</w:t>
      </w:r>
      <w:r>
        <w:t xml:space="preserve"> </w:t>
      </w:r>
      <w:r>
        <w:fldChar w:fldCharType="begin"/>
      </w:r>
      <w:r>
        <w:instrText xml:space="preserve"> ADDIN EN.CITE &lt;EndNote&gt;&lt;Cite ExcludeAuth="1"&gt;&lt;Author&gt;Department of Health and Human Services&lt;/Author&gt;&lt;Year&gt;2018&lt;/Year&gt;&lt;RecNum&gt;6&lt;/RecNum&gt;&lt;DisplayText&gt;(2018a)&lt;/DisplayText&gt;&lt;record&gt;&lt;rec-number&gt;6&lt;/rec-number&gt;&lt;foreign-keys&gt;&lt;key app="EN" db-id="xvdvzrrzizeaf7exte2v9w25x5wdaa2p9zzs" timestamp="1533613933"&gt;6&lt;/key&gt;&lt;/foreign-keys&gt;&lt;ref-type name="Government Document"&gt;46&lt;/ref-type&gt;&lt;contributors&gt;&lt;authors&gt;&lt;author&gt;Department of Health and Human Services, &lt;/author&gt;&lt;/authors&gt;&lt;secondary-authors&gt;&lt;author&gt;Department of Health amd Human Services&lt;/author&gt;&lt;/secondary-authors&gt;&lt;/contributors&gt;&lt;titles&gt;&lt;title&gt;Public participation framework&lt;/title&gt;&lt;/titles&gt;&lt;dates&gt;&lt;year&gt;2018&lt;/year&gt;&lt;/dates&gt;&lt;pub-location&gt;Melbourne. Australia&lt;/pub-location&gt;&lt;publisher&gt;State Government of Victoria&lt;/publisher&gt;&lt;urls&gt;&lt;related-urls&gt;&lt;url&gt;https://dhhs.vic.gov.au/public-participation-framework&lt;/url&gt;&lt;/related-urls&gt;&lt;/urls&gt;&lt;/record&gt;&lt;/Cite&gt;&lt;/EndNote&gt;</w:instrText>
      </w:r>
      <w:r>
        <w:fldChar w:fldCharType="separate"/>
      </w:r>
      <w:r>
        <w:rPr>
          <w:noProof/>
        </w:rPr>
        <w:t>(2018)</w:t>
      </w:r>
      <w:r>
        <w:fldChar w:fldCharType="end"/>
      </w:r>
      <w:r>
        <w:t xml:space="preserve"> and </w:t>
      </w:r>
      <w:r w:rsidRPr="007D299E">
        <w:rPr>
          <w:i/>
        </w:rPr>
        <w:t>Stakeholder engagement toolkit</w:t>
      </w:r>
      <w:r>
        <w:rPr>
          <w:i/>
        </w:rPr>
        <w:t xml:space="preserve"> </w:t>
      </w:r>
      <w:r w:rsidRPr="00C40EEA">
        <w:fldChar w:fldCharType="begin"/>
      </w:r>
      <w:r>
        <w:instrText xml:space="preserve"> ADDIN EN.CITE &lt;EndNote&gt;&lt;Cite ExcludeAuth="1"&gt;&lt;Author&gt;Department of Health and Human Services&lt;/Author&gt;&lt;Year&gt;2018&lt;/Year&gt;&lt;RecNum&gt;5&lt;/RecNum&gt;&lt;DisplayText&gt;(2018b)&lt;/DisplayText&gt;&lt;record&gt;&lt;rec-number&gt;5&lt;/rec-number&gt;&lt;foreign-keys&gt;&lt;key app="EN" db-id="xvdvzrrzizeaf7exte2v9w25x5wdaa2p9zzs" timestamp="1533613768"&gt;5&lt;/key&gt;&lt;/foreign-keys&gt;&lt;ref-type name="Government Document"&gt;46&lt;/ref-type&gt;&lt;contributors&gt;&lt;authors&gt;&lt;author&gt;Department of Health and Human Services, &lt;/author&gt;&lt;/authors&gt;&lt;secondary-authors&gt;&lt;author&gt;Department of Health and Human Services&lt;/author&gt;&lt;/secondary-authors&gt;&lt;/contributors&gt;&lt;titles&gt;&lt;title&gt;Stakeholder engagement toolkit&lt;/title&gt;&lt;/titles&gt;&lt;dates&gt;&lt;year&gt;2018&lt;/year&gt;&lt;/dates&gt;&lt;pub-location&gt;Melbourne. Australia&lt;/pub-location&gt;&lt;publisher&gt;State Government of Victoria&lt;/publisher&gt;&lt;urls&gt;&lt;related-urls&gt;&lt;url&gt;https://dhhs.vic.gov.au/stakeholder-engagement-toolkit&lt;/url&gt;&lt;/related-urls&gt;&lt;/urls&gt;&lt;/record&gt;&lt;/Cite&gt;&lt;/EndNote&gt;</w:instrText>
      </w:r>
      <w:r w:rsidRPr="00C40EEA">
        <w:fldChar w:fldCharType="separate"/>
      </w:r>
      <w:r>
        <w:rPr>
          <w:noProof/>
        </w:rPr>
        <w:t>(2018)</w:t>
      </w:r>
      <w:r w:rsidRPr="00C40EEA">
        <w:fldChar w:fldCharType="end"/>
      </w:r>
      <w:r>
        <w:t>, which outline</w:t>
      </w:r>
      <w:r w:rsidRPr="001065C2">
        <w:t xml:space="preserve"> the department’s </w:t>
      </w:r>
      <w:r>
        <w:t xml:space="preserve">overarching </w:t>
      </w:r>
      <w:r w:rsidRPr="001065C2">
        <w:t xml:space="preserve">stakeholder engagement and public participation </w:t>
      </w:r>
      <w:r>
        <w:t>vision and processes</w:t>
      </w:r>
      <w:r w:rsidRPr="001065C2">
        <w:t>.</w:t>
      </w:r>
    </w:p>
    <w:p w14:paraId="5B14A4A8" w14:textId="77777777" w:rsidR="00F61A49" w:rsidRPr="003336E8" w:rsidRDefault="00F61A49" w:rsidP="00F61A49">
      <w:pPr>
        <w:pStyle w:val="Heading2"/>
      </w:pPr>
      <w:bookmarkStart w:id="24" w:name="_Toc534374306"/>
      <w:bookmarkStart w:id="25" w:name="_Toc13830191"/>
      <w:r w:rsidRPr="003336E8">
        <w:t xml:space="preserve">Victorian </w:t>
      </w:r>
      <w:r>
        <w:t>G</w:t>
      </w:r>
      <w:r w:rsidRPr="003336E8">
        <w:t>overnment policies</w:t>
      </w:r>
      <w:bookmarkEnd w:id="24"/>
      <w:bookmarkEnd w:id="25"/>
      <w:r w:rsidRPr="003336E8">
        <w:t xml:space="preserve"> </w:t>
      </w:r>
    </w:p>
    <w:p w14:paraId="41FDB5C5" w14:textId="77777777" w:rsidR="00F61A49" w:rsidRPr="00082B1D" w:rsidRDefault="00F61A49" w:rsidP="00F61A49">
      <w:pPr>
        <w:pStyle w:val="DHHSbody"/>
        <w:rPr>
          <w:rFonts w:eastAsia="Times New Roman"/>
          <w:b/>
          <w:noProof/>
          <w:lang w:eastAsia="en-AU"/>
        </w:rPr>
      </w:pPr>
      <w:r>
        <w:t>The</w:t>
      </w:r>
      <w:r w:rsidRPr="005C7E18">
        <w:t xml:space="preserve"> </w:t>
      </w:r>
      <w:r w:rsidRPr="005C7E18">
        <w:rPr>
          <w:i/>
          <w:iCs/>
        </w:rPr>
        <w:t xml:space="preserve">Code of </w:t>
      </w:r>
      <w:r>
        <w:rPr>
          <w:i/>
          <w:iCs/>
        </w:rPr>
        <w:t>c</w:t>
      </w:r>
      <w:r w:rsidRPr="005C7E18">
        <w:rPr>
          <w:i/>
          <w:iCs/>
        </w:rPr>
        <w:t xml:space="preserve">onduct for Victorian </w:t>
      </w:r>
      <w:r>
        <w:rPr>
          <w:i/>
          <w:iCs/>
        </w:rPr>
        <w:t>p</w:t>
      </w:r>
      <w:r w:rsidRPr="005C7E18">
        <w:rPr>
          <w:i/>
          <w:iCs/>
        </w:rPr>
        <w:t>ublic</w:t>
      </w:r>
      <w:r>
        <w:rPr>
          <w:i/>
          <w:iCs/>
        </w:rPr>
        <w:t xml:space="preserve"> s</w:t>
      </w:r>
      <w:r w:rsidRPr="005C7E18">
        <w:rPr>
          <w:i/>
          <w:iCs/>
        </w:rPr>
        <w:t xml:space="preserve">ector </w:t>
      </w:r>
      <w:r>
        <w:rPr>
          <w:i/>
          <w:iCs/>
        </w:rPr>
        <w:t>e</w:t>
      </w:r>
      <w:r w:rsidRPr="005C7E18">
        <w:rPr>
          <w:i/>
          <w:iCs/>
        </w:rPr>
        <w:t>mployees</w:t>
      </w:r>
      <w:r>
        <w:rPr>
          <w:i/>
          <w:iCs/>
        </w:rPr>
        <w:t xml:space="preserve"> </w:t>
      </w:r>
      <w:r w:rsidRPr="005C7E18">
        <w:t>sets out the values and behaviours expected from all public servants in Victoria</w:t>
      </w:r>
      <w:r>
        <w:t xml:space="preserve">, including </w:t>
      </w:r>
      <w:r w:rsidRPr="005C7E18">
        <w:t>requiring public officials to demonstrate respect for members of the community by using their views to improve outcomes.</w:t>
      </w:r>
    </w:p>
    <w:p w14:paraId="3D332042" w14:textId="77777777" w:rsidR="00F61A49" w:rsidRDefault="00F61A49" w:rsidP="00F61A49">
      <w:pPr>
        <w:pStyle w:val="DHHSbody"/>
      </w:pPr>
      <w:r w:rsidRPr="005C7E18">
        <w:t xml:space="preserve">The </w:t>
      </w:r>
      <w:r w:rsidRPr="005C7E18">
        <w:rPr>
          <w:i/>
          <w:iCs/>
        </w:rPr>
        <w:t xml:space="preserve">Charter of Human Rights and Responsibilities Act 2006 </w:t>
      </w:r>
      <w:r w:rsidRPr="005C7E18">
        <w:t>sets out the basic rights, freedoms and responsibilities of all people in Victoria. There are 20 individual rights protected under the Charter, including the right of every person in Victoria to have the opportunity to participate in the conduct of public affairs. Th</w:t>
      </w:r>
      <w:r>
        <w:t>ese</w:t>
      </w:r>
      <w:r w:rsidRPr="005C7E18">
        <w:t xml:space="preserve"> include</w:t>
      </w:r>
      <w:r>
        <w:t xml:space="preserve">: </w:t>
      </w:r>
    </w:p>
    <w:p w14:paraId="6D6947B6" w14:textId="77777777" w:rsidR="00F61A49" w:rsidRPr="005C7E18" w:rsidRDefault="00F61A49" w:rsidP="00F61A49">
      <w:pPr>
        <w:pStyle w:val="DHHSbullet1"/>
      </w:pPr>
      <w:r w:rsidRPr="005C7E18">
        <w:t>being part of community consultation with government</w:t>
      </w:r>
    </w:p>
    <w:p w14:paraId="7AF0F2BF" w14:textId="77777777" w:rsidR="00F61A49" w:rsidRPr="005C7E18" w:rsidRDefault="00F61A49" w:rsidP="00F61A49">
      <w:pPr>
        <w:pStyle w:val="DHHSbullet1lastline"/>
      </w:pPr>
      <w:r w:rsidRPr="005C7E18">
        <w:t xml:space="preserve">participating in public debate and dialogue with representatives, either as an individual or as part of an organisation. </w:t>
      </w:r>
    </w:p>
    <w:p w14:paraId="089D7D4E" w14:textId="77777777" w:rsidR="00F61A49" w:rsidRDefault="00F61A49" w:rsidP="00F61A49">
      <w:pPr>
        <w:pStyle w:val="DHHSbody"/>
      </w:pPr>
      <w:r>
        <w:t>T</w:t>
      </w:r>
      <w:r w:rsidRPr="005C7E18">
        <w:t xml:space="preserve">he </w:t>
      </w:r>
      <w:r w:rsidRPr="005C7E18">
        <w:rPr>
          <w:i/>
        </w:rPr>
        <w:t>Mental Health Act 2014</w:t>
      </w:r>
      <w:r w:rsidRPr="005C7E18">
        <w:t xml:space="preserve"> has delivered major reforms to Victoria’s mental health system and placed people with </w:t>
      </w:r>
      <w:r>
        <w:t>mental illness and carers</w:t>
      </w:r>
      <w:r w:rsidRPr="005C7E18">
        <w:t xml:space="preserve"> at the centre of treatment, care and recovery. </w:t>
      </w:r>
      <w:r w:rsidRPr="00D44117">
        <w:rPr>
          <w:i/>
        </w:rPr>
        <w:t>Victoria</w:t>
      </w:r>
      <w:r>
        <w:rPr>
          <w:i/>
        </w:rPr>
        <w:t>’s</w:t>
      </w:r>
      <w:r w:rsidRPr="00D44117">
        <w:rPr>
          <w:i/>
        </w:rPr>
        <w:t xml:space="preserve"> </w:t>
      </w:r>
      <w:r>
        <w:rPr>
          <w:i/>
        </w:rPr>
        <w:t>10-y</w:t>
      </w:r>
      <w:r w:rsidRPr="00D44117">
        <w:rPr>
          <w:i/>
        </w:rPr>
        <w:t xml:space="preserve">ear </w:t>
      </w:r>
      <w:r>
        <w:rPr>
          <w:i/>
        </w:rPr>
        <w:t>m</w:t>
      </w:r>
      <w:r w:rsidRPr="00D44117">
        <w:rPr>
          <w:i/>
        </w:rPr>
        <w:t xml:space="preserve">ental </w:t>
      </w:r>
      <w:r>
        <w:rPr>
          <w:i/>
        </w:rPr>
        <w:t>h</w:t>
      </w:r>
      <w:r w:rsidRPr="00D44117">
        <w:rPr>
          <w:i/>
        </w:rPr>
        <w:t xml:space="preserve">ealth </w:t>
      </w:r>
      <w:r>
        <w:rPr>
          <w:i/>
        </w:rPr>
        <w:t>p</w:t>
      </w:r>
      <w:r w:rsidRPr="00D44117">
        <w:rPr>
          <w:i/>
        </w:rPr>
        <w:t>lan</w:t>
      </w:r>
      <w:r w:rsidRPr="005C7E18">
        <w:t xml:space="preserve"> sets the scene for improvements driven by public needs and experience. Consumer and carer advocacy ha</w:t>
      </w:r>
      <w:r>
        <w:t>ve</w:t>
      </w:r>
      <w:r w:rsidRPr="005C7E18">
        <w:t xml:space="preserve"> been key to envisioning these </w:t>
      </w:r>
      <w:r>
        <w:t>improvements</w:t>
      </w:r>
      <w:r w:rsidRPr="005C7E18">
        <w:t xml:space="preserve">. </w:t>
      </w:r>
    </w:p>
    <w:p w14:paraId="1CDCCCD0" w14:textId="77777777" w:rsidR="00F61A49" w:rsidRDefault="00F61A49" w:rsidP="00F61A49">
      <w:pPr>
        <w:pStyle w:val="DHHSbody"/>
      </w:pPr>
      <w:r>
        <w:t xml:space="preserve">The department’s engagement practices are guided by best practice and standards outlined by the International Association for Public Participation (IAP2) </w:t>
      </w:r>
      <w:r>
        <w:rPr>
          <w:i/>
          <w:iCs/>
        </w:rPr>
        <w:t xml:space="preserve">Quality assurance standard for community and stakeholder engagement </w:t>
      </w:r>
      <w:r>
        <w:fldChar w:fldCharType="begin"/>
      </w:r>
      <w:r>
        <w:instrText xml:space="preserve"> ADDIN EN.CITE &lt;EndNote&gt;&lt;Cite ExcludeAuth="1"&gt;&lt;Author&gt;International Association for Public Participation&lt;/Author&gt;&lt;Year&gt;2015&lt;/Year&gt;&lt;RecNum&gt;10&lt;/RecNum&gt;&lt;DisplayText&gt;(2015)&lt;/DisplayText&gt;&lt;record&gt;&lt;rec-number&gt;10&lt;/rec-number&gt;&lt;foreign-keys&gt;&lt;key app="EN" db-id="xvdvzrrzizeaf7exte2v9w25x5wdaa2p9zzs" timestamp="1533616352"&gt;10&lt;/key&gt;&lt;/foreign-keys&gt;&lt;ref-type name="Report"&gt;27&lt;/ref-type&gt;&lt;contributors&gt;&lt;authors&gt;&lt;author&gt;International Association for Public Participation,&lt;/author&gt;&lt;/authors&gt;&lt;/contributors&gt;&lt;titles&gt;&lt;title&gt;IAP2 Quality Assurance Standard&lt;/title&gt;&lt;/titles&gt;&lt;dates&gt;&lt;year&gt;2015&lt;/year&gt;&lt;/dates&gt;&lt;urls&gt;&lt;related-urls&gt;&lt;url&gt;https://www.iap2.org.au/Tenant/C0000004/00000001/files/IAP2_Quality_Assurance_Standard_2015.pdf&lt;/url&gt;&lt;/related-urls&gt;&lt;/urls&gt;&lt;/record&gt;&lt;/Cite&gt;&lt;/EndNote&gt;</w:instrText>
      </w:r>
      <w:r>
        <w:fldChar w:fldCharType="separate"/>
      </w:r>
      <w:r>
        <w:rPr>
          <w:noProof/>
        </w:rPr>
        <w:t>(2015)</w:t>
      </w:r>
      <w:r>
        <w:fldChar w:fldCharType="end"/>
      </w:r>
      <w:r>
        <w:t xml:space="preserve"> and the Victorian Auditor-General’s </w:t>
      </w:r>
      <w:r>
        <w:rPr>
          <w:i/>
          <w:iCs/>
        </w:rPr>
        <w:t xml:space="preserve">Public participation in </w:t>
      </w:r>
      <w:r>
        <w:rPr>
          <w:i/>
          <w:iCs/>
        </w:rPr>
        <w:lastRenderedPageBreak/>
        <w:t>government decision-making: better practice guide</w:t>
      </w:r>
      <w:r>
        <w:t xml:space="preserve"> </w:t>
      </w:r>
      <w:r>
        <w:fldChar w:fldCharType="begin"/>
      </w:r>
      <w:r>
        <w:instrText xml:space="preserve"> ADDIN EN.CITE &lt;EndNote&gt;&lt;Cite ExcludeAuth="1"&gt;&lt;Author&gt;Victorian Auditor-General’s Office&lt;/Author&gt;&lt;Year&gt;2015&lt;/Year&gt;&lt;RecNum&gt;11&lt;/RecNum&gt;&lt;DisplayText&gt;(2015)&lt;/DisplayText&gt;&lt;record&gt;&lt;rec-number&gt;11&lt;/rec-number&gt;&lt;foreign-keys&gt;&lt;key app="EN" db-id="xvdvzrrzizeaf7exte2v9w25x5wdaa2p9zzs" timestamp="1533616672"&gt;11&lt;/key&gt;&lt;/foreign-keys&gt;&lt;ref-type name="Report"&gt;27&lt;/ref-type&gt;&lt;contributors&gt;&lt;authors&gt;&lt;author&gt;Victorian Auditor-General’s Office,&lt;/author&gt;&lt;/authors&gt;&lt;tertiary-authors&gt;&lt;author&gt;Victorian Auditor-General’s Office&lt;/author&gt;&lt;/tertiary-authors&gt;&lt;/contributors&gt;&lt;titles&gt;&lt;title&gt;Public Participation in Government Decision-making. Better practice guide&lt;/title&gt;&lt;/titles&gt;&lt;dates&gt;&lt;year&gt;2015&lt;/year&gt;&lt;/dates&gt;&lt;urls&gt;&lt;related-urls&gt;&lt;url&gt;https://www.audit.vic.gov.au/report/public-participation-government-decision-making-better-practice-guide&lt;/url&gt;&lt;/related-urls&gt;&lt;/urls&gt;&lt;electronic-resource-num&gt;https://www.audit.vic.gov.au/sites/default/files/20150130-Public-Participation-BPG.pdf&lt;/electronic-resource-num&gt;&lt;/record&gt;&lt;/Cite&gt;&lt;/EndNote&gt;</w:instrText>
      </w:r>
      <w:r>
        <w:fldChar w:fldCharType="separate"/>
      </w:r>
      <w:r>
        <w:rPr>
          <w:noProof/>
        </w:rPr>
        <w:t>(2015)</w:t>
      </w:r>
      <w:r>
        <w:fldChar w:fldCharType="end"/>
      </w:r>
      <w:r>
        <w:t xml:space="preserve">. The department’s </w:t>
      </w:r>
      <w:r w:rsidRPr="00F1748C">
        <w:rPr>
          <w:i/>
        </w:rPr>
        <w:t xml:space="preserve">Public </w:t>
      </w:r>
      <w:r>
        <w:rPr>
          <w:i/>
        </w:rPr>
        <w:t>p</w:t>
      </w:r>
      <w:r w:rsidRPr="00F1748C">
        <w:rPr>
          <w:i/>
        </w:rPr>
        <w:t xml:space="preserve">articipation </w:t>
      </w:r>
      <w:r>
        <w:rPr>
          <w:i/>
        </w:rPr>
        <w:t>f</w:t>
      </w:r>
      <w:r w:rsidRPr="00F1748C">
        <w:rPr>
          <w:i/>
        </w:rPr>
        <w:t>ramework</w:t>
      </w:r>
      <w:r>
        <w:t xml:space="preserve"> (2018) and </w:t>
      </w:r>
      <w:r w:rsidRPr="00F1748C">
        <w:rPr>
          <w:i/>
        </w:rPr>
        <w:t xml:space="preserve">Stakeholder </w:t>
      </w:r>
      <w:r>
        <w:rPr>
          <w:i/>
        </w:rPr>
        <w:t>e</w:t>
      </w:r>
      <w:r w:rsidRPr="00F1748C">
        <w:rPr>
          <w:i/>
        </w:rPr>
        <w:t xml:space="preserve">ngagement </w:t>
      </w:r>
      <w:r>
        <w:rPr>
          <w:i/>
        </w:rPr>
        <w:t>t</w:t>
      </w:r>
      <w:r w:rsidRPr="00F1748C">
        <w:rPr>
          <w:i/>
        </w:rPr>
        <w:t>oolkit</w:t>
      </w:r>
      <w:r>
        <w:t xml:space="preserve"> (2018) are the first steps to articulating a departmental commitment to strengthening public participation. </w:t>
      </w:r>
    </w:p>
    <w:p w14:paraId="5DAA193C" w14:textId="77777777" w:rsidR="00F61A49" w:rsidRDefault="00F61A49" w:rsidP="00F61A49">
      <w:pPr>
        <w:pStyle w:val="DHHSbody"/>
      </w:pPr>
      <w:r>
        <w:t xml:space="preserve">In addition, the Mental Health Branch, in conjunction with the Lived Experience Leadership Expert Reference Group, collaborated with branches across the department to produce this framework, which offers a mental-health-specific lens to guide and inform best practice engaging consumers and carers. </w:t>
      </w:r>
    </w:p>
    <w:p w14:paraId="6196EC2F" w14:textId="77777777" w:rsidR="00F61A49" w:rsidRPr="00C232FE" w:rsidRDefault="00F61A49" w:rsidP="00F61A49">
      <w:pPr>
        <w:pStyle w:val="DHHSbody"/>
      </w:pPr>
      <w:r>
        <w:t>H</w:t>
      </w:r>
      <w:r w:rsidRPr="00E51ABC">
        <w:t>aving a common approach and</w:t>
      </w:r>
      <w:r>
        <w:t xml:space="preserve"> </w:t>
      </w:r>
      <w:r w:rsidRPr="00C232FE">
        <w:t xml:space="preserve">process to </w:t>
      </w:r>
      <w:r>
        <w:t>mental health consumer and carer</w:t>
      </w:r>
      <w:r w:rsidRPr="00C232FE">
        <w:t xml:space="preserve"> parti</w:t>
      </w:r>
      <w:r w:rsidRPr="00E51ABC">
        <w:t xml:space="preserve">cipation </w:t>
      </w:r>
      <w:r w:rsidRPr="00C232FE">
        <w:t>based on reco</w:t>
      </w:r>
      <w:r w:rsidRPr="00E51ABC">
        <w:t>gnised best practice will help</w:t>
      </w:r>
      <w:r>
        <w:t xml:space="preserve"> </w:t>
      </w:r>
      <w:r w:rsidRPr="00C232FE">
        <w:t>the department improv</w:t>
      </w:r>
      <w:r w:rsidRPr="00E51ABC">
        <w:t>e, evaluate and demonstrate its</w:t>
      </w:r>
      <w:r>
        <w:t xml:space="preserve"> </w:t>
      </w:r>
      <w:r w:rsidRPr="00C232FE">
        <w:t>performance in this are</w:t>
      </w:r>
      <w:r w:rsidRPr="00E51ABC">
        <w:t>a. Documenting approach</w:t>
      </w:r>
      <w:r>
        <w:t>es</w:t>
      </w:r>
      <w:r w:rsidRPr="00E51ABC">
        <w:t xml:space="preserve"> </w:t>
      </w:r>
      <w:r>
        <w:t xml:space="preserve">using </w:t>
      </w:r>
      <w:r w:rsidRPr="00C232FE">
        <w:t>a</w:t>
      </w:r>
      <w:r>
        <w:t>n engagement</w:t>
      </w:r>
      <w:r w:rsidRPr="00C232FE">
        <w:t xml:space="preserve"> strategy </w:t>
      </w:r>
      <w:r>
        <w:t>informed by</w:t>
      </w:r>
      <w:r w:rsidRPr="00E51ABC">
        <w:t xml:space="preserve"> </w:t>
      </w:r>
      <w:r>
        <w:t>this framework</w:t>
      </w:r>
      <w:r w:rsidRPr="00E51ABC">
        <w:t xml:space="preserve"> </w:t>
      </w:r>
      <w:r w:rsidRPr="00C232FE">
        <w:t xml:space="preserve">increases the </w:t>
      </w:r>
      <w:r w:rsidRPr="00E51ABC">
        <w:t>likelihood of the process being</w:t>
      </w:r>
      <w:r>
        <w:t xml:space="preserve"> </w:t>
      </w:r>
      <w:r w:rsidRPr="00C232FE">
        <w:t>followed, makes staff more accountable for decision</w:t>
      </w:r>
      <w:r w:rsidRPr="00E51ABC">
        <w:t>s made</w:t>
      </w:r>
      <w:r>
        <w:t xml:space="preserve"> </w:t>
      </w:r>
      <w:r w:rsidRPr="00C232FE">
        <w:t>during that process,</w:t>
      </w:r>
      <w:r>
        <w:t xml:space="preserve"> </w:t>
      </w:r>
      <w:r w:rsidRPr="00C232FE">
        <w:t xml:space="preserve">and </w:t>
      </w:r>
      <w:r>
        <w:t>increases buy-in from consumers and carers</w:t>
      </w:r>
      <w:r w:rsidRPr="00C232FE">
        <w:t>.</w:t>
      </w:r>
      <w:r>
        <w:t xml:space="preserve"> </w:t>
      </w:r>
    </w:p>
    <w:p w14:paraId="75EFBBA9" w14:textId="77777777" w:rsidR="00F61A49" w:rsidRPr="003336E8" w:rsidRDefault="00F61A49" w:rsidP="00F61A49">
      <w:pPr>
        <w:pStyle w:val="Heading2"/>
      </w:pPr>
      <w:bookmarkStart w:id="26" w:name="_Toc534374307"/>
      <w:bookmarkStart w:id="27" w:name="_Toc13830192"/>
      <w:r w:rsidRPr="003336E8">
        <w:t xml:space="preserve">Public </w:t>
      </w:r>
      <w:r>
        <w:t>p</w:t>
      </w:r>
      <w:r w:rsidRPr="003336E8">
        <w:t xml:space="preserve">articipation </w:t>
      </w:r>
      <w:r>
        <w:t>f</w:t>
      </w:r>
      <w:r w:rsidRPr="003336E8">
        <w:t>ramework</w:t>
      </w:r>
      <w:bookmarkEnd w:id="26"/>
      <w:bookmarkEnd w:id="27"/>
      <w:r w:rsidRPr="003336E8">
        <w:t xml:space="preserve"> </w:t>
      </w:r>
    </w:p>
    <w:p w14:paraId="08FF3484" w14:textId="77777777" w:rsidR="00F61A49" w:rsidRPr="00CD3582" w:rsidRDefault="00F61A49" w:rsidP="00F61A49">
      <w:pPr>
        <w:pStyle w:val="DHHSbody"/>
      </w:pPr>
      <w:r w:rsidRPr="00CD3582">
        <w:t xml:space="preserve">The department’s </w:t>
      </w:r>
      <w:r w:rsidRPr="00801F42">
        <w:rPr>
          <w:i/>
        </w:rPr>
        <w:t xml:space="preserve">Public </w:t>
      </w:r>
      <w:r>
        <w:rPr>
          <w:i/>
        </w:rPr>
        <w:t>p</w:t>
      </w:r>
      <w:r w:rsidRPr="00801F42">
        <w:rPr>
          <w:i/>
        </w:rPr>
        <w:t xml:space="preserve">articipation </w:t>
      </w:r>
      <w:r>
        <w:rPr>
          <w:i/>
        </w:rPr>
        <w:t>f</w:t>
      </w:r>
      <w:r w:rsidRPr="00801F42">
        <w:rPr>
          <w:i/>
        </w:rPr>
        <w:t>ramework</w:t>
      </w:r>
      <w:r>
        <w:rPr>
          <w:i/>
        </w:rPr>
        <w:t xml:space="preserve"> </w:t>
      </w:r>
      <w:r w:rsidRPr="00CD3582">
        <w:t xml:space="preserve">identifies five principles of engagement </w:t>
      </w:r>
      <w:r>
        <w:t>that</w:t>
      </w:r>
      <w:r w:rsidRPr="00CD3582">
        <w:t xml:space="preserve"> should always be applied when engaging people with lived experience. These approaches have been expanded below, with a focus on engaging people with lived experience of mental illness. </w:t>
      </w:r>
    </w:p>
    <w:p w14:paraId="418E51A4" w14:textId="77777777" w:rsidR="00F61A49" w:rsidRPr="00CD3582" w:rsidRDefault="00F61A49" w:rsidP="00F61A49">
      <w:pPr>
        <w:pStyle w:val="DHHSbody"/>
      </w:pPr>
      <w:r w:rsidRPr="00CD3582">
        <w:t xml:space="preserve">While consumers and carers understand that not every project is suited to co-production, every effort should be made to seek the highest level of engagement possible </w:t>
      </w:r>
      <w:r w:rsidRPr="00CD3582">
        <w:fldChar w:fldCharType="begin"/>
      </w:r>
      <w:r w:rsidRPr="00CD3582">
        <w:instrText xml:space="preserve"> ADDIN EN.CITE &lt;EndNote&gt;&lt;Cite&gt;&lt;Author&gt;Roper&lt;/Author&gt;&lt;Year&gt;2018&lt;/Year&gt;&lt;RecNum&gt;2&lt;/RecNum&gt;&lt;DisplayText&gt;(Roper et al., 2018)&lt;/DisplayText&gt;&lt;record&gt;&lt;rec-number&gt;2&lt;/rec-number&gt;&lt;foreign-keys&gt;&lt;key app="EN" db-id="xvdvzrrzizeaf7exte2v9w25x5wdaa2p9zzs" timestamp="1533612509"&gt;2&lt;/key&gt;&lt;/foreign-keys&gt;&lt;ref-type name="Unpublished Work"&gt;34&lt;/ref-type&gt;&lt;contributors&gt;&lt;authors&gt;&lt;author&gt;Roper, C.&lt;/author&gt;&lt;author&gt;Grey, F.&lt;/author&gt;&lt;author&gt;Cadogan, E.&lt;/author&gt;&lt;/authors&gt;&lt;/contributors&gt;&lt;titles&gt;&lt;title&gt;Co-production: Putting principles into practice in mental health contexts&lt;/title&gt;&lt;/titles&gt;&lt;dates&gt;&lt;year&gt;2018&lt;/year&gt;&lt;/dates&gt;&lt;urls&gt;&lt;related-urls&gt;&lt;url&gt;https://recoverylibrary.unimelb.edu.au/__data/assets/pdf_file/0010/2659969/Coproduction_putting-principles-into-practice.pdf&lt;/url&gt;&lt;/related-urls&gt;&lt;/urls&gt;&lt;/record&gt;&lt;/Cite&gt;&lt;/EndNote&gt;</w:instrText>
      </w:r>
      <w:r w:rsidRPr="00CD3582">
        <w:fldChar w:fldCharType="separate"/>
      </w:r>
      <w:r w:rsidRPr="00CD3582">
        <w:t>(Roper et al., 2018)</w:t>
      </w:r>
      <w:r w:rsidRPr="00CD3582">
        <w:fldChar w:fldCharType="end"/>
      </w:r>
      <w:r w:rsidRPr="00CD3582">
        <w:t>.</w:t>
      </w:r>
      <w:r>
        <w:t xml:space="preserve"> </w:t>
      </w:r>
      <w:r w:rsidRPr="00CD3582">
        <w:t xml:space="preserve">In any situation, to ensure effective and meaningful engagement occurs it is imperative to create a safe environment where consumer and carer knowledge and expertise is valued and prioritised. </w:t>
      </w:r>
    </w:p>
    <w:p w14:paraId="0BDEE86F" w14:textId="77777777" w:rsidR="00F61A49" w:rsidRPr="00B316A6" w:rsidRDefault="00F61A49" w:rsidP="00F61A49">
      <w:pPr>
        <w:pStyle w:val="DHHSbody"/>
        <w:rPr>
          <w:b/>
        </w:rPr>
      </w:pPr>
      <w:r w:rsidRPr="00B316A6">
        <w:rPr>
          <w:b/>
        </w:rPr>
        <w:t>1. We are purposeful: We know why and who we are engaging</w:t>
      </w:r>
    </w:p>
    <w:p w14:paraId="0187945D" w14:textId="77777777" w:rsidR="00F61A49" w:rsidRDefault="00F61A49" w:rsidP="00F61A49">
      <w:pPr>
        <w:pStyle w:val="DHHSbody"/>
      </w:pPr>
      <w:r>
        <w:t>Purposeful engagement requires project planning to define the purpose and desired outcome of each engagement activity in which people with lived experience will participate, and their role. Communicating the purpose with the people you involve keeps engagement focused, within scope and outcomes-driven.</w:t>
      </w:r>
    </w:p>
    <w:p w14:paraId="49536370" w14:textId="77777777" w:rsidR="00F61A49" w:rsidRDefault="00F61A49" w:rsidP="00F61A49">
      <w:pPr>
        <w:pStyle w:val="DHHSbody"/>
      </w:pPr>
      <w:r w:rsidRPr="00C85C9C">
        <w:t>Purpose ensures:</w:t>
      </w:r>
    </w:p>
    <w:p w14:paraId="1F1AAD9C" w14:textId="77777777" w:rsidR="00F61A49" w:rsidRPr="00C85C9C" w:rsidRDefault="00F61A49" w:rsidP="00F61A49">
      <w:pPr>
        <w:pStyle w:val="DHHSbullet1"/>
      </w:pPr>
      <w:r w:rsidRPr="00C85C9C">
        <w:t>roles for consumer and carer participants and other stakeholders are defined, building trust and helping people to understand what is expected of them, and what they should expect of the department</w:t>
      </w:r>
    </w:p>
    <w:p w14:paraId="5D830A85" w14:textId="77777777" w:rsidR="00F61A49" w:rsidRDefault="00F61A49" w:rsidP="00F61A49">
      <w:pPr>
        <w:pStyle w:val="DHHSbullet1lastline"/>
      </w:pPr>
      <w:r w:rsidRPr="00C85C9C">
        <w:t xml:space="preserve">engagement activities </w:t>
      </w:r>
      <w:r>
        <w:t xml:space="preserve">can be evaluated against goals, which can inform future engagement. </w:t>
      </w:r>
    </w:p>
    <w:p w14:paraId="073769C9" w14:textId="77777777" w:rsidR="00F61A49" w:rsidRPr="00B316A6" w:rsidRDefault="00F61A49" w:rsidP="00F61A49">
      <w:pPr>
        <w:pStyle w:val="DHHSbody"/>
        <w:rPr>
          <w:b/>
        </w:rPr>
      </w:pPr>
      <w:r w:rsidRPr="00B316A6">
        <w:rPr>
          <w:b/>
        </w:rPr>
        <w:t>2. We are prepared: We take history and experiences into account and we engage early</w:t>
      </w:r>
    </w:p>
    <w:p w14:paraId="73E1F2D9" w14:textId="77777777" w:rsidR="00F61A49" w:rsidRDefault="00F61A49" w:rsidP="00F61A49">
      <w:pPr>
        <w:pStyle w:val="DHHSbody"/>
      </w:pPr>
      <w:r>
        <w:t xml:space="preserve">Lived experience engagement should begin as early as possible. It should also be informed by an understanding of the historical context that people with lived experience bring. </w:t>
      </w:r>
    </w:p>
    <w:p w14:paraId="3E2E5CD4" w14:textId="77777777" w:rsidR="00F61A49" w:rsidRDefault="00F61A49" w:rsidP="00F61A49">
      <w:pPr>
        <w:pStyle w:val="DHHSbody"/>
      </w:pPr>
      <w:r w:rsidRPr="00687DCA">
        <w:t>Effective p</w:t>
      </w:r>
      <w:r>
        <w:t>r</w:t>
      </w:r>
      <w:r w:rsidRPr="00687DCA">
        <w:t>eparation ahead of engagement:</w:t>
      </w:r>
    </w:p>
    <w:p w14:paraId="13ABFD5F" w14:textId="77777777" w:rsidR="00F61A49" w:rsidRDefault="00F61A49" w:rsidP="00F61A49">
      <w:pPr>
        <w:pStyle w:val="DHHSbullet1"/>
      </w:pPr>
      <w:r w:rsidRPr="00687DCA">
        <w:t>minimises the risk of over-consultation, duplication of consultation and contradictory or ill-informed messaging</w:t>
      </w:r>
    </w:p>
    <w:p w14:paraId="4823DC82" w14:textId="77777777" w:rsidR="00F61A49" w:rsidRPr="00687DCA" w:rsidRDefault="00F61A49" w:rsidP="00F61A49">
      <w:pPr>
        <w:pStyle w:val="DHHSbullet1"/>
      </w:pPr>
      <w:r w:rsidRPr="00687DCA">
        <w:t>maximises opportunities to consolidate engagement activities across the department</w:t>
      </w:r>
    </w:p>
    <w:p w14:paraId="22CF4D81" w14:textId="77777777" w:rsidR="00F61A49" w:rsidRPr="00687DCA" w:rsidRDefault="00F61A49" w:rsidP="00F61A49">
      <w:pPr>
        <w:pStyle w:val="DHHSbullet1"/>
      </w:pPr>
      <w:r w:rsidRPr="00687DCA">
        <w:t xml:space="preserve">recognises the history and impact of colonisation when consulting with Aboriginal communities </w:t>
      </w:r>
    </w:p>
    <w:p w14:paraId="05DD2562" w14:textId="77777777" w:rsidR="00F61A49" w:rsidRPr="00235BA5" w:rsidRDefault="00F61A49" w:rsidP="00F61A49">
      <w:pPr>
        <w:pStyle w:val="DHHSbullet1lastline"/>
        <w:rPr>
          <w:b/>
          <w:bCs/>
          <w:i/>
        </w:rPr>
      </w:pPr>
      <w:r w:rsidRPr="00687DCA">
        <w:t xml:space="preserve">recognises the history and impact of trauma and receiving compulsory treatment when consulting with </w:t>
      </w:r>
      <w:r>
        <w:t>people who have</w:t>
      </w:r>
      <w:r w:rsidRPr="00687DCA">
        <w:t xml:space="preserve"> lived experience of mental illness</w:t>
      </w:r>
      <w:r>
        <w:t>.</w:t>
      </w:r>
    </w:p>
    <w:p w14:paraId="0FEFDA13" w14:textId="77777777" w:rsidR="00F61A49" w:rsidRPr="00B316A6" w:rsidRDefault="00F61A49" w:rsidP="00F61A49">
      <w:pPr>
        <w:pStyle w:val="DHHSbody"/>
        <w:rPr>
          <w:b/>
        </w:rPr>
      </w:pPr>
      <w:r w:rsidRPr="00B316A6">
        <w:rPr>
          <w:b/>
        </w:rPr>
        <w:t>3. We are genuine: We are true to our word and put people and communities first</w:t>
      </w:r>
    </w:p>
    <w:p w14:paraId="7F8DCA96" w14:textId="77777777" w:rsidR="00F61A49" w:rsidRDefault="00F61A49" w:rsidP="00F61A49">
      <w:pPr>
        <w:pStyle w:val="DHHSbody"/>
      </w:pPr>
      <w:r>
        <w:lastRenderedPageBreak/>
        <w:t>Genuine engagement requires us to actively seek input and collaboration with consumers and carers. Relationships and trust are fundamental to our success in engagement, and an ongoing commitment is required to maintain, strengthen and build trust in these relationships.</w:t>
      </w:r>
    </w:p>
    <w:p w14:paraId="7DA1EBD4" w14:textId="77777777" w:rsidR="00F61A49" w:rsidRDefault="00F61A49" w:rsidP="00F61A49">
      <w:pPr>
        <w:pStyle w:val="DHHSbody"/>
      </w:pPr>
      <w:r w:rsidRPr="00082B1D">
        <w:t>Genuine engagement:</w:t>
      </w:r>
    </w:p>
    <w:p w14:paraId="47E11049" w14:textId="77777777" w:rsidR="00F61A49" w:rsidRPr="006F35CE" w:rsidRDefault="00F61A49" w:rsidP="00F61A49">
      <w:pPr>
        <w:pStyle w:val="DHHSbullet1"/>
      </w:pPr>
      <w:r w:rsidRPr="006F35CE">
        <w:t xml:space="preserve">enables consumers and carers who hold </w:t>
      </w:r>
      <w:r>
        <w:t>lived experience t</w:t>
      </w:r>
      <w:r w:rsidRPr="006F35CE">
        <w:t>o be placed at the centre of policies and programs</w:t>
      </w:r>
    </w:p>
    <w:p w14:paraId="203AAC7E" w14:textId="77777777" w:rsidR="00F61A49" w:rsidRPr="006F35CE" w:rsidRDefault="00F61A49" w:rsidP="00F61A49">
      <w:pPr>
        <w:pStyle w:val="DHHSbullet1"/>
      </w:pPr>
      <w:r w:rsidRPr="006F35CE">
        <w:t>builds trust in our partnerships and relationships, which facilitates future lived experience</w:t>
      </w:r>
      <w:r>
        <w:t xml:space="preserve"> engagement</w:t>
      </w:r>
    </w:p>
    <w:p w14:paraId="05F82DCD" w14:textId="77777777" w:rsidR="00F61A49" w:rsidRPr="006F35CE" w:rsidRDefault="00F61A49" w:rsidP="00F61A49">
      <w:pPr>
        <w:pStyle w:val="DHHSbullet1lastline"/>
      </w:pPr>
      <w:r w:rsidRPr="006F35CE">
        <w:t>can act as a protective factor by building resilient relationships through open communication, information sharing and creating choice and control.</w:t>
      </w:r>
    </w:p>
    <w:p w14:paraId="1D01C4A7" w14:textId="77777777" w:rsidR="00F61A49" w:rsidRPr="00B316A6" w:rsidRDefault="00F61A49" w:rsidP="00F61A49">
      <w:pPr>
        <w:pStyle w:val="DHHSbody"/>
        <w:rPr>
          <w:b/>
        </w:rPr>
      </w:pPr>
      <w:r w:rsidRPr="00B316A6">
        <w:rPr>
          <w:b/>
        </w:rPr>
        <w:t>4. We are inclusive: We provide meaningful opportunities and support to enable consumer and carer participation</w:t>
      </w:r>
    </w:p>
    <w:p w14:paraId="67E1F077" w14:textId="77777777" w:rsidR="00F61A49" w:rsidRDefault="00F61A49" w:rsidP="00F61A49">
      <w:pPr>
        <w:pStyle w:val="DHHSbody"/>
      </w:pPr>
      <w:r>
        <w:t>Inclusive engagement values the experiences and opinions of all those involved, including consumers and carers, communities and service providers. Inclusive approaches also open engagement to as wide a range of people as possible, ensuring the diverse voices of all Victorians are heard, including those who are harder to reach or traditionally excluded. Finally, inclusive engagement minimises the risks associated with an over-reliance on a small number of regular experts.</w:t>
      </w:r>
    </w:p>
    <w:p w14:paraId="61D2EF1A" w14:textId="77777777" w:rsidR="00F61A49" w:rsidRDefault="00F61A49" w:rsidP="00F61A49">
      <w:pPr>
        <w:pStyle w:val="DHHSbody"/>
      </w:pPr>
      <w:r>
        <w:t>Inclusive engagement leads to:</w:t>
      </w:r>
    </w:p>
    <w:p w14:paraId="742BAB88" w14:textId="77777777" w:rsidR="00F61A49" w:rsidRPr="003F5328" w:rsidRDefault="00F61A49" w:rsidP="00F61A49">
      <w:pPr>
        <w:pStyle w:val="DHHSbullet1"/>
      </w:pPr>
      <w:r>
        <w:t xml:space="preserve">departmental decision </w:t>
      </w:r>
      <w:r w:rsidRPr="003F5328">
        <w:t>making that is better informed</w:t>
      </w:r>
      <w:r>
        <w:t xml:space="preserve"> and takes into consideration a wide range of opinions and experiences</w:t>
      </w:r>
    </w:p>
    <w:p w14:paraId="4A60809C" w14:textId="77777777" w:rsidR="00F61A49" w:rsidRPr="003F5328" w:rsidRDefault="00F61A49" w:rsidP="00F61A49">
      <w:pPr>
        <w:pStyle w:val="DHHSbullet1"/>
      </w:pPr>
      <w:r w:rsidRPr="003F5328">
        <w:t xml:space="preserve">greater agreement and understanding from all </w:t>
      </w:r>
      <w:r>
        <w:t>those involved</w:t>
      </w:r>
    </w:p>
    <w:p w14:paraId="7332B26A" w14:textId="77777777" w:rsidR="00F61A49" w:rsidRPr="00B316A6" w:rsidRDefault="00F61A49" w:rsidP="00F61A49">
      <w:pPr>
        <w:pStyle w:val="DHHSbullet1lastline"/>
      </w:pPr>
      <w:r w:rsidRPr="003F5328">
        <w:t>better programs, policies and services.</w:t>
      </w:r>
    </w:p>
    <w:p w14:paraId="7AF3933A" w14:textId="77777777" w:rsidR="00F61A49" w:rsidRPr="00B316A6" w:rsidRDefault="00F61A49" w:rsidP="00F61A49">
      <w:pPr>
        <w:pStyle w:val="DHHSbody"/>
        <w:rPr>
          <w:b/>
        </w:rPr>
      </w:pPr>
      <w:r w:rsidRPr="00B316A6">
        <w:rPr>
          <w:b/>
        </w:rPr>
        <w:t xml:space="preserve">5. We communicate: We provide regular updates and complete the feedback loop </w:t>
      </w:r>
    </w:p>
    <w:p w14:paraId="6D6408AF" w14:textId="77777777" w:rsidR="00F61A49" w:rsidRDefault="00F61A49" w:rsidP="00F61A49">
      <w:pPr>
        <w:pStyle w:val="DHHSbody"/>
      </w:pPr>
      <w:r>
        <w:t xml:space="preserve">To build trust and acknowledge contributions, communication should occur throughout engagement processes to keep those involved updated and informed. This includes providing feedback on how input has been used. </w:t>
      </w:r>
    </w:p>
    <w:p w14:paraId="31AE2214" w14:textId="77777777" w:rsidR="00F61A49" w:rsidRDefault="00F61A49" w:rsidP="00F61A49">
      <w:pPr>
        <w:pStyle w:val="DHHSbody"/>
      </w:pPr>
      <w:r>
        <w:t>Communication allows us to:</w:t>
      </w:r>
    </w:p>
    <w:p w14:paraId="005E2087" w14:textId="77777777" w:rsidR="00F61A49" w:rsidRDefault="00F61A49" w:rsidP="00F61A49">
      <w:pPr>
        <w:pStyle w:val="DHHSbullet1"/>
      </w:pPr>
      <w:r w:rsidRPr="001E6F9C">
        <w:t xml:space="preserve">build trust and open and genuine relationships </w:t>
      </w:r>
      <w:r>
        <w:t>with consumers and carers</w:t>
      </w:r>
    </w:p>
    <w:p w14:paraId="3612848E" w14:textId="77777777" w:rsidR="00F61A49" w:rsidRPr="001E6F9C" w:rsidRDefault="00F61A49" w:rsidP="00F61A49">
      <w:pPr>
        <w:pStyle w:val="DHHSbullet1"/>
      </w:pPr>
      <w:r>
        <w:t>listen, deepen and confirm a shared understanding of the issues and potential solutions</w:t>
      </w:r>
    </w:p>
    <w:p w14:paraId="7F740730" w14:textId="77777777" w:rsidR="00F61A49" w:rsidRPr="001E6F9C" w:rsidRDefault="00F61A49" w:rsidP="00F61A49">
      <w:pPr>
        <w:pStyle w:val="DHHSbullet1"/>
      </w:pPr>
      <w:r w:rsidRPr="001E6F9C">
        <w:t xml:space="preserve">get </w:t>
      </w:r>
      <w:r>
        <w:t>‘</w:t>
      </w:r>
      <w:r w:rsidRPr="001E6F9C">
        <w:t>buy-in</w:t>
      </w:r>
      <w:r>
        <w:t>’</w:t>
      </w:r>
      <w:r w:rsidRPr="001E6F9C">
        <w:t xml:space="preserve">, encouraging shared ownership </w:t>
      </w:r>
      <w:r>
        <w:t>in projects and other work</w:t>
      </w:r>
    </w:p>
    <w:p w14:paraId="2144AF3B" w14:textId="77777777" w:rsidR="00F61A49" w:rsidRPr="001E6F9C" w:rsidRDefault="00F61A49" w:rsidP="00F61A49">
      <w:pPr>
        <w:pStyle w:val="DHHSbullet1"/>
      </w:pPr>
      <w:r w:rsidRPr="001E6F9C">
        <w:t xml:space="preserve">ensure we are accountable </w:t>
      </w:r>
      <w:r>
        <w:t>to people with lived experience</w:t>
      </w:r>
      <w:r w:rsidRPr="001E6F9C">
        <w:t xml:space="preserve">, </w:t>
      </w:r>
      <w:r>
        <w:t>the</w:t>
      </w:r>
      <w:r w:rsidRPr="001E6F9C">
        <w:t xml:space="preserve"> community</w:t>
      </w:r>
      <w:r>
        <w:t xml:space="preserve"> and services </w:t>
      </w:r>
    </w:p>
    <w:p w14:paraId="63032866" w14:textId="77777777" w:rsidR="00F61A49" w:rsidRPr="001E6F9C" w:rsidRDefault="00F61A49" w:rsidP="00F61A49">
      <w:pPr>
        <w:pStyle w:val="DHHSbullet1"/>
      </w:pPr>
      <w:r w:rsidRPr="001E6F9C">
        <w:t xml:space="preserve">share our learnings and ensure that the department and </w:t>
      </w:r>
      <w:r>
        <w:t xml:space="preserve">those involved have all the </w:t>
      </w:r>
      <w:r w:rsidRPr="001E6F9C">
        <w:t xml:space="preserve">information required to </w:t>
      </w:r>
      <w:r>
        <w:t>contribute to the</w:t>
      </w:r>
      <w:r w:rsidRPr="001E6F9C">
        <w:t xml:space="preserve"> decision</w:t>
      </w:r>
      <w:r>
        <w:t>-making process</w:t>
      </w:r>
      <w:r w:rsidRPr="001E6F9C">
        <w:t>.</w:t>
      </w:r>
    </w:p>
    <w:p w14:paraId="0B31B337" w14:textId="77777777" w:rsidR="00F61A49" w:rsidRDefault="00F61A49" w:rsidP="00F61A49">
      <w:pPr>
        <w:pStyle w:val="Heading1"/>
      </w:pPr>
      <w:r>
        <w:rPr>
          <w:noProof/>
          <w:lang w:eastAsia="en-AU"/>
        </w:rPr>
        <w:br w:type="page"/>
      </w:r>
      <w:bookmarkStart w:id="28" w:name="_Toc13830193"/>
      <w:r>
        <w:lastRenderedPageBreak/>
        <w:t>Consumer and carer context</w:t>
      </w:r>
      <w:bookmarkEnd w:id="28"/>
    </w:p>
    <w:p w14:paraId="0CB4F683" w14:textId="77777777" w:rsidR="00F61A49" w:rsidRPr="00B316A6" w:rsidRDefault="00F61A49" w:rsidP="00F61A49">
      <w:pPr>
        <w:pStyle w:val="DHHSbody"/>
      </w:pPr>
      <w:r>
        <w:t xml:space="preserve">The field of psychiatry has been of public interest and concern since the 1800s when people questioned early practices. More recently, mental health was among many human rights-based movements that gained momentum in the 1960s. It is in this context that people diagnosed with a mental illness began to organise advocacy-based groups with the common goals of fighting for people’s rights, resisting </w:t>
      </w:r>
      <w:r w:rsidRPr="00B316A6">
        <w:t xml:space="preserve">forced treatment, addressing discrimination and promoting peer-run services as an alternative to the traditional mental health system. Many of the </w:t>
      </w:r>
      <w:r>
        <w:t>people</w:t>
      </w:r>
      <w:r w:rsidRPr="00B316A6">
        <w:t xml:space="preserve"> who organised these early groups identified themselves as ‘psychiatric survivors’ </w:t>
      </w:r>
      <w:r>
        <w:t>because</w:t>
      </w:r>
      <w:r w:rsidRPr="00B316A6">
        <w:t xml:space="preserve"> they saw the mental health system as destructive and disempowering.</w:t>
      </w:r>
    </w:p>
    <w:p w14:paraId="1561B58B" w14:textId="77777777" w:rsidR="00F61A49" w:rsidRPr="00B316A6" w:rsidRDefault="00F61A49" w:rsidP="00F61A49">
      <w:pPr>
        <w:pStyle w:val="DHHSbody"/>
      </w:pPr>
      <w:r w:rsidRPr="00B316A6">
        <w:t xml:space="preserve">Unlike clinical mental health services, which are usually based on the medical model, peer-run services are based on the principle that individuals who have shared similar experiences can help themselves and each other through self-help and mutual support. Informal peer support has always existed among people with mental distress and addiction. The earliest reference to peer support workers in mental health services was in the late 1700s in France. However, peer work did not become embedded in mainstream mental health service delivery for another 200 years (Davidson 2012). </w:t>
      </w:r>
    </w:p>
    <w:p w14:paraId="607E4094" w14:textId="77777777" w:rsidR="00F61A49" w:rsidRDefault="00F61A49" w:rsidP="00F61A49">
      <w:pPr>
        <w:pStyle w:val="DHHSbody"/>
      </w:pPr>
      <w:r w:rsidRPr="00B316A6">
        <w:t>While sharing some of the goals of the earlier</w:t>
      </w:r>
      <w:r>
        <w:t xml:space="preserve"> movements, more and more consumers’ families and carers are seeking to transform the traditional crisis-oriented mental health system. They want to play an active role in reform, to ensure consumers can access genuine recovery-oriented mental health services. Consumer and carer grassroots peer-based advocacy groups encourage their members to learn as much as possible about the mental health system and support them to make a case for change. Recipients of mental health services demand control over their own treatment and have begun to have an influence on the public mental health system. </w:t>
      </w:r>
    </w:p>
    <w:p w14:paraId="6680589D" w14:textId="77777777" w:rsidR="00F61A49" w:rsidRDefault="00F61A49" w:rsidP="00F61A49">
      <w:pPr>
        <w:pStyle w:val="DHHSbody"/>
      </w:pPr>
      <w:r>
        <w:t xml:space="preserve">Consumer, family and carer participation is increasingly recognised as a core part of work across individual, service, system and policy levels, and in safety and quality frameworks to influence change through continuous quality improvement processes. The benefit of systemic participation by consumers and carers in mental health has been recognised formally in documents such as </w:t>
      </w:r>
      <w:r w:rsidRPr="00801F42">
        <w:rPr>
          <w:i/>
        </w:rPr>
        <w:t xml:space="preserve">Consumer and </w:t>
      </w:r>
      <w:r>
        <w:rPr>
          <w:i/>
        </w:rPr>
        <w:t>c</w:t>
      </w:r>
      <w:r w:rsidRPr="00801F42">
        <w:rPr>
          <w:i/>
        </w:rPr>
        <w:t xml:space="preserve">arer </w:t>
      </w:r>
      <w:r>
        <w:rPr>
          <w:i/>
        </w:rPr>
        <w:t>p</w:t>
      </w:r>
      <w:r w:rsidRPr="00801F42">
        <w:rPr>
          <w:i/>
        </w:rPr>
        <w:t xml:space="preserve">articipation: </w:t>
      </w:r>
      <w:r>
        <w:rPr>
          <w:i/>
        </w:rPr>
        <w:t>a</w:t>
      </w:r>
      <w:r w:rsidRPr="00801F42">
        <w:rPr>
          <w:i/>
        </w:rPr>
        <w:t xml:space="preserve"> framework for the mental health sector</w:t>
      </w:r>
      <w:r>
        <w:t xml:space="preserve"> (National Consumer and Carer Forum of Australia 2004) and Victorian policy documents such as </w:t>
      </w:r>
      <w:r w:rsidRPr="00801F42">
        <w:rPr>
          <w:i/>
        </w:rPr>
        <w:t>Strengthening consumer participation in Victoria's public mental health service: action plan</w:t>
      </w:r>
      <w:r>
        <w:t xml:space="preserve"> (2009) and</w:t>
      </w:r>
      <w:r w:rsidRPr="00801F42">
        <w:rPr>
          <w:i/>
        </w:rPr>
        <w:t xml:space="preserve"> Caring together: an action plan for carer involvement in Victorian public mental health services </w:t>
      </w:r>
      <w:r>
        <w:t xml:space="preserve">(2006). </w:t>
      </w:r>
    </w:p>
    <w:p w14:paraId="64D4599F" w14:textId="1E7A8E22" w:rsidR="00F61A49" w:rsidRDefault="00F61A49" w:rsidP="00F61A49">
      <w:pPr>
        <w:pStyle w:val="DHHSbody"/>
      </w:pPr>
      <w:r>
        <w:t xml:space="preserve">Engaging with consumers, families and carers is vital to collaboratively creating a responsive mental health system. Consumers, families and carers bring more than their direct mental health experiences and use of the mental health system when they engage. Over time they develop ways of knowing, theorising and thinking about their experiences. This now constitutes a unique emerging discipline, bringing expertise, known as lived experience, or consumer and family/carer perspective (Roper, Grey &amp; Cadogan 2018). Whether individuals consider themselves consumers, survivors, activists, family members or carers, they </w:t>
      </w:r>
      <w:proofErr w:type="gramStart"/>
      <w:r>
        <w:t>seek to have</w:t>
      </w:r>
      <w:proofErr w:type="gramEnd"/>
      <w:r>
        <w:t xml:space="preserve"> a collective voice and a choice.</w:t>
      </w:r>
    </w:p>
    <w:p w14:paraId="763D0C8B" w14:textId="03BFA4E0" w:rsidR="0066332C" w:rsidRDefault="0066332C" w:rsidP="0066332C">
      <w:pPr>
        <w:pStyle w:val="DHHSbody"/>
        <w:rPr>
          <w:noProof/>
          <w:lang w:eastAsia="en-AU"/>
        </w:rPr>
      </w:pPr>
      <w:r>
        <w:rPr>
          <w:noProof/>
          <w:lang w:eastAsia="en-AU"/>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66332C" w14:paraId="5F5F796E" w14:textId="77777777" w:rsidTr="00C71A3A">
        <w:tc>
          <w:tcPr>
            <w:tcW w:w="9514" w:type="dxa"/>
            <w:shd w:val="clear" w:color="auto" w:fill="auto"/>
          </w:tcPr>
          <w:p w14:paraId="1F17246A" w14:textId="77777777" w:rsidR="0066332C" w:rsidRPr="0085314C" w:rsidRDefault="0066332C" w:rsidP="00C71A3A">
            <w:pPr>
              <w:pStyle w:val="DHHStablecolhead"/>
            </w:pPr>
            <w:r w:rsidRPr="0085314C">
              <w:lastRenderedPageBreak/>
              <w:t xml:space="preserve">Testimony: Consumer </w:t>
            </w:r>
            <w:r>
              <w:t>p</w:t>
            </w:r>
            <w:r w:rsidRPr="0085314C">
              <w:t>erspective</w:t>
            </w:r>
          </w:p>
          <w:p w14:paraId="55DCA9FC" w14:textId="77777777" w:rsidR="0066332C" w:rsidRPr="00BD7A16" w:rsidRDefault="0066332C" w:rsidP="00C71A3A">
            <w:pPr>
              <w:pStyle w:val="DHHStabletext"/>
            </w:pPr>
            <w:r w:rsidRPr="00BD7A16">
              <w:t xml:space="preserve">During my involvement in the development of this document, departmental staff identified that they hoped the </w:t>
            </w:r>
            <w:r w:rsidRPr="00801F42">
              <w:rPr>
                <w:i/>
              </w:rPr>
              <w:t xml:space="preserve">Lived </w:t>
            </w:r>
            <w:r>
              <w:rPr>
                <w:i/>
              </w:rPr>
              <w:t>e</w:t>
            </w:r>
            <w:r w:rsidRPr="00801F42">
              <w:rPr>
                <w:i/>
              </w:rPr>
              <w:t xml:space="preserve">xperience </w:t>
            </w:r>
            <w:r>
              <w:rPr>
                <w:i/>
              </w:rPr>
              <w:t>e</w:t>
            </w:r>
            <w:r w:rsidRPr="00801F42">
              <w:rPr>
                <w:i/>
              </w:rPr>
              <w:t xml:space="preserve">ngagement </w:t>
            </w:r>
            <w:r>
              <w:rPr>
                <w:i/>
              </w:rPr>
              <w:t>f</w:t>
            </w:r>
            <w:r w:rsidRPr="00801F42">
              <w:rPr>
                <w:i/>
              </w:rPr>
              <w:t>ramework</w:t>
            </w:r>
            <w:r w:rsidRPr="00BD7A16">
              <w:t xml:space="preserve"> would be a ‘how’ rather than a ‘why’ in doing consumer engagement. </w:t>
            </w:r>
          </w:p>
          <w:p w14:paraId="0D71FA39" w14:textId="77777777" w:rsidR="0066332C" w:rsidRPr="00BD7A16" w:rsidRDefault="0066332C" w:rsidP="00C71A3A">
            <w:pPr>
              <w:pStyle w:val="DHHStabletext"/>
            </w:pPr>
            <w:r w:rsidRPr="00BD7A16">
              <w:t>From a consumer perspective though, I see the ‘why’ being intrinsically linked to the ‘how’ in this context. We want departmental staff to understand that, historically, consumers weren’t engaged in a meaningful way</w:t>
            </w:r>
            <w:r>
              <w:t>,</w:t>
            </w:r>
            <w:r w:rsidRPr="00BD7A16">
              <w:t xml:space="preserve"> which led to policies and projects being developed that were</w:t>
            </w:r>
            <w:r>
              <w:t>,</w:t>
            </w:r>
            <w:r w:rsidRPr="00BD7A16">
              <w:t xml:space="preserve"> at best, not appropriate to our needs, and at worst, harmful. There are very real limitations that departmental staff face in the work they do, and that is, of course, understandable, but what we are asking here in this document is that you consider how these limitations will impact on the level of engagement you are able to do. </w:t>
            </w:r>
          </w:p>
          <w:p w14:paraId="68990FBB" w14:textId="77777777" w:rsidR="0066332C" w:rsidRPr="00BD7A16" w:rsidRDefault="0066332C" w:rsidP="00C71A3A">
            <w:pPr>
              <w:pStyle w:val="DHHStabletext"/>
            </w:pPr>
            <w:r w:rsidRPr="00BD7A16">
              <w:t xml:space="preserve">For example, time pressures were identified by departmental staff in the making of this document, but in terms of consumer engagement, it’s one of the biggest barriers in getting consumer engagement right; time and time again we’ve been told that there simply isn’t enough time to do the co-production work that is needed for the highest level of engagement. The response to this </w:t>
            </w:r>
            <w:r>
              <w:t>is that</w:t>
            </w:r>
            <w:r w:rsidRPr="00BD7A16">
              <w:t xml:space="preserve"> if you need to do high-level engagement, you need to dedicate the time and reflect this back to senior departmental staff.</w:t>
            </w:r>
          </w:p>
          <w:p w14:paraId="52FD6D85" w14:textId="77777777" w:rsidR="0066332C" w:rsidRDefault="0066332C" w:rsidP="00C71A3A">
            <w:pPr>
              <w:pStyle w:val="DHHStabletext"/>
            </w:pPr>
            <w:r w:rsidRPr="00CF76B2">
              <w:rPr>
                <w:i/>
              </w:rPr>
              <w:t>Frankie Freeman, Consumer Liaison Manager, Victorian Mental Illness Awareness Council</w:t>
            </w:r>
          </w:p>
        </w:tc>
      </w:tr>
    </w:tbl>
    <w:p w14:paraId="6CC2634D" w14:textId="77777777" w:rsidR="0066332C" w:rsidRDefault="0066332C" w:rsidP="0066332C">
      <w:pPr>
        <w:pStyle w:val="DHHSbody"/>
        <w:rPr>
          <w:noProof/>
          <w:lang w:eastAsia="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66332C" w14:paraId="32287F84" w14:textId="77777777" w:rsidTr="00C71A3A">
        <w:tc>
          <w:tcPr>
            <w:tcW w:w="9514" w:type="dxa"/>
            <w:shd w:val="clear" w:color="auto" w:fill="auto"/>
          </w:tcPr>
          <w:p w14:paraId="786861DA" w14:textId="77777777" w:rsidR="0066332C" w:rsidRPr="0085314C" w:rsidRDefault="0066332C" w:rsidP="00C71A3A">
            <w:pPr>
              <w:pStyle w:val="DHHStablecolhead"/>
            </w:pPr>
            <w:r w:rsidRPr="0085314C">
              <w:t xml:space="preserve">Testimony: Family and </w:t>
            </w:r>
            <w:r>
              <w:t>c</w:t>
            </w:r>
            <w:r w:rsidRPr="0085314C">
              <w:t xml:space="preserve">arer </w:t>
            </w:r>
            <w:r>
              <w:t>p</w:t>
            </w:r>
            <w:r w:rsidRPr="0085314C">
              <w:t>erspective</w:t>
            </w:r>
          </w:p>
          <w:p w14:paraId="577EE327" w14:textId="77777777" w:rsidR="0066332C" w:rsidRDefault="0066332C" w:rsidP="00C71A3A">
            <w:pPr>
              <w:pStyle w:val="DHHStabletext"/>
            </w:pPr>
            <w:r>
              <w:t xml:space="preserve">The most important aspect of engagement with family, carers and friends (including family of choice) is being respected, recognised and heard. I have encountered many barriers in my experience as both a carer and a member of the lived experience workforce supporting carers to participate. These often relate to the exclusion of carers as part of a common misconception that including carers may involve breaching the confidentially and privacy of consumers, which of course must be upheld in line with legislation. I would like people to understand that family and carer participation in </w:t>
            </w:r>
            <w:r w:rsidRPr="000058E3">
              <w:t>system policy and service design</w:t>
            </w:r>
            <w:r>
              <w:t xml:space="preserve"> is not dependent on consumers consenting</w:t>
            </w:r>
            <w:r w:rsidRPr="00805633">
              <w:t xml:space="preserve"> to their involvement.</w:t>
            </w:r>
            <w:r>
              <w:t xml:space="preserve"> </w:t>
            </w:r>
          </w:p>
          <w:p w14:paraId="39DD2BDB" w14:textId="77777777" w:rsidR="0066332C" w:rsidRDefault="0066332C" w:rsidP="00C71A3A">
            <w:pPr>
              <w:pStyle w:val="DHHStabletext"/>
            </w:pPr>
            <w:r>
              <w:t xml:space="preserve">Carers sometimes feel </w:t>
            </w:r>
            <w:r w:rsidRPr="00805633">
              <w:t>left out of processes</w:t>
            </w:r>
            <w:r>
              <w:t xml:space="preserve"> where they want to share the unique impacts on themselves, their relationships or where they have legitimate experiences to contribute to future planning</w:t>
            </w:r>
            <w:r w:rsidRPr="00805633">
              <w:t xml:space="preserve">. </w:t>
            </w:r>
          </w:p>
          <w:p w14:paraId="74E83E7B" w14:textId="77777777" w:rsidR="0066332C" w:rsidRDefault="0066332C" w:rsidP="00C71A3A">
            <w:pPr>
              <w:pStyle w:val="DHHStabletext"/>
            </w:pPr>
            <w:r>
              <w:t>When engagement is done well, carers feel included and are validated that their experience is valuable.</w:t>
            </w:r>
            <w:r w:rsidRPr="001E12B1">
              <w:t xml:space="preserve"> </w:t>
            </w:r>
            <w:r>
              <w:t>Families and c</w:t>
            </w:r>
            <w:r w:rsidRPr="00805633">
              <w:t xml:space="preserve">arers </w:t>
            </w:r>
            <w:r>
              <w:t>stress</w:t>
            </w:r>
            <w:r w:rsidRPr="00805633">
              <w:t xml:space="preserve"> the importance of </w:t>
            </w:r>
            <w:r>
              <w:t>having</w:t>
            </w:r>
            <w:r w:rsidRPr="00805633">
              <w:t xml:space="preserve"> a range of </w:t>
            </w:r>
            <w:r>
              <w:t xml:space="preserve">opportunities available to participate, including </w:t>
            </w:r>
            <w:r w:rsidRPr="00805633">
              <w:t>separate forums for carer</w:t>
            </w:r>
            <w:r>
              <w:t xml:space="preserve"> participation</w:t>
            </w:r>
            <w:r w:rsidRPr="00805633">
              <w:t xml:space="preserve">. </w:t>
            </w:r>
            <w:r>
              <w:t xml:space="preserve">Flexible options are needed </w:t>
            </w:r>
            <w:r w:rsidRPr="00805633">
              <w:t xml:space="preserve">to ensure </w:t>
            </w:r>
            <w:r>
              <w:t>family and carers have equitable opportunities to</w:t>
            </w:r>
            <w:r w:rsidRPr="00805633">
              <w:t xml:space="preserve"> participate</w:t>
            </w:r>
            <w:r>
              <w:t>, especially on issues that relate to their wellbeing and care relationships.</w:t>
            </w:r>
          </w:p>
          <w:p w14:paraId="0CB1F14B" w14:textId="77777777" w:rsidR="0066332C" w:rsidRPr="00514A66" w:rsidRDefault="0066332C" w:rsidP="00C71A3A">
            <w:pPr>
              <w:pStyle w:val="DHHStabletext"/>
            </w:pPr>
            <w:r>
              <w:t xml:space="preserve">It is </w:t>
            </w:r>
            <w:r w:rsidRPr="00805633">
              <w:t xml:space="preserve">important </w:t>
            </w:r>
            <w:r>
              <w:t>that carers</w:t>
            </w:r>
            <w:r w:rsidRPr="00805633">
              <w:t xml:space="preserve"> be res</w:t>
            </w:r>
            <w:r>
              <w:t xml:space="preserve">pected and recognised in their role as carers but also </w:t>
            </w:r>
            <w:proofErr w:type="gramStart"/>
            <w:r>
              <w:t>be seen as</w:t>
            </w:r>
            <w:proofErr w:type="gramEnd"/>
            <w:r>
              <w:t xml:space="preserve"> an individual with their own needs. It is important that their efforts and dedication as a carer, including the social and economic contributions that come from this, are acknowledged. Their views, </w:t>
            </w:r>
            <w:r w:rsidRPr="00514A66">
              <w:t>cultural identity</w:t>
            </w:r>
            <w:r>
              <w:t xml:space="preserve">, wellbeing and the carer and </w:t>
            </w:r>
            <w:r w:rsidRPr="00514A66">
              <w:t>of the person for whom they care</w:t>
            </w:r>
            <w:r>
              <w:t xml:space="preserve"> need to be considered</w:t>
            </w:r>
            <w:r w:rsidRPr="00514A66">
              <w:t xml:space="preserve">. </w:t>
            </w:r>
            <w:r>
              <w:t>T</w:t>
            </w:r>
            <w:r w:rsidRPr="00514A66">
              <w:t xml:space="preserve">he effect of being a carer </w:t>
            </w:r>
            <w:r>
              <w:t>should be considered not only in their ability to participate in employment and education but also i</w:t>
            </w:r>
            <w:r w:rsidRPr="00514A66">
              <w:t xml:space="preserve">n their </w:t>
            </w:r>
            <w:r>
              <w:t xml:space="preserve">ability to </w:t>
            </w:r>
            <w:r w:rsidRPr="00514A66">
              <w:t>participat</w:t>
            </w:r>
            <w:r>
              <w:t>e in engagement processes.</w:t>
            </w:r>
          </w:p>
          <w:p w14:paraId="2182806C" w14:textId="77777777" w:rsidR="0066332C" w:rsidRPr="00CF76B2" w:rsidRDefault="0066332C" w:rsidP="00C71A3A">
            <w:pPr>
              <w:pStyle w:val="DHHStabletext"/>
              <w:rPr>
                <w:b/>
              </w:rPr>
            </w:pPr>
            <w:r>
              <w:t xml:space="preserve">When this is done well </w:t>
            </w:r>
            <w:r w:rsidRPr="00805633">
              <w:t xml:space="preserve">carers </w:t>
            </w:r>
            <w:r>
              <w:t>have their own perspectives sought and they feel included and respected.</w:t>
            </w:r>
          </w:p>
          <w:p w14:paraId="26856F3A" w14:textId="77777777" w:rsidR="0066332C" w:rsidRDefault="0066332C" w:rsidP="00C71A3A">
            <w:pPr>
              <w:pStyle w:val="DHHStabletext"/>
            </w:pPr>
            <w:r>
              <w:t xml:space="preserve">For me participation means I can be a crucial part of creating accessible, safe and recovery-focused services for the people I care about, and to receive the right services at the right time in the right place. </w:t>
            </w:r>
          </w:p>
          <w:p w14:paraId="6808BC31" w14:textId="77777777" w:rsidR="0066332C" w:rsidRPr="00CF76B2" w:rsidRDefault="0066332C" w:rsidP="00C71A3A">
            <w:pPr>
              <w:pStyle w:val="DHHStabletext"/>
              <w:rPr>
                <w:rFonts w:cs="Arial"/>
                <w:i/>
              </w:rPr>
            </w:pPr>
            <w:r w:rsidRPr="00CF76B2">
              <w:rPr>
                <w:rFonts w:cs="Arial"/>
                <w:i/>
              </w:rPr>
              <w:t>Katrina Clarke, Victorian Carer Representative</w:t>
            </w:r>
            <w:r>
              <w:rPr>
                <w:rFonts w:cs="Arial"/>
                <w:i/>
              </w:rPr>
              <w:t>,</w:t>
            </w:r>
            <w:r w:rsidRPr="00CF76B2">
              <w:rPr>
                <w:rFonts w:cs="Arial"/>
                <w:i/>
              </w:rPr>
              <w:t xml:space="preserve"> National Mental Health Consumer &amp; Carer Forum</w:t>
            </w:r>
          </w:p>
        </w:tc>
      </w:tr>
    </w:tbl>
    <w:p w14:paraId="5EAB61AD" w14:textId="77777777" w:rsidR="0066332C" w:rsidRDefault="0066332C" w:rsidP="00F61A49">
      <w:pPr>
        <w:pStyle w:val="DHHSbody"/>
      </w:pPr>
    </w:p>
    <w:p w14:paraId="258914AD" w14:textId="77777777" w:rsidR="0066332C" w:rsidRDefault="0066332C" w:rsidP="00A70449">
      <w:pPr>
        <w:pStyle w:val="DHHSbody"/>
        <w:rPr>
          <w:noProof/>
          <w:lang w:eastAsia="en-AU"/>
        </w:rPr>
      </w:pPr>
    </w:p>
    <w:p w14:paraId="417F19C1" w14:textId="2A58A39A" w:rsidR="00F61A49" w:rsidRPr="00610AB3" w:rsidRDefault="00F61A49" w:rsidP="00F61A49">
      <w:pPr>
        <w:pStyle w:val="Heading1"/>
      </w:pPr>
      <w:r w:rsidRPr="00185B8D">
        <w:rPr>
          <w:b/>
          <w:noProof/>
          <w:sz w:val="40"/>
          <w:lang w:eastAsia="en-AU"/>
        </w:rPr>
        <w:br w:type="page"/>
      </w:r>
      <w:bookmarkStart w:id="29" w:name="_Toc534374309"/>
      <w:bookmarkStart w:id="30" w:name="_Toc13830194"/>
      <w:r>
        <w:lastRenderedPageBreak/>
        <w:t>Foundations for effective engagement</w:t>
      </w:r>
      <w:bookmarkEnd w:id="29"/>
      <w:bookmarkEnd w:id="30"/>
      <w:r>
        <w:t xml:space="preserve"> </w:t>
      </w:r>
    </w:p>
    <w:p w14:paraId="440BD7A8" w14:textId="77777777" w:rsidR="00F61A49" w:rsidRDefault="00F61A49" w:rsidP="00F61A49">
      <w:pPr>
        <w:pStyle w:val="DHHSbody"/>
        <w:rPr>
          <w:noProof/>
          <w:lang w:eastAsia="en-AU"/>
        </w:rPr>
      </w:pPr>
      <w:r>
        <w:rPr>
          <w:noProof/>
          <w:lang w:eastAsia="en-AU"/>
        </w:rPr>
        <w:t xml:space="preserve">The </w:t>
      </w:r>
      <w:r>
        <w:rPr>
          <w:i/>
          <w:noProof/>
          <w:lang w:eastAsia="en-AU"/>
        </w:rPr>
        <w:t>IAP2</w:t>
      </w:r>
      <w:r w:rsidRPr="005E5FFE">
        <w:rPr>
          <w:i/>
          <w:noProof/>
          <w:lang w:eastAsia="en-AU"/>
        </w:rPr>
        <w:t xml:space="preserve"> </w:t>
      </w:r>
      <w:r>
        <w:rPr>
          <w:i/>
          <w:noProof/>
          <w:lang w:eastAsia="en-AU"/>
        </w:rPr>
        <w:t>p</w:t>
      </w:r>
      <w:r w:rsidRPr="005E5FFE">
        <w:rPr>
          <w:i/>
          <w:noProof/>
          <w:lang w:eastAsia="en-AU"/>
        </w:rPr>
        <w:t xml:space="preserve">ublic </w:t>
      </w:r>
      <w:r>
        <w:rPr>
          <w:i/>
          <w:noProof/>
          <w:lang w:eastAsia="en-AU"/>
        </w:rPr>
        <w:t>participation</w:t>
      </w:r>
      <w:r w:rsidRPr="005E5FFE">
        <w:rPr>
          <w:i/>
          <w:noProof/>
          <w:lang w:eastAsia="en-AU"/>
        </w:rPr>
        <w:t xml:space="preserve"> </w:t>
      </w:r>
      <w:r>
        <w:rPr>
          <w:i/>
          <w:noProof/>
          <w:lang w:eastAsia="en-AU"/>
        </w:rPr>
        <w:t>sp</w:t>
      </w:r>
      <w:r w:rsidRPr="005E5FFE">
        <w:rPr>
          <w:i/>
          <w:noProof/>
          <w:lang w:eastAsia="en-AU"/>
        </w:rPr>
        <w:t>ectrum</w:t>
      </w:r>
      <w:r>
        <w:rPr>
          <w:noProof/>
          <w:lang w:eastAsia="en-AU"/>
        </w:rPr>
        <w:t xml:space="preserve"> is an international standard for engagement that describes engagement along a continuum. At the lower end, there is simply informing people of work that is being undertaken. At the other end, there is co-production, where people with lived experience have every opportunity to inform the work and its outcomes (see Figure 2). </w:t>
      </w:r>
    </w:p>
    <w:p w14:paraId="155D1A01" w14:textId="77777777" w:rsidR="00F61A49" w:rsidRDefault="00F61A49" w:rsidP="00F61A49">
      <w:pPr>
        <w:pStyle w:val="DHHSfigurecaption"/>
        <w:rPr>
          <w:noProof/>
          <w:lang w:eastAsia="en-AU"/>
        </w:rPr>
      </w:pPr>
      <w:r>
        <w:t xml:space="preserve">Figure </w:t>
      </w:r>
      <w:r>
        <w:rPr>
          <w:noProof/>
        </w:rPr>
        <w:t>2</w:t>
      </w:r>
      <w:r>
        <w:t xml:space="preserve">: The engagement continuum </w:t>
      </w:r>
    </w:p>
    <w:p w14:paraId="2FBB6744" w14:textId="5636E4DD" w:rsidR="00F61A49" w:rsidRDefault="005E6AFA" w:rsidP="00F61A49">
      <w:pPr>
        <w:pStyle w:val="DHHSbody"/>
      </w:pPr>
      <w:r>
        <w:rPr>
          <w:noProof/>
        </w:rPr>
        <w:drawing>
          <wp:inline distT="0" distB="0" distL="0" distR="0" wp14:anchorId="3795A5A2" wp14:editId="7359C712">
            <wp:extent cx="5730875" cy="561340"/>
            <wp:effectExtent l="0" t="0" r="0" b="0"/>
            <wp:docPr id="2" name="Picture 2" descr="The continuum move through the following: inform, consult, involve, co-design (collaborate) and co-production (em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ntinuum move through the following: inform, consult, involve, co-design (collaborate) and co-production (empow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561340"/>
                    </a:xfrm>
                    <a:prstGeom prst="rect">
                      <a:avLst/>
                    </a:prstGeom>
                    <a:noFill/>
                    <a:ln>
                      <a:noFill/>
                    </a:ln>
                  </pic:spPr>
                </pic:pic>
              </a:graphicData>
            </a:graphic>
          </wp:inline>
        </w:drawing>
      </w:r>
    </w:p>
    <w:p w14:paraId="43755972" w14:textId="77777777" w:rsidR="00F61A49" w:rsidRPr="00952A98" w:rsidRDefault="00F61A49" w:rsidP="00F61A49">
      <w:pPr>
        <w:pStyle w:val="Heading2"/>
        <w:rPr>
          <w:noProof/>
          <w:lang w:eastAsia="en-AU"/>
        </w:rPr>
      </w:pPr>
      <w:bookmarkStart w:id="31" w:name="_Toc13830195"/>
      <w:bookmarkStart w:id="32" w:name="_Hlk534013505"/>
      <w:r w:rsidRPr="00952A98">
        <w:rPr>
          <w:noProof/>
          <w:lang w:eastAsia="en-AU"/>
        </w:rPr>
        <w:t>Engagement levels</w:t>
      </w:r>
      <w:bookmarkEnd w:id="31"/>
    </w:p>
    <w:p w14:paraId="07F537AB" w14:textId="77777777" w:rsidR="00F61A49" w:rsidRDefault="00F61A49" w:rsidP="00F61A49">
      <w:pPr>
        <w:pStyle w:val="DHHSbody"/>
        <w:rPr>
          <w:noProof/>
          <w:lang w:eastAsia="en-AU"/>
        </w:rPr>
      </w:pPr>
      <w:r>
        <w:rPr>
          <w:noProof/>
          <w:lang w:eastAsia="en-AU"/>
        </w:rPr>
        <w:t xml:space="preserve">Below is an outline of the IAP2 spectrum, with context for engaging people with lived experience of mental illness. </w:t>
      </w:r>
    </w:p>
    <w:p w14:paraId="65655903" w14:textId="77777777" w:rsidR="00F61A49" w:rsidRDefault="00F61A49" w:rsidP="00F61A49">
      <w:pPr>
        <w:pStyle w:val="Heading3"/>
        <w:rPr>
          <w:noProof/>
          <w:lang w:eastAsia="en-AU"/>
        </w:rPr>
      </w:pPr>
      <w:r w:rsidRPr="003B5C9A">
        <w:rPr>
          <w:noProof/>
          <w:lang w:eastAsia="en-AU"/>
        </w:rPr>
        <w:t>Inform</w:t>
      </w:r>
      <w:r>
        <w:rPr>
          <w:noProof/>
          <w:lang w:eastAsia="en-AU"/>
        </w:rPr>
        <w:t xml:space="preserve"> </w:t>
      </w:r>
    </w:p>
    <w:p w14:paraId="7C14A346" w14:textId="77777777" w:rsidR="00F61A49" w:rsidRDefault="00F61A49" w:rsidP="00F61A49">
      <w:pPr>
        <w:pStyle w:val="DHHSbody"/>
        <w:rPr>
          <w:noProof/>
          <w:lang w:eastAsia="en-AU"/>
        </w:rPr>
      </w:pPr>
      <w:r w:rsidRPr="008B01E8">
        <w:rPr>
          <w:b/>
          <w:noProof/>
          <w:lang w:eastAsia="en-AU"/>
        </w:rPr>
        <w:t>Goal:</w:t>
      </w:r>
      <w:r>
        <w:rPr>
          <w:noProof/>
          <w:lang w:eastAsia="en-AU"/>
        </w:rPr>
        <w:t xml:space="preserve"> </w:t>
      </w:r>
      <w:r w:rsidRPr="003643C5">
        <w:rPr>
          <w:noProof/>
          <w:lang w:eastAsia="en-AU"/>
        </w:rPr>
        <w:t>To provide the public with balanced and objective information to assist them in understanding the problem, alternatives, opportunities and/or solutions.</w:t>
      </w:r>
    </w:p>
    <w:p w14:paraId="3EC8B6CE" w14:textId="77777777" w:rsidR="00F61A49" w:rsidRDefault="00F61A49" w:rsidP="00F61A49">
      <w:pPr>
        <w:pStyle w:val="DHHSbody"/>
        <w:rPr>
          <w:noProof/>
          <w:lang w:eastAsia="en-AU"/>
        </w:rPr>
      </w:pPr>
      <w:r w:rsidRPr="00B2313A">
        <w:rPr>
          <w:noProof/>
          <w:lang w:eastAsia="en-AU"/>
        </w:rPr>
        <w:t>Informing is usually th</w:t>
      </w:r>
      <w:r>
        <w:rPr>
          <w:noProof/>
          <w:lang w:eastAsia="en-AU"/>
        </w:rPr>
        <w:t xml:space="preserve">e first step in ensuring public </w:t>
      </w:r>
      <w:r w:rsidRPr="00B2313A">
        <w:rPr>
          <w:noProof/>
          <w:lang w:eastAsia="en-AU"/>
        </w:rPr>
        <w:t>participation</w:t>
      </w:r>
      <w:r>
        <w:rPr>
          <w:noProof/>
          <w:lang w:eastAsia="en-AU"/>
        </w:rPr>
        <w:t xml:space="preserve">. It may occur as part of planning, review or implementation. It does not include a process for feedback and does not include public discussion. </w:t>
      </w:r>
    </w:p>
    <w:p w14:paraId="3519D8C6" w14:textId="77777777" w:rsidR="00F61A49" w:rsidRDefault="00F61A49" w:rsidP="00F61A49">
      <w:pPr>
        <w:pStyle w:val="Heading3"/>
        <w:rPr>
          <w:noProof/>
          <w:lang w:eastAsia="en-AU"/>
        </w:rPr>
      </w:pPr>
      <w:r w:rsidRPr="003B5C9A">
        <w:rPr>
          <w:noProof/>
          <w:lang w:eastAsia="en-AU"/>
        </w:rPr>
        <w:t>Consult</w:t>
      </w:r>
      <w:r>
        <w:rPr>
          <w:noProof/>
          <w:lang w:eastAsia="en-AU"/>
        </w:rPr>
        <w:t xml:space="preserve"> </w:t>
      </w:r>
    </w:p>
    <w:p w14:paraId="3B9DF8E6" w14:textId="77777777" w:rsidR="00F61A49" w:rsidRDefault="00F61A49" w:rsidP="00F61A49">
      <w:pPr>
        <w:pStyle w:val="DHHSbody"/>
        <w:rPr>
          <w:noProof/>
          <w:lang w:eastAsia="en-AU"/>
        </w:rPr>
      </w:pPr>
      <w:r w:rsidRPr="008B01E8">
        <w:rPr>
          <w:b/>
          <w:noProof/>
          <w:lang w:eastAsia="en-AU"/>
        </w:rPr>
        <w:t>Goal:</w:t>
      </w:r>
      <w:r>
        <w:rPr>
          <w:noProof/>
          <w:lang w:eastAsia="en-AU"/>
        </w:rPr>
        <w:t xml:space="preserve"> </w:t>
      </w:r>
      <w:r w:rsidRPr="00FE5E65">
        <w:rPr>
          <w:noProof/>
          <w:lang w:eastAsia="en-AU"/>
        </w:rPr>
        <w:t>To obtain public feedback on analysis, alternatives and/or decisions.</w:t>
      </w:r>
    </w:p>
    <w:p w14:paraId="366268A5" w14:textId="77777777" w:rsidR="00F61A49" w:rsidRPr="004208D5" w:rsidRDefault="00F61A49" w:rsidP="00F61A49">
      <w:pPr>
        <w:pStyle w:val="DHHSbody"/>
        <w:rPr>
          <w:noProof/>
          <w:lang w:eastAsia="en-AU"/>
        </w:rPr>
      </w:pPr>
      <w:r w:rsidRPr="004208D5">
        <w:rPr>
          <w:noProof/>
          <w:lang w:eastAsia="en-AU"/>
        </w:rPr>
        <w:t>Consultation can occur in workshops</w:t>
      </w:r>
      <w:r>
        <w:rPr>
          <w:noProof/>
          <w:lang w:eastAsia="en-AU"/>
        </w:rPr>
        <w:t xml:space="preserve"> </w:t>
      </w:r>
      <w:r w:rsidRPr="004208D5">
        <w:rPr>
          <w:noProof/>
          <w:lang w:eastAsia="en-AU"/>
        </w:rPr>
        <w:t xml:space="preserve">or other one-off group processes. It can include testing already developed ideas and solutions. Consumer and carer consultations are likely to be one of many different aspects of stakeholder input and planning. Consultation can often occur once during a process, without additional processes for response or review. </w:t>
      </w:r>
    </w:p>
    <w:p w14:paraId="78555AA7" w14:textId="77777777" w:rsidR="00F61A49" w:rsidRDefault="00F61A49" w:rsidP="00F61A49">
      <w:pPr>
        <w:pStyle w:val="Heading3"/>
        <w:rPr>
          <w:noProof/>
          <w:lang w:eastAsia="en-AU"/>
        </w:rPr>
      </w:pPr>
      <w:r w:rsidRPr="003B5C9A">
        <w:rPr>
          <w:noProof/>
          <w:lang w:eastAsia="en-AU"/>
        </w:rPr>
        <w:t>Involve</w:t>
      </w:r>
      <w:r>
        <w:rPr>
          <w:noProof/>
          <w:lang w:eastAsia="en-AU"/>
        </w:rPr>
        <w:t xml:space="preserve"> </w:t>
      </w:r>
    </w:p>
    <w:p w14:paraId="7D83BB44" w14:textId="77777777" w:rsidR="00F61A49" w:rsidRPr="00FE5E65" w:rsidRDefault="00F61A49" w:rsidP="00F61A49">
      <w:pPr>
        <w:pStyle w:val="DHHSbody"/>
        <w:rPr>
          <w:noProof/>
          <w:lang w:eastAsia="en-AU"/>
        </w:rPr>
      </w:pPr>
      <w:r w:rsidRPr="008B01E8">
        <w:rPr>
          <w:b/>
          <w:noProof/>
          <w:lang w:eastAsia="en-AU"/>
        </w:rPr>
        <w:t>Goal:</w:t>
      </w:r>
      <w:r>
        <w:rPr>
          <w:noProof/>
          <w:lang w:eastAsia="en-AU"/>
        </w:rPr>
        <w:t xml:space="preserve"> </w:t>
      </w:r>
      <w:r w:rsidRPr="00FE5E65">
        <w:rPr>
          <w:noProof/>
          <w:lang w:eastAsia="en-AU"/>
        </w:rPr>
        <w:t>To work directly with the public throughout the process to ensure that public concerns and aspirations are consistently understood and considered.</w:t>
      </w:r>
    </w:p>
    <w:p w14:paraId="41B4109F" w14:textId="77777777" w:rsidR="00F61A49" w:rsidRPr="004208D5" w:rsidRDefault="00F61A49" w:rsidP="00F61A49">
      <w:pPr>
        <w:pStyle w:val="DHHSbody"/>
        <w:rPr>
          <w:noProof/>
          <w:lang w:eastAsia="en-AU"/>
        </w:rPr>
      </w:pPr>
      <w:r w:rsidRPr="004208D5">
        <w:rPr>
          <w:noProof/>
          <w:lang w:eastAsia="en-AU"/>
        </w:rPr>
        <w:t xml:space="preserve">Involvement creates opportunities for dialogue with consumers and carers throughout the decision-making process so that consumer and carer perspectives are understood and used to influence outcomes. </w:t>
      </w:r>
    </w:p>
    <w:p w14:paraId="33EE7369" w14:textId="77777777" w:rsidR="00F61A49" w:rsidRPr="004208D5" w:rsidRDefault="00F61A49" w:rsidP="00F61A49">
      <w:pPr>
        <w:pStyle w:val="DHHSbody"/>
        <w:rPr>
          <w:noProof/>
          <w:lang w:eastAsia="en-AU"/>
        </w:rPr>
      </w:pPr>
      <w:r w:rsidRPr="004208D5">
        <w:rPr>
          <w:noProof/>
          <w:lang w:eastAsia="en-AU"/>
        </w:rPr>
        <w:t xml:space="preserve">Consumers and carers are involved in thinking through some, many or all aspects of decisions. However, consumers and carers are usually a minority of the people involved, and just one of many stakeholders. Committee structures may include a consumer and carer representative alongside many other experts, or run separate consumer and carer focus groups or forums to gain their input. </w:t>
      </w:r>
    </w:p>
    <w:p w14:paraId="5DCE6034" w14:textId="77777777" w:rsidR="00F61A49" w:rsidRDefault="00F61A49" w:rsidP="00F61A49">
      <w:pPr>
        <w:pStyle w:val="Heading3"/>
        <w:rPr>
          <w:noProof/>
          <w:lang w:eastAsia="en-AU"/>
        </w:rPr>
      </w:pPr>
      <w:r w:rsidRPr="00D6492B">
        <w:t>Collaborate</w:t>
      </w:r>
      <w:r>
        <w:t xml:space="preserve"> (co-design)</w:t>
      </w:r>
      <w:r>
        <w:rPr>
          <w:noProof/>
          <w:lang w:eastAsia="en-AU"/>
        </w:rPr>
        <w:t xml:space="preserve"> </w:t>
      </w:r>
    </w:p>
    <w:p w14:paraId="514D9BA8" w14:textId="77777777" w:rsidR="00F61A49" w:rsidRPr="00FE5E65" w:rsidRDefault="00F61A49" w:rsidP="00F61A49">
      <w:pPr>
        <w:pStyle w:val="DHHSbody"/>
        <w:rPr>
          <w:noProof/>
          <w:lang w:eastAsia="en-AU"/>
        </w:rPr>
      </w:pPr>
      <w:r w:rsidRPr="008B01E8">
        <w:rPr>
          <w:b/>
          <w:noProof/>
          <w:lang w:eastAsia="en-AU"/>
        </w:rPr>
        <w:t>Goal:</w:t>
      </w:r>
      <w:r>
        <w:rPr>
          <w:noProof/>
          <w:lang w:eastAsia="en-AU"/>
        </w:rPr>
        <w:t xml:space="preserve"> </w:t>
      </w:r>
      <w:r w:rsidRPr="00FE5E65">
        <w:rPr>
          <w:noProof/>
          <w:lang w:eastAsia="en-AU"/>
        </w:rPr>
        <w:t>To partner with the public in each aspect of the decision including develop</w:t>
      </w:r>
      <w:r>
        <w:rPr>
          <w:noProof/>
          <w:lang w:eastAsia="en-AU"/>
        </w:rPr>
        <w:t>ing</w:t>
      </w:r>
      <w:r w:rsidRPr="00FE5E65">
        <w:rPr>
          <w:noProof/>
          <w:lang w:eastAsia="en-AU"/>
        </w:rPr>
        <w:t xml:space="preserve"> alternatives and identif</w:t>
      </w:r>
      <w:r>
        <w:rPr>
          <w:noProof/>
          <w:lang w:eastAsia="en-AU"/>
        </w:rPr>
        <w:t>ying</w:t>
      </w:r>
      <w:r w:rsidRPr="00FE5E65">
        <w:rPr>
          <w:noProof/>
          <w:lang w:eastAsia="en-AU"/>
        </w:rPr>
        <w:t xml:space="preserve"> the preferred solution.</w:t>
      </w:r>
    </w:p>
    <w:p w14:paraId="29596409" w14:textId="77777777" w:rsidR="00F61A49" w:rsidRPr="004208D5" w:rsidRDefault="00F61A49" w:rsidP="00F61A49">
      <w:pPr>
        <w:pStyle w:val="DHHSbody"/>
        <w:rPr>
          <w:noProof/>
          <w:lang w:eastAsia="en-AU"/>
        </w:rPr>
      </w:pPr>
      <w:r w:rsidRPr="004208D5">
        <w:rPr>
          <w:noProof/>
          <w:lang w:eastAsia="en-AU"/>
        </w:rPr>
        <w:lastRenderedPageBreak/>
        <w:t xml:space="preserve">Collaborating means actively working with the community to ensure their advice and ideas strongly influence the outcome. Collaboration includes identifying and developing solutions to the issue togeher with people with lived epxerience. </w:t>
      </w:r>
    </w:p>
    <w:p w14:paraId="655F653D" w14:textId="77777777" w:rsidR="00F61A49" w:rsidRPr="004208D5" w:rsidRDefault="00F61A49" w:rsidP="00F61A49">
      <w:pPr>
        <w:pStyle w:val="DHHSbody"/>
        <w:rPr>
          <w:noProof/>
          <w:lang w:eastAsia="en-AU"/>
        </w:rPr>
      </w:pPr>
      <w:r w:rsidRPr="004208D5">
        <w:rPr>
          <w:noProof/>
          <w:lang w:eastAsia="en-AU"/>
        </w:rPr>
        <w:t xml:space="preserve">The key limitation with collaboration is that people with lived experience do not have the power to determine the final outcome, the power for which resides with government, departmental officers or clinicians. </w:t>
      </w:r>
    </w:p>
    <w:p w14:paraId="17BBC94D" w14:textId="77777777" w:rsidR="00F61A49" w:rsidRDefault="00F61A49" w:rsidP="00F61A49">
      <w:pPr>
        <w:pStyle w:val="Heading3"/>
        <w:rPr>
          <w:noProof/>
          <w:lang w:eastAsia="en-AU"/>
        </w:rPr>
      </w:pPr>
      <w:r>
        <w:t>Empower (co-production)</w:t>
      </w:r>
    </w:p>
    <w:p w14:paraId="1A265748" w14:textId="77777777" w:rsidR="00F61A49" w:rsidRDefault="00F61A49" w:rsidP="00F61A49">
      <w:pPr>
        <w:pStyle w:val="DHHSbody"/>
      </w:pPr>
      <w:r w:rsidRPr="008B01E8">
        <w:rPr>
          <w:b/>
          <w:noProof/>
          <w:lang w:eastAsia="en-AU"/>
        </w:rPr>
        <w:t>Goal:</w:t>
      </w:r>
      <w:r>
        <w:rPr>
          <w:noProof/>
          <w:lang w:eastAsia="en-AU"/>
        </w:rPr>
        <w:t xml:space="preserve"> </w:t>
      </w:r>
      <w:r w:rsidRPr="00FE5E65">
        <w:rPr>
          <w:noProof/>
          <w:lang w:eastAsia="en-AU"/>
        </w:rPr>
        <w:t>To place final decision making in the hands of the public.</w:t>
      </w:r>
    </w:p>
    <w:p w14:paraId="4BEF237F" w14:textId="77777777" w:rsidR="00F61A49" w:rsidRPr="004208D5" w:rsidRDefault="00F61A49" w:rsidP="00F61A49">
      <w:pPr>
        <w:pStyle w:val="DHHSbody"/>
        <w:rPr>
          <w:noProof/>
          <w:lang w:eastAsia="en-AU"/>
        </w:rPr>
      </w:pPr>
      <w:r w:rsidRPr="004208D5">
        <w:rPr>
          <w:noProof/>
          <w:lang w:eastAsia="en-AU"/>
        </w:rPr>
        <w:t>Empowerment occurs when the responsibility for the decision</w:t>
      </w:r>
      <w:r>
        <w:rPr>
          <w:noProof/>
          <w:lang w:eastAsia="en-AU"/>
        </w:rPr>
        <w:t xml:space="preserve"> </w:t>
      </w:r>
      <w:r w:rsidRPr="004208D5">
        <w:rPr>
          <w:noProof/>
          <w:lang w:eastAsia="en-AU"/>
        </w:rPr>
        <w:t>making is shared with the community. Empower is similar to collaborate, with the key difference that people with lived experience – the people affected by the decision – have the power to influence the final recommendation. In addition, people with lived experience may also be a</w:t>
      </w:r>
      <w:r>
        <w:rPr>
          <w:noProof/>
          <w:lang w:eastAsia="en-AU"/>
        </w:rPr>
        <w:t xml:space="preserve"> </w:t>
      </w:r>
      <w:r w:rsidRPr="004208D5">
        <w:rPr>
          <w:noProof/>
          <w:lang w:eastAsia="en-AU"/>
        </w:rPr>
        <w:t>part of delivering the service and evaluating the change.</w:t>
      </w:r>
    </w:p>
    <w:p w14:paraId="30319DC6" w14:textId="77777777" w:rsidR="00F61A49" w:rsidRPr="004208D5" w:rsidRDefault="00F61A49" w:rsidP="00F61A49">
      <w:pPr>
        <w:pStyle w:val="DHHSbody"/>
        <w:rPr>
          <w:noProof/>
          <w:lang w:eastAsia="en-AU"/>
        </w:rPr>
      </w:pPr>
      <w:r w:rsidRPr="004208D5">
        <w:rPr>
          <w:noProof/>
          <w:lang w:eastAsia="en-AU"/>
        </w:rPr>
        <w:t>When partnering in co-production</w:t>
      </w:r>
      <w:r>
        <w:rPr>
          <w:noProof/>
          <w:lang w:eastAsia="en-AU"/>
        </w:rPr>
        <w:t>,</w:t>
      </w:r>
      <w:r w:rsidRPr="004208D5">
        <w:rPr>
          <w:noProof/>
          <w:lang w:eastAsia="en-AU"/>
        </w:rPr>
        <w:t xml:space="preserve"> mental health consumers and carers make up a majority of views sought</w:t>
      </w:r>
      <w:r>
        <w:rPr>
          <w:noProof/>
          <w:lang w:eastAsia="en-AU"/>
        </w:rPr>
        <w:t>,</w:t>
      </w:r>
      <w:r w:rsidRPr="004208D5">
        <w:rPr>
          <w:noProof/>
          <w:lang w:eastAsia="en-AU"/>
        </w:rPr>
        <w:t xml:space="preserve"> including in project committee structures</w:t>
      </w:r>
      <w:r>
        <w:rPr>
          <w:noProof/>
          <w:lang w:eastAsia="en-AU"/>
        </w:rPr>
        <w:t>,</w:t>
      </w:r>
      <w:r w:rsidRPr="004208D5">
        <w:rPr>
          <w:noProof/>
          <w:lang w:eastAsia="en-AU"/>
        </w:rPr>
        <w:t xml:space="preserve"> to rebalance traditional power imbalances. Government</w:t>
      </w:r>
      <w:r>
        <w:rPr>
          <w:noProof/>
          <w:lang w:eastAsia="en-AU"/>
        </w:rPr>
        <w:t>s</w:t>
      </w:r>
      <w:r w:rsidRPr="004208D5">
        <w:rPr>
          <w:noProof/>
          <w:lang w:eastAsia="en-AU"/>
        </w:rPr>
        <w:t xml:space="preserve"> hear, value, debate and act upon consumer and carer views. New forms of accountability evolve through shared decision</w:t>
      </w:r>
      <w:r>
        <w:rPr>
          <w:noProof/>
          <w:lang w:eastAsia="en-AU"/>
        </w:rPr>
        <w:t xml:space="preserve"> </w:t>
      </w:r>
      <w:r w:rsidRPr="004208D5">
        <w:rPr>
          <w:noProof/>
          <w:lang w:eastAsia="en-AU"/>
        </w:rPr>
        <w:t>making.</w:t>
      </w:r>
    </w:p>
    <w:p w14:paraId="7A7E7836" w14:textId="77777777" w:rsidR="00F61A49" w:rsidRPr="00CD76A0" w:rsidRDefault="00F61A49" w:rsidP="00F61A49">
      <w:pPr>
        <w:pStyle w:val="Heading2"/>
      </w:pPr>
      <w:bookmarkStart w:id="33" w:name="_Toc13830196"/>
      <w:r w:rsidRPr="00CD76A0">
        <w:t>Beyond participation</w:t>
      </w:r>
      <w:bookmarkEnd w:id="33"/>
      <w:r w:rsidRPr="00CD76A0">
        <w:t xml:space="preserve"> </w:t>
      </w:r>
    </w:p>
    <w:p w14:paraId="60D6B42A" w14:textId="77777777" w:rsidR="00F61A49" w:rsidRPr="004208D5" w:rsidRDefault="00F61A49" w:rsidP="00F61A49">
      <w:pPr>
        <w:pStyle w:val="DHHSbody"/>
        <w:rPr>
          <w:noProof/>
          <w:lang w:eastAsia="en-AU"/>
        </w:rPr>
      </w:pPr>
      <w:r w:rsidRPr="004208D5">
        <w:rPr>
          <w:noProof/>
          <w:lang w:eastAsia="en-AU"/>
        </w:rPr>
        <w:t>At times mental health consumers and carers opt to define their own issue or need, including developing, delivering and evaluating any necessary response. Government often supports this with funding but is not involved in undertaking the decision</w:t>
      </w:r>
      <w:r>
        <w:rPr>
          <w:noProof/>
          <w:lang w:eastAsia="en-AU"/>
        </w:rPr>
        <w:t xml:space="preserve"> </w:t>
      </w:r>
      <w:r w:rsidRPr="004208D5">
        <w:rPr>
          <w:noProof/>
          <w:lang w:eastAsia="en-AU"/>
        </w:rPr>
        <w:t xml:space="preserve">making. Work is within consumer and carer enterprises. This is referred to as </w:t>
      </w:r>
      <w:r w:rsidRPr="004208D5">
        <w:rPr>
          <w:b/>
          <w:noProof/>
          <w:lang w:eastAsia="en-AU"/>
        </w:rPr>
        <w:t>consumer</w:t>
      </w:r>
      <w:r>
        <w:rPr>
          <w:b/>
          <w:noProof/>
          <w:lang w:eastAsia="en-AU"/>
        </w:rPr>
        <w:t>-</w:t>
      </w:r>
      <w:r w:rsidRPr="004208D5">
        <w:rPr>
          <w:b/>
          <w:noProof/>
          <w:lang w:eastAsia="en-AU"/>
        </w:rPr>
        <w:t xml:space="preserve"> and carer</w:t>
      </w:r>
      <w:r>
        <w:rPr>
          <w:b/>
          <w:noProof/>
          <w:lang w:eastAsia="en-AU"/>
        </w:rPr>
        <w:t>-</w:t>
      </w:r>
      <w:r w:rsidRPr="004208D5">
        <w:rPr>
          <w:b/>
          <w:noProof/>
          <w:lang w:eastAsia="en-AU"/>
        </w:rPr>
        <w:t>owned</w:t>
      </w:r>
      <w:r w:rsidRPr="004208D5">
        <w:rPr>
          <w:noProof/>
          <w:lang w:eastAsia="en-AU"/>
        </w:rPr>
        <w:t>.</w:t>
      </w:r>
    </w:p>
    <w:p w14:paraId="27CA9589" w14:textId="77777777" w:rsidR="00F61A49" w:rsidRPr="004208D5" w:rsidRDefault="00F61A49" w:rsidP="00F61A49">
      <w:pPr>
        <w:pStyle w:val="DHHSbody"/>
        <w:rPr>
          <w:noProof/>
          <w:lang w:eastAsia="en-AU"/>
        </w:rPr>
      </w:pPr>
      <w:r w:rsidRPr="004208D5">
        <w:rPr>
          <w:noProof/>
          <w:lang w:eastAsia="en-AU"/>
        </w:rPr>
        <w:t>In mutual self-help or peer-run initiaitives, mental health consumers and carers may lead the process with others to define their own issue or need and design and provide the solution, delivery and evaluation within existing mainstream mental health or community services. Government supports consumer</w:t>
      </w:r>
      <w:r>
        <w:rPr>
          <w:noProof/>
          <w:lang w:eastAsia="en-AU"/>
        </w:rPr>
        <w:t>-</w:t>
      </w:r>
      <w:r w:rsidRPr="004208D5">
        <w:rPr>
          <w:noProof/>
          <w:lang w:eastAsia="en-AU"/>
        </w:rPr>
        <w:t xml:space="preserve"> and carer</w:t>
      </w:r>
      <w:r>
        <w:rPr>
          <w:noProof/>
          <w:lang w:eastAsia="en-AU"/>
        </w:rPr>
        <w:t>-</w:t>
      </w:r>
      <w:r w:rsidRPr="004208D5">
        <w:rPr>
          <w:noProof/>
          <w:lang w:eastAsia="en-AU"/>
        </w:rPr>
        <w:t>owned initiatives with a range of resources without the need to</w:t>
      </w:r>
      <w:r>
        <w:rPr>
          <w:noProof/>
          <w:lang w:eastAsia="en-AU"/>
        </w:rPr>
        <w:t xml:space="preserve"> </w:t>
      </w:r>
      <w:r w:rsidRPr="004208D5">
        <w:rPr>
          <w:noProof/>
          <w:lang w:eastAsia="en-AU"/>
        </w:rPr>
        <w:t xml:space="preserve">get involved. </w:t>
      </w:r>
    </w:p>
    <w:p w14:paraId="21D7804A" w14:textId="77777777" w:rsidR="00F61A49" w:rsidRDefault="00F61A49" w:rsidP="00F61A49">
      <w:pPr>
        <w:pStyle w:val="Heading2"/>
      </w:pPr>
      <w:bookmarkStart w:id="34" w:name="_Toc534374311"/>
      <w:bookmarkStart w:id="35" w:name="_Toc13830197"/>
      <w:bookmarkEnd w:id="32"/>
      <w:r>
        <w:t>Remunerating consumers and carers</w:t>
      </w:r>
      <w:bookmarkEnd w:id="34"/>
      <w:bookmarkEnd w:id="35"/>
      <w:r>
        <w:t xml:space="preserve"> </w:t>
      </w:r>
    </w:p>
    <w:p w14:paraId="6361505A" w14:textId="77777777" w:rsidR="00F61A49" w:rsidRPr="004208D5" w:rsidRDefault="00F61A49" w:rsidP="00F61A49">
      <w:pPr>
        <w:pStyle w:val="DHHSbody"/>
      </w:pPr>
      <w:r>
        <w:t>In line with the principle of valuing lived experience expertise, w</w:t>
      </w:r>
      <w:r w:rsidRPr="004208D5">
        <w:t xml:space="preserve">here the department invites a consumer, carer or representative of a community to participate in departmental activities, it is expected that the participant will be remunerated. Consumers or carers who participate as part of their paid employment do not require remuneration. </w:t>
      </w:r>
    </w:p>
    <w:p w14:paraId="275472C0" w14:textId="77777777" w:rsidR="00F61A49" w:rsidRDefault="00F61A49" w:rsidP="00F61A49">
      <w:pPr>
        <w:pStyle w:val="DHHSbody"/>
      </w:pPr>
      <w:r>
        <w:t xml:space="preserve">The Mental Health Branch provides funding to the peak consumer and carer organisations to maintain consumer and carer participation registers. This means that departmental staff are not required to organise individual payments because these are handled by the peak bodies. </w:t>
      </w:r>
    </w:p>
    <w:p w14:paraId="6DC2F25C" w14:textId="77777777" w:rsidR="00F61A49" w:rsidRDefault="00F61A49" w:rsidP="00F61A49">
      <w:pPr>
        <w:pStyle w:val="DHHSbody"/>
      </w:pPr>
      <w:r>
        <w:t xml:space="preserve">More information about using the registers, including engaging participants, is available from </w:t>
      </w:r>
      <w:hyperlink r:id="rId21" w:history="1">
        <w:r w:rsidRPr="00300F7A">
          <w:rPr>
            <w:rStyle w:val="Hyperlink"/>
          </w:rPr>
          <w:t>VMIAC</w:t>
        </w:r>
      </w:hyperlink>
      <w:r>
        <w:t xml:space="preserve"> &lt;</w:t>
      </w:r>
      <w:r w:rsidRPr="00801F42">
        <w:t>http://www.vmiac.org.au</w:t>
      </w:r>
      <w:r>
        <w:t xml:space="preserve">&gt; and </w:t>
      </w:r>
      <w:hyperlink r:id="rId22" w:history="1">
        <w:r w:rsidRPr="00300F7A">
          <w:rPr>
            <w:rStyle w:val="Hyperlink"/>
          </w:rPr>
          <w:t>Tandem</w:t>
        </w:r>
      </w:hyperlink>
      <w:r>
        <w:t xml:space="preserve"> &lt;</w:t>
      </w:r>
      <w:r w:rsidRPr="00801F42">
        <w:t>http://www.tandemcarers.org.au/register.php</w:t>
      </w:r>
      <w:r>
        <w:rPr>
          <w:rFonts w:cs="Arial"/>
        </w:rPr>
        <w:t>&gt;</w:t>
      </w:r>
      <w:r>
        <w:t xml:space="preserve">, and the Lived Experience Engagement team. </w:t>
      </w:r>
    </w:p>
    <w:p w14:paraId="6AD89F9E" w14:textId="77777777" w:rsidR="00F61A49" w:rsidRDefault="00F61A49" w:rsidP="00F61A49">
      <w:pPr>
        <w:pStyle w:val="Heading2"/>
      </w:pPr>
      <w:r>
        <w:br w:type="page"/>
      </w:r>
      <w:bookmarkStart w:id="36" w:name="_Toc534374310"/>
      <w:bookmarkStart w:id="37" w:name="_Toc13830198"/>
      <w:r>
        <w:lastRenderedPageBreak/>
        <w:t>Safe and meaningful engagement</w:t>
      </w:r>
      <w:bookmarkEnd w:id="36"/>
      <w:bookmarkEnd w:id="37"/>
    </w:p>
    <w:p w14:paraId="13705554" w14:textId="77777777" w:rsidR="00F61A49" w:rsidRPr="004208D5" w:rsidRDefault="00F61A49" w:rsidP="00F61A49">
      <w:pPr>
        <w:pStyle w:val="DHHSbody"/>
        <w:rPr>
          <w:noProof/>
          <w:lang w:eastAsia="en-AU"/>
        </w:rPr>
      </w:pPr>
      <w:r w:rsidRPr="004208D5">
        <w:rPr>
          <w:noProof/>
        </w:rPr>
        <w:t>Many consumers have experienced a signficant loss of power in their treatment experiences at times when they have not been able to influence clinical decision</w:t>
      </w:r>
      <w:r>
        <w:rPr>
          <w:noProof/>
        </w:rPr>
        <w:t xml:space="preserve"> </w:t>
      </w:r>
      <w:r w:rsidRPr="004208D5">
        <w:rPr>
          <w:noProof/>
        </w:rPr>
        <w:t xml:space="preserve">making for their own treatment. This is particularly true for people who have been </w:t>
      </w:r>
      <w:r>
        <w:rPr>
          <w:noProof/>
        </w:rPr>
        <w:t xml:space="preserve">subject to </w:t>
      </w:r>
      <w:r w:rsidRPr="004208D5">
        <w:rPr>
          <w:noProof/>
        </w:rPr>
        <w:t>compulsory treat</w:t>
      </w:r>
      <w:r>
        <w:rPr>
          <w:noProof/>
        </w:rPr>
        <w:t>ment</w:t>
      </w:r>
      <w:r w:rsidRPr="004208D5">
        <w:rPr>
          <w:noProof/>
        </w:rPr>
        <w:t xml:space="preserve">. </w:t>
      </w:r>
    </w:p>
    <w:p w14:paraId="578644C4" w14:textId="77777777" w:rsidR="00F61A49" w:rsidRDefault="00F61A49" w:rsidP="00F61A49">
      <w:pPr>
        <w:pStyle w:val="DHHSbody"/>
        <w:rPr>
          <w:noProof/>
          <w:lang w:eastAsia="en-AU"/>
        </w:rPr>
      </w:pPr>
      <w:r w:rsidRPr="004208D5">
        <w:rPr>
          <w:noProof/>
          <w:lang w:eastAsia="en-AU"/>
        </w:rPr>
        <w:t xml:space="preserve">The first step towards effective engagement is to consider the unique needs, perspectives and values that people with lived experience will bring. </w:t>
      </w:r>
    </w:p>
    <w:p w14:paraId="5508F775" w14:textId="77777777" w:rsidR="00F61A49" w:rsidRDefault="00F61A49" w:rsidP="00F61A49">
      <w:pPr>
        <w:pStyle w:val="DHHSbody"/>
        <w:rPr>
          <w:noProof/>
          <w:lang w:eastAsia="en-AU"/>
        </w:rPr>
      </w:pPr>
      <w:r w:rsidRPr="004208D5">
        <w:rPr>
          <w:noProof/>
          <w:lang w:eastAsia="en-AU"/>
        </w:rPr>
        <w:t>In understanding the key engagement concerns for mental health consumers, carers and sector stakeholders, a relationship of trust must be established.</w:t>
      </w:r>
      <w:r>
        <w:rPr>
          <w:noProof/>
          <w:lang w:eastAsia="en-AU"/>
        </w:rPr>
        <w:t xml:space="preserve"> </w:t>
      </w:r>
      <w:r w:rsidRPr="004208D5">
        <w:rPr>
          <w:noProof/>
          <w:lang w:eastAsia="en-AU"/>
        </w:rPr>
        <w:t>The greatest concerns for participa</w:t>
      </w:r>
      <w:r>
        <w:rPr>
          <w:noProof/>
          <w:lang w:eastAsia="en-AU"/>
        </w:rPr>
        <w:t>nts are outlined in Table 1.</w:t>
      </w:r>
    </w:p>
    <w:p w14:paraId="540A1EB1" w14:textId="77777777" w:rsidR="00F61A49" w:rsidRDefault="00F61A49" w:rsidP="00F61A49">
      <w:pPr>
        <w:pStyle w:val="DHHStablecaption"/>
        <w:rPr>
          <w:noProof/>
          <w:lang w:eastAsia="en-AU"/>
        </w:rPr>
      </w:pPr>
      <w:r>
        <w:rPr>
          <w:noProof/>
          <w:lang w:eastAsia="en-AU"/>
        </w:rPr>
        <w:t>Table 1:  K</w:t>
      </w:r>
      <w:r w:rsidRPr="004208D5">
        <w:rPr>
          <w:noProof/>
          <w:lang w:eastAsia="en-AU"/>
        </w:rPr>
        <w:t>ey engagement concerns for mental health consumers, carers and sector stakeholders</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F61A49" w14:paraId="6C3231F7" w14:textId="77777777" w:rsidTr="00C71A3A">
        <w:trPr>
          <w:tblHeader/>
        </w:trPr>
        <w:tc>
          <w:tcPr>
            <w:tcW w:w="2263" w:type="dxa"/>
            <w:shd w:val="clear" w:color="auto" w:fill="FFFFFF"/>
          </w:tcPr>
          <w:p w14:paraId="23484851" w14:textId="77777777" w:rsidR="00F61A49" w:rsidRPr="006C73BA" w:rsidRDefault="00F61A49" w:rsidP="00C71A3A">
            <w:pPr>
              <w:pStyle w:val="DHHStablecolhead"/>
              <w:rPr>
                <w:rFonts w:eastAsia="Calibri"/>
              </w:rPr>
            </w:pPr>
            <w:r w:rsidRPr="006C73BA">
              <w:rPr>
                <w:rFonts w:eastAsia="Calibri"/>
              </w:rPr>
              <w:t>Barrier</w:t>
            </w:r>
          </w:p>
        </w:tc>
        <w:tc>
          <w:tcPr>
            <w:tcW w:w="6753" w:type="dxa"/>
            <w:shd w:val="clear" w:color="auto" w:fill="FFFFFF"/>
          </w:tcPr>
          <w:p w14:paraId="270B0100" w14:textId="77777777" w:rsidR="00F61A49" w:rsidRPr="006C73BA" w:rsidRDefault="00F61A49" w:rsidP="00C71A3A">
            <w:pPr>
              <w:pStyle w:val="DHHStablecolhead"/>
              <w:rPr>
                <w:rFonts w:eastAsia="Calibri"/>
              </w:rPr>
            </w:pPr>
            <w:r w:rsidRPr="006C73BA">
              <w:rPr>
                <w:rFonts w:eastAsia="Calibri"/>
              </w:rPr>
              <w:t>Enablers and solutions</w:t>
            </w:r>
          </w:p>
        </w:tc>
      </w:tr>
      <w:tr w:rsidR="00F61A49" w14:paraId="6695F154" w14:textId="77777777" w:rsidTr="00C71A3A">
        <w:tc>
          <w:tcPr>
            <w:tcW w:w="2263" w:type="dxa"/>
            <w:shd w:val="clear" w:color="auto" w:fill="FFFFFF"/>
          </w:tcPr>
          <w:p w14:paraId="5CB3D02F" w14:textId="77777777" w:rsidR="00F61A49" w:rsidRPr="00CF76B2" w:rsidRDefault="00F61A49" w:rsidP="00C71A3A">
            <w:pPr>
              <w:pStyle w:val="DHHStabletext"/>
              <w:rPr>
                <w:rFonts w:eastAsia="Calibri"/>
                <w:b/>
                <w:bCs/>
              </w:rPr>
            </w:pPr>
            <w:r w:rsidRPr="00CF76B2">
              <w:rPr>
                <w:rFonts w:eastAsia="Calibri"/>
                <w:b/>
                <w:bCs/>
              </w:rPr>
              <w:t>Feeling unsafe</w:t>
            </w:r>
          </w:p>
        </w:tc>
        <w:tc>
          <w:tcPr>
            <w:tcW w:w="6753" w:type="dxa"/>
            <w:shd w:val="clear" w:color="auto" w:fill="FFFFFF"/>
          </w:tcPr>
          <w:p w14:paraId="794673DC" w14:textId="77777777" w:rsidR="00F61A49" w:rsidRPr="006C73BA" w:rsidRDefault="00F61A49" w:rsidP="00C71A3A">
            <w:pPr>
              <w:pStyle w:val="DHHStabletext"/>
              <w:rPr>
                <w:rFonts w:eastAsia="Calibri"/>
                <w:b/>
              </w:rPr>
            </w:pPr>
            <w:r w:rsidRPr="006C73BA">
              <w:rPr>
                <w:rFonts w:eastAsia="Calibri"/>
                <w:b/>
              </w:rPr>
              <w:t xml:space="preserve">Creating a safe space </w:t>
            </w:r>
          </w:p>
          <w:p w14:paraId="1ED7C87E" w14:textId="77777777" w:rsidR="00F61A49" w:rsidRPr="00CF76B2" w:rsidRDefault="00F61A49" w:rsidP="00C71A3A">
            <w:pPr>
              <w:pStyle w:val="DHHStabletext"/>
              <w:rPr>
                <w:rFonts w:eastAsia="Calibri"/>
              </w:rPr>
            </w:pPr>
            <w:r w:rsidRPr="00CF76B2">
              <w:rPr>
                <w:rFonts w:eastAsia="Calibri"/>
              </w:rPr>
              <w:t xml:space="preserve">Ensure any potential issues have been identified and options are in place to offset these well ahead of commencing engagement (see examples below). </w:t>
            </w:r>
          </w:p>
          <w:p w14:paraId="57335021" w14:textId="77777777" w:rsidR="00F61A49" w:rsidRPr="00CF76B2" w:rsidRDefault="00F61A49" w:rsidP="00C71A3A">
            <w:pPr>
              <w:pStyle w:val="DHHStabletext"/>
              <w:rPr>
                <w:rFonts w:eastAsia="Calibri"/>
              </w:rPr>
            </w:pPr>
            <w:r w:rsidRPr="00CF76B2">
              <w:rPr>
                <w:rFonts w:eastAsia="Calibri"/>
              </w:rPr>
              <w:t>This is particularly important in a mental health context where re-exposure to past experiences of disempowerment, negative treatment, attitudes and outcomes can cause harm.</w:t>
            </w:r>
          </w:p>
        </w:tc>
      </w:tr>
      <w:tr w:rsidR="00F61A49" w14:paraId="14792C48" w14:textId="77777777" w:rsidTr="00C71A3A">
        <w:trPr>
          <w:trHeight w:val="2256"/>
        </w:trPr>
        <w:tc>
          <w:tcPr>
            <w:tcW w:w="2263" w:type="dxa"/>
            <w:shd w:val="clear" w:color="auto" w:fill="FFFFFF"/>
          </w:tcPr>
          <w:p w14:paraId="21582093" w14:textId="77777777" w:rsidR="00F61A49" w:rsidRPr="00CF76B2" w:rsidRDefault="00F61A49" w:rsidP="00C71A3A">
            <w:pPr>
              <w:pStyle w:val="DHHStabletext"/>
              <w:rPr>
                <w:rFonts w:eastAsia="Calibri"/>
                <w:b/>
                <w:bCs/>
              </w:rPr>
            </w:pPr>
            <w:r w:rsidRPr="00CF76B2">
              <w:rPr>
                <w:rFonts w:eastAsia="Calibri"/>
                <w:b/>
                <w:bCs/>
              </w:rPr>
              <w:t>Feeling intimidated</w:t>
            </w:r>
          </w:p>
        </w:tc>
        <w:tc>
          <w:tcPr>
            <w:tcW w:w="6753" w:type="dxa"/>
            <w:shd w:val="clear" w:color="auto" w:fill="FFFFFF"/>
          </w:tcPr>
          <w:p w14:paraId="4CE660F2" w14:textId="77777777" w:rsidR="00F61A49" w:rsidRPr="006C73BA" w:rsidRDefault="00F61A49" w:rsidP="00C71A3A">
            <w:pPr>
              <w:pStyle w:val="DHHStabletext"/>
              <w:rPr>
                <w:rFonts w:eastAsia="Calibri"/>
                <w:b/>
              </w:rPr>
            </w:pPr>
            <w:r w:rsidRPr="006C73BA">
              <w:rPr>
                <w:rFonts w:eastAsia="Calibri"/>
                <w:b/>
              </w:rPr>
              <w:t>Re-balancing power</w:t>
            </w:r>
          </w:p>
          <w:p w14:paraId="3D2210EF" w14:textId="77777777" w:rsidR="00F61A49" w:rsidRPr="00CF76B2" w:rsidRDefault="00F61A49" w:rsidP="00C71A3A">
            <w:pPr>
              <w:pStyle w:val="DHHStabletext"/>
              <w:rPr>
                <w:rFonts w:eastAsia="Calibri"/>
              </w:rPr>
            </w:pPr>
            <w:r w:rsidRPr="00CF76B2">
              <w:rPr>
                <w:rFonts w:eastAsia="Calibri"/>
              </w:rPr>
              <w:t xml:space="preserve">Power imbalances can play out between policymakers, sector stakeholders and participants during engagement activities, especially in traditional committee settings where there may be many clinicians and service providers present but only one consumer and one carer. </w:t>
            </w:r>
          </w:p>
          <w:p w14:paraId="5EF085AD" w14:textId="77777777" w:rsidR="00F61A49" w:rsidRPr="00CF76B2" w:rsidRDefault="00F61A49" w:rsidP="00C71A3A">
            <w:pPr>
              <w:pStyle w:val="DHHStabletext"/>
              <w:rPr>
                <w:rFonts w:eastAsia="Calibri"/>
              </w:rPr>
            </w:pPr>
            <w:r w:rsidRPr="00CF76B2">
              <w:rPr>
                <w:rFonts w:eastAsia="Calibri"/>
              </w:rPr>
              <w:t>Co-production principles focus on rebalancing power to transfer decision</w:t>
            </w:r>
            <w:r>
              <w:rPr>
                <w:rFonts w:eastAsia="Calibri"/>
              </w:rPr>
              <w:t xml:space="preserve"> </w:t>
            </w:r>
            <w:r w:rsidRPr="00CF76B2">
              <w:rPr>
                <w:rFonts w:eastAsia="Calibri"/>
              </w:rPr>
              <w:t xml:space="preserve">making back to those using the services in question. </w:t>
            </w:r>
          </w:p>
          <w:p w14:paraId="4C452A6B" w14:textId="77777777" w:rsidR="00F61A49" w:rsidRPr="00CF76B2" w:rsidRDefault="00F61A49" w:rsidP="00C71A3A">
            <w:pPr>
              <w:pStyle w:val="DHHStabletext"/>
              <w:rPr>
                <w:rFonts w:eastAsia="Calibri"/>
              </w:rPr>
            </w:pPr>
            <w:r w:rsidRPr="00CF76B2">
              <w:rPr>
                <w:rFonts w:eastAsia="Calibri"/>
              </w:rPr>
              <w:t>The culture of government (</w:t>
            </w:r>
            <w:r>
              <w:rPr>
                <w:rFonts w:eastAsia="Calibri"/>
              </w:rPr>
              <w:t>such as</w:t>
            </w:r>
            <w:r w:rsidRPr="00CF76B2">
              <w:rPr>
                <w:rFonts w:eastAsia="Calibri"/>
              </w:rPr>
              <w:t xml:space="preserve"> physical environment, language and processes) can feel intimidating to people who are not used to these aspects of working with government. There are many simple ways in which a government agency and its staff can mindfully support people from the community to feel more welcome and able to participate fully. </w:t>
            </w:r>
          </w:p>
        </w:tc>
      </w:tr>
      <w:tr w:rsidR="00F61A49" w14:paraId="3435798E" w14:textId="77777777" w:rsidTr="00C71A3A">
        <w:tc>
          <w:tcPr>
            <w:tcW w:w="2263" w:type="dxa"/>
            <w:shd w:val="clear" w:color="auto" w:fill="FFFFFF"/>
          </w:tcPr>
          <w:p w14:paraId="07A47EBB" w14:textId="77777777" w:rsidR="00F61A49" w:rsidRPr="00CF76B2" w:rsidRDefault="00F61A49" w:rsidP="00C71A3A">
            <w:pPr>
              <w:pStyle w:val="DHHStabletext"/>
              <w:rPr>
                <w:rFonts w:eastAsia="Calibri"/>
                <w:b/>
                <w:bCs/>
              </w:rPr>
            </w:pPr>
            <w:r w:rsidRPr="00CF76B2">
              <w:rPr>
                <w:rFonts w:eastAsia="Calibri"/>
                <w:b/>
                <w:bCs/>
              </w:rPr>
              <w:t>Lack of support</w:t>
            </w:r>
          </w:p>
        </w:tc>
        <w:tc>
          <w:tcPr>
            <w:tcW w:w="6753" w:type="dxa"/>
            <w:shd w:val="clear" w:color="auto" w:fill="FFFFFF"/>
          </w:tcPr>
          <w:p w14:paraId="4C9E84BB" w14:textId="77777777" w:rsidR="00F61A49" w:rsidRPr="006C73BA" w:rsidRDefault="00F61A49" w:rsidP="00C71A3A">
            <w:pPr>
              <w:pStyle w:val="DHHStabletext"/>
              <w:rPr>
                <w:rFonts w:eastAsia="Calibri"/>
                <w:b/>
              </w:rPr>
            </w:pPr>
            <w:r w:rsidRPr="006C73BA">
              <w:rPr>
                <w:rFonts w:eastAsia="Calibri"/>
                <w:b/>
              </w:rPr>
              <w:t>Connect consumers and carers with peer support</w:t>
            </w:r>
          </w:p>
          <w:p w14:paraId="7856C7A2" w14:textId="77777777" w:rsidR="00F61A49" w:rsidRPr="00CF76B2" w:rsidRDefault="00F61A49" w:rsidP="00C71A3A">
            <w:pPr>
              <w:pStyle w:val="DHHStabletext"/>
              <w:rPr>
                <w:rFonts w:eastAsia="Calibri"/>
              </w:rPr>
            </w:pPr>
            <w:r w:rsidRPr="00CF76B2">
              <w:rPr>
                <w:rFonts w:eastAsia="Calibri"/>
              </w:rPr>
              <w:t>Consumers and carers may require support either during or after an engagement activity has occu</w:t>
            </w:r>
            <w:r>
              <w:rPr>
                <w:rFonts w:eastAsia="Calibri"/>
              </w:rPr>
              <w:t>r</w:t>
            </w:r>
            <w:r w:rsidRPr="00CF76B2">
              <w:rPr>
                <w:rFonts w:eastAsia="Calibri"/>
              </w:rPr>
              <w:t xml:space="preserve">red. This is to ensure people who may have been emotionally distressed over content, or who may feel overly burdened by the pressure to effectively represent the lived experience, are able to debrief. </w:t>
            </w:r>
          </w:p>
        </w:tc>
      </w:tr>
      <w:tr w:rsidR="00F61A49" w14:paraId="5BEF35B0" w14:textId="77777777" w:rsidTr="00C71A3A">
        <w:tc>
          <w:tcPr>
            <w:tcW w:w="2263" w:type="dxa"/>
            <w:shd w:val="clear" w:color="auto" w:fill="FFFFFF"/>
          </w:tcPr>
          <w:p w14:paraId="0284FF0D" w14:textId="77777777" w:rsidR="00F61A49" w:rsidRPr="00CF76B2" w:rsidRDefault="00F61A49" w:rsidP="00C71A3A">
            <w:pPr>
              <w:pStyle w:val="DHHStabletext"/>
              <w:rPr>
                <w:rFonts w:eastAsia="Calibri"/>
                <w:b/>
                <w:bCs/>
              </w:rPr>
            </w:pPr>
            <w:r w:rsidRPr="00CF76B2">
              <w:rPr>
                <w:rFonts w:eastAsia="Calibri"/>
                <w:b/>
                <w:bCs/>
              </w:rPr>
              <w:t>Using overly complex language</w:t>
            </w:r>
          </w:p>
        </w:tc>
        <w:tc>
          <w:tcPr>
            <w:tcW w:w="6753" w:type="dxa"/>
            <w:shd w:val="clear" w:color="auto" w:fill="FFFFFF"/>
          </w:tcPr>
          <w:p w14:paraId="43394D9F" w14:textId="77777777" w:rsidR="00F61A49" w:rsidRPr="006C73BA" w:rsidRDefault="00F61A49" w:rsidP="00C71A3A">
            <w:pPr>
              <w:pStyle w:val="DHHStabletext"/>
              <w:rPr>
                <w:rFonts w:eastAsia="Calibri"/>
                <w:b/>
              </w:rPr>
            </w:pPr>
            <w:r w:rsidRPr="006C73BA">
              <w:rPr>
                <w:rFonts w:eastAsia="Calibri"/>
                <w:b/>
              </w:rPr>
              <w:t xml:space="preserve">Using plain English </w:t>
            </w:r>
          </w:p>
          <w:p w14:paraId="08639393" w14:textId="77777777" w:rsidR="00F61A49" w:rsidRPr="00CF76B2" w:rsidRDefault="00F61A49" w:rsidP="00C71A3A">
            <w:pPr>
              <w:pStyle w:val="DHHStabletext"/>
              <w:rPr>
                <w:rFonts w:eastAsia="Calibri"/>
              </w:rPr>
            </w:pPr>
            <w:r w:rsidRPr="00CF76B2">
              <w:rPr>
                <w:rFonts w:eastAsia="Calibri"/>
              </w:rPr>
              <w:t xml:space="preserve">Any committee with a range of representatives will require common and plain </w:t>
            </w:r>
            <w:r>
              <w:rPr>
                <w:rFonts w:eastAsia="Calibri"/>
              </w:rPr>
              <w:t>E</w:t>
            </w:r>
            <w:r w:rsidRPr="00CF76B2">
              <w:rPr>
                <w:rFonts w:eastAsia="Calibri"/>
              </w:rPr>
              <w:t xml:space="preserve">nglish to be used. This is also true when engaging consumers and carers. </w:t>
            </w:r>
          </w:p>
          <w:p w14:paraId="6F212B77" w14:textId="77777777" w:rsidR="00F61A49" w:rsidRPr="00CF76B2" w:rsidRDefault="00F61A49" w:rsidP="00C71A3A">
            <w:pPr>
              <w:pStyle w:val="DHHStabletext"/>
              <w:rPr>
                <w:rFonts w:eastAsia="Calibri"/>
              </w:rPr>
            </w:pPr>
            <w:r w:rsidRPr="00CF76B2">
              <w:rPr>
                <w:rFonts w:eastAsia="Calibri"/>
              </w:rPr>
              <w:t xml:space="preserve">To support common understanding, limit the use of overly clinical language, acronyms or terms only understood by one group or interest. </w:t>
            </w:r>
          </w:p>
          <w:p w14:paraId="668D75DB" w14:textId="77777777" w:rsidR="00F61A49" w:rsidRPr="00CF76B2" w:rsidRDefault="00F61A49" w:rsidP="00C71A3A">
            <w:pPr>
              <w:pStyle w:val="DHHStabletext"/>
              <w:rPr>
                <w:rFonts w:eastAsia="Calibri"/>
              </w:rPr>
            </w:pPr>
            <w:r w:rsidRPr="00CF76B2">
              <w:rPr>
                <w:rFonts w:eastAsia="Calibri"/>
              </w:rPr>
              <w:t xml:space="preserve">If complex language cannot be avoided, a briefing note of terms should be provided as part of pre-reading, and opportunities for clarification that are respectful should be taken throughout the engagement process. </w:t>
            </w:r>
          </w:p>
        </w:tc>
      </w:tr>
      <w:tr w:rsidR="00F61A49" w14:paraId="2FC30D9C" w14:textId="77777777" w:rsidTr="00C71A3A">
        <w:tc>
          <w:tcPr>
            <w:tcW w:w="2263" w:type="dxa"/>
            <w:shd w:val="clear" w:color="auto" w:fill="FFFFFF"/>
          </w:tcPr>
          <w:p w14:paraId="02EB86B2" w14:textId="77777777" w:rsidR="00F61A49" w:rsidRPr="00CF76B2" w:rsidRDefault="00F61A49" w:rsidP="00C71A3A">
            <w:pPr>
              <w:pStyle w:val="DHHStabletext"/>
              <w:rPr>
                <w:rFonts w:eastAsia="Calibri"/>
                <w:b/>
                <w:bCs/>
              </w:rPr>
            </w:pPr>
            <w:r w:rsidRPr="00CF76B2">
              <w:rPr>
                <w:rFonts w:eastAsia="Calibri"/>
                <w:b/>
                <w:bCs/>
              </w:rPr>
              <w:t>Consultation fatigue</w:t>
            </w:r>
          </w:p>
        </w:tc>
        <w:tc>
          <w:tcPr>
            <w:tcW w:w="6753" w:type="dxa"/>
            <w:shd w:val="clear" w:color="auto" w:fill="FFFFFF"/>
          </w:tcPr>
          <w:p w14:paraId="209B0167" w14:textId="77777777" w:rsidR="00F61A49" w:rsidRPr="00801F42" w:rsidRDefault="00F61A49" w:rsidP="00C71A3A">
            <w:pPr>
              <w:pStyle w:val="DHHStabletext"/>
              <w:rPr>
                <w:rFonts w:eastAsia="Calibri"/>
                <w:b/>
              </w:rPr>
            </w:pPr>
            <w:r w:rsidRPr="00801F42">
              <w:rPr>
                <w:rFonts w:eastAsia="Calibri"/>
                <w:b/>
              </w:rPr>
              <w:t>Develop clear objectives and process</w:t>
            </w:r>
          </w:p>
          <w:p w14:paraId="7591A2BC" w14:textId="77777777" w:rsidR="00F61A49" w:rsidRPr="00CF76B2" w:rsidRDefault="00F61A49" w:rsidP="00C71A3A">
            <w:pPr>
              <w:pStyle w:val="DHHStabletext"/>
              <w:rPr>
                <w:rFonts w:eastAsia="Calibri"/>
              </w:rPr>
            </w:pPr>
            <w:r w:rsidRPr="00CF76B2">
              <w:rPr>
                <w:rFonts w:eastAsia="Calibri"/>
              </w:rPr>
              <w:lastRenderedPageBreak/>
              <w:t xml:space="preserve">There is a high level of consultation of people with lived experience, with outcomes often not reflecting feedback provided. This can mean that engaging people can be challenging. </w:t>
            </w:r>
          </w:p>
          <w:p w14:paraId="6F1D00BA" w14:textId="77777777" w:rsidR="00F61A49" w:rsidRPr="00CF76B2" w:rsidRDefault="00F61A49" w:rsidP="00C71A3A">
            <w:pPr>
              <w:pStyle w:val="DHHStabletext"/>
              <w:rPr>
                <w:rFonts w:eastAsia="Calibri"/>
              </w:rPr>
            </w:pPr>
            <w:r w:rsidRPr="00CF76B2">
              <w:rPr>
                <w:rFonts w:eastAsia="Calibri"/>
              </w:rPr>
              <w:t>Ways to mitigate this include setting clear expectations around process and possible outcomes and recognising that unless there are commitments to incorporating feedback in line with co-production methodologies, engagement may be diff</w:t>
            </w:r>
            <w:r>
              <w:rPr>
                <w:rFonts w:eastAsia="Calibri"/>
              </w:rPr>
              <w:t>i</w:t>
            </w:r>
            <w:r w:rsidRPr="00CF76B2">
              <w:rPr>
                <w:rFonts w:eastAsia="Calibri"/>
              </w:rPr>
              <w:t xml:space="preserve">cult. </w:t>
            </w:r>
          </w:p>
          <w:p w14:paraId="46B1D848" w14:textId="77777777" w:rsidR="00F61A49" w:rsidRPr="00CF76B2" w:rsidRDefault="00F61A49" w:rsidP="00C71A3A">
            <w:pPr>
              <w:pStyle w:val="DHHStabletext"/>
              <w:rPr>
                <w:rFonts w:eastAsia="Calibri"/>
              </w:rPr>
            </w:pPr>
            <w:r w:rsidRPr="00CF76B2">
              <w:rPr>
                <w:rFonts w:eastAsia="Calibri"/>
              </w:rPr>
              <w:t>It is also important to provide a feedback loop that includes reasons why something may not have been taken on board.</w:t>
            </w:r>
          </w:p>
        </w:tc>
      </w:tr>
      <w:tr w:rsidR="00F61A49" w14:paraId="05537918" w14:textId="77777777" w:rsidTr="00C71A3A">
        <w:tc>
          <w:tcPr>
            <w:tcW w:w="2263" w:type="dxa"/>
            <w:shd w:val="clear" w:color="auto" w:fill="FFFFFF"/>
          </w:tcPr>
          <w:p w14:paraId="68EDF023" w14:textId="77777777" w:rsidR="00F61A49" w:rsidRPr="00CF76B2" w:rsidRDefault="00F61A49" w:rsidP="00C71A3A">
            <w:pPr>
              <w:pStyle w:val="DHHStabletext"/>
              <w:rPr>
                <w:rFonts w:eastAsia="Calibri"/>
                <w:b/>
                <w:bCs/>
              </w:rPr>
            </w:pPr>
            <w:r w:rsidRPr="00CF76B2">
              <w:rPr>
                <w:rFonts w:eastAsia="Calibri"/>
                <w:b/>
                <w:bCs/>
              </w:rPr>
              <w:lastRenderedPageBreak/>
              <w:t>Emotionally triggering content</w:t>
            </w:r>
          </w:p>
        </w:tc>
        <w:tc>
          <w:tcPr>
            <w:tcW w:w="6753" w:type="dxa"/>
            <w:shd w:val="clear" w:color="auto" w:fill="FFFFFF"/>
          </w:tcPr>
          <w:p w14:paraId="0B226016" w14:textId="77777777" w:rsidR="00F61A49" w:rsidRPr="006C73BA" w:rsidRDefault="00F61A49" w:rsidP="00C71A3A">
            <w:pPr>
              <w:pStyle w:val="DHHStabletext"/>
              <w:rPr>
                <w:rFonts w:eastAsia="Calibri"/>
                <w:b/>
              </w:rPr>
            </w:pPr>
            <w:r w:rsidRPr="006C73BA">
              <w:rPr>
                <w:rFonts w:eastAsia="Calibri"/>
                <w:b/>
              </w:rPr>
              <w:t>Provide trigger warners before meetings</w:t>
            </w:r>
          </w:p>
          <w:p w14:paraId="40CCD8A6" w14:textId="77777777" w:rsidR="00F61A49" w:rsidRPr="00CF76B2" w:rsidRDefault="00F61A49" w:rsidP="00C71A3A">
            <w:pPr>
              <w:pStyle w:val="DHHStabletext"/>
              <w:rPr>
                <w:rFonts w:eastAsia="Calibri"/>
              </w:rPr>
            </w:pPr>
            <w:r w:rsidRPr="00CF76B2">
              <w:rPr>
                <w:rFonts w:eastAsia="Calibri"/>
              </w:rPr>
              <w:t xml:space="preserve">For people with lived experience, engagement can mean reliving traumatic and painful experiences. This can include compulsory treatment, experiencing restraint and seclusion while in treatment, or the separation or death of a family member or loved one. </w:t>
            </w:r>
          </w:p>
          <w:p w14:paraId="0DA03C0A" w14:textId="77777777" w:rsidR="00F61A49" w:rsidRPr="00CF76B2" w:rsidRDefault="00F61A49" w:rsidP="00C71A3A">
            <w:pPr>
              <w:pStyle w:val="DHHStabletext"/>
              <w:rPr>
                <w:rFonts w:eastAsia="Calibri"/>
              </w:rPr>
            </w:pPr>
            <w:r w:rsidRPr="00CF76B2">
              <w:rPr>
                <w:rFonts w:eastAsia="Calibri"/>
              </w:rPr>
              <w:t>To minimise the impact of emotional</w:t>
            </w:r>
            <w:r>
              <w:rPr>
                <w:rFonts w:eastAsia="Calibri"/>
              </w:rPr>
              <w:t>l</w:t>
            </w:r>
            <w:r w:rsidRPr="00CF76B2">
              <w:rPr>
                <w:rFonts w:eastAsia="Calibri"/>
              </w:rPr>
              <w:t xml:space="preserve">y triggering content, pre and post briefings should be established by anyone leading a project. If an individual is being engaged through the participation registers, this can be organised through either VMIAC or Tandem. </w:t>
            </w:r>
          </w:p>
          <w:p w14:paraId="572BF60B" w14:textId="77777777" w:rsidR="00F61A49" w:rsidRPr="00CF76B2" w:rsidRDefault="00F61A49" w:rsidP="00C71A3A">
            <w:pPr>
              <w:pStyle w:val="DHHStabletext"/>
              <w:rPr>
                <w:rFonts w:eastAsia="Calibri"/>
              </w:rPr>
            </w:pPr>
            <w:r w:rsidRPr="00CF76B2">
              <w:rPr>
                <w:rFonts w:eastAsia="Calibri"/>
              </w:rPr>
              <w:t>In prepar</w:t>
            </w:r>
            <w:r>
              <w:rPr>
                <w:rFonts w:eastAsia="Calibri"/>
              </w:rPr>
              <w:t>ing for</w:t>
            </w:r>
            <w:r w:rsidRPr="00CF76B2">
              <w:rPr>
                <w:rFonts w:eastAsia="Calibri"/>
              </w:rPr>
              <w:t xml:space="preserve"> meetings, it is important to consider words and concepts that will be discussed and to acknowledge that certain topics can be challenging. Discret</w:t>
            </w:r>
            <w:r>
              <w:rPr>
                <w:rFonts w:eastAsia="Calibri"/>
              </w:rPr>
              <w:t>e</w:t>
            </w:r>
            <w:r w:rsidRPr="00CF76B2">
              <w:rPr>
                <w:rFonts w:eastAsia="Calibri"/>
              </w:rPr>
              <w:t xml:space="preserve"> processes should be established should anyone need support.</w:t>
            </w:r>
          </w:p>
          <w:p w14:paraId="4C8AD67E" w14:textId="77777777" w:rsidR="00F61A49" w:rsidRPr="00CF76B2" w:rsidRDefault="00F61A49" w:rsidP="00C71A3A">
            <w:pPr>
              <w:pStyle w:val="DHHStabletext"/>
              <w:rPr>
                <w:rFonts w:eastAsia="Calibri"/>
              </w:rPr>
            </w:pPr>
            <w:r w:rsidRPr="00CF76B2">
              <w:rPr>
                <w:rFonts w:eastAsia="Calibri"/>
              </w:rPr>
              <w:t>If advice on managing emotionally triggering content is required, contact the Lived Experience Engagement team or the Office of the Chief Psychiatrist/Office of the Chief Mental Health Nurse. VMIAC and Tandem can also provide general advice.</w:t>
            </w:r>
          </w:p>
        </w:tc>
      </w:tr>
      <w:tr w:rsidR="00F61A49" w14:paraId="29221266" w14:textId="77777777" w:rsidTr="00C71A3A">
        <w:tc>
          <w:tcPr>
            <w:tcW w:w="2263" w:type="dxa"/>
            <w:shd w:val="clear" w:color="auto" w:fill="FFFFFF"/>
          </w:tcPr>
          <w:p w14:paraId="6E592E9C" w14:textId="77777777" w:rsidR="00F61A49" w:rsidRPr="00CF76B2" w:rsidRDefault="00F61A49" w:rsidP="00C71A3A">
            <w:pPr>
              <w:pStyle w:val="DHHStabletext"/>
              <w:rPr>
                <w:rFonts w:eastAsia="Calibri"/>
                <w:b/>
                <w:bCs/>
              </w:rPr>
            </w:pPr>
            <w:r w:rsidRPr="00CF76B2">
              <w:rPr>
                <w:rFonts w:eastAsia="Calibri"/>
                <w:b/>
                <w:bCs/>
              </w:rPr>
              <w:t>Poorly defined issues</w:t>
            </w:r>
          </w:p>
        </w:tc>
        <w:tc>
          <w:tcPr>
            <w:tcW w:w="6753" w:type="dxa"/>
            <w:shd w:val="clear" w:color="auto" w:fill="FFFFFF"/>
          </w:tcPr>
          <w:p w14:paraId="6E5E0CE8" w14:textId="77777777" w:rsidR="00F61A49" w:rsidRPr="00CF76B2" w:rsidRDefault="00F61A49" w:rsidP="00C71A3A">
            <w:pPr>
              <w:pStyle w:val="DHHStabletext"/>
              <w:rPr>
                <w:rFonts w:eastAsia="Calibri"/>
              </w:rPr>
            </w:pPr>
            <w:r w:rsidRPr="00CF76B2">
              <w:rPr>
                <w:rFonts w:eastAsia="Calibri"/>
              </w:rPr>
              <w:t xml:space="preserve">It is important to ensure that aims and scope are clearly defined and communicated, that roles and responsibilities are clearly articulated and that </w:t>
            </w:r>
            <w:proofErr w:type="gramStart"/>
            <w:r w:rsidRPr="00CF76B2">
              <w:rPr>
                <w:rFonts w:eastAsia="Calibri"/>
              </w:rPr>
              <w:t>reporting</w:t>
            </w:r>
            <w:proofErr w:type="gramEnd"/>
            <w:r w:rsidRPr="00CF76B2">
              <w:rPr>
                <w:rFonts w:eastAsia="Calibri"/>
              </w:rPr>
              <w:t xml:space="preserve"> and feedback are built in.</w:t>
            </w:r>
          </w:p>
        </w:tc>
      </w:tr>
    </w:tbl>
    <w:p w14:paraId="1B289F1C" w14:textId="77777777" w:rsidR="00F61A49" w:rsidRDefault="00F61A49" w:rsidP="00F61A49">
      <w:pPr>
        <w:pStyle w:val="Heading1"/>
      </w:pPr>
      <w:r>
        <w:br w:type="page"/>
      </w:r>
      <w:bookmarkStart w:id="38" w:name="_Toc534374312"/>
      <w:bookmarkStart w:id="39" w:name="_Toc13830199"/>
      <w:r>
        <w:lastRenderedPageBreak/>
        <w:t>Tools for engagement</w:t>
      </w:r>
      <w:bookmarkEnd w:id="38"/>
      <w:bookmarkEnd w:id="39"/>
    </w:p>
    <w:p w14:paraId="006CB6AA" w14:textId="77777777" w:rsidR="00F61A49" w:rsidRDefault="00F61A49" w:rsidP="00F61A49">
      <w:pPr>
        <w:pStyle w:val="DHHSbody"/>
        <w:rPr>
          <w:noProof/>
          <w:lang w:eastAsia="en-AU"/>
        </w:rPr>
      </w:pPr>
      <w:r>
        <w:rPr>
          <w:noProof/>
          <w:lang w:eastAsia="en-AU"/>
        </w:rPr>
        <w:t xml:space="preserve">While engagement can take many forms, with each project being individual, there are certain steps that, if taken, will ensure due consideration has been given to including lived epxeirence. </w:t>
      </w:r>
    </w:p>
    <w:p w14:paraId="65A841CA" w14:textId="77777777" w:rsidR="00F61A49" w:rsidRDefault="00F61A49" w:rsidP="00F61A49">
      <w:pPr>
        <w:pStyle w:val="Heading2"/>
        <w:rPr>
          <w:noProof/>
          <w:lang w:eastAsia="en-AU"/>
        </w:rPr>
      </w:pPr>
      <w:bookmarkStart w:id="40" w:name="_Toc534374313"/>
      <w:bookmarkStart w:id="41" w:name="_Toc13830200"/>
      <w:r>
        <w:rPr>
          <w:noProof/>
          <w:lang w:eastAsia="en-AU"/>
        </w:rPr>
        <w:t>A model for engagement</w:t>
      </w:r>
      <w:bookmarkEnd w:id="40"/>
      <w:bookmarkEnd w:id="41"/>
    </w:p>
    <w:p w14:paraId="02F0DEC5" w14:textId="77777777" w:rsidR="00F61A49" w:rsidRDefault="00F61A49" w:rsidP="00F61A49">
      <w:pPr>
        <w:pStyle w:val="DHHSbody"/>
        <w:rPr>
          <w:noProof/>
          <w:lang w:eastAsia="en-AU"/>
        </w:rPr>
      </w:pPr>
      <w:r>
        <w:rPr>
          <w:noProof/>
          <w:lang w:eastAsia="en-AU"/>
        </w:rPr>
        <w:t xml:space="preserve">The model shown in Figure 3 provides a useful </w:t>
      </w:r>
      <w:r w:rsidRPr="00E349C1">
        <w:rPr>
          <w:noProof/>
          <w:lang w:eastAsia="en-AU"/>
        </w:rPr>
        <w:t>reference</w:t>
      </w:r>
      <w:r>
        <w:rPr>
          <w:noProof/>
          <w:lang w:eastAsia="en-AU"/>
        </w:rPr>
        <w:t xml:space="preserve"> for engagement. </w:t>
      </w:r>
      <w:r w:rsidRPr="00E349C1">
        <w:rPr>
          <w:noProof/>
          <w:lang w:eastAsia="en-AU"/>
        </w:rPr>
        <w:t xml:space="preserve">The </w:t>
      </w:r>
      <w:r>
        <w:rPr>
          <w:noProof/>
          <w:lang w:eastAsia="en-AU"/>
        </w:rPr>
        <w:t xml:space="preserve">model is action-oriented, outlining </w:t>
      </w:r>
      <w:r w:rsidRPr="00E349C1">
        <w:rPr>
          <w:noProof/>
          <w:lang w:eastAsia="en-AU"/>
        </w:rPr>
        <w:t>initial pre</w:t>
      </w:r>
      <w:r>
        <w:rPr>
          <w:noProof/>
          <w:lang w:eastAsia="en-AU"/>
        </w:rPr>
        <w:t>paratory work through to delivery.</w:t>
      </w:r>
    </w:p>
    <w:p w14:paraId="6D9ED839" w14:textId="72F0AE65" w:rsidR="00F61A49" w:rsidRDefault="00F61A49" w:rsidP="00F61A49">
      <w:pPr>
        <w:pStyle w:val="DHHSfigurecaption"/>
        <w:rPr>
          <w:noProof/>
          <w:lang w:eastAsia="en-AU"/>
        </w:rPr>
      </w:pPr>
      <w:r>
        <w:rPr>
          <w:noProof/>
          <w:lang w:eastAsia="en-AU"/>
        </w:rPr>
        <w:t>Figure 3: Engagement model</w:t>
      </w:r>
    </w:p>
    <w:p w14:paraId="60DC8F49" w14:textId="02144E76" w:rsidR="00D34386" w:rsidRPr="00D34386" w:rsidRDefault="005E6AFA" w:rsidP="00D34386">
      <w:pPr>
        <w:pStyle w:val="DHHSbody"/>
        <w:sectPr w:rsidR="00D34386" w:rsidRPr="00D34386" w:rsidSect="00C71A3A">
          <w:pgSz w:w="11906" w:h="16838"/>
          <w:pgMar w:top="1440" w:right="1440" w:bottom="1440" w:left="1440" w:header="709" w:footer="709" w:gutter="0"/>
          <w:cols w:space="708"/>
          <w:docGrid w:linePitch="360"/>
        </w:sectPr>
      </w:pPr>
      <w:bookmarkStart w:id="42" w:name="_Toc534374314"/>
      <w:r>
        <w:rPr>
          <w:noProof/>
        </w:rPr>
        <w:drawing>
          <wp:inline distT="0" distB="0" distL="0" distR="0" wp14:anchorId="60A95B59" wp14:editId="48766BD9">
            <wp:extent cx="5730875" cy="5730875"/>
            <wp:effectExtent l="0" t="0" r="0" b="0"/>
            <wp:docPr id="3" name="Picture 3" descr="Refer to Appendix 2 for a transcript of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 to Appendix 2 for a transcript of this 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a:ln>
                      <a:noFill/>
                    </a:ln>
                  </pic:spPr>
                </pic:pic>
              </a:graphicData>
            </a:graphic>
          </wp:inline>
        </w:drawing>
      </w:r>
    </w:p>
    <w:p w14:paraId="0871C89A" w14:textId="77777777" w:rsidR="00F61A49" w:rsidRDefault="00F61A49" w:rsidP="00F61A49">
      <w:pPr>
        <w:pStyle w:val="Heading2"/>
        <w:rPr>
          <w:noProof/>
        </w:rPr>
      </w:pPr>
      <w:bookmarkStart w:id="43" w:name="_Toc13830201"/>
      <w:r w:rsidRPr="00A264CA">
        <w:rPr>
          <w:noProof/>
        </w:rPr>
        <w:lastRenderedPageBreak/>
        <w:t xml:space="preserve">Engagement </w:t>
      </w:r>
      <w:r>
        <w:rPr>
          <w:noProof/>
        </w:rPr>
        <w:t>d</w:t>
      </w:r>
      <w:r w:rsidRPr="00A264CA">
        <w:rPr>
          <w:noProof/>
        </w:rPr>
        <w:t xml:space="preserve">ecision </w:t>
      </w:r>
      <w:r>
        <w:rPr>
          <w:noProof/>
        </w:rPr>
        <w:t>t</w:t>
      </w:r>
      <w:r w:rsidRPr="00A264CA">
        <w:rPr>
          <w:noProof/>
        </w:rPr>
        <w:t>ool</w:t>
      </w:r>
      <w:bookmarkEnd w:id="42"/>
      <w:bookmarkEnd w:id="43"/>
    </w:p>
    <w:p w14:paraId="102970B3" w14:textId="77777777" w:rsidR="00F61A49" w:rsidRDefault="00F61A49" w:rsidP="00F61A49">
      <w:pPr>
        <w:pStyle w:val="DHHSbody"/>
      </w:pPr>
      <w:r>
        <w:t xml:space="preserve">The decision tool shown in Figure 4 was designed to help determine where a project sits along the engagement continuum. The tool reflects the Victorian Government’s principle of empowering Victorians to take an active part in shaping their services. </w:t>
      </w:r>
    </w:p>
    <w:p w14:paraId="20D531B6" w14:textId="77777777" w:rsidR="00F61A49" w:rsidRDefault="00F61A49" w:rsidP="00F61A49">
      <w:pPr>
        <w:pStyle w:val="DHHSfigurecaption"/>
      </w:pPr>
      <w:r>
        <w:t>Figure 4: Engagement decision tool</w:t>
      </w:r>
    </w:p>
    <w:p w14:paraId="2DE0CCD0" w14:textId="381E332B" w:rsidR="00F61A49" w:rsidRDefault="005E6AFA" w:rsidP="00F61A49">
      <w:pPr>
        <w:pStyle w:val="DHHSbody"/>
      </w:pPr>
      <w:r>
        <w:rPr>
          <w:noProof/>
        </w:rPr>
        <w:drawing>
          <wp:inline distT="0" distB="0" distL="0" distR="0" wp14:anchorId="10374C74" wp14:editId="1C9FC390">
            <wp:extent cx="9578340" cy="4699000"/>
            <wp:effectExtent l="0" t="0" r="0" b="0"/>
            <wp:docPr id="4" name="Diagram 5" descr="See Appendix 2 for the text contained in this 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5" descr="See Appendix 2 for the text contained in this figure."/>
                    <pic:cNvPicPr>
                      <a:picLocks noChangeArrowheads="1"/>
                    </pic:cNvPicPr>
                  </pic:nvPicPr>
                  <pic:blipFill>
                    <a:blip r:embed="rId24">
                      <a:extLst>
                        <a:ext uri="{28A0092B-C50C-407E-A947-70E740481C1C}">
                          <a14:useLocalDpi xmlns:a14="http://schemas.microsoft.com/office/drawing/2010/main" val="0"/>
                        </a:ext>
                      </a:extLst>
                    </a:blip>
                    <a:srcRect l="-3633" r="-3754"/>
                    <a:stretch>
                      <a:fillRect/>
                    </a:stretch>
                  </pic:blipFill>
                  <pic:spPr bwMode="auto">
                    <a:xfrm>
                      <a:off x="0" y="0"/>
                      <a:ext cx="9578340" cy="4699000"/>
                    </a:xfrm>
                    <a:prstGeom prst="rect">
                      <a:avLst/>
                    </a:prstGeom>
                    <a:noFill/>
                    <a:ln>
                      <a:noFill/>
                    </a:ln>
                  </pic:spPr>
                </pic:pic>
              </a:graphicData>
            </a:graphic>
          </wp:inline>
        </w:drawing>
      </w:r>
    </w:p>
    <w:p w14:paraId="241E1C29" w14:textId="77777777" w:rsidR="00F61A49" w:rsidRDefault="00F61A49" w:rsidP="00F61A49">
      <w:pPr>
        <w:pStyle w:val="body"/>
        <w:sectPr w:rsidR="00F61A49" w:rsidSect="00C71A3A">
          <w:pgSz w:w="16838" w:h="11906" w:orient="landscape"/>
          <w:pgMar w:top="1440" w:right="1440" w:bottom="1276" w:left="1440" w:header="709" w:footer="709" w:gutter="0"/>
          <w:cols w:space="708"/>
          <w:docGrid w:linePitch="360"/>
        </w:sectPr>
      </w:pPr>
    </w:p>
    <w:p w14:paraId="322B0725" w14:textId="77777777" w:rsidR="00F61A49" w:rsidRDefault="00F61A49" w:rsidP="00F61A49">
      <w:pPr>
        <w:pStyle w:val="Heading2"/>
      </w:pPr>
      <w:bookmarkStart w:id="44" w:name="_Toc534374315"/>
      <w:bookmarkStart w:id="45" w:name="_Toc13830202"/>
      <w:r>
        <w:lastRenderedPageBreak/>
        <w:t>I</w:t>
      </w:r>
      <w:r w:rsidRPr="00B90DA1">
        <w:t>ndicators of success</w:t>
      </w:r>
      <w:bookmarkEnd w:id="44"/>
      <w:bookmarkEnd w:id="45"/>
    </w:p>
    <w:p w14:paraId="37BDDD66" w14:textId="77777777" w:rsidR="00F61A49" w:rsidRDefault="00F61A49" w:rsidP="00F61A49">
      <w:pPr>
        <w:pStyle w:val="DHHSbody"/>
      </w:pPr>
      <w:bookmarkStart w:id="46" w:name="_Hlk444401"/>
      <w:r>
        <w:t>Table 2</w:t>
      </w:r>
      <w:r w:rsidRPr="00234A7C">
        <w:t xml:space="preserve"> is a framework for evaluating </w:t>
      </w:r>
      <w:r>
        <w:t xml:space="preserve">lived experience </w:t>
      </w:r>
      <w:r w:rsidRPr="00234A7C">
        <w:t xml:space="preserve">engagement using the </w:t>
      </w:r>
      <w:r>
        <w:t>d</w:t>
      </w:r>
      <w:r w:rsidRPr="00234A7C">
        <w:t>epartment’s engagement principles. Each principle has suggested goals</w:t>
      </w:r>
      <w:r>
        <w:t xml:space="preserve"> included</w:t>
      </w:r>
      <w:r w:rsidRPr="00234A7C">
        <w:t>, with suggest</w:t>
      </w:r>
      <w:r>
        <w:t>ions for how engagement might be done</w:t>
      </w:r>
      <w:r w:rsidRPr="00234A7C">
        <w:t xml:space="preserve"> well (or not so well). The last column offers indictors of</w:t>
      </w:r>
      <w:r>
        <w:t xml:space="preserve"> success against these.</w:t>
      </w:r>
      <w:r w:rsidRPr="00234A7C">
        <w:t xml:space="preserve"> </w:t>
      </w:r>
    </w:p>
    <w:p w14:paraId="09E36C6C" w14:textId="77777777" w:rsidR="00F61A49" w:rsidRPr="007408B9" w:rsidRDefault="00F61A49" w:rsidP="00F61A49">
      <w:pPr>
        <w:pStyle w:val="DHHStablecaption"/>
      </w:pPr>
      <w:r>
        <w:t>Table 2:</w:t>
      </w:r>
      <w:r w:rsidRPr="00234A7C">
        <w:t xml:space="preserve"> </w:t>
      </w:r>
      <w:r>
        <w:t>F</w:t>
      </w:r>
      <w:r w:rsidRPr="00234A7C">
        <w:t xml:space="preserve">ramework for evaluating </w:t>
      </w:r>
      <w:r>
        <w:t xml:space="preserve">lived experience </w:t>
      </w:r>
      <w:r w:rsidRPr="00234A7C">
        <w:t>engagement</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713"/>
        <w:gridCol w:w="2713"/>
        <w:gridCol w:w="2713"/>
        <w:gridCol w:w="2713"/>
        <w:gridCol w:w="2713"/>
      </w:tblGrid>
      <w:tr w:rsidR="00F61A49" w:rsidRPr="003320FF" w14:paraId="766426E5" w14:textId="77777777" w:rsidTr="00C71A3A">
        <w:trPr>
          <w:trHeight w:val="279"/>
          <w:tblHeader/>
          <w:jc w:val="center"/>
        </w:trPr>
        <w:tc>
          <w:tcPr>
            <w:tcW w:w="1603" w:type="dxa"/>
            <w:shd w:val="clear" w:color="auto" w:fill="E0EAF5"/>
          </w:tcPr>
          <w:bookmarkEnd w:id="46"/>
          <w:p w14:paraId="74C320F4" w14:textId="77777777" w:rsidR="00F61A49" w:rsidRPr="00CF76B2" w:rsidRDefault="00F61A49" w:rsidP="00C71A3A">
            <w:pPr>
              <w:pStyle w:val="DHHStablecolhead"/>
              <w:rPr>
                <w:rFonts w:cs="Arial"/>
                <w:i/>
                <w:sz w:val="18"/>
                <w:szCs w:val="18"/>
              </w:rPr>
            </w:pPr>
            <w:r>
              <w:t>E</w:t>
            </w:r>
            <w:r w:rsidRPr="0060594E">
              <w:t>ngagement principle</w:t>
            </w:r>
          </w:p>
        </w:tc>
        <w:tc>
          <w:tcPr>
            <w:tcW w:w="2713" w:type="dxa"/>
            <w:shd w:val="clear" w:color="auto" w:fill="E0EAF5"/>
            <w:vAlign w:val="center"/>
          </w:tcPr>
          <w:p w14:paraId="7CD439E8" w14:textId="77777777" w:rsidR="00F61A49" w:rsidRPr="00CF76B2" w:rsidRDefault="00F61A49" w:rsidP="00C71A3A">
            <w:pPr>
              <w:pStyle w:val="DHHStablecolhead"/>
              <w:rPr>
                <w:rFonts w:cs="Arial"/>
                <w:sz w:val="18"/>
                <w:szCs w:val="18"/>
              </w:rPr>
            </w:pPr>
            <w:r w:rsidRPr="0085314C">
              <w:t>Goal</w:t>
            </w:r>
          </w:p>
        </w:tc>
        <w:tc>
          <w:tcPr>
            <w:tcW w:w="2713" w:type="dxa"/>
            <w:shd w:val="clear" w:color="auto" w:fill="E0EAF5"/>
            <w:vAlign w:val="center"/>
          </w:tcPr>
          <w:p w14:paraId="74BE707D" w14:textId="77777777" w:rsidR="00F61A49" w:rsidRPr="0085314C" w:rsidRDefault="00F61A49" w:rsidP="00C71A3A">
            <w:pPr>
              <w:pStyle w:val="DHHStablecolhead"/>
            </w:pPr>
            <w:r w:rsidRPr="0085314C">
              <w:t>Low</w:t>
            </w:r>
            <w:r>
              <w:t xml:space="preserve"> </w:t>
            </w:r>
            <w:r w:rsidRPr="003320FF">
              <w:t>engagement</w:t>
            </w:r>
          </w:p>
        </w:tc>
        <w:tc>
          <w:tcPr>
            <w:tcW w:w="2713" w:type="dxa"/>
            <w:shd w:val="clear" w:color="auto" w:fill="E0EAF5"/>
            <w:vAlign w:val="center"/>
          </w:tcPr>
          <w:p w14:paraId="48EE6B50" w14:textId="77777777" w:rsidR="00F61A49" w:rsidRPr="0085314C" w:rsidRDefault="00F61A49" w:rsidP="00C71A3A">
            <w:pPr>
              <w:pStyle w:val="DHHStablecolhead"/>
            </w:pPr>
            <w:r w:rsidRPr="0085314C">
              <w:t>Medium</w:t>
            </w:r>
            <w:r>
              <w:t xml:space="preserve"> </w:t>
            </w:r>
            <w:r w:rsidRPr="003320FF">
              <w:t>engagement</w:t>
            </w:r>
          </w:p>
        </w:tc>
        <w:tc>
          <w:tcPr>
            <w:tcW w:w="2713" w:type="dxa"/>
            <w:shd w:val="clear" w:color="auto" w:fill="E0EAF5"/>
            <w:vAlign w:val="center"/>
          </w:tcPr>
          <w:p w14:paraId="7D97B84C" w14:textId="77777777" w:rsidR="00F61A49" w:rsidRPr="0085314C" w:rsidRDefault="00F61A49" w:rsidP="00C71A3A">
            <w:pPr>
              <w:pStyle w:val="DHHStablecolhead"/>
            </w:pPr>
            <w:r w:rsidRPr="0085314C">
              <w:t>High</w:t>
            </w:r>
            <w:r>
              <w:t xml:space="preserve"> </w:t>
            </w:r>
            <w:r w:rsidRPr="003320FF">
              <w:t>engagement</w:t>
            </w:r>
          </w:p>
        </w:tc>
        <w:tc>
          <w:tcPr>
            <w:tcW w:w="2713" w:type="dxa"/>
            <w:shd w:val="clear" w:color="auto" w:fill="E0EAF5"/>
            <w:vAlign w:val="center"/>
          </w:tcPr>
          <w:p w14:paraId="40862C74" w14:textId="77777777" w:rsidR="00F61A49" w:rsidRPr="00CF76B2" w:rsidRDefault="00F61A49" w:rsidP="00C71A3A">
            <w:pPr>
              <w:pStyle w:val="DHHStablecolhead"/>
              <w:rPr>
                <w:rFonts w:cs="Arial"/>
                <w:color w:val="FFFFFF"/>
                <w:sz w:val="18"/>
                <w:szCs w:val="18"/>
              </w:rPr>
            </w:pPr>
            <w:r w:rsidRPr="00665DDF">
              <w:t>Evidence</w:t>
            </w:r>
          </w:p>
        </w:tc>
      </w:tr>
      <w:tr w:rsidR="00F61A49" w:rsidRPr="003320FF" w14:paraId="66C5AFFD" w14:textId="77777777" w:rsidTr="00C71A3A">
        <w:trPr>
          <w:jc w:val="center"/>
        </w:trPr>
        <w:tc>
          <w:tcPr>
            <w:tcW w:w="1603" w:type="dxa"/>
            <w:vMerge w:val="restart"/>
            <w:shd w:val="clear" w:color="auto" w:fill="auto"/>
            <w:vAlign w:val="center"/>
          </w:tcPr>
          <w:p w14:paraId="7B350757" w14:textId="77777777" w:rsidR="00F61A49" w:rsidRPr="0085314C" w:rsidRDefault="00F61A49" w:rsidP="00C71A3A">
            <w:pPr>
              <w:pStyle w:val="DHHStabletext"/>
              <w:rPr>
                <w:noProof/>
              </w:rPr>
            </w:pPr>
            <w:r w:rsidRPr="0085314C">
              <w:rPr>
                <w:noProof/>
              </w:rPr>
              <w:t>We are purposeful</w:t>
            </w:r>
          </w:p>
        </w:tc>
        <w:tc>
          <w:tcPr>
            <w:tcW w:w="2713" w:type="dxa"/>
            <w:shd w:val="clear" w:color="auto" w:fill="auto"/>
          </w:tcPr>
          <w:p w14:paraId="3C678107" w14:textId="77777777" w:rsidR="00F61A49" w:rsidRPr="0085314C" w:rsidRDefault="00F61A49" w:rsidP="00C71A3A">
            <w:pPr>
              <w:pStyle w:val="DHHStabletext"/>
              <w:rPr>
                <w:noProof/>
              </w:rPr>
            </w:pPr>
            <w:r w:rsidRPr="0085314C">
              <w:rPr>
                <w:noProof/>
              </w:rPr>
              <w:t>The problem has been identified</w:t>
            </w:r>
          </w:p>
        </w:tc>
        <w:tc>
          <w:tcPr>
            <w:tcW w:w="2713" w:type="dxa"/>
            <w:shd w:val="clear" w:color="auto" w:fill="auto"/>
          </w:tcPr>
          <w:p w14:paraId="69CDBD16" w14:textId="77777777" w:rsidR="00F61A49" w:rsidRPr="0085314C" w:rsidRDefault="00F61A49" w:rsidP="00C71A3A">
            <w:pPr>
              <w:pStyle w:val="DHHStabletext"/>
              <w:rPr>
                <w:noProof/>
              </w:rPr>
            </w:pPr>
            <w:r w:rsidRPr="0085314C">
              <w:rPr>
                <w:noProof/>
              </w:rPr>
              <w:t>No or little lived experience engagement to identify the problem</w:t>
            </w:r>
          </w:p>
          <w:p w14:paraId="14DBE324" w14:textId="77777777" w:rsidR="00F61A49" w:rsidRPr="00CF76B2" w:rsidRDefault="00F61A49" w:rsidP="00C71A3A">
            <w:pPr>
              <w:pStyle w:val="DHHStabletext"/>
              <w:rPr>
                <w:noProof/>
                <w:sz w:val="18"/>
                <w:szCs w:val="18"/>
              </w:rPr>
            </w:pPr>
          </w:p>
        </w:tc>
        <w:tc>
          <w:tcPr>
            <w:tcW w:w="2713" w:type="dxa"/>
            <w:shd w:val="clear" w:color="auto" w:fill="auto"/>
          </w:tcPr>
          <w:p w14:paraId="52A59001" w14:textId="77777777" w:rsidR="00F61A49" w:rsidRPr="0085314C" w:rsidRDefault="00F61A49" w:rsidP="00C71A3A">
            <w:pPr>
              <w:pStyle w:val="DHHStabletext"/>
              <w:rPr>
                <w:noProof/>
              </w:rPr>
            </w:pPr>
            <w:r w:rsidRPr="0085314C">
              <w:rPr>
                <w:noProof/>
              </w:rPr>
              <w:t>Initial lived experience engagement analysis conducted</w:t>
            </w:r>
          </w:p>
          <w:p w14:paraId="34924B7C" w14:textId="77777777" w:rsidR="00F61A49" w:rsidRPr="00CF76B2" w:rsidRDefault="00F61A49" w:rsidP="00C71A3A">
            <w:pPr>
              <w:pStyle w:val="DHHStabletext"/>
              <w:rPr>
                <w:noProof/>
                <w:sz w:val="18"/>
                <w:szCs w:val="18"/>
              </w:rPr>
            </w:pPr>
          </w:p>
        </w:tc>
        <w:tc>
          <w:tcPr>
            <w:tcW w:w="2713" w:type="dxa"/>
            <w:shd w:val="clear" w:color="auto" w:fill="auto"/>
          </w:tcPr>
          <w:p w14:paraId="6B6694B5" w14:textId="77777777" w:rsidR="00F61A49" w:rsidRPr="00CF76B2" w:rsidRDefault="00F61A49" w:rsidP="00C71A3A">
            <w:pPr>
              <w:pStyle w:val="DHHStabletext"/>
              <w:rPr>
                <w:noProof/>
              </w:rPr>
            </w:pPr>
            <w:r w:rsidRPr="0085314C">
              <w:rPr>
                <w:noProof/>
              </w:rPr>
              <w:t>Project sponsor facilitates additional time/resources following lived experience engagement analysis</w:t>
            </w:r>
          </w:p>
        </w:tc>
        <w:tc>
          <w:tcPr>
            <w:tcW w:w="2713" w:type="dxa"/>
            <w:shd w:val="clear" w:color="auto" w:fill="auto"/>
          </w:tcPr>
          <w:p w14:paraId="5963DA97" w14:textId="77777777" w:rsidR="00F61A49" w:rsidRPr="003320FF" w:rsidRDefault="00F61A49" w:rsidP="00C71A3A">
            <w:pPr>
              <w:pStyle w:val="DHHStabletext"/>
            </w:pPr>
            <w:r w:rsidRPr="003320FF">
              <w:t>Consensus between the department and people with lived experience about the nature of the problem</w:t>
            </w:r>
          </w:p>
        </w:tc>
      </w:tr>
      <w:tr w:rsidR="00F61A49" w:rsidRPr="003320FF" w14:paraId="0A23FEA1" w14:textId="77777777" w:rsidTr="00C71A3A">
        <w:trPr>
          <w:jc w:val="center"/>
        </w:trPr>
        <w:tc>
          <w:tcPr>
            <w:tcW w:w="1603" w:type="dxa"/>
            <w:vMerge/>
            <w:shd w:val="clear" w:color="auto" w:fill="auto"/>
            <w:vAlign w:val="center"/>
          </w:tcPr>
          <w:p w14:paraId="48FD74A5" w14:textId="77777777" w:rsidR="00F61A49" w:rsidRPr="00CF76B2" w:rsidRDefault="00F61A49" w:rsidP="00C71A3A">
            <w:pPr>
              <w:pStyle w:val="DHHStabletext"/>
              <w:rPr>
                <w:b/>
                <w:noProof/>
                <w:sz w:val="18"/>
                <w:szCs w:val="18"/>
              </w:rPr>
            </w:pPr>
          </w:p>
        </w:tc>
        <w:tc>
          <w:tcPr>
            <w:tcW w:w="2713" w:type="dxa"/>
            <w:shd w:val="clear" w:color="auto" w:fill="auto"/>
          </w:tcPr>
          <w:p w14:paraId="3E70C1D2" w14:textId="77777777" w:rsidR="00F61A49" w:rsidRPr="0085314C" w:rsidRDefault="00F61A49" w:rsidP="00C71A3A">
            <w:pPr>
              <w:pStyle w:val="DHHStabletext"/>
              <w:rPr>
                <w:noProof/>
              </w:rPr>
            </w:pPr>
            <w:r w:rsidRPr="0085314C">
              <w:rPr>
                <w:noProof/>
              </w:rPr>
              <w:t>Relevent consumer and carer participants with required expertise have been identified</w:t>
            </w:r>
          </w:p>
        </w:tc>
        <w:tc>
          <w:tcPr>
            <w:tcW w:w="2713" w:type="dxa"/>
            <w:shd w:val="clear" w:color="auto" w:fill="auto"/>
          </w:tcPr>
          <w:p w14:paraId="06C87401" w14:textId="77777777" w:rsidR="00F61A49" w:rsidRPr="0085314C" w:rsidRDefault="00F61A49" w:rsidP="00C71A3A">
            <w:pPr>
              <w:pStyle w:val="DHHStabletext"/>
              <w:rPr>
                <w:noProof/>
              </w:rPr>
            </w:pPr>
            <w:r w:rsidRPr="003320FF">
              <w:rPr>
                <w:noProof/>
              </w:rPr>
              <w:t>Relevant consumer and carer participants not identified</w:t>
            </w:r>
          </w:p>
        </w:tc>
        <w:tc>
          <w:tcPr>
            <w:tcW w:w="2713" w:type="dxa"/>
            <w:shd w:val="clear" w:color="auto" w:fill="auto"/>
          </w:tcPr>
          <w:p w14:paraId="5316EE41" w14:textId="77777777" w:rsidR="00F61A49" w:rsidRPr="0085314C" w:rsidRDefault="00F61A49" w:rsidP="00C71A3A">
            <w:pPr>
              <w:pStyle w:val="DHHStabletext"/>
              <w:rPr>
                <w:noProof/>
              </w:rPr>
            </w:pPr>
            <w:r w:rsidRPr="0085314C">
              <w:rPr>
                <w:noProof/>
              </w:rPr>
              <w:t>Consumer and carer participants with required expertise identified</w:t>
            </w:r>
          </w:p>
        </w:tc>
        <w:tc>
          <w:tcPr>
            <w:tcW w:w="2713" w:type="dxa"/>
            <w:shd w:val="clear" w:color="auto" w:fill="auto"/>
          </w:tcPr>
          <w:p w14:paraId="31BF0DAE" w14:textId="77777777" w:rsidR="00F61A49" w:rsidRPr="0085314C" w:rsidRDefault="00F61A49" w:rsidP="00C71A3A">
            <w:pPr>
              <w:pStyle w:val="DHHStabletext"/>
              <w:rPr>
                <w:noProof/>
              </w:rPr>
            </w:pPr>
            <w:r w:rsidRPr="0085314C">
              <w:rPr>
                <w:noProof/>
              </w:rPr>
              <w:t>A wide range of consumer and carer participants with required expertise has been identified</w:t>
            </w:r>
          </w:p>
        </w:tc>
        <w:tc>
          <w:tcPr>
            <w:tcW w:w="2713" w:type="dxa"/>
            <w:shd w:val="clear" w:color="auto" w:fill="auto"/>
          </w:tcPr>
          <w:p w14:paraId="097C8C6E" w14:textId="77777777" w:rsidR="00F61A49" w:rsidRPr="003320FF" w:rsidRDefault="00F61A49" w:rsidP="00C71A3A">
            <w:pPr>
              <w:pStyle w:val="DHHStabletext"/>
            </w:pPr>
            <w:r w:rsidRPr="00742A73">
              <w:t>Percentage of specific practice suggestions made by consumer and carer participants that have been adopted in whole or part</w:t>
            </w:r>
          </w:p>
        </w:tc>
      </w:tr>
      <w:tr w:rsidR="00F61A49" w:rsidRPr="003320FF" w14:paraId="02DFCDCE" w14:textId="77777777" w:rsidTr="00C71A3A">
        <w:trPr>
          <w:jc w:val="center"/>
        </w:trPr>
        <w:tc>
          <w:tcPr>
            <w:tcW w:w="1603" w:type="dxa"/>
            <w:vMerge/>
            <w:shd w:val="clear" w:color="auto" w:fill="auto"/>
            <w:vAlign w:val="center"/>
          </w:tcPr>
          <w:p w14:paraId="21EC0F7A" w14:textId="77777777" w:rsidR="00F61A49" w:rsidRPr="00CF76B2" w:rsidRDefault="00F61A49" w:rsidP="00C71A3A">
            <w:pPr>
              <w:pStyle w:val="DHHStabletext"/>
              <w:rPr>
                <w:b/>
                <w:noProof/>
                <w:sz w:val="18"/>
                <w:szCs w:val="18"/>
              </w:rPr>
            </w:pPr>
          </w:p>
        </w:tc>
        <w:tc>
          <w:tcPr>
            <w:tcW w:w="2713" w:type="dxa"/>
            <w:shd w:val="clear" w:color="auto" w:fill="auto"/>
          </w:tcPr>
          <w:p w14:paraId="781A7C81" w14:textId="77777777" w:rsidR="00F61A49" w:rsidRPr="0085314C" w:rsidRDefault="00F61A49" w:rsidP="00C71A3A">
            <w:pPr>
              <w:pStyle w:val="DHHStabletext"/>
              <w:rPr>
                <w:noProof/>
              </w:rPr>
            </w:pPr>
            <w:r w:rsidRPr="0085314C">
              <w:rPr>
                <w:noProof/>
              </w:rPr>
              <w:t>Strategic lived experience engagement activity aligned to strategic intent as outlined in business plans</w:t>
            </w:r>
          </w:p>
        </w:tc>
        <w:tc>
          <w:tcPr>
            <w:tcW w:w="2713" w:type="dxa"/>
            <w:shd w:val="clear" w:color="auto" w:fill="auto"/>
          </w:tcPr>
          <w:p w14:paraId="2B27621E" w14:textId="77777777" w:rsidR="00F61A49" w:rsidRPr="0085314C" w:rsidRDefault="00F61A49" w:rsidP="00C71A3A">
            <w:pPr>
              <w:pStyle w:val="DHHStabletext"/>
              <w:rPr>
                <w:noProof/>
              </w:rPr>
            </w:pPr>
            <w:r w:rsidRPr="0085314C">
              <w:rPr>
                <w:noProof/>
              </w:rPr>
              <w:t>Lived experience engagement activity not aligned to strategic intent</w:t>
            </w:r>
          </w:p>
        </w:tc>
        <w:tc>
          <w:tcPr>
            <w:tcW w:w="2713" w:type="dxa"/>
            <w:shd w:val="clear" w:color="auto" w:fill="auto"/>
          </w:tcPr>
          <w:p w14:paraId="20EBD91D" w14:textId="77777777" w:rsidR="00F61A49" w:rsidRPr="0085314C" w:rsidRDefault="00F61A49" w:rsidP="00C71A3A">
            <w:pPr>
              <w:pStyle w:val="DHHStabletext"/>
              <w:rPr>
                <w:noProof/>
              </w:rPr>
            </w:pPr>
            <w:r w:rsidRPr="0085314C">
              <w:rPr>
                <w:noProof/>
              </w:rPr>
              <w:t>Lived experience engagement activity aligned to strategic intent</w:t>
            </w:r>
          </w:p>
          <w:p w14:paraId="12F4FA91" w14:textId="77777777" w:rsidR="00F61A49" w:rsidRPr="00CF76B2" w:rsidRDefault="00F61A49" w:rsidP="00C71A3A">
            <w:pPr>
              <w:pStyle w:val="DHHStabletext"/>
              <w:rPr>
                <w:noProof/>
                <w:sz w:val="18"/>
                <w:szCs w:val="18"/>
              </w:rPr>
            </w:pPr>
          </w:p>
        </w:tc>
        <w:tc>
          <w:tcPr>
            <w:tcW w:w="2713" w:type="dxa"/>
            <w:shd w:val="clear" w:color="auto" w:fill="auto"/>
          </w:tcPr>
          <w:p w14:paraId="5B3D35A9" w14:textId="77777777" w:rsidR="00F61A49" w:rsidRPr="0085314C" w:rsidRDefault="00F61A49" w:rsidP="00C71A3A">
            <w:pPr>
              <w:pStyle w:val="DHHStabletext"/>
              <w:rPr>
                <w:noProof/>
              </w:rPr>
            </w:pPr>
            <w:r w:rsidRPr="0085314C">
              <w:rPr>
                <w:noProof/>
              </w:rPr>
              <w:t>Lived experience engagement activity aligned to strategic plan that was developed in collaboration with key consumer and carer participants</w:t>
            </w:r>
          </w:p>
        </w:tc>
        <w:tc>
          <w:tcPr>
            <w:tcW w:w="2713" w:type="dxa"/>
            <w:shd w:val="clear" w:color="auto" w:fill="auto"/>
          </w:tcPr>
          <w:p w14:paraId="56407BF2" w14:textId="77777777" w:rsidR="00F61A49" w:rsidRPr="003320FF" w:rsidRDefault="00F61A49" w:rsidP="00C71A3A">
            <w:pPr>
              <w:pStyle w:val="DHHStabletext"/>
            </w:pPr>
            <w:r w:rsidRPr="00742A73">
              <w:t>Communications with consumer and carer participants are documented</w:t>
            </w:r>
          </w:p>
        </w:tc>
      </w:tr>
      <w:tr w:rsidR="00F61A49" w:rsidRPr="003320FF" w14:paraId="7DBC234F" w14:textId="77777777" w:rsidTr="00C71A3A">
        <w:trPr>
          <w:jc w:val="center"/>
        </w:trPr>
        <w:tc>
          <w:tcPr>
            <w:tcW w:w="1603" w:type="dxa"/>
            <w:vMerge w:val="restart"/>
            <w:shd w:val="clear" w:color="auto" w:fill="auto"/>
            <w:vAlign w:val="center"/>
          </w:tcPr>
          <w:p w14:paraId="5EE717F9" w14:textId="77777777" w:rsidR="00F61A49" w:rsidRPr="0085314C" w:rsidRDefault="00F61A49" w:rsidP="00C71A3A">
            <w:pPr>
              <w:pStyle w:val="DHHStabletext"/>
              <w:rPr>
                <w:noProof/>
              </w:rPr>
            </w:pPr>
            <w:r w:rsidRPr="0085314C">
              <w:rPr>
                <w:noProof/>
              </w:rPr>
              <w:t>We are prepared</w:t>
            </w:r>
          </w:p>
        </w:tc>
        <w:tc>
          <w:tcPr>
            <w:tcW w:w="2713" w:type="dxa"/>
            <w:shd w:val="clear" w:color="auto" w:fill="auto"/>
          </w:tcPr>
          <w:p w14:paraId="628F97E1" w14:textId="77777777" w:rsidR="00F61A49" w:rsidRPr="0085314C" w:rsidRDefault="00F61A49" w:rsidP="00C71A3A">
            <w:pPr>
              <w:pStyle w:val="DHHStabletext"/>
              <w:rPr>
                <w:noProof/>
              </w:rPr>
            </w:pPr>
            <w:r w:rsidRPr="0085314C">
              <w:rPr>
                <w:noProof/>
              </w:rPr>
              <w:t xml:space="preserve">Lived experience engagement plan has been endorsed and communicated to stakeholders at </w:t>
            </w:r>
            <w:r>
              <w:rPr>
                <w:noProof/>
              </w:rPr>
              <w:t xml:space="preserve">the </w:t>
            </w:r>
            <w:r w:rsidRPr="0085314C">
              <w:rPr>
                <w:noProof/>
              </w:rPr>
              <w:t>outset of planning</w:t>
            </w:r>
          </w:p>
        </w:tc>
        <w:tc>
          <w:tcPr>
            <w:tcW w:w="2713" w:type="dxa"/>
            <w:shd w:val="clear" w:color="auto" w:fill="auto"/>
          </w:tcPr>
          <w:p w14:paraId="39C27D36" w14:textId="77777777" w:rsidR="00F61A49" w:rsidRPr="0085314C" w:rsidRDefault="00F61A49" w:rsidP="00C71A3A">
            <w:pPr>
              <w:pStyle w:val="DHHStabletext"/>
              <w:rPr>
                <w:noProof/>
              </w:rPr>
            </w:pPr>
            <w:r w:rsidRPr="0085314C">
              <w:rPr>
                <w:noProof/>
              </w:rPr>
              <w:t>No specific type of lived experience engagement endorsed</w:t>
            </w:r>
          </w:p>
        </w:tc>
        <w:tc>
          <w:tcPr>
            <w:tcW w:w="2713" w:type="dxa"/>
            <w:shd w:val="clear" w:color="auto" w:fill="auto"/>
          </w:tcPr>
          <w:p w14:paraId="754A5EB9" w14:textId="77777777" w:rsidR="00F61A49" w:rsidRPr="0085314C" w:rsidRDefault="00F61A49" w:rsidP="00C71A3A">
            <w:pPr>
              <w:pStyle w:val="DHHStabletext"/>
              <w:rPr>
                <w:noProof/>
              </w:rPr>
            </w:pPr>
            <w:r w:rsidRPr="0085314C">
              <w:rPr>
                <w:noProof/>
              </w:rPr>
              <w:t>A level of engagement identified in project endorsement</w:t>
            </w:r>
          </w:p>
        </w:tc>
        <w:tc>
          <w:tcPr>
            <w:tcW w:w="2713" w:type="dxa"/>
            <w:shd w:val="clear" w:color="auto" w:fill="auto"/>
          </w:tcPr>
          <w:p w14:paraId="4120E4CE" w14:textId="77777777" w:rsidR="00F61A49" w:rsidRPr="0085314C" w:rsidRDefault="00F61A49" w:rsidP="00C71A3A">
            <w:pPr>
              <w:pStyle w:val="DHHStabletext"/>
              <w:rPr>
                <w:noProof/>
              </w:rPr>
            </w:pPr>
            <w:r w:rsidRPr="0085314C">
              <w:rPr>
                <w:noProof/>
              </w:rPr>
              <w:t>Lived experience stakeholders are involved in establishing the type of engagement</w:t>
            </w:r>
          </w:p>
        </w:tc>
        <w:tc>
          <w:tcPr>
            <w:tcW w:w="2713" w:type="dxa"/>
            <w:shd w:val="clear" w:color="auto" w:fill="auto"/>
          </w:tcPr>
          <w:p w14:paraId="25F68795" w14:textId="77777777" w:rsidR="00F61A49" w:rsidRPr="003320FF" w:rsidRDefault="00F61A49" w:rsidP="00C71A3A">
            <w:pPr>
              <w:pStyle w:val="DHHStabletext"/>
            </w:pPr>
            <w:r w:rsidRPr="00742A73">
              <w:t>Communications to all stakeholders clearly states project intent and type of engagement</w:t>
            </w:r>
          </w:p>
        </w:tc>
      </w:tr>
      <w:tr w:rsidR="00F61A49" w:rsidRPr="003320FF" w14:paraId="7FA96DF3" w14:textId="77777777" w:rsidTr="00C71A3A">
        <w:trPr>
          <w:jc w:val="center"/>
        </w:trPr>
        <w:tc>
          <w:tcPr>
            <w:tcW w:w="1603" w:type="dxa"/>
            <w:vMerge/>
            <w:shd w:val="clear" w:color="auto" w:fill="auto"/>
            <w:textDirection w:val="btLr"/>
            <w:vAlign w:val="center"/>
          </w:tcPr>
          <w:p w14:paraId="35A39924" w14:textId="77777777" w:rsidR="00F61A49" w:rsidRPr="00CF76B2" w:rsidRDefault="00F61A49" w:rsidP="00C71A3A">
            <w:pPr>
              <w:pStyle w:val="DHHStabletext"/>
              <w:rPr>
                <w:b/>
                <w:noProof/>
                <w:sz w:val="18"/>
                <w:szCs w:val="18"/>
              </w:rPr>
            </w:pPr>
          </w:p>
        </w:tc>
        <w:tc>
          <w:tcPr>
            <w:tcW w:w="2713" w:type="dxa"/>
            <w:shd w:val="clear" w:color="auto" w:fill="auto"/>
          </w:tcPr>
          <w:p w14:paraId="6036D544" w14:textId="77777777" w:rsidR="00F61A49" w:rsidRPr="0085314C" w:rsidRDefault="00F61A49" w:rsidP="00C71A3A">
            <w:pPr>
              <w:pStyle w:val="DHHStabletext"/>
              <w:rPr>
                <w:noProof/>
              </w:rPr>
            </w:pPr>
            <w:r w:rsidRPr="0085314C">
              <w:rPr>
                <w:noProof/>
              </w:rPr>
              <w:t>There are clear processes in place to support effective engagement</w:t>
            </w:r>
          </w:p>
        </w:tc>
        <w:tc>
          <w:tcPr>
            <w:tcW w:w="2713" w:type="dxa"/>
            <w:shd w:val="clear" w:color="auto" w:fill="auto"/>
          </w:tcPr>
          <w:p w14:paraId="32A06DB7" w14:textId="77777777" w:rsidR="00F61A49" w:rsidRPr="003320FF" w:rsidRDefault="00F61A49" w:rsidP="00C71A3A">
            <w:pPr>
              <w:pStyle w:val="DHHStabletext"/>
              <w:rPr>
                <w:noProof/>
              </w:rPr>
            </w:pPr>
            <w:r>
              <w:rPr>
                <w:noProof/>
              </w:rPr>
              <w:t>The role for engagement is undefined, and consumers and carers are unclear about the overall process</w:t>
            </w:r>
          </w:p>
        </w:tc>
        <w:tc>
          <w:tcPr>
            <w:tcW w:w="2713" w:type="dxa"/>
            <w:shd w:val="clear" w:color="auto" w:fill="auto"/>
          </w:tcPr>
          <w:p w14:paraId="4F9DE16B" w14:textId="77777777" w:rsidR="00F61A49" w:rsidRPr="003320FF" w:rsidRDefault="00F61A49" w:rsidP="00C71A3A">
            <w:pPr>
              <w:pStyle w:val="DHHStabletext"/>
              <w:rPr>
                <w:noProof/>
              </w:rPr>
            </w:pPr>
            <w:r>
              <w:rPr>
                <w:noProof/>
              </w:rPr>
              <w:t>Aspects of engagement are defined</w:t>
            </w:r>
          </w:p>
        </w:tc>
        <w:tc>
          <w:tcPr>
            <w:tcW w:w="2713" w:type="dxa"/>
            <w:shd w:val="clear" w:color="auto" w:fill="auto"/>
          </w:tcPr>
          <w:p w14:paraId="76DD9AD6" w14:textId="77777777" w:rsidR="00F61A49" w:rsidRPr="003320FF" w:rsidRDefault="00F61A49" w:rsidP="00C71A3A">
            <w:pPr>
              <w:pStyle w:val="DHHStabletext"/>
              <w:rPr>
                <w:noProof/>
              </w:rPr>
            </w:pPr>
            <w:r>
              <w:rPr>
                <w:noProof/>
              </w:rPr>
              <w:t xml:space="preserve">Connsumers and carers are engaged, with a clear understanding of project processes, how they will be </w:t>
            </w:r>
            <w:r>
              <w:rPr>
                <w:noProof/>
              </w:rPr>
              <w:lastRenderedPageBreak/>
              <w:t xml:space="preserve">contributing, and to whom they can raise concerns </w:t>
            </w:r>
          </w:p>
        </w:tc>
        <w:tc>
          <w:tcPr>
            <w:tcW w:w="2713" w:type="dxa"/>
            <w:shd w:val="clear" w:color="auto" w:fill="auto"/>
          </w:tcPr>
          <w:p w14:paraId="2E8A0332" w14:textId="77777777" w:rsidR="00F61A49" w:rsidRPr="008B01E8" w:rsidRDefault="00F61A49" w:rsidP="00C71A3A">
            <w:pPr>
              <w:pStyle w:val="DHHStabletext"/>
            </w:pPr>
            <w:r w:rsidRPr="00742A73">
              <w:lastRenderedPageBreak/>
              <w:t xml:space="preserve">Governance structures are </w:t>
            </w:r>
            <w:r>
              <w:t xml:space="preserve">documented and include specific reference to </w:t>
            </w:r>
            <w:r>
              <w:lastRenderedPageBreak/>
              <w:t>consumer and carer engagement</w:t>
            </w:r>
          </w:p>
        </w:tc>
      </w:tr>
      <w:tr w:rsidR="00F61A49" w:rsidRPr="003320FF" w14:paraId="1BC889A0" w14:textId="77777777" w:rsidTr="00C71A3A">
        <w:trPr>
          <w:jc w:val="center"/>
        </w:trPr>
        <w:tc>
          <w:tcPr>
            <w:tcW w:w="1603" w:type="dxa"/>
            <w:vMerge/>
            <w:shd w:val="clear" w:color="auto" w:fill="auto"/>
            <w:vAlign w:val="center"/>
          </w:tcPr>
          <w:p w14:paraId="21EC0CD9" w14:textId="77777777" w:rsidR="00F61A49" w:rsidRPr="00CF76B2" w:rsidRDefault="00F61A49" w:rsidP="00C71A3A">
            <w:pPr>
              <w:pStyle w:val="DHHStabletext"/>
              <w:rPr>
                <w:b/>
                <w:noProof/>
                <w:sz w:val="18"/>
                <w:szCs w:val="18"/>
              </w:rPr>
            </w:pPr>
          </w:p>
        </w:tc>
        <w:tc>
          <w:tcPr>
            <w:tcW w:w="2713" w:type="dxa"/>
            <w:shd w:val="clear" w:color="auto" w:fill="auto"/>
          </w:tcPr>
          <w:p w14:paraId="77B5A730" w14:textId="77777777" w:rsidR="00F61A49" w:rsidRPr="0085314C" w:rsidRDefault="00F61A49" w:rsidP="00C71A3A">
            <w:pPr>
              <w:pStyle w:val="DHHStabletext"/>
              <w:rPr>
                <w:noProof/>
              </w:rPr>
            </w:pPr>
            <w:r w:rsidRPr="0085314C">
              <w:rPr>
                <w:noProof/>
              </w:rPr>
              <w:t>Engagement techniques identified to support lived experience interests and needs</w:t>
            </w:r>
          </w:p>
        </w:tc>
        <w:tc>
          <w:tcPr>
            <w:tcW w:w="2713" w:type="dxa"/>
            <w:shd w:val="clear" w:color="auto" w:fill="auto"/>
          </w:tcPr>
          <w:p w14:paraId="0EDBCBC9" w14:textId="77777777" w:rsidR="00F61A49" w:rsidRPr="0085314C" w:rsidRDefault="00F61A49" w:rsidP="00C71A3A">
            <w:pPr>
              <w:pStyle w:val="DHHStabletext"/>
              <w:rPr>
                <w:noProof/>
              </w:rPr>
            </w:pPr>
            <w:r w:rsidRPr="0085314C">
              <w:rPr>
                <w:noProof/>
              </w:rPr>
              <w:t>No demonstrated understanding of lived experience interests or needs</w:t>
            </w:r>
          </w:p>
        </w:tc>
        <w:tc>
          <w:tcPr>
            <w:tcW w:w="2713" w:type="dxa"/>
            <w:shd w:val="clear" w:color="auto" w:fill="auto"/>
          </w:tcPr>
          <w:p w14:paraId="21258E80" w14:textId="77777777" w:rsidR="00F61A49" w:rsidRPr="0085314C" w:rsidRDefault="00F61A49" w:rsidP="00C71A3A">
            <w:pPr>
              <w:pStyle w:val="DHHStabletext"/>
              <w:rPr>
                <w:noProof/>
              </w:rPr>
            </w:pPr>
            <w:r w:rsidRPr="0085314C">
              <w:rPr>
                <w:noProof/>
              </w:rPr>
              <w:t>Demonstrated understanding of lived experience interests or needs</w:t>
            </w:r>
          </w:p>
          <w:p w14:paraId="38D88BFB" w14:textId="77777777" w:rsidR="00F61A49" w:rsidRPr="00CF76B2" w:rsidRDefault="00F61A49" w:rsidP="00C71A3A">
            <w:pPr>
              <w:pStyle w:val="DHHStabletext"/>
              <w:rPr>
                <w:noProof/>
                <w:sz w:val="18"/>
                <w:szCs w:val="18"/>
              </w:rPr>
            </w:pPr>
          </w:p>
        </w:tc>
        <w:tc>
          <w:tcPr>
            <w:tcW w:w="2713" w:type="dxa"/>
            <w:shd w:val="clear" w:color="auto" w:fill="auto"/>
          </w:tcPr>
          <w:p w14:paraId="667F00F6" w14:textId="77777777" w:rsidR="00F61A49" w:rsidRPr="0085314C" w:rsidRDefault="00F61A49" w:rsidP="00C71A3A">
            <w:pPr>
              <w:pStyle w:val="DHHStabletext"/>
              <w:rPr>
                <w:noProof/>
              </w:rPr>
            </w:pPr>
            <w:r w:rsidRPr="0085314C">
              <w:rPr>
                <w:noProof/>
              </w:rPr>
              <w:t>Knowledge of lived experience interests or needs based on consumer and carer participant input</w:t>
            </w:r>
          </w:p>
        </w:tc>
        <w:tc>
          <w:tcPr>
            <w:tcW w:w="2713" w:type="dxa"/>
            <w:shd w:val="clear" w:color="auto" w:fill="auto"/>
          </w:tcPr>
          <w:p w14:paraId="3154C2F9" w14:textId="77777777" w:rsidR="00F61A49" w:rsidRPr="003320FF" w:rsidRDefault="00F61A49" w:rsidP="00C71A3A">
            <w:pPr>
              <w:pStyle w:val="DHHStabletext"/>
            </w:pPr>
            <w:r w:rsidRPr="00742A73">
              <w:t>Issues identified, lived experience engagement strategies in place and communicated to all stakeholders prior to any escalation</w:t>
            </w:r>
          </w:p>
        </w:tc>
      </w:tr>
      <w:tr w:rsidR="00F61A49" w:rsidRPr="003320FF" w14:paraId="218DF430" w14:textId="77777777" w:rsidTr="00C71A3A">
        <w:trPr>
          <w:jc w:val="center"/>
        </w:trPr>
        <w:tc>
          <w:tcPr>
            <w:tcW w:w="1603" w:type="dxa"/>
            <w:vMerge w:val="restart"/>
            <w:shd w:val="clear" w:color="auto" w:fill="auto"/>
            <w:vAlign w:val="center"/>
          </w:tcPr>
          <w:p w14:paraId="77547751" w14:textId="77777777" w:rsidR="00F61A49" w:rsidRPr="0085314C" w:rsidRDefault="00F61A49" w:rsidP="00C71A3A">
            <w:pPr>
              <w:pStyle w:val="DHHStabletext"/>
              <w:rPr>
                <w:noProof/>
              </w:rPr>
            </w:pPr>
            <w:r w:rsidRPr="0085314C">
              <w:rPr>
                <w:noProof/>
              </w:rPr>
              <w:t>We are genuine</w:t>
            </w:r>
          </w:p>
        </w:tc>
        <w:tc>
          <w:tcPr>
            <w:tcW w:w="2713" w:type="dxa"/>
            <w:shd w:val="clear" w:color="auto" w:fill="auto"/>
          </w:tcPr>
          <w:p w14:paraId="7E726777" w14:textId="77777777" w:rsidR="00F61A49" w:rsidRPr="0085314C" w:rsidRDefault="00F61A49" w:rsidP="00C71A3A">
            <w:pPr>
              <w:pStyle w:val="DHHStabletext"/>
              <w:rPr>
                <w:noProof/>
              </w:rPr>
            </w:pPr>
            <w:r w:rsidRPr="0085314C">
              <w:rPr>
                <w:noProof/>
              </w:rPr>
              <w:t xml:space="preserve">Commitment to understanding current concerns, values and interests of consumer and carer participants </w:t>
            </w:r>
          </w:p>
          <w:p w14:paraId="05F848FA" w14:textId="77777777" w:rsidR="00F61A49" w:rsidRPr="00CF76B2" w:rsidRDefault="00F61A49" w:rsidP="00C71A3A">
            <w:pPr>
              <w:pStyle w:val="DHHStabletext"/>
              <w:rPr>
                <w:noProof/>
                <w:color w:val="FFFFFF"/>
                <w:sz w:val="18"/>
                <w:szCs w:val="18"/>
              </w:rPr>
            </w:pPr>
          </w:p>
        </w:tc>
        <w:tc>
          <w:tcPr>
            <w:tcW w:w="2713" w:type="dxa"/>
            <w:shd w:val="clear" w:color="auto" w:fill="auto"/>
          </w:tcPr>
          <w:p w14:paraId="21146554" w14:textId="77777777" w:rsidR="00F61A49" w:rsidRPr="0085314C" w:rsidRDefault="00F61A49" w:rsidP="00C71A3A">
            <w:pPr>
              <w:pStyle w:val="DHHStabletext"/>
              <w:rPr>
                <w:noProof/>
              </w:rPr>
            </w:pPr>
            <w:r w:rsidRPr="0085314C">
              <w:rPr>
                <w:noProof/>
              </w:rPr>
              <w:t>No understanding of current concerns, values and interests of consumer and carer participants</w:t>
            </w:r>
          </w:p>
          <w:p w14:paraId="26801E6F" w14:textId="77777777" w:rsidR="00F61A49" w:rsidRPr="00CF76B2" w:rsidRDefault="00F61A49" w:rsidP="00C71A3A">
            <w:pPr>
              <w:pStyle w:val="DHHStabletext"/>
              <w:rPr>
                <w:noProof/>
                <w:sz w:val="18"/>
                <w:szCs w:val="18"/>
              </w:rPr>
            </w:pPr>
          </w:p>
        </w:tc>
        <w:tc>
          <w:tcPr>
            <w:tcW w:w="2713" w:type="dxa"/>
            <w:shd w:val="clear" w:color="auto" w:fill="auto"/>
          </w:tcPr>
          <w:p w14:paraId="1C1C56C7" w14:textId="77777777" w:rsidR="00F61A49" w:rsidRPr="0085314C" w:rsidRDefault="00F61A49" w:rsidP="00C71A3A">
            <w:pPr>
              <w:pStyle w:val="DHHStabletext"/>
              <w:rPr>
                <w:noProof/>
              </w:rPr>
            </w:pPr>
            <w:r w:rsidRPr="0085314C">
              <w:rPr>
                <w:noProof/>
              </w:rPr>
              <w:t>General understanding of concerns, values and interests of consumers and carers</w:t>
            </w:r>
            <w:r>
              <w:rPr>
                <w:noProof/>
              </w:rPr>
              <w:t>,</w:t>
            </w:r>
            <w:r w:rsidRPr="0085314C">
              <w:rPr>
                <w:noProof/>
              </w:rPr>
              <w:t xml:space="preserve"> but barriers have limited specific understanding of current concerns</w:t>
            </w:r>
          </w:p>
          <w:p w14:paraId="0639CA97" w14:textId="77777777" w:rsidR="00F61A49" w:rsidRPr="00CF76B2" w:rsidRDefault="00F61A49" w:rsidP="00C71A3A">
            <w:pPr>
              <w:pStyle w:val="DHHStabletext"/>
              <w:rPr>
                <w:noProof/>
                <w:sz w:val="18"/>
                <w:szCs w:val="18"/>
              </w:rPr>
            </w:pPr>
          </w:p>
        </w:tc>
        <w:tc>
          <w:tcPr>
            <w:tcW w:w="2713" w:type="dxa"/>
            <w:shd w:val="clear" w:color="auto" w:fill="auto"/>
          </w:tcPr>
          <w:p w14:paraId="721DC278" w14:textId="77777777" w:rsidR="00F61A49" w:rsidRPr="0085314C" w:rsidRDefault="00F61A49" w:rsidP="00C71A3A">
            <w:pPr>
              <w:pStyle w:val="DHHStabletext"/>
              <w:rPr>
                <w:noProof/>
              </w:rPr>
            </w:pPr>
            <w:r w:rsidRPr="0085314C">
              <w:rPr>
                <w:noProof/>
              </w:rPr>
              <w:t>Barriers to consumer and carer participation have been identified and efforts made to overcome them to ensure thorough understanding of current concerns, values and interests</w:t>
            </w:r>
          </w:p>
        </w:tc>
        <w:tc>
          <w:tcPr>
            <w:tcW w:w="2713" w:type="dxa"/>
            <w:shd w:val="clear" w:color="auto" w:fill="auto"/>
          </w:tcPr>
          <w:p w14:paraId="7ABA5799" w14:textId="77777777" w:rsidR="00F61A49" w:rsidRPr="00AE4681" w:rsidRDefault="00F61A49" w:rsidP="00C71A3A">
            <w:pPr>
              <w:pStyle w:val="DHHStabletext"/>
            </w:pPr>
            <w:r w:rsidRPr="00AE4681">
              <w:t>Techniques are aligned to determine consumer and carer participants current</w:t>
            </w:r>
            <w:r>
              <w:t xml:space="preserve"> concerns, values and interests</w:t>
            </w:r>
          </w:p>
          <w:p w14:paraId="59BF78E6" w14:textId="77777777" w:rsidR="00F61A49" w:rsidRPr="003320FF" w:rsidRDefault="00F61A49" w:rsidP="00C71A3A">
            <w:pPr>
              <w:pStyle w:val="DHHStabletext"/>
            </w:pPr>
            <w:r w:rsidRPr="00AE4681">
              <w:t>Lived experience perspective formally considered in preparation of policy advice and practice plans</w:t>
            </w:r>
          </w:p>
        </w:tc>
      </w:tr>
      <w:tr w:rsidR="00F61A49" w:rsidRPr="003320FF" w14:paraId="4761BD9D" w14:textId="77777777" w:rsidTr="005E6AFA">
        <w:trPr>
          <w:trHeight w:val="1549"/>
          <w:jc w:val="center"/>
        </w:trPr>
        <w:tc>
          <w:tcPr>
            <w:tcW w:w="1603" w:type="dxa"/>
            <w:vMerge/>
            <w:shd w:val="clear" w:color="auto" w:fill="auto"/>
            <w:vAlign w:val="center"/>
          </w:tcPr>
          <w:p w14:paraId="5DDD86BD" w14:textId="77777777" w:rsidR="00F61A49" w:rsidRPr="00CF76B2" w:rsidRDefault="00F61A49" w:rsidP="00C71A3A">
            <w:pPr>
              <w:pStyle w:val="DHHStabletext"/>
              <w:rPr>
                <w:b/>
                <w:noProof/>
                <w:sz w:val="18"/>
                <w:szCs w:val="18"/>
              </w:rPr>
            </w:pPr>
          </w:p>
        </w:tc>
        <w:tc>
          <w:tcPr>
            <w:tcW w:w="2713" w:type="dxa"/>
            <w:shd w:val="clear" w:color="auto" w:fill="auto"/>
          </w:tcPr>
          <w:p w14:paraId="5175CFC5" w14:textId="0599493B" w:rsidR="00F61A49" w:rsidRPr="005E6AFA" w:rsidRDefault="00F61A49" w:rsidP="00C71A3A">
            <w:pPr>
              <w:pStyle w:val="DHHStabletext"/>
              <w:rPr>
                <w:noProof/>
              </w:rPr>
            </w:pPr>
            <w:r w:rsidRPr="0085314C">
              <w:rPr>
                <w:noProof/>
              </w:rPr>
              <w:t>Promote a culture of innovation and learning in policy advice and practice responses by incorporati</w:t>
            </w:r>
            <w:r>
              <w:rPr>
                <w:noProof/>
              </w:rPr>
              <w:t>ng the</w:t>
            </w:r>
            <w:r w:rsidRPr="0085314C">
              <w:rPr>
                <w:noProof/>
              </w:rPr>
              <w:t xml:space="preserve"> lived experience perspective</w:t>
            </w:r>
          </w:p>
        </w:tc>
        <w:tc>
          <w:tcPr>
            <w:tcW w:w="2713" w:type="dxa"/>
            <w:shd w:val="clear" w:color="auto" w:fill="auto"/>
          </w:tcPr>
          <w:p w14:paraId="2FB0A24B" w14:textId="77777777" w:rsidR="00F61A49" w:rsidRPr="003320FF" w:rsidRDefault="00F61A49" w:rsidP="00C71A3A">
            <w:pPr>
              <w:pStyle w:val="DHHStabletext"/>
              <w:rPr>
                <w:noProof/>
              </w:rPr>
            </w:pPr>
            <w:r w:rsidRPr="003320FF">
              <w:rPr>
                <w:noProof/>
              </w:rPr>
              <w:t>Lived experience input not in incorporated into policy advice</w:t>
            </w:r>
          </w:p>
          <w:p w14:paraId="264ED60A" w14:textId="77777777" w:rsidR="00F61A49" w:rsidRPr="0085314C" w:rsidRDefault="00F61A49" w:rsidP="00C71A3A">
            <w:pPr>
              <w:pStyle w:val="DHHStabletext"/>
              <w:rPr>
                <w:noProof/>
              </w:rPr>
            </w:pPr>
          </w:p>
          <w:p w14:paraId="3975F95A" w14:textId="77777777" w:rsidR="00F61A49" w:rsidRPr="00CF76B2" w:rsidRDefault="00F61A49" w:rsidP="00C71A3A">
            <w:pPr>
              <w:pStyle w:val="DHHStabletext"/>
              <w:rPr>
                <w:noProof/>
                <w:sz w:val="18"/>
                <w:szCs w:val="18"/>
              </w:rPr>
            </w:pPr>
          </w:p>
        </w:tc>
        <w:tc>
          <w:tcPr>
            <w:tcW w:w="2713" w:type="dxa"/>
            <w:shd w:val="clear" w:color="auto" w:fill="auto"/>
          </w:tcPr>
          <w:p w14:paraId="7DEBC29D" w14:textId="77777777" w:rsidR="00F61A49" w:rsidRPr="003320FF" w:rsidRDefault="00F61A49" w:rsidP="00C71A3A">
            <w:pPr>
              <w:pStyle w:val="DHHStabletext"/>
              <w:rPr>
                <w:noProof/>
              </w:rPr>
            </w:pPr>
            <w:r w:rsidRPr="003320FF">
              <w:rPr>
                <w:noProof/>
              </w:rPr>
              <w:t>Policy and practice demonstrates more or less of the same approaches despite lived experience input</w:t>
            </w:r>
          </w:p>
          <w:p w14:paraId="589607D4" w14:textId="77777777" w:rsidR="00F61A49" w:rsidRPr="00CF76B2" w:rsidRDefault="00F61A49" w:rsidP="00C71A3A">
            <w:pPr>
              <w:pStyle w:val="DHHStabletext"/>
              <w:rPr>
                <w:noProof/>
                <w:sz w:val="18"/>
                <w:szCs w:val="18"/>
              </w:rPr>
            </w:pPr>
          </w:p>
        </w:tc>
        <w:tc>
          <w:tcPr>
            <w:tcW w:w="2713" w:type="dxa"/>
            <w:shd w:val="clear" w:color="auto" w:fill="auto"/>
          </w:tcPr>
          <w:p w14:paraId="0EB74788" w14:textId="77777777" w:rsidR="00F61A49" w:rsidRPr="003320FF" w:rsidRDefault="00F61A49" w:rsidP="00C71A3A">
            <w:pPr>
              <w:pStyle w:val="DHHStabletext"/>
              <w:rPr>
                <w:noProof/>
              </w:rPr>
            </w:pPr>
            <w:r w:rsidRPr="003320FF">
              <w:rPr>
                <w:noProof/>
              </w:rPr>
              <w:t>Consumer and carer participant input influences new approaches to policy and practice</w:t>
            </w:r>
          </w:p>
          <w:p w14:paraId="283FD505" w14:textId="77777777" w:rsidR="00F61A49" w:rsidRPr="00CF76B2" w:rsidRDefault="00F61A49" w:rsidP="00C71A3A">
            <w:pPr>
              <w:pStyle w:val="DHHStabletext"/>
              <w:rPr>
                <w:noProof/>
                <w:sz w:val="18"/>
                <w:szCs w:val="18"/>
              </w:rPr>
            </w:pPr>
          </w:p>
        </w:tc>
        <w:tc>
          <w:tcPr>
            <w:tcW w:w="2713" w:type="dxa"/>
            <w:shd w:val="clear" w:color="auto" w:fill="auto"/>
          </w:tcPr>
          <w:p w14:paraId="33DBE587" w14:textId="77777777" w:rsidR="00F61A49" w:rsidRPr="00AE4681" w:rsidRDefault="00F61A49" w:rsidP="00C71A3A">
            <w:pPr>
              <w:pStyle w:val="DHHStabletext"/>
            </w:pPr>
            <w:r w:rsidRPr="00AE4681">
              <w:t>Lived experience requirements are revisited and adjusted throughout the duration of the project</w:t>
            </w:r>
          </w:p>
          <w:p w14:paraId="1601352D" w14:textId="77777777" w:rsidR="00F61A49" w:rsidRPr="003320FF" w:rsidRDefault="00F61A49" w:rsidP="00C71A3A">
            <w:pPr>
              <w:pStyle w:val="DHHStabletext"/>
            </w:pPr>
            <w:r w:rsidRPr="00AE4681">
              <w:t>Records of meetings and correspondence</w:t>
            </w:r>
          </w:p>
        </w:tc>
      </w:tr>
      <w:tr w:rsidR="00F61A49" w:rsidRPr="003320FF" w14:paraId="4879FA62" w14:textId="77777777" w:rsidTr="00C71A3A">
        <w:trPr>
          <w:jc w:val="center"/>
        </w:trPr>
        <w:tc>
          <w:tcPr>
            <w:tcW w:w="1603" w:type="dxa"/>
            <w:vMerge/>
            <w:shd w:val="clear" w:color="auto" w:fill="auto"/>
            <w:vAlign w:val="center"/>
          </w:tcPr>
          <w:p w14:paraId="0BB407B4" w14:textId="77777777" w:rsidR="00F61A49" w:rsidRPr="00CF76B2" w:rsidRDefault="00F61A49" w:rsidP="00C71A3A">
            <w:pPr>
              <w:pStyle w:val="DHHStabletext"/>
              <w:rPr>
                <w:b/>
                <w:noProof/>
                <w:sz w:val="18"/>
                <w:szCs w:val="18"/>
              </w:rPr>
            </w:pPr>
          </w:p>
        </w:tc>
        <w:tc>
          <w:tcPr>
            <w:tcW w:w="2713" w:type="dxa"/>
            <w:shd w:val="clear" w:color="auto" w:fill="auto"/>
          </w:tcPr>
          <w:p w14:paraId="14984BCD" w14:textId="77777777" w:rsidR="00F61A49" w:rsidRPr="0085314C" w:rsidRDefault="00F61A49" w:rsidP="00C71A3A">
            <w:pPr>
              <w:pStyle w:val="DHHStabletext"/>
              <w:rPr>
                <w:noProof/>
              </w:rPr>
            </w:pPr>
            <w:r w:rsidRPr="0085314C">
              <w:rPr>
                <w:noProof/>
              </w:rPr>
              <w:t>Improved access to emerging lived experience issues</w:t>
            </w:r>
          </w:p>
        </w:tc>
        <w:tc>
          <w:tcPr>
            <w:tcW w:w="2713" w:type="dxa"/>
            <w:shd w:val="clear" w:color="auto" w:fill="auto"/>
          </w:tcPr>
          <w:p w14:paraId="31A0AEEC" w14:textId="77777777" w:rsidR="00F61A49" w:rsidRPr="0085314C" w:rsidRDefault="00F61A49" w:rsidP="00C71A3A">
            <w:pPr>
              <w:pStyle w:val="DHHStabletext"/>
              <w:rPr>
                <w:noProof/>
              </w:rPr>
            </w:pPr>
            <w:r w:rsidRPr="003320FF">
              <w:rPr>
                <w:noProof/>
              </w:rPr>
              <w:t>Lived experience engagement techniques do not elicit emerging lived experience issues</w:t>
            </w:r>
          </w:p>
        </w:tc>
        <w:tc>
          <w:tcPr>
            <w:tcW w:w="2713" w:type="dxa"/>
            <w:shd w:val="clear" w:color="auto" w:fill="auto"/>
          </w:tcPr>
          <w:p w14:paraId="7C635717" w14:textId="77777777" w:rsidR="00F61A49" w:rsidRPr="0085314C" w:rsidRDefault="00F61A49" w:rsidP="00C71A3A">
            <w:pPr>
              <w:pStyle w:val="DHHStabletext"/>
              <w:rPr>
                <w:noProof/>
              </w:rPr>
            </w:pPr>
            <w:r w:rsidRPr="003320FF">
              <w:rPr>
                <w:noProof/>
              </w:rPr>
              <w:t>Lived experience engagement techniques reveals emerging lived experience issues</w:t>
            </w:r>
          </w:p>
        </w:tc>
        <w:tc>
          <w:tcPr>
            <w:tcW w:w="2713" w:type="dxa"/>
            <w:shd w:val="clear" w:color="auto" w:fill="auto"/>
          </w:tcPr>
          <w:p w14:paraId="0A1118E0" w14:textId="77777777" w:rsidR="00F61A49" w:rsidRPr="0085314C" w:rsidRDefault="00F61A49" w:rsidP="00C71A3A">
            <w:pPr>
              <w:pStyle w:val="DHHStabletext"/>
              <w:rPr>
                <w:noProof/>
              </w:rPr>
            </w:pPr>
            <w:r w:rsidRPr="003320FF">
              <w:rPr>
                <w:noProof/>
              </w:rPr>
              <w:t>Lived experience engagement techniques inform strategic policy and practice change to address emerging issues</w:t>
            </w:r>
          </w:p>
        </w:tc>
        <w:tc>
          <w:tcPr>
            <w:tcW w:w="2713" w:type="dxa"/>
            <w:shd w:val="clear" w:color="auto" w:fill="auto"/>
          </w:tcPr>
          <w:p w14:paraId="4CF4053E" w14:textId="77777777" w:rsidR="00F61A49" w:rsidRPr="003320FF" w:rsidRDefault="00F61A49" w:rsidP="00C71A3A">
            <w:pPr>
              <w:pStyle w:val="DHHStabletext"/>
            </w:pPr>
            <w:r>
              <w:t>Proposed solutions reflect the contributions of consumers and carers</w:t>
            </w:r>
          </w:p>
        </w:tc>
      </w:tr>
      <w:tr w:rsidR="00F61A49" w:rsidRPr="003320FF" w14:paraId="1306FBAE" w14:textId="77777777" w:rsidTr="00C71A3A">
        <w:trPr>
          <w:jc w:val="center"/>
        </w:trPr>
        <w:tc>
          <w:tcPr>
            <w:tcW w:w="1603" w:type="dxa"/>
            <w:vMerge w:val="restart"/>
            <w:shd w:val="clear" w:color="auto" w:fill="auto"/>
            <w:vAlign w:val="center"/>
          </w:tcPr>
          <w:p w14:paraId="0A8759CC" w14:textId="77777777" w:rsidR="00F61A49" w:rsidRPr="0085314C" w:rsidRDefault="00F61A49" w:rsidP="00C71A3A">
            <w:pPr>
              <w:pStyle w:val="DHHStabletext"/>
              <w:rPr>
                <w:noProof/>
              </w:rPr>
            </w:pPr>
            <w:r w:rsidRPr="0085314C">
              <w:rPr>
                <w:noProof/>
              </w:rPr>
              <w:t>We are inclusive</w:t>
            </w:r>
          </w:p>
        </w:tc>
        <w:tc>
          <w:tcPr>
            <w:tcW w:w="2713" w:type="dxa"/>
            <w:shd w:val="clear" w:color="auto" w:fill="auto"/>
          </w:tcPr>
          <w:p w14:paraId="058C9292" w14:textId="77777777" w:rsidR="00F61A49" w:rsidRPr="0085314C" w:rsidRDefault="00F61A49" w:rsidP="00C71A3A">
            <w:pPr>
              <w:pStyle w:val="DHHStabletext"/>
              <w:rPr>
                <w:noProof/>
              </w:rPr>
            </w:pPr>
            <w:r w:rsidRPr="0085314C">
              <w:rPr>
                <w:noProof/>
              </w:rPr>
              <w:t>Enhanced lived experience engagement and participation</w:t>
            </w:r>
          </w:p>
          <w:p w14:paraId="7CDFAC00" w14:textId="77777777" w:rsidR="00F61A49" w:rsidRPr="00CF76B2" w:rsidRDefault="00F61A49" w:rsidP="00C71A3A">
            <w:pPr>
              <w:pStyle w:val="DHHStabletext"/>
              <w:rPr>
                <w:noProof/>
                <w:color w:val="FFFFFF"/>
                <w:sz w:val="18"/>
                <w:szCs w:val="18"/>
              </w:rPr>
            </w:pPr>
          </w:p>
        </w:tc>
        <w:tc>
          <w:tcPr>
            <w:tcW w:w="2713" w:type="dxa"/>
            <w:shd w:val="clear" w:color="auto" w:fill="auto"/>
          </w:tcPr>
          <w:p w14:paraId="2BD66859" w14:textId="77777777" w:rsidR="00F61A49" w:rsidRPr="003320FF" w:rsidRDefault="00F61A49" w:rsidP="00C71A3A">
            <w:pPr>
              <w:pStyle w:val="DHHStabletext"/>
              <w:rPr>
                <w:noProof/>
              </w:rPr>
            </w:pPr>
            <w:r w:rsidRPr="003320FF">
              <w:rPr>
                <w:noProof/>
              </w:rPr>
              <w:lastRenderedPageBreak/>
              <w:t>No or little lived experience engagement analysis conducted</w:t>
            </w:r>
          </w:p>
          <w:p w14:paraId="5B6DEAFB" w14:textId="77777777" w:rsidR="00F61A49" w:rsidRPr="00CF76B2" w:rsidRDefault="00F61A49" w:rsidP="00C71A3A">
            <w:pPr>
              <w:pStyle w:val="DHHStabletext"/>
              <w:rPr>
                <w:noProof/>
                <w:sz w:val="18"/>
                <w:szCs w:val="18"/>
              </w:rPr>
            </w:pPr>
          </w:p>
        </w:tc>
        <w:tc>
          <w:tcPr>
            <w:tcW w:w="2713" w:type="dxa"/>
            <w:shd w:val="clear" w:color="auto" w:fill="auto"/>
          </w:tcPr>
          <w:p w14:paraId="22DC986B" w14:textId="77777777" w:rsidR="00F61A49" w:rsidRPr="003320FF" w:rsidRDefault="00F61A49" w:rsidP="00C71A3A">
            <w:pPr>
              <w:pStyle w:val="DHHStabletext"/>
              <w:rPr>
                <w:noProof/>
              </w:rPr>
            </w:pPr>
            <w:r w:rsidRPr="003320FF">
              <w:rPr>
                <w:noProof/>
              </w:rPr>
              <w:lastRenderedPageBreak/>
              <w:t>Initial lived experience engagement analyisis conducted</w:t>
            </w:r>
          </w:p>
          <w:p w14:paraId="03D016AB" w14:textId="77777777" w:rsidR="00F61A49" w:rsidRPr="00CF76B2" w:rsidRDefault="00F61A49" w:rsidP="00C71A3A">
            <w:pPr>
              <w:pStyle w:val="DHHStabletext"/>
              <w:rPr>
                <w:noProof/>
                <w:sz w:val="18"/>
                <w:szCs w:val="18"/>
              </w:rPr>
            </w:pPr>
          </w:p>
        </w:tc>
        <w:tc>
          <w:tcPr>
            <w:tcW w:w="2713" w:type="dxa"/>
            <w:shd w:val="clear" w:color="auto" w:fill="auto"/>
          </w:tcPr>
          <w:p w14:paraId="610250C5" w14:textId="77777777" w:rsidR="00F61A49" w:rsidRPr="003320FF" w:rsidRDefault="00F61A49" w:rsidP="00C71A3A">
            <w:pPr>
              <w:pStyle w:val="DHHStabletext"/>
              <w:rPr>
                <w:noProof/>
              </w:rPr>
            </w:pPr>
            <w:r w:rsidRPr="003320FF">
              <w:rPr>
                <w:noProof/>
              </w:rPr>
              <w:lastRenderedPageBreak/>
              <w:t xml:space="preserve">Project sponsor facilitates additional time/resources </w:t>
            </w:r>
            <w:r w:rsidRPr="003320FF">
              <w:rPr>
                <w:noProof/>
              </w:rPr>
              <w:lastRenderedPageBreak/>
              <w:t>following lived experience engagement analysis</w:t>
            </w:r>
          </w:p>
          <w:p w14:paraId="30E18DAD" w14:textId="77777777" w:rsidR="00F61A49" w:rsidRPr="00CF76B2" w:rsidRDefault="00F61A49" w:rsidP="00C71A3A">
            <w:pPr>
              <w:pStyle w:val="DHHStabletext"/>
              <w:rPr>
                <w:noProof/>
                <w:sz w:val="18"/>
                <w:szCs w:val="18"/>
              </w:rPr>
            </w:pPr>
          </w:p>
        </w:tc>
        <w:tc>
          <w:tcPr>
            <w:tcW w:w="2713" w:type="dxa"/>
            <w:shd w:val="clear" w:color="auto" w:fill="auto"/>
          </w:tcPr>
          <w:p w14:paraId="58050634" w14:textId="77777777" w:rsidR="00F61A49" w:rsidRPr="00AE4681" w:rsidRDefault="00F61A49" w:rsidP="00C71A3A">
            <w:pPr>
              <w:pStyle w:val="DHHStabletext"/>
            </w:pPr>
            <w:r w:rsidRPr="00AE4681">
              <w:lastRenderedPageBreak/>
              <w:t xml:space="preserve">Significant barriers identified and addressed </w:t>
            </w:r>
            <w:r w:rsidRPr="00AE4681">
              <w:lastRenderedPageBreak/>
              <w:t xml:space="preserve">before they impact on confidence </w:t>
            </w:r>
          </w:p>
          <w:p w14:paraId="53CBE95B" w14:textId="77777777" w:rsidR="00F61A49" w:rsidRPr="00AE4681" w:rsidRDefault="00F61A49" w:rsidP="00C71A3A">
            <w:pPr>
              <w:pStyle w:val="DHHStabletext"/>
            </w:pPr>
            <w:r w:rsidRPr="00AE4681">
              <w:t>Demonstrate how the participants influenced the process for the project</w:t>
            </w:r>
          </w:p>
          <w:p w14:paraId="50C43A8C" w14:textId="77777777" w:rsidR="00F61A49" w:rsidRPr="003320FF" w:rsidRDefault="00F61A49" w:rsidP="00C71A3A">
            <w:pPr>
              <w:pStyle w:val="DHHStabletext"/>
            </w:pPr>
            <w:r w:rsidRPr="00AE4681">
              <w:t>Appropriate ongoing relationships with specified stakeholder groups</w:t>
            </w:r>
          </w:p>
        </w:tc>
      </w:tr>
      <w:tr w:rsidR="00F61A49" w:rsidRPr="003320FF" w14:paraId="0FB6137D" w14:textId="77777777" w:rsidTr="00C71A3A">
        <w:trPr>
          <w:jc w:val="center"/>
        </w:trPr>
        <w:tc>
          <w:tcPr>
            <w:tcW w:w="1603" w:type="dxa"/>
            <w:vMerge/>
            <w:shd w:val="clear" w:color="auto" w:fill="auto"/>
            <w:vAlign w:val="center"/>
          </w:tcPr>
          <w:p w14:paraId="0DF20E7E" w14:textId="77777777" w:rsidR="00F61A49" w:rsidRPr="00CF76B2" w:rsidRDefault="00F61A49" w:rsidP="00C71A3A">
            <w:pPr>
              <w:pStyle w:val="DHHStabletext"/>
              <w:rPr>
                <w:b/>
                <w:noProof/>
                <w:sz w:val="18"/>
                <w:szCs w:val="18"/>
              </w:rPr>
            </w:pPr>
          </w:p>
        </w:tc>
        <w:tc>
          <w:tcPr>
            <w:tcW w:w="2713" w:type="dxa"/>
            <w:shd w:val="clear" w:color="auto" w:fill="auto"/>
          </w:tcPr>
          <w:p w14:paraId="1A22A7CE" w14:textId="77777777" w:rsidR="00F61A49" w:rsidRPr="0085314C" w:rsidRDefault="00F61A49" w:rsidP="00C71A3A">
            <w:pPr>
              <w:pStyle w:val="DHHStabletext"/>
              <w:rPr>
                <w:noProof/>
              </w:rPr>
            </w:pPr>
            <w:r w:rsidRPr="0085314C">
              <w:rPr>
                <w:noProof/>
              </w:rPr>
              <w:t>Consumer and carer participants able to advise on the most suitable ways to engage</w:t>
            </w:r>
          </w:p>
          <w:p w14:paraId="3E8C4DDF" w14:textId="77777777" w:rsidR="00F61A49" w:rsidRPr="00CF76B2" w:rsidRDefault="00F61A49" w:rsidP="00C71A3A">
            <w:pPr>
              <w:pStyle w:val="DHHStabletext"/>
              <w:rPr>
                <w:noProof/>
                <w:color w:val="FFFFFF"/>
                <w:sz w:val="18"/>
                <w:szCs w:val="18"/>
              </w:rPr>
            </w:pPr>
          </w:p>
        </w:tc>
        <w:tc>
          <w:tcPr>
            <w:tcW w:w="2713" w:type="dxa"/>
            <w:shd w:val="clear" w:color="auto" w:fill="auto"/>
          </w:tcPr>
          <w:p w14:paraId="27943B28" w14:textId="77777777" w:rsidR="00F61A49" w:rsidRPr="003320FF" w:rsidRDefault="00F61A49" w:rsidP="00C71A3A">
            <w:pPr>
              <w:pStyle w:val="DHHStabletext"/>
              <w:rPr>
                <w:noProof/>
              </w:rPr>
            </w:pPr>
            <w:r w:rsidRPr="003320FF">
              <w:rPr>
                <w:noProof/>
              </w:rPr>
              <w:t>Assumptions on engagement techniques made without consumer or carer participant input</w:t>
            </w:r>
          </w:p>
          <w:p w14:paraId="7CAE2A85" w14:textId="77777777" w:rsidR="00F61A49" w:rsidRPr="00CF76B2" w:rsidRDefault="00F61A49" w:rsidP="00C71A3A">
            <w:pPr>
              <w:pStyle w:val="DHHStabletext"/>
              <w:rPr>
                <w:noProof/>
                <w:sz w:val="18"/>
                <w:szCs w:val="18"/>
              </w:rPr>
            </w:pPr>
          </w:p>
        </w:tc>
        <w:tc>
          <w:tcPr>
            <w:tcW w:w="2713" w:type="dxa"/>
            <w:shd w:val="clear" w:color="auto" w:fill="auto"/>
          </w:tcPr>
          <w:p w14:paraId="40A22AF9" w14:textId="77777777" w:rsidR="00F61A49" w:rsidRPr="003320FF" w:rsidRDefault="00F61A49" w:rsidP="00C71A3A">
            <w:pPr>
              <w:pStyle w:val="DHHStabletext"/>
              <w:rPr>
                <w:noProof/>
              </w:rPr>
            </w:pPr>
            <w:r w:rsidRPr="003320FF">
              <w:rPr>
                <w:noProof/>
              </w:rPr>
              <w:t>Reasonable efforts made to seek feedback on potential engagement processes with all stakeholder groups including lived experience</w:t>
            </w:r>
          </w:p>
          <w:p w14:paraId="285779A3" w14:textId="77777777" w:rsidR="00F61A49" w:rsidRPr="00CF76B2" w:rsidRDefault="00F61A49" w:rsidP="00C71A3A">
            <w:pPr>
              <w:pStyle w:val="DHHStabletext"/>
              <w:rPr>
                <w:noProof/>
                <w:sz w:val="18"/>
                <w:szCs w:val="18"/>
              </w:rPr>
            </w:pPr>
          </w:p>
        </w:tc>
        <w:tc>
          <w:tcPr>
            <w:tcW w:w="2713" w:type="dxa"/>
            <w:shd w:val="clear" w:color="auto" w:fill="auto"/>
          </w:tcPr>
          <w:p w14:paraId="3EE21A43" w14:textId="77777777" w:rsidR="00F61A49" w:rsidRPr="003320FF" w:rsidRDefault="00F61A49" w:rsidP="00C71A3A">
            <w:pPr>
              <w:pStyle w:val="DHHStabletext"/>
              <w:rPr>
                <w:noProof/>
              </w:rPr>
            </w:pPr>
            <w:r w:rsidRPr="003320FF">
              <w:rPr>
                <w:noProof/>
              </w:rPr>
              <w:t>Lived experience input sought for engagement methods</w:t>
            </w:r>
          </w:p>
          <w:p w14:paraId="03165116" w14:textId="77777777" w:rsidR="00F61A49" w:rsidRPr="00CF76B2" w:rsidRDefault="00F61A49" w:rsidP="00C71A3A">
            <w:pPr>
              <w:pStyle w:val="DHHStabletext"/>
              <w:rPr>
                <w:noProof/>
                <w:sz w:val="18"/>
                <w:szCs w:val="18"/>
              </w:rPr>
            </w:pPr>
          </w:p>
        </w:tc>
        <w:tc>
          <w:tcPr>
            <w:tcW w:w="2713" w:type="dxa"/>
            <w:shd w:val="clear" w:color="auto" w:fill="auto"/>
          </w:tcPr>
          <w:p w14:paraId="0A317D2E" w14:textId="77777777" w:rsidR="00F61A49" w:rsidRDefault="00F61A49" w:rsidP="00C71A3A">
            <w:pPr>
              <w:pStyle w:val="DHHStabletext"/>
            </w:pPr>
            <w:r>
              <w:t>Consumer and carer input can be clearly articulated and documented</w:t>
            </w:r>
          </w:p>
          <w:p w14:paraId="279C0C6E" w14:textId="77777777" w:rsidR="00F61A49" w:rsidRDefault="00F61A49" w:rsidP="00C71A3A">
            <w:pPr>
              <w:pStyle w:val="DHHStabletext"/>
            </w:pPr>
            <w:r>
              <w:t>Proposals are supported by consumers and carers</w:t>
            </w:r>
          </w:p>
          <w:p w14:paraId="2895A3B5" w14:textId="77777777" w:rsidR="00F61A49" w:rsidRPr="00CF76B2" w:rsidRDefault="00F61A49" w:rsidP="00C71A3A">
            <w:pPr>
              <w:pStyle w:val="DHHStabletext"/>
              <w:rPr>
                <w:rFonts w:cs="Arial"/>
                <w:sz w:val="18"/>
                <w:szCs w:val="18"/>
              </w:rPr>
            </w:pPr>
          </w:p>
        </w:tc>
      </w:tr>
      <w:tr w:rsidR="00F61A49" w:rsidRPr="003320FF" w14:paraId="5AE790EF" w14:textId="77777777" w:rsidTr="00C71A3A">
        <w:trPr>
          <w:jc w:val="center"/>
        </w:trPr>
        <w:tc>
          <w:tcPr>
            <w:tcW w:w="1603" w:type="dxa"/>
            <w:vMerge/>
            <w:shd w:val="clear" w:color="auto" w:fill="auto"/>
            <w:vAlign w:val="center"/>
          </w:tcPr>
          <w:p w14:paraId="57164B22" w14:textId="77777777" w:rsidR="00F61A49" w:rsidRPr="00CF76B2" w:rsidRDefault="00F61A49" w:rsidP="00C71A3A">
            <w:pPr>
              <w:pStyle w:val="DHHStabletext"/>
              <w:rPr>
                <w:b/>
                <w:noProof/>
                <w:sz w:val="18"/>
                <w:szCs w:val="18"/>
              </w:rPr>
            </w:pPr>
          </w:p>
        </w:tc>
        <w:tc>
          <w:tcPr>
            <w:tcW w:w="2713" w:type="dxa"/>
            <w:shd w:val="clear" w:color="auto" w:fill="auto"/>
          </w:tcPr>
          <w:p w14:paraId="0D4D39B3" w14:textId="77777777" w:rsidR="00F61A49" w:rsidRPr="0085314C" w:rsidRDefault="00F61A49" w:rsidP="00C71A3A">
            <w:pPr>
              <w:pStyle w:val="DHHStabletext"/>
              <w:rPr>
                <w:noProof/>
              </w:rPr>
            </w:pPr>
            <w:r w:rsidRPr="0085314C">
              <w:rPr>
                <w:noProof/>
              </w:rPr>
              <w:t>Communication is tailored appropriately for audiences</w:t>
            </w:r>
          </w:p>
        </w:tc>
        <w:tc>
          <w:tcPr>
            <w:tcW w:w="2713" w:type="dxa"/>
            <w:shd w:val="clear" w:color="auto" w:fill="auto"/>
          </w:tcPr>
          <w:p w14:paraId="66AB37D4" w14:textId="77777777" w:rsidR="00F61A49" w:rsidRPr="0085314C" w:rsidRDefault="00F61A49" w:rsidP="00C71A3A">
            <w:pPr>
              <w:pStyle w:val="DHHStabletext"/>
              <w:rPr>
                <w:noProof/>
              </w:rPr>
            </w:pPr>
            <w:r w:rsidRPr="003320FF">
              <w:rPr>
                <w:noProof/>
              </w:rPr>
              <w:t>Standard language and collateral offered across all communications</w:t>
            </w:r>
          </w:p>
        </w:tc>
        <w:tc>
          <w:tcPr>
            <w:tcW w:w="2713" w:type="dxa"/>
            <w:shd w:val="clear" w:color="auto" w:fill="auto"/>
          </w:tcPr>
          <w:p w14:paraId="5189BBDF" w14:textId="77777777" w:rsidR="00F61A49" w:rsidRPr="0085314C" w:rsidRDefault="00F61A49" w:rsidP="00C71A3A">
            <w:pPr>
              <w:pStyle w:val="DHHStabletext"/>
              <w:rPr>
                <w:noProof/>
              </w:rPr>
            </w:pPr>
            <w:r w:rsidRPr="003320FF">
              <w:rPr>
                <w:noProof/>
              </w:rPr>
              <w:t>A range of communication channels are offered based on good practice and previous experience</w:t>
            </w:r>
          </w:p>
        </w:tc>
        <w:tc>
          <w:tcPr>
            <w:tcW w:w="2713" w:type="dxa"/>
            <w:shd w:val="clear" w:color="auto" w:fill="auto"/>
          </w:tcPr>
          <w:p w14:paraId="2BF93D85" w14:textId="77777777" w:rsidR="00F61A49" w:rsidRPr="0085314C" w:rsidRDefault="00F61A49" w:rsidP="00C71A3A">
            <w:pPr>
              <w:pStyle w:val="DHHStabletext"/>
              <w:rPr>
                <w:noProof/>
              </w:rPr>
            </w:pPr>
            <w:r w:rsidRPr="003320FF">
              <w:rPr>
                <w:noProof/>
              </w:rPr>
              <w:t>Consumer and carer participants have been active</w:t>
            </w:r>
            <w:r>
              <w:rPr>
                <w:noProof/>
              </w:rPr>
              <w:t>l</w:t>
            </w:r>
            <w:r w:rsidRPr="003320FF">
              <w:rPr>
                <w:noProof/>
              </w:rPr>
              <w:t>y engaged to identify appropriate communications</w:t>
            </w:r>
          </w:p>
        </w:tc>
        <w:tc>
          <w:tcPr>
            <w:tcW w:w="2713" w:type="dxa"/>
            <w:shd w:val="clear" w:color="auto" w:fill="auto"/>
          </w:tcPr>
          <w:p w14:paraId="13B9D330" w14:textId="77777777" w:rsidR="00F61A49" w:rsidRPr="003320FF" w:rsidRDefault="00F61A49" w:rsidP="00C71A3A">
            <w:pPr>
              <w:pStyle w:val="DHHStabletext"/>
            </w:pPr>
            <w:r>
              <w:t>Reports from consumers and carers such as formal minutes and evaluation data reflect an endorsement of communication approaches</w:t>
            </w:r>
          </w:p>
        </w:tc>
      </w:tr>
      <w:tr w:rsidR="00F61A49" w:rsidRPr="003320FF" w14:paraId="55C3BD3C" w14:textId="77777777" w:rsidTr="00C71A3A">
        <w:trPr>
          <w:jc w:val="center"/>
        </w:trPr>
        <w:tc>
          <w:tcPr>
            <w:tcW w:w="1603" w:type="dxa"/>
            <w:vMerge/>
            <w:shd w:val="clear" w:color="auto" w:fill="auto"/>
            <w:vAlign w:val="center"/>
          </w:tcPr>
          <w:p w14:paraId="00AFF905" w14:textId="77777777" w:rsidR="00F61A49" w:rsidRPr="00CF76B2" w:rsidRDefault="00F61A49" w:rsidP="00C71A3A">
            <w:pPr>
              <w:pStyle w:val="DHHStabletext"/>
              <w:rPr>
                <w:b/>
                <w:noProof/>
                <w:sz w:val="18"/>
                <w:szCs w:val="18"/>
              </w:rPr>
            </w:pPr>
          </w:p>
        </w:tc>
        <w:tc>
          <w:tcPr>
            <w:tcW w:w="2713" w:type="dxa"/>
            <w:shd w:val="clear" w:color="auto" w:fill="auto"/>
          </w:tcPr>
          <w:p w14:paraId="79F0E046" w14:textId="77777777" w:rsidR="00F61A49" w:rsidRPr="0085314C" w:rsidRDefault="00F61A49" w:rsidP="00C71A3A">
            <w:pPr>
              <w:pStyle w:val="DHHStabletext"/>
              <w:rPr>
                <w:noProof/>
              </w:rPr>
            </w:pPr>
            <w:r w:rsidRPr="0085314C">
              <w:rPr>
                <w:noProof/>
              </w:rPr>
              <w:t>Enhanced two-way communication skills between all participants</w:t>
            </w:r>
          </w:p>
          <w:p w14:paraId="28D8C4C2" w14:textId="77777777" w:rsidR="00F61A49" w:rsidRPr="00CF76B2" w:rsidRDefault="00F61A49" w:rsidP="00C71A3A">
            <w:pPr>
              <w:pStyle w:val="DHHStabletext"/>
              <w:rPr>
                <w:noProof/>
                <w:color w:val="FFFFFF"/>
                <w:sz w:val="18"/>
                <w:szCs w:val="18"/>
              </w:rPr>
            </w:pPr>
          </w:p>
        </w:tc>
        <w:tc>
          <w:tcPr>
            <w:tcW w:w="2713" w:type="dxa"/>
            <w:shd w:val="clear" w:color="auto" w:fill="auto"/>
          </w:tcPr>
          <w:p w14:paraId="1F011813" w14:textId="77777777" w:rsidR="00F61A49" w:rsidRPr="0085314C" w:rsidRDefault="00F61A49" w:rsidP="00C71A3A">
            <w:pPr>
              <w:pStyle w:val="DHHStabletext"/>
              <w:rPr>
                <w:noProof/>
              </w:rPr>
            </w:pPr>
            <w:r w:rsidRPr="003320FF">
              <w:rPr>
                <w:noProof/>
              </w:rPr>
              <w:t>No</w:t>
            </w:r>
            <w:r>
              <w:rPr>
                <w:noProof/>
              </w:rPr>
              <w:t>,</w:t>
            </w:r>
            <w:r w:rsidRPr="003320FF">
              <w:rPr>
                <w:noProof/>
              </w:rPr>
              <w:t xml:space="preserve"> or </w:t>
            </w:r>
            <w:r>
              <w:rPr>
                <w:noProof/>
              </w:rPr>
              <w:t xml:space="preserve">only </w:t>
            </w:r>
            <w:r w:rsidRPr="003320FF">
              <w:rPr>
                <w:noProof/>
              </w:rPr>
              <w:t>token</w:t>
            </w:r>
            <w:r>
              <w:rPr>
                <w:noProof/>
              </w:rPr>
              <w:t>,</w:t>
            </w:r>
            <w:r w:rsidRPr="003320FF">
              <w:rPr>
                <w:noProof/>
              </w:rPr>
              <w:t xml:space="preserve"> changes in capacity to influence based on consumer and carer participant identified needs or issues </w:t>
            </w:r>
          </w:p>
        </w:tc>
        <w:tc>
          <w:tcPr>
            <w:tcW w:w="2713" w:type="dxa"/>
            <w:shd w:val="clear" w:color="auto" w:fill="auto"/>
          </w:tcPr>
          <w:p w14:paraId="08056354" w14:textId="77777777" w:rsidR="00F61A49" w:rsidRPr="0085314C" w:rsidRDefault="00F61A49" w:rsidP="00C71A3A">
            <w:pPr>
              <w:pStyle w:val="DHHStabletext"/>
              <w:rPr>
                <w:noProof/>
              </w:rPr>
            </w:pPr>
            <w:r w:rsidRPr="003320FF">
              <w:rPr>
                <w:noProof/>
              </w:rPr>
              <w:t xml:space="preserve">Minor changes in capacity to influence based on consumer and carer participant identified needs or issues </w:t>
            </w:r>
          </w:p>
        </w:tc>
        <w:tc>
          <w:tcPr>
            <w:tcW w:w="2713" w:type="dxa"/>
            <w:shd w:val="clear" w:color="auto" w:fill="auto"/>
          </w:tcPr>
          <w:p w14:paraId="51C0397F" w14:textId="77777777" w:rsidR="00F61A49" w:rsidRPr="0085314C" w:rsidRDefault="00F61A49" w:rsidP="00C71A3A">
            <w:pPr>
              <w:pStyle w:val="DHHStabletext"/>
              <w:rPr>
                <w:noProof/>
              </w:rPr>
            </w:pPr>
            <w:r w:rsidRPr="003320FF">
              <w:rPr>
                <w:noProof/>
              </w:rPr>
              <w:t xml:space="preserve">Significant changes in capacity to influence based on consumer and carer participant identified needs or issues </w:t>
            </w:r>
          </w:p>
        </w:tc>
        <w:tc>
          <w:tcPr>
            <w:tcW w:w="2713" w:type="dxa"/>
            <w:shd w:val="clear" w:color="auto" w:fill="auto"/>
          </w:tcPr>
          <w:p w14:paraId="566AAEE0" w14:textId="77777777" w:rsidR="00F61A49" w:rsidRPr="003320FF" w:rsidRDefault="00F61A49" w:rsidP="00C71A3A">
            <w:pPr>
              <w:pStyle w:val="DHHStabletext"/>
            </w:pPr>
            <w:r>
              <w:t xml:space="preserve">Recorded outcomes reflect a high level of influence from consumers and carers </w:t>
            </w:r>
          </w:p>
        </w:tc>
      </w:tr>
      <w:tr w:rsidR="00F61A49" w:rsidRPr="003320FF" w14:paraId="5D9511F5" w14:textId="77777777" w:rsidTr="00C71A3A">
        <w:trPr>
          <w:cantSplit/>
          <w:trHeight w:val="1134"/>
          <w:jc w:val="center"/>
        </w:trPr>
        <w:tc>
          <w:tcPr>
            <w:tcW w:w="1603" w:type="dxa"/>
            <w:shd w:val="clear" w:color="auto" w:fill="auto"/>
            <w:vAlign w:val="center"/>
          </w:tcPr>
          <w:p w14:paraId="513F9C49" w14:textId="77777777" w:rsidR="00F61A49" w:rsidRPr="0085314C" w:rsidRDefault="00F61A49" w:rsidP="00C71A3A">
            <w:pPr>
              <w:pStyle w:val="DHHStabletext"/>
              <w:rPr>
                <w:noProof/>
              </w:rPr>
            </w:pPr>
            <w:r w:rsidRPr="0085314C">
              <w:rPr>
                <w:noProof/>
              </w:rPr>
              <w:lastRenderedPageBreak/>
              <w:t>We communicate</w:t>
            </w:r>
          </w:p>
        </w:tc>
        <w:tc>
          <w:tcPr>
            <w:tcW w:w="2713" w:type="dxa"/>
            <w:shd w:val="clear" w:color="auto" w:fill="auto"/>
          </w:tcPr>
          <w:p w14:paraId="105B6F2B" w14:textId="77777777" w:rsidR="00F61A49" w:rsidRPr="0085314C" w:rsidRDefault="00F61A49" w:rsidP="00C71A3A">
            <w:pPr>
              <w:pStyle w:val="DHHStabletext"/>
              <w:rPr>
                <w:noProof/>
              </w:rPr>
            </w:pPr>
            <w:r w:rsidRPr="0085314C">
              <w:rPr>
                <w:noProof/>
              </w:rPr>
              <w:t>Clearly demonstrate how consumer and carer participant input has influenced the process</w:t>
            </w:r>
          </w:p>
          <w:p w14:paraId="1EC48583" w14:textId="77777777" w:rsidR="00F61A49" w:rsidRPr="00CF76B2" w:rsidRDefault="00F61A49" w:rsidP="00C71A3A">
            <w:pPr>
              <w:pStyle w:val="DHHStabletext"/>
              <w:rPr>
                <w:noProof/>
                <w:color w:val="FFFFFF"/>
                <w:sz w:val="18"/>
                <w:szCs w:val="18"/>
              </w:rPr>
            </w:pPr>
          </w:p>
        </w:tc>
        <w:tc>
          <w:tcPr>
            <w:tcW w:w="2713" w:type="dxa"/>
            <w:shd w:val="clear" w:color="auto" w:fill="auto"/>
          </w:tcPr>
          <w:p w14:paraId="7442B19A" w14:textId="77777777" w:rsidR="00F61A49" w:rsidRPr="0085314C" w:rsidRDefault="00F61A49" w:rsidP="00C71A3A">
            <w:pPr>
              <w:pStyle w:val="DHHStabletext"/>
              <w:rPr>
                <w:noProof/>
              </w:rPr>
            </w:pPr>
            <w:r w:rsidRPr="003320FF">
              <w:rPr>
                <w:noProof/>
              </w:rPr>
              <w:t>Little or no feedback is offered or promised to consumer and carer particpants</w:t>
            </w:r>
          </w:p>
        </w:tc>
        <w:tc>
          <w:tcPr>
            <w:tcW w:w="2713" w:type="dxa"/>
            <w:shd w:val="clear" w:color="auto" w:fill="auto"/>
          </w:tcPr>
          <w:p w14:paraId="3DA457EF" w14:textId="77777777" w:rsidR="00F61A49" w:rsidRPr="0085314C" w:rsidRDefault="00F61A49" w:rsidP="00C71A3A">
            <w:pPr>
              <w:pStyle w:val="DHHStabletext"/>
              <w:rPr>
                <w:noProof/>
              </w:rPr>
            </w:pPr>
            <w:r w:rsidRPr="003320FF">
              <w:rPr>
                <w:noProof/>
              </w:rPr>
              <w:t>All feedback is collated and made available to consumer and carer participants and staff determine next steps</w:t>
            </w:r>
          </w:p>
        </w:tc>
        <w:tc>
          <w:tcPr>
            <w:tcW w:w="2713" w:type="dxa"/>
            <w:shd w:val="clear" w:color="auto" w:fill="auto"/>
          </w:tcPr>
          <w:p w14:paraId="64CE3062" w14:textId="77777777" w:rsidR="00F61A49" w:rsidRPr="0085314C" w:rsidRDefault="00F61A49" w:rsidP="00C71A3A">
            <w:pPr>
              <w:pStyle w:val="DHHStabletext"/>
              <w:rPr>
                <w:noProof/>
              </w:rPr>
            </w:pPr>
            <w:r w:rsidRPr="003320FF">
              <w:rPr>
                <w:noProof/>
              </w:rPr>
              <w:t>Opportunities are provided to consumer and carer participants to explore the feedback in depth, discuss its implications and determine future steps</w:t>
            </w:r>
          </w:p>
          <w:p w14:paraId="55230128" w14:textId="77777777" w:rsidR="00F61A49" w:rsidRPr="00CF76B2" w:rsidRDefault="00F61A49" w:rsidP="00C71A3A">
            <w:pPr>
              <w:pStyle w:val="DHHStabletext"/>
              <w:rPr>
                <w:noProof/>
                <w:sz w:val="18"/>
                <w:szCs w:val="18"/>
              </w:rPr>
            </w:pPr>
          </w:p>
        </w:tc>
        <w:tc>
          <w:tcPr>
            <w:tcW w:w="2713" w:type="dxa"/>
            <w:shd w:val="clear" w:color="auto" w:fill="auto"/>
          </w:tcPr>
          <w:p w14:paraId="3AF04867" w14:textId="77777777" w:rsidR="00F61A49" w:rsidRPr="00AE4681" w:rsidRDefault="00F61A49" w:rsidP="00C71A3A">
            <w:pPr>
              <w:pStyle w:val="DHHStabletext"/>
            </w:pPr>
            <w:r w:rsidRPr="00AE4681">
              <w:t>Statement of feedback promised to all participants</w:t>
            </w:r>
          </w:p>
          <w:p w14:paraId="2F166E56" w14:textId="77777777" w:rsidR="00F61A49" w:rsidRPr="00AE4681" w:rsidRDefault="00F61A49" w:rsidP="00C71A3A">
            <w:pPr>
              <w:pStyle w:val="DHHStabletext"/>
            </w:pPr>
            <w:r w:rsidRPr="00AE4681">
              <w:t>Department staff and consumer and carer participant satisfaction with quality of two-way dialogue, especially among formal reference/advisory group members</w:t>
            </w:r>
          </w:p>
          <w:p w14:paraId="0A93A7B2" w14:textId="77777777" w:rsidR="00F61A49" w:rsidRPr="003320FF" w:rsidRDefault="00F61A49" w:rsidP="00C71A3A">
            <w:pPr>
              <w:pStyle w:val="DHHStabletext"/>
            </w:pPr>
            <w:r w:rsidRPr="00AE4681">
              <w:t>Processes identified for feeding back the results to lived experience participants and other stakeholders</w:t>
            </w:r>
          </w:p>
        </w:tc>
      </w:tr>
    </w:tbl>
    <w:p w14:paraId="3ADEC9FB" w14:textId="77777777" w:rsidR="00F61A49" w:rsidRPr="0085314C" w:rsidRDefault="00F61A49" w:rsidP="00F61A49">
      <w:pPr>
        <w:pStyle w:val="DHHSbody"/>
        <w:rPr>
          <w:rStyle w:val="CommentReference"/>
          <w:rFonts w:eastAsia="Times New Roman" w:cs="Arial"/>
          <w:bCs/>
          <w:noProof/>
          <w:color w:val="2F5496"/>
          <w:sz w:val="40"/>
          <w:szCs w:val="28"/>
          <w:lang w:eastAsia="en-AU"/>
        </w:rPr>
      </w:pPr>
    </w:p>
    <w:p w14:paraId="0FF78431" w14:textId="77777777" w:rsidR="00F61A49" w:rsidRDefault="00F61A49" w:rsidP="00F61A49">
      <w:pPr>
        <w:pStyle w:val="DHHSbody"/>
        <w:sectPr w:rsidR="00F61A49" w:rsidSect="00C71A3A">
          <w:pgSz w:w="16838" w:h="11906" w:orient="landscape"/>
          <w:pgMar w:top="1440" w:right="1440" w:bottom="1440" w:left="1440" w:header="709" w:footer="709" w:gutter="0"/>
          <w:cols w:space="708"/>
          <w:docGrid w:linePitch="360"/>
        </w:sectPr>
      </w:pPr>
    </w:p>
    <w:p w14:paraId="259715C2" w14:textId="77777777" w:rsidR="00F61A49" w:rsidRDefault="00F61A49" w:rsidP="00F61A49">
      <w:pPr>
        <w:pStyle w:val="Heading2"/>
      </w:pPr>
      <w:bookmarkStart w:id="47" w:name="_Toc534374316"/>
      <w:bookmarkStart w:id="48" w:name="_Toc13830203"/>
      <w:r w:rsidRPr="005E5F10">
        <w:lastRenderedPageBreak/>
        <w:t xml:space="preserve">Identifying </w:t>
      </w:r>
      <w:r>
        <w:t xml:space="preserve">consumer and carer </w:t>
      </w:r>
      <w:r w:rsidRPr="005E5F10">
        <w:t>participants</w:t>
      </w:r>
      <w:bookmarkEnd w:id="47"/>
      <w:bookmarkEnd w:id="48"/>
    </w:p>
    <w:p w14:paraId="302A71AB" w14:textId="77777777" w:rsidR="00F61A49" w:rsidRPr="005E5FFE" w:rsidRDefault="00F61A49" w:rsidP="00F61A49">
      <w:pPr>
        <w:pStyle w:val="DHHSbody"/>
      </w:pPr>
      <w:r w:rsidRPr="005E5FFE">
        <w:t>There are many types of consumers and carers that can be engaged</w:t>
      </w:r>
      <w:r>
        <w:t>, including:</w:t>
      </w:r>
      <w:r w:rsidRPr="005E5FFE">
        <w:t xml:space="preserve"> </w:t>
      </w:r>
      <w:r>
        <w:t>people with a lived experience of mental illness or Victoria’s treatment system;</w:t>
      </w:r>
      <w:r w:rsidRPr="005E5FFE">
        <w:t xml:space="preserve"> peak bodies</w:t>
      </w:r>
      <w:r>
        <w:t xml:space="preserve">; </w:t>
      </w:r>
      <w:r w:rsidRPr="005E5FFE">
        <w:t>consumers and carers employed in mental health services</w:t>
      </w:r>
      <w:r>
        <w:t>;</w:t>
      </w:r>
      <w:r w:rsidRPr="005E5FFE">
        <w:t xml:space="preserve"> consumer or carer academics</w:t>
      </w:r>
      <w:r>
        <w:t>;</w:t>
      </w:r>
      <w:r w:rsidRPr="005E5FFE">
        <w:t xml:space="preserve"> </w:t>
      </w:r>
      <w:r>
        <w:t xml:space="preserve">and </w:t>
      </w:r>
      <w:r w:rsidRPr="005E5FFE">
        <w:t>consumers and carers who have used other parts of the health system or other social services</w:t>
      </w:r>
      <w:r>
        <w:t xml:space="preserve"> (see also Table 3)</w:t>
      </w:r>
      <w:r w:rsidRPr="005E5FFE">
        <w:t xml:space="preserve">. </w:t>
      </w:r>
    </w:p>
    <w:p w14:paraId="67577DD1" w14:textId="77777777" w:rsidR="00F61A49" w:rsidRDefault="00F61A49" w:rsidP="00F61A49">
      <w:pPr>
        <w:pStyle w:val="DHHSbody"/>
        <w:rPr>
          <w:noProof/>
          <w:lang w:eastAsia="en-AU"/>
        </w:rPr>
      </w:pPr>
      <w:r w:rsidRPr="005E5FFE">
        <w:t xml:space="preserve">There are </w:t>
      </w:r>
      <w:r>
        <w:t xml:space="preserve">also </w:t>
      </w:r>
      <w:r w:rsidRPr="005E5FFE">
        <w:t xml:space="preserve">different </w:t>
      </w:r>
      <w:r>
        <w:t>ways</w:t>
      </w:r>
      <w:r w:rsidRPr="005E5FFE">
        <w:t xml:space="preserve"> to engage with consumers and carers with diverse expertise. </w:t>
      </w:r>
      <w:r w:rsidRPr="005E5FFE">
        <w:rPr>
          <w:noProof/>
          <w:lang w:eastAsia="en-AU"/>
        </w:rPr>
        <w:t>Key to this is ensuring consumer and carer participants bring knowledge and direct experience most relevant to the issues being addressed. For example, if the project is questioning how to provide a service to people with an eating disorder, then participants will be able to bring this particular personal knowledge and experience to inform their contribution rather than a more general experience of mental health.</w:t>
      </w:r>
    </w:p>
    <w:p w14:paraId="2282ACD2" w14:textId="77777777" w:rsidR="00F61A49" w:rsidRPr="005E5FFE" w:rsidRDefault="00F61A49" w:rsidP="00F61A49">
      <w:pPr>
        <w:pStyle w:val="DHHStablecaption"/>
      </w:pPr>
      <w:r>
        <w:rPr>
          <w:noProof/>
          <w:lang w:eastAsia="en-AU"/>
        </w:rPr>
        <w:t xml:space="preserve">Table 3: Consumer and carer particpants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6817"/>
      </w:tblGrid>
      <w:tr w:rsidR="00F61A49" w14:paraId="772FD483" w14:textId="77777777" w:rsidTr="00C71A3A">
        <w:trPr>
          <w:tblHeader/>
        </w:trPr>
        <w:tc>
          <w:tcPr>
            <w:tcW w:w="2822" w:type="dxa"/>
            <w:shd w:val="clear" w:color="auto" w:fill="auto"/>
            <w:noWrap/>
          </w:tcPr>
          <w:p w14:paraId="0A2CAB5D" w14:textId="77777777" w:rsidR="00F61A49" w:rsidRPr="005E5FFE" w:rsidRDefault="00F61A49" w:rsidP="00C71A3A">
            <w:pPr>
              <w:pStyle w:val="DHHStablecolhead"/>
            </w:pPr>
            <w:r>
              <w:t>Source</w:t>
            </w:r>
          </w:p>
        </w:tc>
        <w:tc>
          <w:tcPr>
            <w:tcW w:w="6817" w:type="dxa"/>
            <w:shd w:val="clear" w:color="auto" w:fill="auto"/>
            <w:noWrap/>
          </w:tcPr>
          <w:p w14:paraId="6EB6D5AA" w14:textId="77777777" w:rsidR="00F61A49" w:rsidRDefault="00F61A49" w:rsidP="00C71A3A">
            <w:pPr>
              <w:pStyle w:val="DHHStablecolhead"/>
            </w:pPr>
            <w:r>
              <w:t>Description</w:t>
            </w:r>
          </w:p>
        </w:tc>
      </w:tr>
      <w:tr w:rsidR="00F61A49" w14:paraId="01010857" w14:textId="77777777" w:rsidTr="00C71A3A">
        <w:tc>
          <w:tcPr>
            <w:tcW w:w="2822" w:type="dxa"/>
            <w:shd w:val="clear" w:color="auto" w:fill="auto"/>
            <w:noWrap/>
          </w:tcPr>
          <w:p w14:paraId="00F8AC3D" w14:textId="77777777" w:rsidR="00F61A49" w:rsidRPr="005E5FFE" w:rsidRDefault="00F61A49" w:rsidP="00C71A3A">
            <w:pPr>
              <w:pStyle w:val="DHHStabletext"/>
            </w:pPr>
            <w:r w:rsidRPr="005E5FFE">
              <w:t>Consumer and carer registers</w:t>
            </w:r>
          </w:p>
          <w:p w14:paraId="5EF4635F" w14:textId="77777777" w:rsidR="00F61A49" w:rsidRPr="00CF76B2" w:rsidRDefault="00F61A49" w:rsidP="00C71A3A">
            <w:pPr>
              <w:pStyle w:val="DHHStabletext"/>
              <w:rPr>
                <w:b/>
              </w:rPr>
            </w:pPr>
          </w:p>
        </w:tc>
        <w:tc>
          <w:tcPr>
            <w:tcW w:w="6817" w:type="dxa"/>
            <w:shd w:val="clear" w:color="auto" w:fill="auto"/>
            <w:noWrap/>
          </w:tcPr>
          <w:p w14:paraId="60950ABA" w14:textId="77777777" w:rsidR="00F61A49" w:rsidRDefault="00F61A49" w:rsidP="00C71A3A">
            <w:pPr>
              <w:pStyle w:val="DHHStabletext"/>
            </w:pPr>
            <w:bookmarkStart w:id="49" w:name="_Hlk534199404"/>
            <w:r>
              <w:t xml:space="preserve">The department provides funding for consumer and carer participation registers so that departmental officers can draw on people’s lived experience of mental illness. </w:t>
            </w:r>
          </w:p>
          <w:p w14:paraId="50C9775B" w14:textId="77777777" w:rsidR="00F61A49" w:rsidRDefault="00F61A49" w:rsidP="00C71A3A">
            <w:pPr>
              <w:pStyle w:val="DHHStabletext"/>
            </w:pPr>
            <w:r>
              <w:t xml:space="preserve">The funding is provided to VMIAC (consumer register) and Tandem (carer register) to establish and maintain the registers. Funding provides for: </w:t>
            </w:r>
          </w:p>
          <w:p w14:paraId="5BF4CC94" w14:textId="77777777" w:rsidR="00F61A49" w:rsidRPr="00CF76B2" w:rsidRDefault="00F61A49" w:rsidP="00C71A3A">
            <w:pPr>
              <w:pStyle w:val="DHHStablebullet"/>
            </w:pPr>
            <w:r w:rsidRPr="00CF76B2">
              <w:t>remunerati</w:t>
            </w:r>
            <w:r>
              <w:t>ng</w:t>
            </w:r>
            <w:r w:rsidRPr="00CF76B2">
              <w:t xml:space="preserve"> </w:t>
            </w:r>
            <w:r>
              <w:t xml:space="preserve">people </w:t>
            </w:r>
            <w:r w:rsidRPr="00CF76B2">
              <w:t>who engage with the department</w:t>
            </w:r>
          </w:p>
          <w:p w14:paraId="59592088" w14:textId="77777777" w:rsidR="00F61A49" w:rsidRPr="00CF76B2" w:rsidRDefault="00F61A49" w:rsidP="00C71A3A">
            <w:pPr>
              <w:pStyle w:val="DHHStablebullet"/>
            </w:pPr>
            <w:r w:rsidRPr="00CF76B2">
              <w:t>pre and post session debriefing support provided by VMIAC and Tandem to ensure participants feel safe and supported</w:t>
            </w:r>
          </w:p>
          <w:p w14:paraId="4B41E848" w14:textId="77777777" w:rsidR="00F61A49" w:rsidRPr="00CF76B2" w:rsidRDefault="00F61A49" w:rsidP="00C71A3A">
            <w:pPr>
              <w:pStyle w:val="DHHStablebullet"/>
            </w:pPr>
            <w:r>
              <w:t>t</w:t>
            </w:r>
            <w:r w:rsidRPr="00CF76B2">
              <w:t>raining and support to be provided to participants so they are appropriately skilled in relation to the type of engagement</w:t>
            </w:r>
          </w:p>
          <w:p w14:paraId="3A78FB0E" w14:textId="77777777" w:rsidR="00F61A49" w:rsidRPr="00CF76B2" w:rsidRDefault="00F61A49" w:rsidP="00C71A3A">
            <w:pPr>
              <w:pStyle w:val="DHHStablebullet"/>
            </w:pPr>
            <w:r>
              <w:t>b</w:t>
            </w:r>
            <w:r w:rsidRPr="00CF76B2">
              <w:t xml:space="preserve">rokerage between VMIAC and Tandem to ensure the department and participants are clear on roles, processes and expected outcomes </w:t>
            </w:r>
          </w:p>
          <w:p w14:paraId="4E442D50" w14:textId="77777777" w:rsidR="00F61A49" w:rsidRPr="00CF76B2" w:rsidRDefault="00F61A49" w:rsidP="00C71A3A">
            <w:pPr>
              <w:pStyle w:val="DHHStablebullet"/>
            </w:pPr>
            <w:r>
              <w:t>m</w:t>
            </w:r>
            <w:r w:rsidRPr="00CF76B2">
              <w:t xml:space="preserve">onitoring of participation to ensure wide engagement across diverse populations is taking place. </w:t>
            </w:r>
          </w:p>
          <w:bookmarkEnd w:id="49"/>
          <w:p w14:paraId="288B3F1D" w14:textId="77777777" w:rsidR="00F61A49" w:rsidRPr="00CF76B2" w:rsidRDefault="00F61A49" w:rsidP="00C71A3A">
            <w:pPr>
              <w:pStyle w:val="DHHStabletext"/>
              <w:rPr>
                <w:color w:val="000000"/>
              </w:rPr>
            </w:pPr>
            <w:r>
              <w:t xml:space="preserve">Guidance regarding accessing the registers is available from the Lived Experience Engagement team, and from </w:t>
            </w:r>
            <w:hyperlink r:id="rId25" w:history="1">
              <w:r w:rsidRPr="00D729E3">
                <w:rPr>
                  <w:rStyle w:val="Hyperlink"/>
                  <w:rFonts w:cs="Arial"/>
                </w:rPr>
                <w:t>VMIAC</w:t>
              </w:r>
            </w:hyperlink>
            <w:r w:rsidRPr="00CF76B2">
              <w:rPr>
                <w:rFonts w:cs="Arial"/>
              </w:rPr>
              <w:t xml:space="preserve"> </w:t>
            </w:r>
            <w:r>
              <w:rPr>
                <w:rFonts w:cs="Arial"/>
              </w:rPr>
              <w:t>&lt;</w:t>
            </w:r>
            <w:r w:rsidRPr="006D1278">
              <w:t>https://www.vmiac.org.au/</w:t>
            </w:r>
            <w:r>
              <w:t>&gt;</w:t>
            </w:r>
            <w:r w:rsidRPr="00CF76B2">
              <w:rPr>
                <w:rFonts w:cs="Arial"/>
              </w:rPr>
              <w:t xml:space="preserve"> </w:t>
            </w:r>
            <w:r>
              <w:t xml:space="preserve">and </w:t>
            </w:r>
            <w:hyperlink r:id="rId26" w:history="1">
              <w:r w:rsidRPr="00D729E3">
                <w:rPr>
                  <w:rStyle w:val="Hyperlink"/>
                </w:rPr>
                <w:t>Tandem</w:t>
              </w:r>
            </w:hyperlink>
            <w:r w:rsidRPr="00CF76B2">
              <w:rPr>
                <w:color w:val="000000"/>
              </w:rPr>
              <w:t xml:space="preserve"> </w:t>
            </w:r>
            <w:r>
              <w:rPr>
                <w:color w:val="000000"/>
              </w:rPr>
              <w:t>&lt;</w:t>
            </w:r>
            <w:r w:rsidRPr="00DC5403">
              <w:t>http://www.tandemcarers.org.au/register.php</w:t>
            </w:r>
            <w:r>
              <w:rPr>
                <w:rFonts w:cs="Arial"/>
              </w:rPr>
              <w:t>&gt;.</w:t>
            </w:r>
          </w:p>
        </w:tc>
      </w:tr>
      <w:tr w:rsidR="00F61A49" w14:paraId="3E373BFB" w14:textId="77777777" w:rsidTr="00C71A3A">
        <w:tc>
          <w:tcPr>
            <w:tcW w:w="2822" w:type="dxa"/>
            <w:shd w:val="clear" w:color="auto" w:fill="auto"/>
            <w:noWrap/>
          </w:tcPr>
          <w:p w14:paraId="1FA9AC0D" w14:textId="77777777" w:rsidR="00F61A49" w:rsidRPr="005E5FFE" w:rsidRDefault="00F61A49" w:rsidP="00C71A3A">
            <w:pPr>
              <w:pStyle w:val="DHHStabletext"/>
            </w:pPr>
            <w:r w:rsidRPr="0085314C">
              <w:t xml:space="preserve">Consumer and </w:t>
            </w:r>
            <w:r>
              <w:t>c</w:t>
            </w:r>
            <w:r w:rsidRPr="0085314C">
              <w:t xml:space="preserve">arer </w:t>
            </w:r>
            <w:r>
              <w:t>a</w:t>
            </w:r>
            <w:r w:rsidRPr="0085314C">
              <w:t xml:space="preserve">dvisory </w:t>
            </w:r>
            <w:r>
              <w:t>g</w:t>
            </w:r>
            <w:r w:rsidRPr="0085314C">
              <w:t>roups</w:t>
            </w:r>
            <w:r w:rsidRPr="00CF76B2">
              <w:rPr>
                <w:rFonts w:cs="Arial"/>
                <w:color w:val="000000"/>
              </w:rPr>
              <w:br/>
            </w:r>
          </w:p>
        </w:tc>
        <w:tc>
          <w:tcPr>
            <w:tcW w:w="6817" w:type="dxa"/>
            <w:shd w:val="clear" w:color="auto" w:fill="auto"/>
            <w:noWrap/>
          </w:tcPr>
          <w:p w14:paraId="4B3A3C46" w14:textId="77777777" w:rsidR="00F61A49" w:rsidRDefault="00F61A49" w:rsidP="00C71A3A">
            <w:pPr>
              <w:pStyle w:val="DHHStabletext"/>
            </w:pPr>
            <w:r>
              <w:t xml:space="preserve">Clinical mental health services convene service-based </w:t>
            </w:r>
            <w:r w:rsidRPr="00C014B1">
              <w:t xml:space="preserve">consumer </w:t>
            </w:r>
            <w:r>
              <w:t>advisory groups and</w:t>
            </w:r>
            <w:r w:rsidRPr="00082B1D">
              <w:t>/or</w:t>
            </w:r>
            <w:r w:rsidRPr="00C014B1">
              <w:t xml:space="preserve"> carer advisory groups</w:t>
            </w:r>
            <w:r>
              <w:t xml:space="preserve"> (CAGs). These groups comprise people who have experience of their service and who can </w:t>
            </w:r>
            <w:r w:rsidRPr="00816057">
              <w:t>advise mental health services on consumer needs and perspectives.</w:t>
            </w:r>
            <w:r>
              <w:t xml:space="preserve"> Consumer or carer lived experience staff often support these group to advocate. </w:t>
            </w:r>
          </w:p>
          <w:p w14:paraId="14272EB3" w14:textId="77777777" w:rsidR="00F61A49" w:rsidRDefault="00F61A49" w:rsidP="00C71A3A">
            <w:pPr>
              <w:pStyle w:val="DHHStabletext"/>
            </w:pPr>
            <w:r>
              <w:t xml:space="preserve">To engage with CAG members you will need to contact </w:t>
            </w:r>
            <w:hyperlink r:id="rId27" w:history="1">
              <w:r w:rsidRPr="00D729E3">
                <w:rPr>
                  <w:rStyle w:val="Hyperlink"/>
                </w:rPr>
                <w:t>individual mental health services</w:t>
              </w:r>
            </w:hyperlink>
            <w:r>
              <w:t xml:space="preserve"> &lt;</w:t>
            </w:r>
            <w:r w:rsidRPr="00801F42">
              <w:t>http://www.health.vic.gov.au/mentalhealthservices/approved.htm</w:t>
            </w:r>
            <w:r>
              <w:t>&gt;.</w:t>
            </w:r>
          </w:p>
        </w:tc>
      </w:tr>
    </w:tbl>
    <w:p w14:paraId="6804D370" w14:textId="77777777" w:rsidR="00F61A49" w:rsidRDefault="00F61A49" w:rsidP="00F61A49">
      <w:pPr>
        <w:pStyle w:val="DHHSbody"/>
      </w:pPr>
      <w:bookmarkStart w:id="50" w:name="_Toc534374317"/>
    </w:p>
    <w:p w14:paraId="1C3065ED" w14:textId="77777777" w:rsidR="00F61A49" w:rsidRDefault="00F61A49" w:rsidP="00F61A49">
      <w:pPr>
        <w:pStyle w:val="Heading2"/>
      </w:pPr>
      <w:r>
        <w:br w:type="page"/>
      </w:r>
      <w:bookmarkStart w:id="51" w:name="_Toc13830204"/>
      <w:r>
        <w:lastRenderedPageBreak/>
        <w:t>Consumer and carer professionals and organisations</w:t>
      </w:r>
      <w:bookmarkEnd w:id="50"/>
      <w:bookmarkEnd w:id="51"/>
    </w:p>
    <w:p w14:paraId="07C300B4" w14:textId="77777777" w:rsidR="00F61A49" w:rsidRDefault="00F61A49" w:rsidP="00F61A49">
      <w:pPr>
        <w:pStyle w:val="DHHSbody"/>
      </w:pPr>
      <w:r>
        <w:t>The department funds a range of organisations and bodies that are available to advise and support project and policy development from a lived experience perspective (see Table 4).</w:t>
      </w:r>
    </w:p>
    <w:p w14:paraId="5EFEB76E" w14:textId="77777777" w:rsidR="00F61A49" w:rsidRDefault="00F61A49" w:rsidP="00F61A49">
      <w:pPr>
        <w:pStyle w:val="DHHStablecaption"/>
      </w:pPr>
      <w:r>
        <w:t>Table 4: Organisations and bodies for advice from a lived experience perspective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7435"/>
      </w:tblGrid>
      <w:tr w:rsidR="00F61A49" w:rsidRPr="00F579AB" w14:paraId="5C3638AD" w14:textId="77777777" w:rsidTr="00C71A3A">
        <w:trPr>
          <w:tblHeader/>
        </w:trPr>
        <w:tc>
          <w:tcPr>
            <w:tcW w:w="2317" w:type="dxa"/>
            <w:shd w:val="clear" w:color="auto" w:fill="auto"/>
          </w:tcPr>
          <w:p w14:paraId="6CCFE015" w14:textId="77777777" w:rsidR="00F61A49" w:rsidRPr="00F579AB" w:rsidRDefault="00F61A49" w:rsidP="00C71A3A">
            <w:pPr>
              <w:pStyle w:val="DHHStablecolhead"/>
            </w:pPr>
            <w:r>
              <w:t>Organisation</w:t>
            </w:r>
          </w:p>
        </w:tc>
        <w:tc>
          <w:tcPr>
            <w:tcW w:w="7435" w:type="dxa"/>
            <w:shd w:val="clear" w:color="auto" w:fill="auto"/>
          </w:tcPr>
          <w:p w14:paraId="7DD47FC2" w14:textId="77777777" w:rsidR="00F61A49" w:rsidRPr="00F579AB" w:rsidRDefault="00F61A49" w:rsidP="00C71A3A">
            <w:pPr>
              <w:pStyle w:val="DHHStablecolhead"/>
            </w:pPr>
            <w:r>
              <w:t>Description</w:t>
            </w:r>
          </w:p>
        </w:tc>
      </w:tr>
      <w:tr w:rsidR="00F61A49" w:rsidRPr="00F579AB" w14:paraId="5AC11D78" w14:textId="77777777" w:rsidTr="00C71A3A">
        <w:tc>
          <w:tcPr>
            <w:tcW w:w="2317" w:type="dxa"/>
            <w:shd w:val="clear" w:color="auto" w:fill="auto"/>
          </w:tcPr>
          <w:p w14:paraId="272920C9" w14:textId="77777777" w:rsidR="00F61A49" w:rsidRPr="00F579AB" w:rsidRDefault="00F61A49" w:rsidP="00C71A3A">
            <w:pPr>
              <w:pStyle w:val="DHHStabletext"/>
            </w:pPr>
            <w:r w:rsidRPr="00F579AB">
              <w:t>Victorian Mental Illness Awareness Council (VMIAC)</w:t>
            </w:r>
          </w:p>
          <w:p w14:paraId="6FDB93FC" w14:textId="77777777" w:rsidR="00F61A49" w:rsidRPr="00CF76B2" w:rsidRDefault="00F61A49" w:rsidP="00C71A3A">
            <w:pPr>
              <w:spacing w:before="120" w:after="120"/>
              <w:rPr>
                <w:b/>
              </w:rPr>
            </w:pPr>
          </w:p>
        </w:tc>
        <w:tc>
          <w:tcPr>
            <w:tcW w:w="7435" w:type="dxa"/>
            <w:shd w:val="clear" w:color="auto" w:fill="auto"/>
          </w:tcPr>
          <w:p w14:paraId="55C92A00" w14:textId="77777777" w:rsidR="00F61A49" w:rsidRDefault="00F61A49" w:rsidP="00C71A3A">
            <w:pPr>
              <w:pStyle w:val="DHHStabletext"/>
            </w:pPr>
            <w:r w:rsidRPr="00F579AB">
              <w:t xml:space="preserve">VMIAC is the Victorian peak body representing people who experience mental illness or emotional distress. VMIAC provides advocacy at </w:t>
            </w:r>
            <w:r>
              <w:t>the</w:t>
            </w:r>
            <w:r w:rsidRPr="00F579AB">
              <w:t xml:space="preserve"> individual and systemic level</w:t>
            </w:r>
            <w:r>
              <w:t>s</w:t>
            </w:r>
            <w:r w:rsidRPr="00F579AB">
              <w:t xml:space="preserve">. </w:t>
            </w:r>
          </w:p>
          <w:p w14:paraId="215D1ACB" w14:textId="77777777" w:rsidR="00F61A49" w:rsidRDefault="00F61A49" w:rsidP="00C71A3A">
            <w:pPr>
              <w:pStyle w:val="DHHStabletext"/>
            </w:pPr>
            <w:r>
              <w:t xml:space="preserve">VMIAC receives departmental funding and regularly engages with the department on policy and service development. </w:t>
            </w:r>
            <w:r w:rsidRPr="00F579AB">
              <w:t>VMIAC</w:t>
            </w:r>
            <w:r>
              <w:t xml:space="preserve">’s aims include: </w:t>
            </w:r>
          </w:p>
          <w:p w14:paraId="0BD99A97" w14:textId="77777777" w:rsidR="00F61A49" w:rsidRDefault="00F61A49" w:rsidP="00C71A3A">
            <w:pPr>
              <w:pStyle w:val="DHHStablebullet"/>
            </w:pPr>
            <w:r>
              <w:t>h</w:t>
            </w:r>
            <w:r w:rsidRPr="00F579AB">
              <w:t>onouring mental health consumer diversity</w:t>
            </w:r>
          </w:p>
          <w:p w14:paraId="360C5937" w14:textId="77777777" w:rsidR="00F61A49" w:rsidRDefault="00F61A49" w:rsidP="00C71A3A">
            <w:pPr>
              <w:pStyle w:val="DHHStablebullet"/>
            </w:pPr>
            <w:r>
              <w:t>p</w:t>
            </w:r>
            <w:r w:rsidRPr="00F579AB">
              <w:t>roviding advocacy for mental health consumers</w:t>
            </w:r>
          </w:p>
          <w:p w14:paraId="12C75BF7" w14:textId="77777777" w:rsidR="00F61A49" w:rsidRDefault="00F61A49" w:rsidP="00C71A3A">
            <w:pPr>
              <w:pStyle w:val="DHHStablebullet"/>
            </w:pPr>
            <w:r>
              <w:t>a</w:t>
            </w:r>
            <w:r w:rsidRPr="00F579AB">
              <w:t>dvancing mental health consumer workforce and leadership</w:t>
            </w:r>
          </w:p>
          <w:p w14:paraId="051FC310" w14:textId="77777777" w:rsidR="00F61A49" w:rsidRDefault="00F61A49" w:rsidP="00C71A3A">
            <w:pPr>
              <w:pStyle w:val="DHHStablebullet"/>
            </w:pPr>
            <w:r>
              <w:t>d</w:t>
            </w:r>
            <w:r w:rsidRPr="00F579AB">
              <w:t>elivering information and training to the community</w:t>
            </w:r>
          </w:p>
          <w:p w14:paraId="2E8AF65C" w14:textId="77777777" w:rsidR="00F61A49" w:rsidRDefault="00F61A49" w:rsidP="00C71A3A">
            <w:pPr>
              <w:pStyle w:val="DHHStablebullet"/>
            </w:pPr>
            <w:r>
              <w:t>e</w:t>
            </w:r>
            <w:r w:rsidRPr="00F579AB">
              <w:t>nabling mental health consumer</w:t>
            </w:r>
            <w:r>
              <w:t>-</w:t>
            </w:r>
            <w:r w:rsidRPr="00F579AB">
              <w:t>driven education and research</w:t>
            </w:r>
          </w:p>
          <w:p w14:paraId="2419EE15" w14:textId="77777777" w:rsidR="00F61A49" w:rsidRPr="00F579AB" w:rsidRDefault="00F61A49" w:rsidP="00C71A3A">
            <w:pPr>
              <w:pStyle w:val="DHHStablebullet"/>
            </w:pPr>
            <w:r>
              <w:t>d</w:t>
            </w:r>
            <w:r w:rsidRPr="00F579AB">
              <w:t>eveloping strategic partnerships.</w:t>
            </w:r>
          </w:p>
          <w:p w14:paraId="11CF5A1F" w14:textId="77777777" w:rsidR="00F61A49" w:rsidRPr="00F579AB" w:rsidRDefault="00F61A49" w:rsidP="00C71A3A">
            <w:pPr>
              <w:pStyle w:val="DHHSbody"/>
            </w:pPr>
            <w:r>
              <w:t xml:space="preserve">Contact </w:t>
            </w:r>
            <w:hyperlink r:id="rId28" w:history="1">
              <w:r w:rsidRPr="00A748F6">
                <w:rPr>
                  <w:rStyle w:val="Hyperlink"/>
                </w:rPr>
                <w:t>VMIAC</w:t>
              </w:r>
            </w:hyperlink>
            <w:r w:rsidRPr="00F579AB">
              <w:t xml:space="preserve"> </w:t>
            </w:r>
            <w:r>
              <w:t>&lt;</w:t>
            </w:r>
            <w:r w:rsidRPr="00801F42">
              <w:t>https://www.vmiac.org.au/</w:t>
            </w:r>
            <w:r>
              <w:t>&gt;.</w:t>
            </w:r>
          </w:p>
        </w:tc>
      </w:tr>
      <w:tr w:rsidR="00F61A49" w:rsidRPr="00F579AB" w14:paraId="05FE74AD" w14:textId="77777777" w:rsidTr="00C71A3A">
        <w:tc>
          <w:tcPr>
            <w:tcW w:w="2317" w:type="dxa"/>
            <w:shd w:val="clear" w:color="auto" w:fill="auto"/>
          </w:tcPr>
          <w:p w14:paraId="3D946600" w14:textId="77777777" w:rsidR="00F61A49" w:rsidRPr="00D9569D" w:rsidRDefault="00F61A49" w:rsidP="00C71A3A">
            <w:pPr>
              <w:pStyle w:val="DHHStabletext"/>
            </w:pPr>
            <w:r w:rsidRPr="00D9569D">
              <w:t>Tandem</w:t>
            </w:r>
          </w:p>
          <w:p w14:paraId="0119ECF0" w14:textId="77777777" w:rsidR="00F61A49" w:rsidRPr="00F579AB" w:rsidRDefault="00F61A49" w:rsidP="00C71A3A">
            <w:pPr>
              <w:spacing w:before="120" w:after="120"/>
            </w:pPr>
          </w:p>
        </w:tc>
        <w:tc>
          <w:tcPr>
            <w:tcW w:w="7435" w:type="dxa"/>
            <w:shd w:val="clear" w:color="auto" w:fill="auto"/>
          </w:tcPr>
          <w:p w14:paraId="5AA36BFB" w14:textId="77777777" w:rsidR="00F61A49" w:rsidRPr="00CF76B2" w:rsidRDefault="00F61A49" w:rsidP="00C71A3A">
            <w:pPr>
              <w:pStyle w:val="DHHStabletext"/>
              <w:rPr>
                <w:shd w:val="clear" w:color="auto" w:fill="FFFFFF"/>
              </w:rPr>
            </w:pPr>
            <w:r w:rsidRPr="00CF76B2">
              <w:rPr>
                <w:shd w:val="clear" w:color="auto" w:fill="FFFFFF"/>
              </w:rPr>
              <w:t>Tandem is the Victorian peak body representing family and friends supporting people living with mental health issues. Tandem’s mission is to provide leadership and coordination for the community of individuals and organisations who seek better outcomes for Victorian mental health carers.</w:t>
            </w:r>
          </w:p>
          <w:p w14:paraId="4A727040" w14:textId="77777777" w:rsidR="00F61A49" w:rsidRPr="00CF76B2" w:rsidRDefault="00F61A49" w:rsidP="00C71A3A">
            <w:pPr>
              <w:pStyle w:val="DHHStabletext"/>
              <w:rPr>
                <w:shd w:val="clear" w:color="auto" w:fill="FFFFFF"/>
              </w:rPr>
            </w:pPr>
            <w:r w:rsidRPr="00CF76B2">
              <w:rPr>
                <w:shd w:val="clear" w:color="auto" w:fill="FFFFFF"/>
              </w:rPr>
              <w:t>Tandem:</w:t>
            </w:r>
          </w:p>
          <w:p w14:paraId="2349140E" w14:textId="77777777" w:rsidR="00F61A49" w:rsidRPr="00E6378E" w:rsidRDefault="00F61A49" w:rsidP="00C71A3A">
            <w:pPr>
              <w:pStyle w:val="DHHStablebullet"/>
            </w:pPr>
            <w:r>
              <w:t>i</w:t>
            </w:r>
            <w:r w:rsidRPr="00E6378E">
              <w:t>nforms and empowers family and friends to access the National Disability Insurance Scheme (NDIS)</w:t>
            </w:r>
          </w:p>
          <w:p w14:paraId="45931788" w14:textId="77777777" w:rsidR="00F61A49" w:rsidRPr="00E6378E" w:rsidRDefault="00F61A49" w:rsidP="00C71A3A">
            <w:pPr>
              <w:pStyle w:val="DHHStablebullet"/>
            </w:pPr>
            <w:r>
              <w:t>p</w:t>
            </w:r>
            <w:r w:rsidRPr="00E6378E">
              <w:t>romotes and collaborates on the delivery of training on family</w:t>
            </w:r>
            <w:r>
              <w:t>-</w:t>
            </w:r>
            <w:r w:rsidRPr="00E6378E">
              <w:t>inclusive practice for mental health professionals</w:t>
            </w:r>
          </w:p>
          <w:p w14:paraId="36FA89F5" w14:textId="77777777" w:rsidR="00F61A49" w:rsidRPr="00E6378E" w:rsidRDefault="00F61A49" w:rsidP="00C71A3A">
            <w:pPr>
              <w:pStyle w:val="DHHStablebullet"/>
            </w:pPr>
            <w:r>
              <w:t>p</w:t>
            </w:r>
            <w:r w:rsidRPr="00E6378E">
              <w:t>rovides information, education and training to family and friends supporting people with mental health issues</w:t>
            </w:r>
          </w:p>
          <w:p w14:paraId="448B55C5" w14:textId="77777777" w:rsidR="00F61A49" w:rsidRPr="00E6378E" w:rsidRDefault="00F61A49" w:rsidP="00C71A3A">
            <w:pPr>
              <w:pStyle w:val="DHHStablebullet"/>
            </w:pPr>
            <w:r>
              <w:t>s</w:t>
            </w:r>
            <w:r w:rsidRPr="00E6378E">
              <w:t>upport</w:t>
            </w:r>
            <w:r>
              <w:t>s</w:t>
            </w:r>
            <w:r w:rsidRPr="00E6378E">
              <w:t xml:space="preserve"> and advocates for the diverse needs of family, friends and other supporters of people living with mental health issues</w:t>
            </w:r>
          </w:p>
          <w:p w14:paraId="30663145" w14:textId="77777777" w:rsidR="00F61A49" w:rsidRPr="00E6378E" w:rsidRDefault="00F61A49" w:rsidP="00C71A3A">
            <w:pPr>
              <w:pStyle w:val="DHHStablebullet"/>
            </w:pPr>
            <w:r>
              <w:t>c</w:t>
            </w:r>
            <w:r w:rsidRPr="00E6378E">
              <w:t>ollaborate</w:t>
            </w:r>
            <w:r>
              <w:t>s</w:t>
            </w:r>
            <w:r w:rsidRPr="00E6378E">
              <w:t xml:space="preserve"> on research and policy development on matters in relevant areas</w:t>
            </w:r>
          </w:p>
          <w:p w14:paraId="5B7D0193" w14:textId="77777777" w:rsidR="00F61A49" w:rsidRDefault="00F61A49" w:rsidP="00C71A3A">
            <w:pPr>
              <w:pStyle w:val="DHHStablebullet"/>
            </w:pPr>
            <w:r>
              <w:t>r</w:t>
            </w:r>
            <w:r w:rsidRPr="00E6378E">
              <w:t>aises community awareness about the role of family and friends in mental health recovery.</w:t>
            </w:r>
          </w:p>
          <w:p w14:paraId="65B2589D" w14:textId="77777777" w:rsidR="00F61A49" w:rsidRPr="00466838" w:rsidRDefault="00F61A49" w:rsidP="00C71A3A">
            <w:pPr>
              <w:pStyle w:val="DHHSbody"/>
            </w:pPr>
            <w:r>
              <w:t xml:space="preserve">Contact </w:t>
            </w:r>
            <w:hyperlink r:id="rId29" w:history="1">
              <w:r w:rsidRPr="00A748F6">
                <w:rPr>
                  <w:rStyle w:val="Hyperlink"/>
                </w:rPr>
                <w:t>Tandem</w:t>
              </w:r>
            </w:hyperlink>
            <w:r>
              <w:t xml:space="preserve"> &lt;</w:t>
            </w:r>
            <w:r w:rsidRPr="00801F42">
              <w:t>https://www.tandemcarers.org.au/contact.php</w:t>
            </w:r>
            <w:r>
              <w:t xml:space="preserve">&gt;. </w:t>
            </w:r>
          </w:p>
        </w:tc>
      </w:tr>
      <w:tr w:rsidR="00F61A49" w:rsidRPr="00F579AB" w14:paraId="01D51B79" w14:textId="77777777" w:rsidTr="00C71A3A">
        <w:tc>
          <w:tcPr>
            <w:tcW w:w="2317" w:type="dxa"/>
            <w:shd w:val="clear" w:color="auto" w:fill="auto"/>
          </w:tcPr>
          <w:p w14:paraId="0DCECB12" w14:textId="77777777" w:rsidR="00F61A49" w:rsidRPr="00F579AB" w:rsidRDefault="00F61A49" w:rsidP="00C71A3A">
            <w:pPr>
              <w:pStyle w:val="DHHStabletext"/>
            </w:pPr>
            <w:r w:rsidRPr="0085314C">
              <w:t>Carer Lived Experience Workforce (CLEW)</w:t>
            </w:r>
          </w:p>
        </w:tc>
        <w:tc>
          <w:tcPr>
            <w:tcW w:w="7435" w:type="dxa"/>
            <w:shd w:val="clear" w:color="auto" w:fill="auto"/>
          </w:tcPr>
          <w:p w14:paraId="51512A2F" w14:textId="77777777" w:rsidR="00F61A49" w:rsidRPr="007656AC" w:rsidRDefault="00F61A49" w:rsidP="00C71A3A">
            <w:pPr>
              <w:pStyle w:val="DHHStabletext"/>
            </w:pPr>
            <w:r>
              <w:t>CLEW i</w:t>
            </w:r>
            <w:r w:rsidRPr="007656AC">
              <w:t xml:space="preserve">s the association of </w:t>
            </w:r>
            <w:r>
              <w:t>c</w:t>
            </w:r>
            <w:r w:rsidRPr="007656AC">
              <w:t xml:space="preserve">arer </w:t>
            </w:r>
            <w:r>
              <w:t>c</w:t>
            </w:r>
            <w:r w:rsidRPr="007656AC">
              <w:t xml:space="preserve">onsultants and </w:t>
            </w:r>
            <w:r>
              <w:t>c</w:t>
            </w:r>
            <w:r w:rsidRPr="007656AC">
              <w:t xml:space="preserve">arer </w:t>
            </w:r>
            <w:r>
              <w:t>p</w:t>
            </w:r>
            <w:r w:rsidRPr="007656AC">
              <w:t xml:space="preserve">eer </w:t>
            </w:r>
            <w:r>
              <w:t>w</w:t>
            </w:r>
            <w:r w:rsidRPr="007656AC">
              <w:t xml:space="preserve">orkers in Victoria. The organisation is </w:t>
            </w:r>
            <w:r>
              <w:t>under the auspices of</w:t>
            </w:r>
            <w:r w:rsidRPr="007656AC">
              <w:t xml:space="preserve"> Tandem.</w:t>
            </w:r>
          </w:p>
          <w:p w14:paraId="31CC3334" w14:textId="77777777" w:rsidR="00F61A49" w:rsidRPr="00F579AB" w:rsidRDefault="00F61A49" w:rsidP="00C71A3A">
            <w:pPr>
              <w:pStyle w:val="DHHStabletext"/>
            </w:pPr>
            <w:r>
              <w:t xml:space="preserve">Contact </w:t>
            </w:r>
            <w:hyperlink r:id="rId30" w:history="1">
              <w:r w:rsidRPr="009C449B">
                <w:rPr>
                  <w:rStyle w:val="Hyperlink"/>
                </w:rPr>
                <w:t>CLEW or individual members</w:t>
              </w:r>
            </w:hyperlink>
            <w:r w:rsidRPr="007656AC">
              <w:t xml:space="preserve"> </w:t>
            </w:r>
            <w:r>
              <w:t>&lt;</w:t>
            </w:r>
            <w:r w:rsidRPr="00801F42">
              <w:t>http://www.tandemcarers.org.au/carer-lived-experience-network.php</w:t>
            </w:r>
            <w:r>
              <w:rPr>
                <w:rFonts w:cs="Arial"/>
              </w:rPr>
              <w:t>&gt;.</w:t>
            </w:r>
          </w:p>
        </w:tc>
      </w:tr>
      <w:tr w:rsidR="00F61A49" w:rsidRPr="00F579AB" w14:paraId="25F128BE" w14:textId="77777777" w:rsidTr="00C71A3A">
        <w:tc>
          <w:tcPr>
            <w:tcW w:w="2317" w:type="dxa"/>
            <w:shd w:val="clear" w:color="auto" w:fill="auto"/>
          </w:tcPr>
          <w:p w14:paraId="678BB2AB" w14:textId="77777777" w:rsidR="00F61A49" w:rsidRPr="00F579AB" w:rsidRDefault="00F61A49" w:rsidP="00C71A3A">
            <w:pPr>
              <w:pStyle w:val="DHHStabletext"/>
            </w:pPr>
            <w:r w:rsidRPr="0085314C">
              <w:t>Centre for Mental Health Learning (CMHL)</w:t>
            </w:r>
          </w:p>
        </w:tc>
        <w:tc>
          <w:tcPr>
            <w:tcW w:w="7435" w:type="dxa"/>
            <w:shd w:val="clear" w:color="auto" w:fill="auto"/>
          </w:tcPr>
          <w:p w14:paraId="75522F6C" w14:textId="77777777" w:rsidR="00F61A49" w:rsidRDefault="00F61A49" w:rsidP="00C71A3A">
            <w:pPr>
              <w:pStyle w:val="DHHStabletext"/>
            </w:pPr>
            <w:r>
              <w:t xml:space="preserve">The department established the CMHL </w:t>
            </w:r>
            <w:r w:rsidRPr="00F579AB">
              <w:t>as the centrepiece for mental health workforce development.</w:t>
            </w:r>
            <w:r>
              <w:t xml:space="preserve"> The </w:t>
            </w:r>
            <w:r w:rsidRPr="00F579AB">
              <w:t xml:space="preserve">CMHL focuses on learning and development activities, practice support resources, research, increased collaboration and access to expertise. </w:t>
            </w:r>
          </w:p>
          <w:p w14:paraId="6CF24941" w14:textId="77777777" w:rsidR="00F61A49" w:rsidRPr="00F579AB" w:rsidRDefault="00F61A49" w:rsidP="00C71A3A">
            <w:pPr>
              <w:pStyle w:val="DHHSbody"/>
            </w:pPr>
            <w:r>
              <w:t xml:space="preserve">Read more about </w:t>
            </w:r>
            <w:hyperlink r:id="rId31" w:history="1">
              <w:r w:rsidRPr="00A748F6">
                <w:rPr>
                  <w:rStyle w:val="Hyperlink"/>
                </w:rPr>
                <w:t>CMHL</w:t>
              </w:r>
            </w:hyperlink>
            <w:r w:rsidRPr="00F579AB">
              <w:t xml:space="preserve"> </w:t>
            </w:r>
            <w:r>
              <w:t>&lt;</w:t>
            </w:r>
            <w:r w:rsidRPr="00801F42">
              <w:t>https://www.cmhl.org.au/</w:t>
            </w:r>
            <w:r>
              <w:rPr>
                <w:rFonts w:cs="Arial"/>
              </w:rPr>
              <w:t>&gt;.</w:t>
            </w:r>
            <w:r>
              <w:t xml:space="preserve"> </w:t>
            </w:r>
          </w:p>
        </w:tc>
      </w:tr>
      <w:tr w:rsidR="00F61A49" w:rsidRPr="00F579AB" w14:paraId="4174306C" w14:textId="77777777" w:rsidTr="00C71A3A">
        <w:tc>
          <w:tcPr>
            <w:tcW w:w="2317" w:type="dxa"/>
            <w:shd w:val="clear" w:color="auto" w:fill="auto"/>
          </w:tcPr>
          <w:p w14:paraId="2FB4CAAE" w14:textId="77777777" w:rsidR="00F61A49" w:rsidRPr="00F579AB" w:rsidRDefault="00F61A49" w:rsidP="00C71A3A">
            <w:pPr>
              <w:pStyle w:val="DHHStabletext"/>
            </w:pPr>
            <w:r>
              <w:t>Consumer and carer academic positions</w:t>
            </w:r>
          </w:p>
        </w:tc>
        <w:tc>
          <w:tcPr>
            <w:tcW w:w="7435" w:type="dxa"/>
            <w:shd w:val="clear" w:color="auto" w:fill="auto"/>
          </w:tcPr>
          <w:p w14:paraId="45D03DE4" w14:textId="77777777" w:rsidR="00F61A49" w:rsidRDefault="00F61A49" w:rsidP="00C71A3A">
            <w:pPr>
              <w:pStyle w:val="DHHStabletext"/>
            </w:pPr>
            <w:r>
              <w:t>The department has established c</w:t>
            </w:r>
            <w:r w:rsidRPr="00F579AB">
              <w:t xml:space="preserve">onsumer and carer academic positions to provide an increased understanding of what it means to live with mental illness, </w:t>
            </w:r>
            <w:r w:rsidRPr="00F579AB">
              <w:lastRenderedPageBreak/>
              <w:t xml:space="preserve">to support and drive practice change, to facilitate research and to deliver training and support. </w:t>
            </w:r>
          </w:p>
          <w:p w14:paraId="60E33502" w14:textId="77777777" w:rsidR="00F61A49" w:rsidRDefault="00F61A49" w:rsidP="00C71A3A">
            <w:pPr>
              <w:pStyle w:val="DHHStabletext"/>
            </w:pPr>
            <w:r>
              <w:t>Read more</w:t>
            </w:r>
            <w:r w:rsidRPr="00F579AB">
              <w:t xml:space="preserve"> about </w:t>
            </w:r>
            <w:hyperlink r:id="rId32" w:history="1">
              <w:r>
                <w:rPr>
                  <w:rStyle w:val="Hyperlink"/>
                </w:rPr>
                <w:t>c</w:t>
              </w:r>
              <w:r w:rsidRPr="00A748F6">
                <w:rPr>
                  <w:rStyle w:val="Hyperlink"/>
                </w:rPr>
                <w:t xml:space="preserve">onsumer </w:t>
              </w:r>
              <w:r>
                <w:rPr>
                  <w:rStyle w:val="Hyperlink"/>
                </w:rPr>
                <w:t>a</w:t>
              </w:r>
              <w:r w:rsidRPr="00A748F6">
                <w:rPr>
                  <w:rStyle w:val="Hyperlink"/>
                </w:rPr>
                <w:t>cademi</w:t>
              </w:r>
              <w:r>
                <w:rPr>
                  <w:rStyle w:val="Hyperlink"/>
                </w:rPr>
                <w:t>cs</w:t>
              </w:r>
            </w:hyperlink>
            <w:r w:rsidRPr="00F579AB">
              <w:t xml:space="preserve"> </w:t>
            </w:r>
            <w:r>
              <w:t>&lt;</w:t>
            </w:r>
            <w:r w:rsidRPr="00F44038">
              <w:t>https://www.findanexpert.unimelb.edu.au/display/person6844</w:t>
            </w:r>
            <w:r>
              <w:rPr>
                <w:rFonts w:cs="Arial"/>
              </w:rPr>
              <w:t>&gt;.</w:t>
            </w:r>
            <w:r w:rsidRPr="00F579AB">
              <w:t xml:space="preserve"> </w:t>
            </w:r>
          </w:p>
          <w:p w14:paraId="07757E1F" w14:textId="77777777" w:rsidR="00F61A49" w:rsidRPr="00F579AB" w:rsidRDefault="00F61A49" w:rsidP="00C71A3A">
            <w:pPr>
              <w:pStyle w:val="DHHStabletext"/>
            </w:pPr>
            <w:r>
              <w:t xml:space="preserve">Read more </w:t>
            </w:r>
            <w:r w:rsidRPr="00F579AB">
              <w:t xml:space="preserve">about </w:t>
            </w:r>
            <w:hyperlink r:id="rId33" w:history="1">
              <w:r>
                <w:rPr>
                  <w:rStyle w:val="Hyperlink"/>
                </w:rPr>
                <w:t>c</w:t>
              </w:r>
              <w:r w:rsidRPr="00A748F6">
                <w:rPr>
                  <w:rStyle w:val="Hyperlink"/>
                </w:rPr>
                <w:t xml:space="preserve">arer </w:t>
              </w:r>
              <w:r>
                <w:rPr>
                  <w:rStyle w:val="Hyperlink"/>
                </w:rPr>
                <w:t>a</w:t>
              </w:r>
              <w:r w:rsidRPr="00A748F6">
                <w:rPr>
                  <w:rStyle w:val="Hyperlink"/>
                </w:rPr>
                <w:t>cademi</w:t>
              </w:r>
              <w:r>
                <w:rPr>
                  <w:rStyle w:val="Hyperlink"/>
                </w:rPr>
                <w:t>cs</w:t>
              </w:r>
            </w:hyperlink>
            <w:r w:rsidRPr="00F579AB">
              <w:t xml:space="preserve"> </w:t>
            </w:r>
            <w:r>
              <w:t>&lt;</w:t>
            </w:r>
            <w:r w:rsidRPr="00F44038">
              <w:t>https://www.bouverie.org.au/research/carer-academic</w:t>
            </w:r>
            <w:r>
              <w:t xml:space="preserve">&gt;. </w:t>
            </w:r>
          </w:p>
        </w:tc>
      </w:tr>
      <w:tr w:rsidR="00F61A49" w:rsidRPr="00F579AB" w14:paraId="5C2AE3E5" w14:textId="77777777" w:rsidTr="00C71A3A">
        <w:tc>
          <w:tcPr>
            <w:tcW w:w="2317" w:type="dxa"/>
            <w:shd w:val="clear" w:color="auto" w:fill="auto"/>
          </w:tcPr>
          <w:p w14:paraId="21726BD0" w14:textId="77777777" w:rsidR="00F61A49" w:rsidRPr="00F579AB" w:rsidRDefault="00F61A49" w:rsidP="00C71A3A">
            <w:pPr>
              <w:pStyle w:val="DHHStabletext"/>
            </w:pPr>
            <w:r w:rsidRPr="00F579AB">
              <w:lastRenderedPageBreak/>
              <w:t xml:space="preserve">Carers Victoria </w:t>
            </w:r>
            <w:r>
              <w:t>h</w:t>
            </w:r>
            <w:r w:rsidRPr="00F579AB">
              <w:t xml:space="preserve">ead </w:t>
            </w:r>
            <w:r>
              <w:t>o</w:t>
            </w:r>
            <w:r w:rsidRPr="00F579AB">
              <w:t>ffice</w:t>
            </w:r>
          </w:p>
          <w:p w14:paraId="3D9ED677" w14:textId="77777777" w:rsidR="00F61A49" w:rsidRPr="00CF76B2" w:rsidRDefault="00F61A49" w:rsidP="00C71A3A">
            <w:pPr>
              <w:pStyle w:val="DHHStabletext"/>
              <w:rPr>
                <w:b/>
              </w:rPr>
            </w:pPr>
          </w:p>
        </w:tc>
        <w:tc>
          <w:tcPr>
            <w:tcW w:w="7435" w:type="dxa"/>
            <w:shd w:val="clear" w:color="auto" w:fill="auto"/>
          </w:tcPr>
          <w:p w14:paraId="11966D26" w14:textId="77777777" w:rsidR="00F61A49" w:rsidRPr="00CF76B2" w:rsidRDefault="003244BA" w:rsidP="00C71A3A">
            <w:pPr>
              <w:pStyle w:val="DHHStabletext"/>
              <w:rPr>
                <w:rStyle w:val="Hyperlink"/>
                <w:rFonts w:cs="Arial"/>
              </w:rPr>
            </w:pPr>
            <w:hyperlink r:id="rId34" w:history="1">
              <w:r w:rsidR="00F61A49" w:rsidRPr="00A748F6">
                <w:rPr>
                  <w:rStyle w:val="Hyperlink"/>
                </w:rPr>
                <w:t>Carers Victoria</w:t>
              </w:r>
            </w:hyperlink>
            <w:r w:rsidR="00F61A49" w:rsidRPr="00B56BDF">
              <w:rPr>
                <w:rFonts w:cs="Arial"/>
              </w:rPr>
              <w:t xml:space="preserve"> </w:t>
            </w:r>
            <w:r w:rsidR="00F61A49">
              <w:rPr>
                <w:rFonts w:cs="Arial"/>
              </w:rPr>
              <w:t>&lt;</w:t>
            </w:r>
            <w:r w:rsidR="00F61A49" w:rsidRPr="00B56BDF">
              <w:rPr>
                <w:rFonts w:cs="Arial"/>
              </w:rPr>
              <w:t>http://www.carersvictoria.org.au/</w:t>
            </w:r>
            <w:r w:rsidR="00F61A49">
              <w:rPr>
                <w:rFonts w:cs="Arial"/>
              </w:rPr>
              <w:t>&gt;</w:t>
            </w:r>
            <w:r w:rsidR="00F61A49" w:rsidRPr="00F579AB">
              <w:t xml:space="preserve"> is the peak body providing support to carers in Victoria. </w:t>
            </w:r>
          </w:p>
          <w:p w14:paraId="52E5FD15" w14:textId="77777777" w:rsidR="00F61A49" w:rsidRPr="00F579AB" w:rsidRDefault="00F61A49" w:rsidP="00C71A3A">
            <w:pPr>
              <w:pStyle w:val="DHHStabletext"/>
            </w:pPr>
            <w:r w:rsidRPr="007656AC">
              <w:t>Carer Victoria works closely with government and other support organisations to improve the lives of carin</w:t>
            </w:r>
            <w:r>
              <w:t>g families throughout Victoria.</w:t>
            </w:r>
          </w:p>
        </w:tc>
      </w:tr>
      <w:tr w:rsidR="00F61A49" w:rsidRPr="00F579AB" w14:paraId="6CFF5ACE" w14:textId="77777777" w:rsidTr="00C71A3A">
        <w:tc>
          <w:tcPr>
            <w:tcW w:w="2317" w:type="dxa"/>
            <w:shd w:val="clear" w:color="auto" w:fill="auto"/>
          </w:tcPr>
          <w:p w14:paraId="7475BD27" w14:textId="77777777" w:rsidR="00F61A49" w:rsidRPr="00F579AB" w:rsidRDefault="00F61A49" w:rsidP="00C71A3A">
            <w:pPr>
              <w:pStyle w:val="DHHStabletext"/>
            </w:pPr>
            <w:r w:rsidRPr="00DE7928">
              <w:t>Consumer and carer consultant positions</w:t>
            </w:r>
          </w:p>
        </w:tc>
        <w:tc>
          <w:tcPr>
            <w:tcW w:w="7435" w:type="dxa"/>
            <w:shd w:val="clear" w:color="auto" w:fill="auto"/>
          </w:tcPr>
          <w:p w14:paraId="63E66FC3" w14:textId="77777777" w:rsidR="00F61A49" w:rsidRDefault="00F61A49" w:rsidP="00C71A3A">
            <w:pPr>
              <w:pStyle w:val="DHHStabletext"/>
            </w:pPr>
            <w:r>
              <w:t xml:space="preserve">The department funds consumer and carer consultant positions across the tertiary mental health system to provide systemic advocacy. </w:t>
            </w:r>
          </w:p>
          <w:p w14:paraId="1A5A6994" w14:textId="77777777" w:rsidR="00F61A49" w:rsidRDefault="00F61A49" w:rsidP="00C71A3A">
            <w:pPr>
              <w:pStyle w:val="DHHStabletext"/>
            </w:pPr>
            <w:r>
              <w:t xml:space="preserve">These roles are not to be confused with peer workers, who provide individual advocacy. </w:t>
            </w:r>
          </w:p>
          <w:p w14:paraId="19910F29" w14:textId="77777777" w:rsidR="00F61A49" w:rsidRPr="00F579AB" w:rsidRDefault="00F61A49" w:rsidP="00C71A3A">
            <w:pPr>
              <w:pStyle w:val="DHHStabletext"/>
            </w:pPr>
            <w:r>
              <w:t xml:space="preserve">Contact </w:t>
            </w:r>
            <w:hyperlink r:id="rId35" w:history="1">
              <w:r w:rsidRPr="00A748F6">
                <w:rPr>
                  <w:rStyle w:val="Hyperlink"/>
                </w:rPr>
                <w:t>consumer and carer consultants</w:t>
              </w:r>
            </w:hyperlink>
            <w:r>
              <w:t xml:space="preserve"> &lt;</w:t>
            </w:r>
            <w:r w:rsidRPr="00801F42">
              <w:t>http://www.health.vic.gov.au/mentalhealthservices/approved.htm</w:t>
            </w:r>
            <w:r>
              <w:t>&gt;.</w:t>
            </w:r>
          </w:p>
        </w:tc>
      </w:tr>
      <w:tr w:rsidR="00F61A49" w:rsidRPr="00F579AB" w14:paraId="5CEA56AE" w14:textId="77777777" w:rsidTr="00C71A3A">
        <w:tc>
          <w:tcPr>
            <w:tcW w:w="2317" w:type="dxa"/>
            <w:shd w:val="clear" w:color="auto" w:fill="auto"/>
          </w:tcPr>
          <w:p w14:paraId="1B4B728C" w14:textId="77777777" w:rsidR="00F61A49" w:rsidRDefault="00F61A49" w:rsidP="00C71A3A">
            <w:pPr>
              <w:pStyle w:val="DHHStabletext"/>
            </w:pPr>
            <w:r>
              <w:t xml:space="preserve">Senior Consumer Advisor </w:t>
            </w:r>
          </w:p>
          <w:p w14:paraId="387612F1" w14:textId="77777777" w:rsidR="00F61A49" w:rsidRDefault="00F61A49" w:rsidP="00C71A3A">
            <w:pPr>
              <w:pStyle w:val="DHHStabletext"/>
            </w:pPr>
            <w:r>
              <w:t xml:space="preserve">and </w:t>
            </w:r>
          </w:p>
          <w:p w14:paraId="24C1763A" w14:textId="77777777" w:rsidR="00F61A49" w:rsidRPr="00CF76B2" w:rsidRDefault="00F61A49" w:rsidP="00C71A3A">
            <w:pPr>
              <w:pStyle w:val="DHHStabletext"/>
              <w:rPr>
                <w:highlight w:val="yellow"/>
              </w:rPr>
            </w:pPr>
            <w:r>
              <w:t>Senior Carer Advisor, Mental Health Branch</w:t>
            </w:r>
          </w:p>
        </w:tc>
        <w:tc>
          <w:tcPr>
            <w:tcW w:w="7435" w:type="dxa"/>
            <w:shd w:val="clear" w:color="auto" w:fill="auto"/>
          </w:tcPr>
          <w:p w14:paraId="2CE15E45" w14:textId="77777777" w:rsidR="00F61A49" w:rsidRDefault="00F61A49" w:rsidP="00C71A3A">
            <w:pPr>
              <w:pStyle w:val="DHHStabletext"/>
            </w:pPr>
            <w:r w:rsidRPr="00DE7928">
              <w:t>The Senior Consumer Advisor and Senior Carer Advisor in the Mental Health Branch are available to consult on mental health clinical practice and leadership issues that relate to the statutory obligations of the Of</w:t>
            </w:r>
            <w:r>
              <w:t>fice of the Chief Psychiatrist.</w:t>
            </w:r>
          </w:p>
        </w:tc>
      </w:tr>
      <w:tr w:rsidR="00F61A49" w:rsidRPr="00F579AB" w14:paraId="31F93D86" w14:textId="77777777" w:rsidTr="00C71A3A">
        <w:tc>
          <w:tcPr>
            <w:tcW w:w="2317" w:type="dxa"/>
            <w:shd w:val="clear" w:color="auto" w:fill="auto"/>
          </w:tcPr>
          <w:p w14:paraId="250C3458" w14:textId="77777777" w:rsidR="00F61A49" w:rsidRDefault="00F61A49" w:rsidP="00C71A3A">
            <w:pPr>
              <w:pStyle w:val="DHHStabletext"/>
            </w:pPr>
            <w:r w:rsidRPr="00F15FD7">
              <w:t xml:space="preserve">Consumer and </w:t>
            </w:r>
            <w:r>
              <w:t>c</w:t>
            </w:r>
            <w:r w:rsidRPr="00F15FD7">
              <w:t xml:space="preserve">arer </w:t>
            </w:r>
            <w:r>
              <w:t>w</w:t>
            </w:r>
            <w:r w:rsidRPr="00F15FD7">
              <w:t xml:space="preserve">orkforce </w:t>
            </w:r>
            <w:r>
              <w:t>d</w:t>
            </w:r>
            <w:r w:rsidRPr="00F15FD7">
              <w:t xml:space="preserve">evelopment </w:t>
            </w:r>
            <w:r>
              <w:t>o</w:t>
            </w:r>
            <w:r w:rsidRPr="00F15FD7">
              <w:t>fficers</w:t>
            </w:r>
          </w:p>
        </w:tc>
        <w:tc>
          <w:tcPr>
            <w:tcW w:w="7435" w:type="dxa"/>
            <w:shd w:val="clear" w:color="auto" w:fill="auto"/>
          </w:tcPr>
          <w:p w14:paraId="6040D35B" w14:textId="77777777" w:rsidR="00F61A49" w:rsidRDefault="00F61A49" w:rsidP="00C71A3A">
            <w:pPr>
              <w:pStyle w:val="DHHStabletext"/>
            </w:pPr>
            <w:r>
              <w:t>Workforce development officers can assist with projects that relate specifically to lived experience workforce issues.</w:t>
            </w:r>
          </w:p>
        </w:tc>
      </w:tr>
      <w:tr w:rsidR="00F61A49" w:rsidRPr="00F579AB" w14:paraId="04CBDFAC" w14:textId="77777777" w:rsidTr="00C71A3A">
        <w:tc>
          <w:tcPr>
            <w:tcW w:w="2317" w:type="dxa"/>
            <w:shd w:val="clear" w:color="auto" w:fill="auto"/>
          </w:tcPr>
          <w:p w14:paraId="41BA13FF" w14:textId="77777777" w:rsidR="00F61A49" w:rsidRDefault="00F61A49" w:rsidP="00C71A3A">
            <w:pPr>
              <w:pStyle w:val="DHHStabletext"/>
            </w:pPr>
            <w:r>
              <w:t>Lived Experience Engagement team, Mental Health Branch</w:t>
            </w:r>
          </w:p>
        </w:tc>
        <w:tc>
          <w:tcPr>
            <w:tcW w:w="7435" w:type="dxa"/>
            <w:shd w:val="clear" w:color="auto" w:fill="auto"/>
          </w:tcPr>
          <w:p w14:paraId="5DA60C43" w14:textId="77777777" w:rsidR="00583BA4" w:rsidRDefault="00583BA4" w:rsidP="00583BA4">
            <w:pPr>
              <w:pStyle w:val="DHHStabletext"/>
            </w:pPr>
            <w:r w:rsidRPr="00583BA4">
              <w:t xml:space="preserve">The </w:t>
            </w:r>
            <w:r>
              <w:t xml:space="preserve">Lived Experience Engagement team is responsible for building the department’s capacity to engage people with lived experience of mental illness. The team facilitates connection with consumers and carers, oversees the participation registers, provides advice, supports the Lived Experience Advisory Group, and is involved in developing and maintaining key measures for people’s experience of the mental health system. </w:t>
            </w:r>
          </w:p>
          <w:p w14:paraId="46314CB1" w14:textId="77777777" w:rsidR="00583BA4" w:rsidRPr="00583BA4" w:rsidRDefault="00583BA4" w:rsidP="00583BA4">
            <w:pPr>
              <w:pStyle w:val="DHHStabletext"/>
            </w:pPr>
            <w:r>
              <w:t>The team is the key departmental contact for VMIAC, Tandem, the Mental Health Foundation Australia, Our Community and Independent Mental Health Advocacy.</w:t>
            </w:r>
          </w:p>
          <w:p w14:paraId="3A9BC470" w14:textId="67936ADC" w:rsidR="00F61A49" w:rsidRPr="00D9569D" w:rsidRDefault="00583BA4" w:rsidP="00C71A3A">
            <w:pPr>
              <w:pStyle w:val="DHHStabletext"/>
            </w:pPr>
            <w:r>
              <w:t>.</w:t>
            </w:r>
          </w:p>
        </w:tc>
      </w:tr>
      <w:tr w:rsidR="00F61A49" w:rsidRPr="00F579AB" w14:paraId="171A9693" w14:textId="77777777" w:rsidTr="00C71A3A">
        <w:tc>
          <w:tcPr>
            <w:tcW w:w="2317" w:type="dxa"/>
            <w:shd w:val="clear" w:color="auto" w:fill="auto"/>
          </w:tcPr>
          <w:p w14:paraId="1C507AF1" w14:textId="77777777" w:rsidR="00F61A49" w:rsidRPr="00AF3580" w:rsidRDefault="00F61A49" w:rsidP="00C71A3A">
            <w:pPr>
              <w:pStyle w:val="DHHStabletext"/>
            </w:pPr>
            <w:r w:rsidRPr="00AF3580">
              <w:t>Stakeholder Engagement Unit</w:t>
            </w:r>
          </w:p>
          <w:p w14:paraId="56891E88" w14:textId="77777777" w:rsidR="00F61A49" w:rsidRPr="00CF76B2" w:rsidRDefault="00F61A49" w:rsidP="00C71A3A">
            <w:pPr>
              <w:pStyle w:val="DHHStabletext"/>
              <w:rPr>
                <w:b/>
                <w:highlight w:val="yellow"/>
              </w:rPr>
            </w:pPr>
          </w:p>
        </w:tc>
        <w:tc>
          <w:tcPr>
            <w:tcW w:w="7435" w:type="dxa"/>
            <w:shd w:val="clear" w:color="auto" w:fill="auto"/>
          </w:tcPr>
          <w:p w14:paraId="65651CF9" w14:textId="77777777" w:rsidR="00F61A49" w:rsidRDefault="00F61A49" w:rsidP="00C71A3A">
            <w:pPr>
              <w:pStyle w:val="DHHStabletext"/>
            </w:pPr>
            <w:r>
              <w:t xml:space="preserve">The department recognises that many program and policy areas are already implementing a range of engagement strategies including co-design and co-production. </w:t>
            </w:r>
          </w:p>
          <w:p w14:paraId="731566ED" w14:textId="77777777" w:rsidR="00F61A49" w:rsidRDefault="00F61A49" w:rsidP="00C71A3A">
            <w:pPr>
              <w:pStyle w:val="DHHStabletext"/>
            </w:pPr>
            <w:r>
              <w:t xml:space="preserve">The Stakeholder Engagement Unit works across the department to </w:t>
            </w:r>
            <w:r w:rsidRPr="003859E4">
              <w:t xml:space="preserve">strengthen </w:t>
            </w:r>
            <w:r>
              <w:t xml:space="preserve">the department’s </w:t>
            </w:r>
            <w:r w:rsidRPr="003859E4">
              <w:t>engagement and public participation capability</w:t>
            </w:r>
            <w:r>
              <w:t>. It</w:t>
            </w:r>
            <w:r w:rsidRPr="003859E4">
              <w:t xml:space="preserve"> </w:t>
            </w:r>
            <w:r>
              <w:t xml:space="preserve">has a range of resources available to support engagement and to clarify how to best approach any engagement project or activity. </w:t>
            </w:r>
          </w:p>
        </w:tc>
      </w:tr>
    </w:tbl>
    <w:p w14:paraId="720F3E45" w14:textId="77777777" w:rsidR="00F61A49" w:rsidRPr="00E7648A" w:rsidRDefault="00F61A49" w:rsidP="00F61A49">
      <w:pPr>
        <w:pStyle w:val="Heading2"/>
      </w:pPr>
      <w:bookmarkStart w:id="52" w:name="_Toc534374318"/>
      <w:bookmarkStart w:id="53" w:name="_Toc13830205"/>
      <w:r w:rsidRPr="00E7648A">
        <w:t>Engage Vic</w:t>
      </w:r>
      <w:bookmarkEnd w:id="52"/>
      <w:bookmarkEnd w:id="53"/>
    </w:p>
    <w:p w14:paraId="4DD4D819" w14:textId="77777777" w:rsidR="00F61A49" w:rsidRPr="003A6E8E" w:rsidRDefault="00F61A49" w:rsidP="00F61A49">
      <w:pPr>
        <w:pStyle w:val="DHHSbody"/>
      </w:pPr>
      <w:r w:rsidRPr="00374B78">
        <w:t>Victorian government departments and agencies can use the </w:t>
      </w:r>
      <w:hyperlink r:id="rId36" w:history="1">
        <w:r w:rsidRPr="00801F42">
          <w:rPr>
            <w:rStyle w:val="Hyperlink"/>
          </w:rPr>
          <w:t>Engage Vic</w:t>
        </w:r>
        <w:r w:rsidRPr="00A748F6">
          <w:rPr>
            <w:rStyle w:val="Hyperlink"/>
          </w:rPr>
          <w:t xml:space="preserve"> online platform</w:t>
        </w:r>
      </w:hyperlink>
      <w:r>
        <w:t xml:space="preserve"> &lt;</w:t>
      </w:r>
      <w:r w:rsidRPr="00A748F6">
        <w:t>https://engage.vic.gov.au/</w:t>
      </w:r>
      <w:r>
        <w:t xml:space="preserve">&gt; to run public consultations. </w:t>
      </w:r>
      <w:r w:rsidRPr="000967C3">
        <w:t xml:space="preserve">The platform </w:t>
      </w:r>
      <w:r>
        <w:t>includes the following</w:t>
      </w:r>
      <w:r w:rsidRPr="000967C3">
        <w:t xml:space="preserve"> tools:</w:t>
      </w:r>
      <w:r>
        <w:t xml:space="preserve"> </w:t>
      </w:r>
    </w:p>
    <w:p w14:paraId="79731ACF" w14:textId="77777777" w:rsidR="00F61A49" w:rsidRPr="0090785E" w:rsidRDefault="00F61A49" w:rsidP="00F61A49">
      <w:pPr>
        <w:pStyle w:val="DHHSbullet1"/>
      </w:pPr>
      <w:r w:rsidRPr="0090785E">
        <w:t>online for</w:t>
      </w:r>
      <w:r>
        <w:t>a</w:t>
      </w:r>
      <w:r w:rsidRPr="0090785E">
        <w:t xml:space="preserve"> </w:t>
      </w:r>
    </w:p>
    <w:p w14:paraId="4FD86E56" w14:textId="77777777" w:rsidR="00F61A49" w:rsidRPr="0090785E" w:rsidRDefault="00F61A49" w:rsidP="00F61A49">
      <w:pPr>
        <w:pStyle w:val="DHHSbullet1"/>
      </w:pPr>
      <w:r w:rsidRPr="0090785E">
        <w:t>idea</w:t>
      </w:r>
      <w:r>
        <w:t>-</w:t>
      </w:r>
      <w:r w:rsidRPr="0090785E">
        <w:t xml:space="preserve">generation tools </w:t>
      </w:r>
    </w:p>
    <w:p w14:paraId="3D0DABE3" w14:textId="77777777" w:rsidR="00F61A49" w:rsidRPr="0090785E" w:rsidRDefault="00F61A49" w:rsidP="00F61A49">
      <w:pPr>
        <w:pStyle w:val="DHHSbullet1"/>
      </w:pPr>
      <w:r w:rsidRPr="0090785E">
        <w:t>simple polls and surveys</w:t>
      </w:r>
    </w:p>
    <w:p w14:paraId="50880AB7" w14:textId="77777777" w:rsidR="00F61A49" w:rsidRPr="0090785E" w:rsidRDefault="00F61A49" w:rsidP="00F61A49">
      <w:pPr>
        <w:pStyle w:val="DHHSbullet1"/>
      </w:pPr>
      <w:r w:rsidRPr="0090785E">
        <w:t xml:space="preserve">visual timelines </w:t>
      </w:r>
    </w:p>
    <w:p w14:paraId="0E0FF3DD" w14:textId="77777777" w:rsidR="00F61A49" w:rsidRPr="0090785E" w:rsidRDefault="00F61A49" w:rsidP="00F61A49">
      <w:pPr>
        <w:pStyle w:val="DHHSbullet1lastline"/>
      </w:pPr>
      <w:r w:rsidRPr="0090785E">
        <w:lastRenderedPageBreak/>
        <w:t xml:space="preserve">photo and video galleries. </w:t>
      </w:r>
    </w:p>
    <w:p w14:paraId="150B0F8C" w14:textId="77777777" w:rsidR="00F61A49" w:rsidRDefault="00F61A49" w:rsidP="00F61A49">
      <w:pPr>
        <w:pStyle w:val="DHHSbody"/>
      </w:pPr>
      <w:r>
        <w:t xml:space="preserve">The </w:t>
      </w:r>
      <w:r w:rsidRPr="000967C3">
        <w:t>Departm</w:t>
      </w:r>
      <w:r>
        <w:t xml:space="preserve">ent of Premier and Cabinet manages the whole-of-Victorian Government platform. The department’s </w:t>
      </w:r>
      <w:r w:rsidRPr="003A6E8E">
        <w:t>Digital</w:t>
      </w:r>
      <w:r>
        <w:t xml:space="preserve"> </w:t>
      </w:r>
      <w:r w:rsidRPr="003A6E8E">
        <w:rPr>
          <w:lang w:eastAsia="en-AU"/>
        </w:rPr>
        <w:t>Engagement</w:t>
      </w:r>
      <w:r>
        <w:t xml:space="preserve"> and Strategy team is the first point of contact and is available to provide advice and assistance for program areas wanting to use Engage Vic.</w:t>
      </w:r>
    </w:p>
    <w:p w14:paraId="6460326B" w14:textId="77777777" w:rsidR="00F61A49" w:rsidRDefault="00F61A49" w:rsidP="00F61A49">
      <w:pPr>
        <w:pStyle w:val="DHHSbody"/>
      </w:pPr>
      <w:r>
        <w:t>The principles, planning guidelines, consultation strategy t</w:t>
      </w:r>
      <w:r w:rsidRPr="00F57AA1">
        <w:t>emplates</w:t>
      </w:r>
      <w:r>
        <w:t xml:space="preserve"> and additional information</w:t>
      </w:r>
      <w:r w:rsidRPr="003A6E8E">
        <w:t xml:space="preserve"> to support </w:t>
      </w:r>
      <w:r w:rsidRPr="00F44038">
        <w:t>online consultation planning</w:t>
      </w:r>
      <w:r>
        <w:t xml:space="preserve"> are available on </w:t>
      </w:r>
      <w:hyperlink r:id="rId37" w:history="1">
        <w:r w:rsidRPr="00A748F6">
          <w:rPr>
            <w:rStyle w:val="Hyperlink"/>
          </w:rPr>
          <w:t>the department’s intranet</w:t>
        </w:r>
      </w:hyperlink>
      <w:r>
        <w:t xml:space="preserve"> &lt;</w:t>
      </w:r>
      <w:r w:rsidRPr="00F44038">
        <w:t>https://intranet.dhhs.vic.gov.au/online-consultations</w:t>
      </w:r>
      <w:r>
        <w:t>&gt;.</w:t>
      </w:r>
    </w:p>
    <w:p w14:paraId="597B146D" w14:textId="77777777" w:rsidR="00F61A49" w:rsidRPr="007C5778" w:rsidRDefault="00F61A49" w:rsidP="00F61A49">
      <w:pPr>
        <w:pStyle w:val="Heading2"/>
      </w:pPr>
      <w:bookmarkStart w:id="54" w:name="_Toc534374319"/>
      <w:bookmarkStart w:id="55" w:name="_Toc13830206"/>
      <w:r w:rsidRPr="007C5778">
        <w:t xml:space="preserve">Stakeholder </w:t>
      </w:r>
      <w:r>
        <w:t>e</w:t>
      </w:r>
      <w:r w:rsidRPr="007C5778">
        <w:t xml:space="preserve">ngagement </w:t>
      </w:r>
      <w:r>
        <w:t>t</w:t>
      </w:r>
      <w:r w:rsidRPr="007C5778">
        <w:t>oolkit</w:t>
      </w:r>
      <w:bookmarkEnd w:id="54"/>
      <w:bookmarkEnd w:id="55"/>
      <w:r w:rsidRPr="007C5778">
        <w:t xml:space="preserve"> </w:t>
      </w:r>
    </w:p>
    <w:p w14:paraId="61CB8677" w14:textId="77777777" w:rsidR="00F61A49" w:rsidRDefault="00F61A49" w:rsidP="00F61A49">
      <w:pPr>
        <w:pStyle w:val="DHHSbody"/>
      </w:pPr>
      <w:r>
        <w:t xml:space="preserve">The Stakeholder Engagement Unit developed the departmental </w:t>
      </w:r>
      <w:hyperlink r:id="rId38" w:history="1">
        <w:r w:rsidRPr="00801F42">
          <w:rPr>
            <w:rStyle w:val="Hyperlink"/>
          </w:rPr>
          <w:t xml:space="preserve">Stakeholder </w:t>
        </w:r>
        <w:r w:rsidRPr="0004250E">
          <w:rPr>
            <w:rStyle w:val="Hyperlink"/>
            <w:i/>
          </w:rPr>
          <w:t>e</w:t>
        </w:r>
        <w:r w:rsidRPr="00801F42">
          <w:rPr>
            <w:rStyle w:val="Hyperlink"/>
          </w:rPr>
          <w:t xml:space="preserve">ngagement </w:t>
        </w:r>
        <w:r w:rsidRPr="0004250E">
          <w:rPr>
            <w:rStyle w:val="Hyperlink"/>
            <w:i/>
          </w:rPr>
          <w:t>t</w:t>
        </w:r>
        <w:r w:rsidRPr="00801F42">
          <w:rPr>
            <w:rStyle w:val="Hyperlink"/>
          </w:rPr>
          <w:t>oolkit</w:t>
        </w:r>
      </w:hyperlink>
      <w:r>
        <w:t xml:space="preserve"> </w:t>
      </w:r>
      <w:r w:rsidRPr="00801F42">
        <w:t>&lt;https://intranet.dhhs.vic.gov.au/stakeholder-engagement</w:t>
      </w:r>
      <w:r>
        <w:rPr>
          <w:rFonts w:cs="Arial"/>
        </w:rPr>
        <w:t>&gt;</w:t>
      </w:r>
      <w:r>
        <w:t xml:space="preserve"> as a practical guide to help staff plan and conduct each step of their project in line with our engagement principles. This toolkit includes several useful templates to support each step of engagement planning and delivery.</w:t>
      </w:r>
    </w:p>
    <w:p w14:paraId="57F28082" w14:textId="63684581" w:rsidR="00F61A49" w:rsidRPr="0017323F" w:rsidRDefault="00F61A49" w:rsidP="00F61A49">
      <w:pPr>
        <w:pStyle w:val="Heading1"/>
      </w:pPr>
      <w:r>
        <w:rPr>
          <w:rStyle w:val="CommentReference"/>
          <w:rFonts w:eastAsia="Times"/>
          <w:sz w:val="40"/>
          <w:szCs w:val="28"/>
        </w:rPr>
        <w:br w:type="page"/>
      </w:r>
      <w:bookmarkStart w:id="56" w:name="_Toc534374320"/>
      <w:bookmarkStart w:id="57" w:name="_Toc13830207"/>
      <w:r>
        <w:rPr>
          <w:rStyle w:val="CommentReference"/>
          <w:rFonts w:eastAsia="Times"/>
          <w:sz w:val="40"/>
          <w:szCs w:val="28"/>
        </w:rPr>
        <w:lastRenderedPageBreak/>
        <w:t>Appendix</w:t>
      </w:r>
      <w:r w:rsidR="006F1FF0">
        <w:rPr>
          <w:rStyle w:val="CommentReference"/>
          <w:rFonts w:eastAsia="Times"/>
          <w:sz w:val="40"/>
          <w:szCs w:val="28"/>
        </w:rPr>
        <w:t xml:space="preserve"> 1</w:t>
      </w:r>
      <w:r>
        <w:rPr>
          <w:rStyle w:val="CommentReference"/>
          <w:rFonts w:eastAsia="Times"/>
          <w:sz w:val="40"/>
          <w:szCs w:val="28"/>
        </w:rPr>
        <w:t>: Further e</w:t>
      </w:r>
      <w:r w:rsidRPr="00DE7928">
        <w:t>ngagement resources</w:t>
      </w:r>
      <w:bookmarkEnd w:id="56"/>
      <w:bookmarkEnd w:id="57"/>
    </w:p>
    <w:p w14:paraId="0D38F00B" w14:textId="77777777" w:rsidR="00F61A49" w:rsidRDefault="00F61A49" w:rsidP="00F61A49">
      <w:pPr>
        <w:pStyle w:val="DHHSbody"/>
      </w:pPr>
      <w:r w:rsidRPr="00B80DE7">
        <w:t>There are several external organisations specialis</w:t>
      </w:r>
      <w:r>
        <w:t>ing</w:t>
      </w:r>
      <w:r w:rsidRPr="00B80DE7">
        <w:t xml:space="preserve"> in </w:t>
      </w:r>
      <w:r>
        <w:t>lived experience and stakeholder</w:t>
      </w:r>
      <w:r w:rsidRPr="00B80DE7">
        <w:t xml:space="preserve"> engagement</w:t>
      </w:r>
      <w:r>
        <w:t>. Each may offer resources, training and</w:t>
      </w:r>
      <w:r w:rsidRPr="00B80DE7">
        <w:t xml:space="preserve"> </w:t>
      </w:r>
      <w:r>
        <w:t>methodologies to</w:t>
      </w:r>
      <w:r w:rsidRPr="00B80DE7">
        <w:t xml:space="preserve"> support</w:t>
      </w:r>
      <w:r>
        <w:t xml:space="preserve"> your departmental</w:t>
      </w:r>
      <w:r w:rsidRPr="00B80DE7">
        <w:t xml:space="preserve"> </w:t>
      </w:r>
      <w:r>
        <w:t>engagement project.</w:t>
      </w:r>
    </w:p>
    <w:p w14:paraId="5C5D904A" w14:textId="77777777" w:rsidR="00F61A49" w:rsidRPr="009D3FD7" w:rsidRDefault="003244BA" w:rsidP="00F61A49">
      <w:pPr>
        <w:pStyle w:val="DHHSbody"/>
      </w:pPr>
      <w:hyperlink r:id="rId39" w:history="1">
        <w:r w:rsidR="00F61A49" w:rsidRPr="009D3FD7">
          <w:rPr>
            <w:rStyle w:val="Hyperlink"/>
          </w:rPr>
          <w:t>Mosaic lab</w:t>
        </w:r>
      </w:hyperlink>
      <w:r w:rsidR="00F61A49">
        <w:t xml:space="preserve"> &lt;</w:t>
      </w:r>
      <w:r w:rsidR="00F61A49" w:rsidRPr="009D3FD7">
        <w:t>https://www.mosaiclab.com.au/</w:t>
      </w:r>
      <w:r w:rsidR="00F61A49">
        <w:t>&gt;</w:t>
      </w:r>
    </w:p>
    <w:p w14:paraId="0C754CDD" w14:textId="77777777" w:rsidR="00F61A49" w:rsidRPr="009D3FD7" w:rsidRDefault="003244BA" w:rsidP="00F61A49">
      <w:pPr>
        <w:pStyle w:val="DHHSbody"/>
      </w:pPr>
      <w:hyperlink r:id="rId40" w:history="1">
        <w:r w:rsidR="00F61A49" w:rsidRPr="009D3FD7">
          <w:rPr>
            <w:rStyle w:val="Hyperlink"/>
          </w:rPr>
          <w:t>The Australian Centre for Social Innovation (TACSI)</w:t>
        </w:r>
      </w:hyperlink>
      <w:r w:rsidR="00F61A49">
        <w:t xml:space="preserve"> &lt;</w:t>
      </w:r>
      <w:r w:rsidR="00F61A49" w:rsidRPr="009D3FD7">
        <w:t>https://www.tacsi.org.au/</w:t>
      </w:r>
      <w:r w:rsidR="00F61A49">
        <w:t>&gt;</w:t>
      </w:r>
    </w:p>
    <w:p w14:paraId="0B1275EE" w14:textId="77777777" w:rsidR="00F61A49" w:rsidRPr="009D3FD7" w:rsidRDefault="003244BA" w:rsidP="00F61A49">
      <w:pPr>
        <w:pStyle w:val="DHHSbody"/>
      </w:pPr>
      <w:hyperlink r:id="rId41" w:history="1">
        <w:r w:rsidR="00F61A49" w:rsidRPr="009D3FD7">
          <w:rPr>
            <w:rStyle w:val="Hyperlink"/>
          </w:rPr>
          <w:t>Peer Academy</w:t>
        </w:r>
      </w:hyperlink>
      <w:r w:rsidR="00F61A49">
        <w:t xml:space="preserve"> &lt;</w:t>
      </w:r>
      <w:r w:rsidR="00F61A49" w:rsidRPr="009D3FD7">
        <w:t>https://peeracademy.com/</w:t>
      </w:r>
      <w:r w:rsidR="00F61A49">
        <w:t>&gt;</w:t>
      </w:r>
    </w:p>
    <w:p w14:paraId="5E42F56A" w14:textId="77777777" w:rsidR="00F61A49" w:rsidRPr="009D3FD7" w:rsidRDefault="003244BA" w:rsidP="00F61A49">
      <w:pPr>
        <w:pStyle w:val="DHHSbody"/>
        <w:rPr>
          <w:rStyle w:val="Hyperlink"/>
          <w:color w:val="auto"/>
          <w:u w:val="none"/>
        </w:rPr>
      </w:pPr>
      <w:hyperlink r:id="rId42" w:history="1">
        <w:r w:rsidR="00F61A49" w:rsidRPr="009D3FD7">
          <w:rPr>
            <w:rStyle w:val="Hyperlink"/>
          </w:rPr>
          <w:t>Mental Health Experience Co-Design (MHECO)</w:t>
        </w:r>
      </w:hyperlink>
      <w:r w:rsidR="00F61A49">
        <w:t xml:space="preserve"> &lt;</w:t>
      </w:r>
      <w:r w:rsidR="00F61A49" w:rsidRPr="009D3FD7">
        <w:t>http://mheco.org.au/</w:t>
      </w:r>
      <w:r w:rsidR="00F61A49">
        <w:t>&gt;</w:t>
      </w:r>
    </w:p>
    <w:p w14:paraId="49CDC810" w14:textId="77777777" w:rsidR="00F61A49" w:rsidRPr="009D3FD7" w:rsidRDefault="003244BA" w:rsidP="00F61A49">
      <w:pPr>
        <w:pStyle w:val="DHHSbody"/>
      </w:pPr>
      <w:hyperlink r:id="rId43" w:history="1">
        <w:r w:rsidR="00F61A49" w:rsidRPr="009D3FD7">
          <w:rPr>
            <w:rStyle w:val="Hyperlink"/>
          </w:rPr>
          <w:t>Portable</w:t>
        </w:r>
      </w:hyperlink>
      <w:r w:rsidR="00F61A49">
        <w:t xml:space="preserve"> &lt;</w:t>
      </w:r>
      <w:r w:rsidR="00F61A49" w:rsidRPr="009D3FD7">
        <w:t>http://www.portablestudios.com.au/</w:t>
      </w:r>
      <w:r w:rsidR="00F61A49">
        <w:t>&gt;</w:t>
      </w:r>
    </w:p>
    <w:p w14:paraId="7680DE82" w14:textId="77777777" w:rsidR="00F61A49" w:rsidRPr="009D3FD7" w:rsidRDefault="003244BA" w:rsidP="00F61A49">
      <w:pPr>
        <w:pStyle w:val="DHHSbody"/>
        <w:rPr>
          <w:rStyle w:val="Hyperlink"/>
          <w:color w:val="auto"/>
          <w:u w:val="none"/>
        </w:rPr>
      </w:pPr>
      <w:hyperlink r:id="rId44" w:history="1">
        <w:r w:rsidR="00F61A49" w:rsidRPr="009D3FD7">
          <w:rPr>
            <w:rStyle w:val="Hyperlink"/>
          </w:rPr>
          <w:t>Thought Collaborative</w:t>
        </w:r>
      </w:hyperlink>
      <w:r w:rsidR="00F61A49">
        <w:t xml:space="preserve"> &lt;</w:t>
      </w:r>
      <w:r w:rsidR="00F61A49" w:rsidRPr="009D3FD7">
        <w:t>https://www.thoughtcollaborative.com.au/</w:t>
      </w:r>
      <w:r w:rsidR="00F61A49">
        <w:t>&gt;</w:t>
      </w:r>
    </w:p>
    <w:p w14:paraId="28166411" w14:textId="323F5668" w:rsidR="00F61A49" w:rsidRDefault="003244BA" w:rsidP="0066332C">
      <w:pPr>
        <w:pStyle w:val="DHHSbody"/>
        <w:rPr>
          <w:rFonts w:cs="Arial"/>
          <w:color w:val="000000"/>
        </w:rPr>
      </w:pPr>
      <w:hyperlink r:id="rId45" w:history="1">
        <w:r w:rsidR="00F61A49" w:rsidRPr="009D3FD7">
          <w:rPr>
            <w:rStyle w:val="Hyperlink"/>
          </w:rPr>
          <w:t>Centre for Psychiatric Nursing Consumer Academic Program</w:t>
        </w:r>
      </w:hyperlink>
      <w:r w:rsidR="00F61A49">
        <w:t xml:space="preserve"> &lt;</w:t>
      </w:r>
      <w:r w:rsidR="00F61A49" w:rsidRPr="009D3FD7">
        <w:t>https://healthsciences.unimelb.edu.au/departments/nursing/about-us/centre-for-psychiatric-nursing</w:t>
      </w:r>
      <w:r w:rsidR="00F61A49">
        <w:t>&gt;</w:t>
      </w:r>
      <w:r w:rsidR="00F61A49">
        <w:rPr>
          <w:rFonts w:cs="Arial"/>
          <w:color w:val="000000"/>
        </w:rPr>
        <w:t xml:space="preserve"> </w:t>
      </w:r>
    </w:p>
    <w:p w14:paraId="42E2B257" w14:textId="0E0F183E" w:rsidR="006F1FF0" w:rsidRDefault="006F1FF0" w:rsidP="006F1FF0">
      <w:pPr>
        <w:pStyle w:val="Heading1"/>
      </w:pPr>
      <w:r>
        <w:br w:type="page"/>
      </w:r>
      <w:bookmarkStart w:id="58" w:name="_Toc13830208"/>
      <w:r>
        <w:lastRenderedPageBreak/>
        <w:t>Appendix 2: Text from Figures 3 and 4</w:t>
      </w:r>
      <w:bookmarkEnd w:id="58"/>
    </w:p>
    <w:p w14:paraId="0C06CD37" w14:textId="77777777" w:rsidR="006F1FF0" w:rsidRDefault="006F1FF0" w:rsidP="006F1FF0">
      <w:pPr>
        <w:pStyle w:val="Heading2"/>
      </w:pPr>
      <w:bookmarkStart w:id="59" w:name="_Toc13830209"/>
      <w:r>
        <w:t xml:space="preserve">Figure 3: </w:t>
      </w:r>
      <w:r>
        <w:rPr>
          <w:noProof/>
          <w:lang w:eastAsia="en-AU"/>
        </w:rPr>
        <w:t>Engagement model</w:t>
      </w:r>
      <w:bookmarkEnd w:id="59"/>
    </w:p>
    <w:p w14:paraId="7BFB7FE2" w14:textId="77777777" w:rsidR="006F1FF0" w:rsidRPr="00031767" w:rsidRDefault="006F1FF0" w:rsidP="006F1FF0"/>
    <w:p w14:paraId="7A65F72F" w14:textId="77777777" w:rsidR="006F1FF0" w:rsidRPr="006F1FF0" w:rsidRDefault="006F1FF0" w:rsidP="006F1FF0">
      <w:pPr>
        <w:pStyle w:val="DHHSbody"/>
        <w:rPr>
          <w:b/>
          <w:noProof/>
        </w:rPr>
      </w:pPr>
      <w:r w:rsidRPr="006F1FF0">
        <w:rPr>
          <w:b/>
          <w:noProof/>
        </w:rPr>
        <w:t xml:space="preserve">1. Identify </w:t>
      </w:r>
      <w:r w:rsidRPr="006F1FF0">
        <w:rPr>
          <w:b/>
        </w:rPr>
        <w:t>key</w:t>
      </w:r>
      <w:r w:rsidRPr="006F1FF0">
        <w:rPr>
          <w:b/>
          <w:noProof/>
        </w:rPr>
        <w:t xml:space="preserve"> participants and significant issues</w:t>
      </w:r>
    </w:p>
    <w:p w14:paraId="34C8D078" w14:textId="77777777" w:rsidR="006F1FF0" w:rsidRPr="00CF76B2" w:rsidRDefault="006F1FF0" w:rsidP="006F1FF0">
      <w:pPr>
        <w:pStyle w:val="DHHSbullet1"/>
        <w:rPr>
          <w:noProof/>
        </w:rPr>
      </w:pPr>
      <w:r w:rsidRPr="00CF76B2">
        <w:rPr>
          <w:noProof/>
        </w:rPr>
        <w:t>Map key stakeholders including consumers and carers with experience in the area of interest</w:t>
      </w:r>
    </w:p>
    <w:p w14:paraId="16F251F4" w14:textId="77777777" w:rsidR="006F1FF0" w:rsidRPr="00CF76B2" w:rsidRDefault="006F1FF0" w:rsidP="006F1FF0">
      <w:pPr>
        <w:pStyle w:val="DHHSbullet1"/>
        <w:rPr>
          <w:noProof/>
        </w:rPr>
      </w:pPr>
      <w:r w:rsidRPr="00CF76B2">
        <w:rPr>
          <w:noProof/>
        </w:rPr>
        <w:t>Identify issues, the focus area of interest and partners</w:t>
      </w:r>
    </w:p>
    <w:p w14:paraId="693EC69E" w14:textId="77777777" w:rsidR="006F1FF0" w:rsidRPr="00CF76B2" w:rsidRDefault="006F1FF0" w:rsidP="006F1FF0">
      <w:pPr>
        <w:pStyle w:val="DHHSbullet1"/>
        <w:rPr>
          <w:noProof/>
        </w:rPr>
      </w:pPr>
      <w:r w:rsidRPr="00CF76B2">
        <w:rPr>
          <w:noProof/>
        </w:rPr>
        <w:t>Set strategic issues</w:t>
      </w:r>
    </w:p>
    <w:p w14:paraId="28569875" w14:textId="77777777" w:rsidR="006F1FF0" w:rsidRPr="00CF76B2" w:rsidRDefault="006F1FF0" w:rsidP="006F1FF0">
      <w:pPr>
        <w:pStyle w:val="DHHSbullet1lastline"/>
        <w:rPr>
          <w:noProof/>
        </w:rPr>
      </w:pPr>
      <w:r w:rsidRPr="00CF76B2">
        <w:rPr>
          <w:noProof/>
        </w:rPr>
        <w:t>Prioritise</w:t>
      </w:r>
    </w:p>
    <w:p w14:paraId="750E0B61" w14:textId="77777777" w:rsidR="006F1FF0" w:rsidRPr="006F1FF0" w:rsidRDefault="006F1FF0" w:rsidP="006F1FF0">
      <w:pPr>
        <w:pStyle w:val="DHHSbody"/>
        <w:rPr>
          <w:b/>
          <w:noProof/>
        </w:rPr>
      </w:pPr>
      <w:r w:rsidRPr="006F1FF0">
        <w:rPr>
          <w:b/>
          <w:noProof/>
        </w:rPr>
        <w:t>2. Analyse plans</w:t>
      </w:r>
    </w:p>
    <w:p w14:paraId="36D76D18" w14:textId="77777777" w:rsidR="006F1FF0" w:rsidRPr="00CF76B2" w:rsidRDefault="006F1FF0" w:rsidP="006F1FF0">
      <w:pPr>
        <w:pStyle w:val="DHHSbullet1"/>
        <w:rPr>
          <w:noProof/>
        </w:rPr>
      </w:pPr>
      <w:r w:rsidRPr="00CF76B2">
        <w:rPr>
          <w:noProof/>
        </w:rPr>
        <w:t>Review progress</w:t>
      </w:r>
    </w:p>
    <w:p w14:paraId="0180F815" w14:textId="77777777" w:rsidR="006F1FF0" w:rsidRPr="00CF76B2" w:rsidRDefault="006F1FF0" w:rsidP="006F1FF0">
      <w:pPr>
        <w:pStyle w:val="DHHSbullet1"/>
        <w:rPr>
          <w:noProof/>
        </w:rPr>
      </w:pPr>
      <w:r w:rsidRPr="00CF76B2">
        <w:rPr>
          <w:noProof/>
        </w:rPr>
        <w:t xml:space="preserve">Learn about consumer, carer and sector stakeholder perspectives on </w:t>
      </w:r>
      <w:r>
        <w:rPr>
          <w:noProof/>
        </w:rPr>
        <w:t xml:space="preserve">the </w:t>
      </w:r>
      <w:r w:rsidRPr="00CF76B2">
        <w:rPr>
          <w:noProof/>
        </w:rPr>
        <w:t>area of interest</w:t>
      </w:r>
    </w:p>
    <w:p w14:paraId="4BB9E03F" w14:textId="77777777" w:rsidR="006F1FF0" w:rsidRPr="00CF76B2" w:rsidRDefault="006F1FF0" w:rsidP="006F1FF0">
      <w:pPr>
        <w:pStyle w:val="DHHSbullet1lastline"/>
        <w:rPr>
          <w:noProof/>
        </w:rPr>
      </w:pPr>
      <w:r w:rsidRPr="00CF76B2">
        <w:rPr>
          <w:noProof/>
        </w:rPr>
        <w:t>Set objectives to address the agreed area of interest with consumer, carer and sector stakeholder partners</w:t>
      </w:r>
    </w:p>
    <w:p w14:paraId="1015C424" w14:textId="737222F4" w:rsidR="006F1FF0" w:rsidRPr="006F1FF0" w:rsidRDefault="006F1FF0" w:rsidP="006F1FF0">
      <w:pPr>
        <w:pStyle w:val="DHHSbody"/>
        <w:rPr>
          <w:b/>
          <w:noProof/>
        </w:rPr>
      </w:pPr>
      <w:r w:rsidRPr="006F1FF0">
        <w:rPr>
          <w:b/>
          <w:noProof/>
        </w:rPr>
        <w:t>3. Strengthen engagement capacities</w:t>
      </w:r>
    </w:p>
    <w:p w14:paraId="2E1257B8" w14:textId="77777777" w:rsidR="006F1FF0" w:rsidRPr="00CF76B2" w:rsidRDefault="006F1FF0" w:rsidP="006F1FF0">
      <w:pPr>
        <w:pStyle w:val="DHHSbullet1"/>
        <w:rPr>
          <w:noProof/>
        </w:rPr>
      </w:pPr>
      <w:r w:rsidRPr="00CF76B2">
        <w:rPr>
          <w:noProof/>
        </w:rPr>
        <w:t>Strengthen the ability to respond to the focus area of interest</w:t>
      </w:r>
    </w:p>
    <w:p w14:paraId="10BC01FE" w14:textId="77777777" w:rsidR="006F1FF0" w:rsidRPr="00CF76B2" w:rsidRDefault="006F1FF0" w:rsidP="006F1FF0">
      <w:pPr>
        <w:pStyle w:val="DHHSbullet1"/>
        <w:rPr>
          <w:noProof/>
        </w:rPr>
      </w:pPr>
      <w:r w:rsidRPr="00CF76B2">
        <w:rPr>
          <w:noProof/>
        </w:rPr>
        <w:t>Develop internal skills and partnerships</w:t>
      </w:r>
    </w:p>
    <w:p w14:paraId="17A52014" w14:textId="77777777" w:rsidR="006F1FF0" w:rsidRDefault="006F1FF0" w:rsidP="006F1FF0">
      <w:pPr>
        <w:pStyle w:val="DHHSbullet1lastline"/>
        <w:rPr>
          <w:noProof/>
        </w:rPr>
      </w:pPr>
      <w:r w:rsidRPr="00CF76B2">
        <w:rPr>
          <w:noProof/>
        </w:rPr>
        <w:t>Build and support all stakeholders’ capacity to partner</w:t>
      </w:r>
    </w:p>
    <w:p w14:paraId="1E6F4A9C" w14:textId="77777777" w:rsidR="006F1FF0" w:rsidRPr="006F1FF0" w:rsidRDefault="006F1FF0" w:rsidP="006F1FF0">
      <w:pPr>
        <w:pStyle w:val="DHHSbody"/>
        <w:rPr>
          <w:b/>
          <w:noProof/>
        </w:rPr>
      </w:pPr>
      <w:r w:rsidRPr="006F1FF0">
        <w:rPr>
          <w:b/>
          <w:noProof/>
        </w:rPr>
        <w:t>4. Design the process and engage</w:t>
      </w:r>
    </w:p>
    <w:p w14:paraId="2E8E0D87" w14:textId="77777777" w:rsidR="006F1FF0" w:rsidRPr="00CF76B2" w:rsidRDefault="006F1FF0" w:rsidP="006F1FF0">
      <w:pPr>
        <w:pStyle w:val="DHHSbullet1"/>
        <w:rPr>
          <w:noProof/>
        </w:rPr>
      </w:pPr>
      <w:r w:rsidRPr="00CF76B2">
        <w:rPr>
          <w:noProof/>
        </w:rPr>
        <w:t>Identify the most effective engagement approach</w:t>
      </w:r>
    </w:p>
    <w:p w14:paraId="1AA9B921" w14:textId="77777777" w:rsidR="006F1FF0" w:rsidRPr="00CF76B2" w:rsidRDefault="006F1FF0" w:rsidP="006F1FF0">
      <w:pPr>
        <w:pStyle w:val="DHHSbullet1"/>
        <w:rPr>
          <w:noProof/>
        </w:rPr>
      </w:pPr>
      <w:r w:rsidRPr="00CF76B2">
        <w:rPr>
          <w:noProof/>
        </w:rPr>
        <w:t>Design the process</w:t>
      </w:r>
      <w:r w:rsidRPr="00CF76B2">
        <w:rPr>
          <w:b/>
          <w:noProof/>
        </w:rPr>
        <w:t xml:space="preserve"> </w:t>
      </w:r>
    </w:p>
    <w:p w14:paraId="7C2FEC98" w14:textId="77777777" w:rsidR="006F1FF0" w:rsidRDefault="006F1FF0" w:rsidP="006F1FF0">
      <w:pPr>
        <w:pStyle w:val="DHHSbullet1lastline"/>
        <w:rPr>
          <w:noProof/>
        </w:rPr>
      </w:pPr>
      <w:r w:rsidRPr="00CF76B2">
        <w:rPr>
          <w:noProof/>
        </w:rPr>
        <w:t>Active learning by engagement</w:t>
      </w:r>
    </w:p>
    <w:p w14:paraId="3C0A08D9" w14:textId="77777777" w:rsidR="006F1FF0" w:rsidRPr="006F1FF0" w:rsidRDefault="006F1FF0" w:rsidP="006F1FF0">
      <w:pPr>
        <w:pStyle w:val="DHHSbody"/>
        <w:rPr>
          <w:b/>
          <w:noProof/>
        </w:rPr>
      </w:pPr>
      <w:r w:rsidRPr="006F1FF0">
        <w:rPr>
          <w:b/>
          <w:noProof/>
        </w:rPr>
        <w:t>5. Act, review and report</w:t>
      </w:r>
    </w:p>
    <w:p w14:paraId="680248FE" w14:textId="77777777" w:rsidR="006F1FF0" w:rsidRPr="00CF76B2" w:rsidRDefault="006F1FF0" w:rsidP="006F1FF0">
      <w:pPr>
        <w:pStyle w:val="DHHSbullet1"/>
        <w:rPr>
          <w:noProof/>
        </w:rPr>
      </w:pPr>
      <w:r w:rsidRPr="00CF76B2">
        <w:rPr>
          <w:noProof/>
        </w:rPr>
        <w:t>Plan and follow</w:t>
      </w:r>
      <w:r>
        <w:rPr>
          <w:noProof/>
        </w:rPr>
        <w:t xml:space="preserve"> </w:t>
      </w:r>
      <w:r w:rsidRPr="00CF76B2">
        <w:rPr>
          <w:noProof/>
        </w:rPr>
        <w:t xml:space="preserve">up </w:t>
      </w:r>
    </w:p>
    <w:p w14:paraId="3AB72226" w14:textId="77777777" w:rsidR="006F1FF0" w:rsidRPr="00CF76B2" w:rsidRDefault="006F1FF0" w:rsidP="006F1FF0">
      <w:pPr>
        <w:pStyle w:val="DHHSbullet1"/>
        <w:rPr>
          <w:noProof/>
        </w:rPr>
      </w:pPr>
      <w:r w:rsidRPr="00CF76B2">
        <w:rPr>
          <w:noProof/>
        </w:rPr>
        <w:t>Review findings</w:t>
      </w:r>
    </w:p>
    <w:p w14:paraId="5B70B33E" w14:textId="4212C895" w:rsidR="006F1FF0" w:rsidRDefault="006F1FF0" w:rsidP="00C71A3A">
      <w:pPr>
        <w:pStyle w:val="DHHSbullet1"/>
        <w:rPr>
          <w:noProof/>
        </w:rPr>
      </w:pPr>
      <w:r w:rsidRPr="00CF76B2">
        <w:rPr>
          <w:noProof/>
        </w:rPr>
        <w:t>Communicate ideas and potential solutions for testing with consumer and carer participants and sector stakeholders</w:t>
      </w:r>
    </w:p>
    <w:p w14:paraId="0D994990" w14:textId="77777777" w:rsidR="006F1FF0" w:rsidRPr="00031767" w:rsidRDefault="006F1FF0" w:rsidP="006F1FF0"/>
    <w:p w14:paraId="4CA7CC57" w14:textId="77777777" w:rsidR="006F1FF0" w:rsidRPr="00031767" w:rsidRDefault="006F1FF0" w:rsidP="006F1FF0">
      <w:pPr>
        <w:pStyle w:val="Heading2"/>
      </w:pPr>
      <w:bookmarkStart w:id="60" w:name="_Toc13830210"/>
      <w:r w:rsidRPr="00031767">
        <w:t>Figure 4: Engagement decision tool</w:t>
      </w:r>
      <w:bookmarkEnd w:id="60"/>
    </w:p>
    <w:p w14:paraId="5C56F3D4" w14:textId="77777777" w:rsidR="006F1FF0" w:rsidRDefault="006F1FF0" w:rsidP="006F1FF0"/>
    <w:p w14:paraId="0ED4FE22" w14:textId="77777777" w:rsidR="006F1FF0" w:rsidRPr="006F1FF0" w:rsidRDefault="006F1FF0" w:rsidP="006F1FF0">
      <w:pPr>
        <w:pStyle w:val="DHHSbody"/>
        <w:rPr>
          <w:b/>
        </w:rPr>
      </w:pPr>
      <w:r w:rsidRPr="006F1FF0">
        <w:rPr>
          <w:b/>
        </w:rPr>
        <w:t>I can only inform consumers and carers</w:t>
      </w:r>
    </w:p>
    <w:p w14:paraId="1C262A55" w14:textId="77777777" w:rsidR="006F1FF0" w:rsidRDefault="006F1FF0" w:rsidP="006F1FF0">
      <w:pPr>
        <w:pStyle w:val="DHHSbullet1"/>
      </w:pPr>
      <w:r w:rsidRPr="00D52DBE">
        <w:t>I can establish contact with consumers or carers.</w:t>
      </w:r>
    </w:p>
    <w:p w14:paraId="7F32B965" w14:textId="77777777" w:rsidR="006F1FF0" w:rsidRDefault="006F1FF0" w:rsidP="006F1FF0">
      <w:pPr>
        <w:pStyle w:val="DHHSbullet1"/>
      </w:pPr>
      <w:r w:rsidRPr="00D52DBE">
        <w:t xml:space="preserve">I am seeking to increase public awareness. </w:t>
      </w:r>
    </w:p>
    <w:p w14:paraId="57FF5293" w14:textId="77777777" w:rsidR="006F1FF0" w:rsidRDefault="006F1FF0" w:rsidP="006F1FF0">
      <w:pPr>
        <w:pStyle w:val="DHHSbullet1"/>
      </w:pPr>
      <w:r w:rsidRPr="00D52DBE">
        <w:t xml:space="preserve">The issue has already been defined. </w:t>
      </w:r>
    </w:p>
    <w:p w14:paraId="790FA70B" w14:textId="77777777" w:rsidR="006F1FF0" w:rsidRPr="00D52DBE" w:rsidRDefault="006F1FF0" w:rsidP="006F1FF0">
      <w:pPr>
        <w:pStyle w:val="DHHSbullet1lastline"/>
      </w:pPr>
      <w:r w:rsidRPr="00D52DBE">
        <w:t xml:space="preserve">The proposed issue has already been determined. </w:t>
      </w:r>
    </w:p>
    <w:p w14:paraId="4E699CD3" w14:textId="77777777" w:rsidR="006F1FF0" w:rsidRPr="006F1FF0" w:rsidRDefault="006F1FF0" w:rsidP="006F1FF0">
      <w:pPr>
        <w:pStyle w:val="DHHSbody"/>
        <w:rPr>
          <w:b/>
        </w:rPr>
      </w:pPr>
      <w:r w:rsidRPr="006F1FF0">
        <w:rPr>
          <w:b/>
        </w:rPr>
        <w:t>I can only consult consumers and carers</w:t>
      </w:r>
    </w:p>
    <w:p w14:paraId="44B23833" w14:textId="77777777" w:rsidR="006F1FF0" w:rsidRPr="00D52DBE" w:rsidRDefault="006F1FF0" w:rsidP="006F1FF0">
      <w:pPr>
        <w:pStyle w:val="DHHSbullet1"/>
      </w:pPr>
      <w:r w:rsidRPr="00D52DBE">
        <w:t>I am seeking limited consumer and carer input, recog</w:t>
      </w:r>
      <w:r>
        <w:t>n</w:t>
      </w:r>
      <w:r w:rsidRPr="00D52DBE">
        <w:t xml:space="preserve">ising they will be impacted by the outcome. </w:t>
      </w:r>
    </w:p>
    <w:p w14:paraId="0422C570" w14:textId="77777777" w:rsidR="006F1FF0" w:rsidRPr="00D52DBE" w:rsidRDefault="006F1FF0" w:rsidP="006F1FF0">
      <w:pPr>
        <w:pStyle w:val="DHHSbullet1"/>
      </w:pPr>
      <w:r w:rsidRPr="00D52DBE">
        <w:t xml:space="preserve">I will be asking contained questions that have already been determined. </w:t>
      </w:r>
    </w:p>
    <w:p w14:paraId="44FD030C" w14:textId="77777777" w:rsidR="006F1FF0" w:rsidRPr="00D52DBE" w:rsidRDefault="006F1FF0" w:rsidP="006F1FF0">
      <w:pPr>
        <w:pStyle w:val="DHHSbullet1"/>
      </w:pPr>
      <w:r w:rsidRPr="00D52DBE">
        <w:t>I will be seeking many different types of input, of which consumers and carers are only one source.</w:t>
      </w:r>
    </w:p>
    <w:p w14:paraId="396AC764" w14:textId="77777777" w:rsidR="006F1FF0" w:rsidRDefault="006F1FF0" w:rsidP="006F1FF0">
      <w:pPr>
        <w:pStyle w:val="DHHSbullet1lastline"/>
      </w:pPr>
      <w:r w:rsidRPr="00D52DBE">
        <w:t xml:space="preserve">There is some scope for the community to influence the outcome. </w:t>
      </w:r>
    </w:p>
    <w:p w14:paraId="50700D9C" w14:textId="77777777" w:rsidR="006F1FF0" w:rsidRDefault="006F1FF0" w:rsidP="006F1FF0">
      <w:pPr>
        <w:pStyle w:val="DHHSbody"/>
      </w:pPr>
    </w:p>
    <w:p w14:paraId="75C7020B" w14:textId="77777777" w:rsidR="006F1FF0" w:rsidRPr="006F1FF0" w:rsidRDefault="006F1FF0" w:rsidP="006F1FF0">
      <w:pPr>
        <w:pStyle w:val="DHHSbody"/>
        <w:rPr>
          <w:b/>
        </w:rPr>
      </w:pPr>
      <w:r w:rsidRPr="006F1FF0">
        <w:rPr>
          <w:b/>
        </w:rPr>
        <w:t>I can only involve consumers and carers</w:t>
      </w:r>
    </w:p>
    <w:p w14:paraId="6EA6612C" w14:textId="77777777" w:rsidR="006F1FF0" w:rsidRPr="00D52DBE" w:rsidRDefault="006F1FF0" w:rsidP="006F1FF0">
      <w:pPr>
        <w:pStyle w:val="DHHSbullet1"/>
      </w:pPr>
      <w:r w:rsidRPr="00D52DBE">
        <w:t>I need to target specific commun</w:t>
      </w:r>
      <w:r>
        <w:t>i</w:t>
      </w:r>
      <w:r w:rsidRPr="00D52DBE">
        <w:t>ties to bring a range of perspectives together.</w:t>
      </w:r>
    </w:p>
    <w:p w14:paraId="7FEAB484" w14:textId="77777777" w:rsidR="006F1FF0" w:rsidRDefault="006F1FF0" w:rsidP="006F1FF0">
      <w:pPr>
        <w:pStyle w:val="DHHSbullet1"/>
      </w:pPr>
      <w:r w:rsidRPr="00D52DBE">
        <w:t xml:space="preserve">I will be working iteratively, testing and re-testing ideas with consumers and carers. </w:t>
      </w:r>
    </w:p>
    <w:p w14:paraId="6A1C1C91" w14:textId="77777777" w:rsidR="006F1FF0" w:rsidRDefault="006F1FF0" w:rsidP="006F1FF0">
      <w:pPr>
        <w:pStyle w:val="DHHSbullet1lastline"/>
      </w:pPr>
      <w:r w:rsidRPr="00D52DBE">
        <w:t xml:space="preserve">The </w:t>
      </w:r>
      <w:proofErr w:type="gramStart"/>
      <w:r w:rsidRPr="00D52DBE">
        <w:t xml:space="preserve">final </w:t>
      </w:r>
      <w:r w:rsidRPr="006F1FF0">
        <w:t>outcome</w:t>
      </w:r>
      <w:proofErr w:type="gramEnd"/>
      <w:r w:rsidRPr="00D52DBE">
        <w:t xml:space="preserve"> will not be determined by consumers or carers. </w:t>
      </w:r>
    </w:p>
    <w:p w14:paraId="133196E5" w14:textId="77777777" w:rsidR="006F1FF0" w:rsidRPr="006F1FF0" w:rsidRDefault="006F1FF0" w:rsidP="006F1FF0">
      <w:pPr>
        <w:pStyle w:val="DHHSbody"/>
        <w:rPr>
          <w:b/>
        </w:rPr>
      </w:pPr>
      <w:r w:rsidRPr="006F1FF0">
        <w:rPr>
          <w:b/>
        </w:rPr>
        <w:t>I can collaborate with consumers and carers</w:t>
      </w:r>
    </w:p>
    <w:p w14:paraId="70769818" w14:textId="339E6FA3" w:rsidR="006F1FF0" w:rsidRPr="00D52DBE" w:rsidRDefault="006F1FF0" w:rsidP="006F1FF0">
      <w:pPr>
        <w:pStyle w:val="DHHSbullet1"/>
      </w:pPr>
      <w:r w:rsidRPr="00D52DBE">
        <w:t>I want to partner with those closest to the known issue to develop solutions</w:t>
      </w:r>
      <w:r>
        <w:t>.</w:t>
      </w:r>
    </w:p>
    <w:p w14:paraId="10B5C6CF" w14:textId="77777777" w:rsidR="006F1FF0" w:rsidRDefault="006F1FF0" w:rsidP="006F1FF0">
      <w:pPr>
        <w:pStyle w:val="DHHSbullet1"/>
      </w:pPr>
      <w:r w:rsidRPr="00D52DBE">
        <w:t>I can include consumers and carers in most aspects of decision making.</w:t>
      </w:r>
    </w:p>
    <w:p w14:paraId="2898B0DE" w14:textId="77777777" w:rsidR="006F1FF0" w:rsidRPr="00D52DBE" w:rsidRDefault="006F1FF0" w:rsidP="006F1FF0">
      <w:pPr>
        <w:pStyle w:val="DHHSbullet1lastline"/>
      </w:pPr>
      <w:r w:rsidRPr="00D52DBE">
        <w:t xml:space="preserve">The </w:t>
      </w:r>
      <w:proofErr w:type="gramStart"/>
      <w:r w:rsidRPr="00D52DBE">
        <w:t>final outcome</w:t>
      </w:r>
      <w:proofErr w:type="gramEnd"/>
      <w:r w:rsidRPr="00D52DBE">
        <w:t xml:space="preserve"> will not be determined by consumers or carers. </w:t>
      </w:r>
    </w:p>
    <w:p w14:paraId="3A3864D6" w14:textId="77777777" w:rsidR="006F1FF0" w:rsidRPr="006F1FF0" w:rsidRDefault="006F1FF0" w:rsidP="006F1FF0">
      <w:pPr>
        <w:pStyle w:val="DHHSbody"/>
        <w:rPr>
          <w:b/>
        </w:rPr>
      </w:pPr>
      <w:r w:rsidRPr="006F1FF0">
        <w:rPr>
          <w:b/>
        </w:rPr>
        <w:t>I can fully empower consumers and carers</w:t>
      </w:r>
    </w:p>
    <w:p w14:paraId="2081408F" w14:textId="77777777" w:rsidR="006F1FF0" w:rsidRPr="00D52DBE" w:rsidRDefault="006F1FF0" w:rsidP="006F1FF0">
      <w:pPr>
        <w:pStyle w:val="DHHSbullet1"/>
      </w:pPr>
      <w:r w:rsidRPr="00D52DBE">
        <w:t>There is a genuine commitment to partnering with people closest to the issue.</w:t>
      </w:r>
    </w:p>
    <w:p w14:paraId="1996671F" w14:textId="77777777" w:rsidR="006F1FF0" w:rsidRPr="00D52DBE" w:rsidRDefault="006F1FF0" w:rsidP="006F1FF0">
      <w:pPr>
        <w:pStyle w:val="DHHSbullet1"/>
      </w:pPr>
      <w:r w:rsidRPr="00D52DBE">
        <w:t xml:space="preserve">I can fully explore and account for all perspectives. </w:t>
      </w:r>
    </w:p>
    <w:p w14:paraId="39FEDA71" w14:textId="77777777" w:rsidR="006F1FF0" w:rsidRDefault="006F1FF0" w:rsidP="006F1FF0">
      <w:pPr>
        <w:pStyle w:val="DHHSbullet1"/>
      </w:pPr>
      <w:r w:rsidRPr="00D52DBE">
        <w:t>There is resourcing, authorisation and time to account for consumer and carer involvement</w:t>
      </w:r>
    </w:p>
    <w:p w14:paraId="010EF427" w14:textId="77777777" w:rsidR="006F1FF0" w:rsidRPr="00D52DBE" w:rsidRDefault="006F1FF0" w:rsidP="006F1FF0">
      <w:pPr>
        <w:pStyle w:val="DHHSbullet1"/>
      </w:pPr>
      <w:r w:rsidRPr="00D52DBE">
        <w:t xml:space="preserve">There is a commitment to balancing ensure consumers and carers are not in the minority. </w:t>
      </w:r>
    </w:p>
    <w:p w14:paraId="7421B9D1" w14:textId="35B91A24" w:rsidR="006F1FF0" w:rsidRDefault="006F1FF0" w:rsidP="006F1FF0">
      <w:pPr>
        <w:pStyle w:val="DHHSbullet1"/>
        <w:rPr>
          <w:noProof/>
          <w:lang w:eastAsia="en-AU"/>
        </w:rPr>
      </w:pPr>
      <w:r w:rsidRPr="00D52DBE">
        <w:t xml:space="preserve">Consumers and carers determine the </w:t>
      </w:r>
      <w:proofErr w:type="gramStart"/>
      <w:r w:rsidRPr="00D52DBE">
        <w:t>final outcome</w:t>
      </w:r>
      <w:proofErr w:type="gramEnd"/>
      <w:r w:rsidRPr="00D52DBE">
        <w:t>.</w:t>
      </w:r>
    </w:p>
    <w:p w14:paraId="7E09AF85" w14:textId="77777777" w:rsidR="00F61A49" w:rsidRDefault="00F61A49" w:rsidP="00F61A49">
      <w:pPr>
        <w:pStyle w:val="DHHSbody"/>
        <w:rPr>
          <w:noProof/>
          <w:lang w:eastAsia="en-AU"/>
        </w:rPr>
      </w:pPr>
      <w:r>
        <w:rPr>
          <w:noProof/>
          <w:lang w:eastAsia="en-AU"/>
        </w:rPr>
        <w:br w:type="page"/>
      </w:r>
    </w:p>
    <w:p w14:paraId="549F8F3B" w14:textId="77777777" w:rsidR="00F61A49" w:rsidRPr="00065D0E" w:rsidRDefault="00F61A49" w:rsidP="00F61A49">
      <w:pPr>
        <w:pStyle w:val="Heading1"/>
      </w:pPr>
      <w:bookmarkStart w:id="61" w:name="_Toc534374321"/>
      <w:bookmarkStart w:id="62" w:name="_Toc13830211"/>
      <w:r>
        <w:lastRenderedPageBreak/>
        <w:t>R</w:t>
      </w:r>
      <w:r w:rsidRPr="00065D0E">
        <w:t>eferences</w:t>
      </w:r>
      <w:r>
        <w:t xml:space="preserve"> </w:t>
      </w:r>
      <w:bookmarkEnd w:id="61"/>
      <w:r>
        <w:t>and further reading</w:t>
      </w:r>
      <w:bookmarkEnd w:id="62"/>
    </w:p>
    <w:p w14:paraId="0846A57A" w14:textId="77777777" w:rsidR="00F61A49" w:rsidRDefault="00F61A49" w:rsidP="00F61A49">
      <w:pPr>
        <w:pStyle w:val="DHHSbody"/>
        <w:rPr>
          <w:noProof/>
          <w:lang w:val="en-US"/>
        </w:rPr>
      </w:pPr>
      <w:r w:rsidRPr="00691368">
        <w:rPr>
          <w:noProof/>
          <w:lang w:val="en-US"/>
        </w:rPr>
        <w:t>Arnstein, S.R. (1969)</w:t>
      </w:r>
      <w:r>
        <w:rPr>
          <w:noProof/>
          <w:lang w:val="en-US"/>
        </w:rPr>
        <w:t>.</w:t>
      </w:r>
      <w:r w:rsidRPr="00691368">
        <w:rPr>
          <w:noProof/>
          <w:lang w:val="en-US"/>
        </w:rPr>
        <w:t xml:space="preserve"> A ladder of citizen participation</w:t>
      </w:r>
      <w:r>
        <w:rPr>
          <w:noProof/>
          <w:lang w:val="en-US"/>
        </w:rPr>
        <w:t>.</w:t>
      </w:r>
      <w:r w:rsidRPr="00691368">
        <w:rPr>
          <w:noProof/>
          <w:lang w:val="en-US"/>
        </w:rPr>
        <w:t xml:space="preserve"> </w:t>
      </w:r>
      <w:r w:rsidRPr="00F44038">
        <w:rPr>
          <w:i/>
          <w:noProof/>
          <w:lang w:val="en-US"/>
        </w:rPr>
        <w:t>Journal of the American Institute of Planners</w:t>
      </w:r>
      <w:r>
        <w:rPr>
          <w:noProof/>
          <w:lang w:val="en-US"/>
        </w:rPr>
        <w:t>,</w:t>
      </w:r>
      <w:r w:rsidRPr="00691368">
        <w:rPr>
          <w:noProof/>
          <w:lang w:val="en-US"/>
        </w:rPr>
        <w:t xml:space="preserve"> 35(4)</w:t>
      </w:r>
      <w:r>
        <w:rPr>
          <w:noProof/>
          <w:lang w:val="en-US"/>
        </w:rPr>
        <w:t>:</w:t>
      </w:r>
      <w:r w:rsidRPr="00691368">
        <w:rPr>
          <w:noProof/>
          <w:lang w:val="en-US"/>
        </w:rPr>
        <w:t xml:space="preserve"> 216</w:t>
      </w:r>
      <w:r>
        <w:rPr>
          <w:noProof/>
          <w:lang w:val="en-US"/>
        </w:rPr>
        <w:t>–</w:t>
      </w:r>
      <w:r w:rsidRPr="00691368">
        <w:rPr>
          <w:noProof/>
          <w:lang w:val="en-US"/>
        </w:rPr>
        <w:t>224</w:t>
      </w:r>
      <w:r>
        <w:rPr>
          <w:noProof/>
          <w:lang w:val="en-US"/>
        </w:rPr>
        <w:t>.</w:t>
      </w:r>
      <w:r w:rsidRPr="00691368">
        <w:rPr>
          <w:noProof/>
          <w:lang w:val="en-US"/>
        </w:rPr>
        <w:t xml:space="preserve"> </w:t>
      </w:r>
    </w:p>
    <w:p w14:paraId="1946E109" w14:textId="77777777" w:rsidR="00F61A49" w:rsidRPr="00FF2231" w:rsidRDefault="00F61A49" w:rsidP="00F61A49">
      <w:pPr>
        <w:pStyle w:val="DHHSbody"/>
        <w:rPr>
          <w:noProof/>
          <w:lang w:val="en-US"/>
        </w:rPr>
      </w:pPr>
      <w:r w:rsidRPr="00FF2231">
        <w:rPr>
          <w:noProof/>
          <w:lang w:val="en-US"/>
        </w:rPr>
        <w:t xml:space="preserve">Australian Commission on Safety and Quality in Health Care (ACSQHC). (2011). </w:t>
      </w:r>
      <w:r w:rsidRPr="00F44038">
        <w:rPr>
          <w:i/>
          <w:noProof/>
          <w:lang w:val="en-US"/>
        </w:rPr>
        <w:t>National safety and quality health service standards</w:t>
      </w:r>
      <w:r w:rsidRPr="00FF2231">
        <w:rPr>
          <w:noProof/>
          <w:lang w:val="en-US"/>
        </w:rPr>
        <w:t>. Sydney: ACSQHC.</w:t>
      </w:r>
    </w:p>
    <w:p w14:paraId="4F33D416" w14:textId="77777777" w:rsidR="00F61A49" w:rsidRDefault="00F61A49" w:rsidP="00F61A49">
      <w:pPr>
        <w:pStyle w:val="DHHSbody"/>
        <w:rPr>
          <w:noProof/>
          <w:lang w:val="en-US"/>
        </w:rPr>
      </w:pPr>
      <w:r w:rsidRPr="00400765">
        <w:rPr>
          <w:noProof/>
          <w:lang w:val="en-US"/>
        </w:rPr>
        <w:t>Boyle, D., Coote, A., Sherwood, C., Slay, J. (2010).</w:t>
      </w:r>
      <w:r w:rsidRPr="00F44038">
        <w:rPr>
          <w:i/>
          <w:noProof/>
          <w:lang w:val="en-US"/>
        </w:rPr>
        <w:t xml:space="preserve"> Right here, right now: Taking co-production into the mainstream</w:t>
      </w:r>
      <w:r w:rsidRPr="00400765">
        <w:rPr>
          <w:noProof/>
          <w:lang w:val="en-US"/>
        </w:rPr>
        <w:t>. London:</w:t>
      </w:r>
      <w:r>
        <w:rPr>
          <w:noProof/>
          <w:lang w:val="en-US"/>
        </w:rPr>
        <w:t xml:space="preserve"> </w:t>
      </w:r>
      <w:r w:rsidRPr="00400765">
        <w:rPr>
          <w:noProof/>
          <w:lang w:val="en-US"/>
        </w:rPr>
        <w:t xml:space="preserve">NESTA. </w:t>
      </w:r>
    </w:p>
    <w:p w14:paraId="125C2437" w14:textId="77777777" w:rsidR="00F61A49" w:rsidRPr="00FF2231" w:rsidRDefault="00F61A49" w:rsidP="00F61A49">
      <w:pPr>
        <w:pStyle w:val="DHHSbody"/>
        <w:rPr>
          <w:noProof/>
          <w:lang w:val="en-US"/>
        </w:rPr>
      </w:pPr>
      <w:r w:rsidRPr="00FF2231">
        <w:rPr>
          <w:noProof/>
          <w:lang w:val="en-US"/>
        </w:rPr>
        <w:t xml:space="preserve">Cahn, E. (2001). </w:t>
      </w:r>
      <w:r w:rsidRPr="00F44038">
        <w:rPr>
          <w:i/>
          <w:noProof/>
          <w:lang w:val="en-US"/>
        </w:rPr>
        <w:t>No more throwaway people: The co-production imperative</w:t>
      </w:r>
      <w:r w:rsidRPr="00FF2231">
        <w:rPr>
          <w:noProof/>
          <w:lang w:val="en-US"/>
        </w:rPr>
        <w:t>. Washington DC: Essential Books.</w:t>
      </w:r>
    </w:p>
    <w:p w14:paraId="73E60BBF" w14:textId="77777777" w:rsidR="00F61A49" w:rsidRPr="00FF2231" w:rsidRDefault="00F61A49" w:rsidP="00F61A49">
      <w:pPr>
        <w:pStyle w:val="DHHSbody"/>
        <w:rPr>
          <w:noProof/>
          <w:lang w:val="en-US"/>
        </w:rPr>
      </w:pPr>
      <w:r w:rsidRPr="00FF2231">
        <w:rPr>
          <w:noProof/>
          <w:lang w:val="en-US"/>
        </w:rPr>
        <w:t xml:space="preserve">Carers Together. (2012). </w:t>
      </w:r>
      <w:r w:rsidRPr="00F44038">
        <w:rPr>
          <w:i/>
          <w:noProof/>
          <w:lang w:val="en-US"/>
        </w:rPr>
        <w:t xml:space="preserve">5 steps to co-production: </w:t>
      </w:r>
      <w:r>
        <w:rPr>
          <w:i/>
          <w:noProof/>
          <w:lang w:val="en-US"/>
        </w:rPr>
        <w:t>a</w:t>
      </w:r>
      <w:r w:rsidRPr="00F44038">
        <w:rPr>
          <w:i/>
          <w:noProof/>
          <w:lang w:val="en-US"/>
        </w:rPr>
        <w:t xml:space="preserve"> model of co-production for public services</w:t>
      </w:r>
      <w:r w:rsidRPr="00FF2231">
        <w:rPr>
          <w:noProof/>
          <w:lang w:val="en-US"/>
        </w:rPr>
        <w:t>. Hampshire: Carers Together.</w:t>
      </w:r>
    </w:p>
    <w:p w14:paraId="5B5DA050" w14:textId="77777777" w:rsidR="00F61A49" w:rsidRPr="00FF2231" w:rsidRDefault="00F61A49" w:rsidP="00F61A49">
      <w:pPr>
        <w:pStyle w:val="DHHSbody"/>
        <w:rPr>
          <w:noProof/>
          <w:lang w:val="en-US"/>
        </w:rPr>
      </w:pPr>
      <w:r w:rsidRPr="00FF2231">
        <w:rPr>
          <w:noProof/>
          <w:lang w:val="en-US"/>
        </w:rPr>
        <w:t xml:space="preserve">Carr, S. (2016). </w:t>
      </w:r>
      <w:r w:rsidRPr="00F44038">
        <w:rPr>
          <w:i/>
          <w:noProof/>
          <w:lang w:val="en-US"/>
        </w:rPr>
        <w:t>Position paper: Are mainstream mental health services ready to progress transformative co-production?</w:t>
      </w:r>
      <w:r w:rsidRPr="00FF2231">
        <w:rPr>
          <w:noProof/>
          <w:lang w:val="en-US"/>
        </w:rPr>
        <w:t xml:space="preserve"> Bath: National Development Team for Inclusion.</w:t>
      </w:r>
    </w:p>
    <w:p w14:paraId="31DBF5B4" w14:textId="77777777" w:rsidR="00F61A49" w:rsidRDefault="00F61A49" w:rsidP="00F61A49">
      <w:pPr>
        <w:pStyle w:val="DHHSbody"/>
        <w:rPr>
          <w:noProof/>
          <w:lang w:val="en-US"/>
        </w:rPr>
      </w:pPr>
      <w:r w:rsidRPr="00691368">
        <w:rPr>
          <w:noProof/>
          <w:lang w:val="en-US"/>
        </w:rPr>
        <w:t>Clark, M. (2015)</w:t>
      </w:r>
      <w:r>
        <w:rPr>
          <w:noProof/>
          <w:lang w:val="en-US"/>
        </w:rPr>
        <w:t>.</w:t>
      </w:r>
      <w:r w:rsidRPr="00691368">
        <w:rPr>
          <w:noProof/>
          <w:lang w:val="en-US"/>
        </w:rPr>
        <w:t xml:space="preserve"> Co-production in mental health care</w:t>
      </w:r>
      <w:r>
        <w:rPr>
          <w:noProof/>
          <w:lang w:val="en-US"/>
        </w:rPr>
        <w:t xml:space="preserve">. </w:t>
      </w:r>
      <w:r w:rsidRPr="00F44038">
        <w:rPr>
          <w:i/>
          <w:noProof/>
          <w:lang w:val="en-US"/>
        </w:rPr>
        <w:t>Mental Health Review Journal</w:t>
      </w:r>
      <w:r>
        <w:rPr>
          <w:noProof/>
          <w:lang w:val="en-US"/>
        </w:rPr>
        <w:t xml:space="preserve">, </w:t>
      </w:r>
      <w:r w:rsidRPr="00691368">
        <w:rPr>
          <w:noProof/>
          <w:lang w:val="en-US"/>
        </w:rPr>
        <w:t>20(4)</w:t>
      </w:r>
      <w:r>
        <w:rPr>
          <w:noProof/>
          <w:lang w:val="en-US"/>
        </w:rPr>
        <w:t xml:space="preserve">: </w:t>
      </w:r>
      <w:r w:rsidRPr="00691368">
        <w:rPr>
          <w:noProof/>
          <w:lang w:val="en-US"/>
        </w:rPr>
        <w:t>213</w:t>
      </w:r>
      <w:r>
        <w:rPr>
          <w:noProof/>
          <w:lang w:val="en-US"/>
        </w:rPr>
        <w:t>–</w:t>
      </w:r>
      <w:r w:rsidRPr="00691368">
        <w:rPr>
          <w:noProof/>
          <w:lang w:val="en-US"/>
        </w:rPr>
        <w:t>219</w:t>
      </w:r>
      <w:r>
        <w:rPr>
          <w:noProof/>
          <w:lang w:val="en-US"/>
        </w:rPr>
        <w:t>.</w:t>
      </w:r>
      <w:r w:rsidRPr="00691368">
        <w:rPr>
          <w:noProof/>
          <w:lang w:val="en-US"/>
        </w:rPr>
        <w:t xml:space="preserve"> </w:t>
      </w:r>
    </w:p>
    <w:p w14:paraId="5E6DCFA8" w14:textId="77777777" w:rsidR="00F61A49" w:rsidRPr="00FF2231" w:rsidRDefault="00F61A49" w:rsidP="00F61A49">
      <w:pPr>
        <w:pStyle w:val="DHHSbody"/>
        <w:rPr>
          <w:noProof/>
          <w:lang w:val="en-US"/>
        </w:rPr>
      </w:pPr>
      <w:r w:rsidRPr="00FF2231">
        <w:rPr>
          <w:noProof/>
          <w:lang w:val="en-US"/>
        </w:rPr>
        <w:t xml:space="preserve">Co-design </w:t>
      </w:r>
      <w:r>
        <w:rPr>
          <w:noProof/>
          <w:lang w:val="en-US"/>
        </w:rPr>
        <w:t>I</w:t>
      </w:r>
      <w:r w:rsidRPr="00FF2231">
        <w:rPr>
          <w:noProof/>
          <w:lang w:val="en-US"/>
        </w:rPr>
        <w:t xml:space="preserve">nitiative. (2016). </w:t>
      </w:r>
      <w:r w:rsidRPr="00F44038">
        <w:rPr>
          <w:i/>
          <w:noProof/>
          <w:lang w:val="en-US"/>
        </w:rPr>
        <w:t>Co-design: Putting consumers and carers at the centre of mental health reform</w:t>
      </w:r>
      <w:r w:rsidRPr="00FF2231">
        <w:rPr>
          <w:noProof/>
          <w:lang w:val="en-US"/>
        </w:rPr>
        <w:t>. Yarraville: Civil Society.</w:t>
      </w:r>
    </w:p>
    <w:p w14:paraId="35C454FF" w14:textId="77777777" w:rsidR="00F61A49" w:rsidRPr="00830DD8" w:rsidRDefault="00F61A49" w:rsidP="00F61A49">
      <w:pPr>
        <w:pStyle w:val="DHHSbody"/>
      </w:pPr>
      <w:r>
        <w:rPr>
          <w:rFonts w:eastAsia="Times New Roman"/>
          <w:lang w:eastAsia="en-AU"/>
        </w:rPr>
        <w:fldChar w:fldCharType="begin"/>
      </w:r>
      <w:r>
        <w:rPr>
          <w:rFonts w:eastAsia="Times New Roman"/>
          <w:lang w:eastAsia="en-AU"/>
        </w:rPr>
        <w:instrText xml:space="preserve"> ADDIN EN.REFLIST </w:instrText>
      </w:r>
      <w:r>
        <w:rPr>
          <w:rFonts w:eastAsia="Times New Roman"/>
          <w:lang w:eastAsia="en-AU"/>
        </w:rPr>
        <w:fldChar w:fldCharType="separate"/>
      </w:r>
      <w:r w:rsidRPr="00830DD8">
        <w:t>Davidson, L., Bellamy, C., Kimberly, G.</w:t>
      </w:r>
      <w:r>
        <w:t>,</w:t>
      </w:r>
      <w:r w:rsidRPr="00830DD8">
        <w:t xml:space="preserve"> Miller, R. (2012). Peer support among persons with severe mental illnesses: a review of the evidence and experience. </w:t>
      </w:r>
      <w:r w:rsidRPr="00830DD8">
        <w:rPr>
          <w:i/>
        </w:rPr>
        <w:t>World Psychiatry</w:t>
      </w:r>
      <w:r w:rsidRPr="00801F42">
        <w:t>, 11</w:t>
      </w:r>
      <w:r>
        <w:t>:</w:t>
      </w:r>
      <w:r w:rsidRPr="0003450E">
        <w:t xml:space="preserve"> </w:t>
      </w:r>
      <w:r w:rsidRPr="00830DD8">
        <w:t xml:space="preserve">123-128. </w:t>
      </w:r>
    </w:p>
    <w:p w14:paraId="47FD82DE" w14:textId="77777777" w:rsidR="00F61A49" w:rsidRDefault="00F61A49" w:rsidP="00F61A49">
      <w:pPr>
        <w:pStyle w:val="DHHSbody"/>
      </w:pPr>
      <w:r w:rsidRPr="00830DD8">
        <w:t xml:space="preserve">Department of Health and Human Services. (2017). </w:t>
      </w:r>
      <w:r w:rsidRPr="00830DD8">
        <w:rPr>
          <w:i/>
        </w:rPr>
        <w:t>Balit Murrup: Aboriginal social and emotional wellbeing framework</w:t>
      </w:r>
      <w:r w:rsidRPr="00830DD8">
        <w:t>. Melbourne</w:t>
      </w:r>
      <w:r>
        <w:t>:</w:t>
      </w:r>
      <w:r w:rsidRPr="00830DD8">
        <w:t xml:space="preserve"> State Government of Victori</w:t>
      </w:r>
      <w:r>
        <w:t>a.</w:t>
      </w:r>
    </w:p>
    <w:p w14:paraId="63925C62" w14:textId="77777777" w:rsidR="00F61A49" w:rsidRPr="00B435D6" w:rsidRDefault="00F61A49" w:rsidP="00F61A49">
      <w:pPr>
        <w:pStyle w:val="DHHSbody"/>
        <w:rPr>
          <w:noProof/>
          <w:lang w:val="en-US"/>
        </w:rPr>
      </w:pPr>
      <w:r>
        <w:rPr>
          <w:noProof/>
          <w:lang w:val="en-US"/>
        </w:rPr>
        <w:t xml:space="preserve">Department of Health and Human Services. (2016). </w:t>
      </w:r>
      <w:r w:rsidRPr="00F44038">
        <w:rPr>
          <w:i/>
          <w:noProof/>
          <w:lang w:val="en-US"/>
        </w:rPr>
        <w:t xml:space="preserve">Co-design in </w:t>
      </w:r>
      <w:r>
        <w:rPr>
          <w:i/>
          <w:noProof/>
          <w:lang w:val="en-US"/>
        </w:rPr>
        <w:t>c</w:t>
      </w:r>
      <w:r w:rsidRPr="00F44038">
        <w:rPr>
          <w:i/>
          <w:noProof/>
          <w:lang w:val="en-US"/>
        </w:rPr>
        <w:t xml:space="preserve">ontext: DHHS </w:t>
      </w:r>
      <w:r w:rsidRPr="00C649C6">
        <w:rPr>
          <w:i/>
          <w:noProof/>
          <w:lang w:val="en-US"/>
        </w:rPr>
        <w:t>guide for co-design projects</w:t>
      </w:r>
      <w:r>
        <w:rPr>
          <w:noProof/>
          <w:lang w:val="en-US"/>
        </w:rPr>
        <w:t>. Melbourne: State Government of Victoria.</w:t>
      </w:r>
    </w:p>
    <w:p w14:paraId="00EEFE5C" w14:textId="77777777" w:rsidR="00F61A49" w:rsidRPr="00830DD8" w:rsidRDefault="00F61A49" w:rsidP="00F61A49">
      <w:pPr>
        <w:pStyle w:val="DHHSbody"/>
      </w:pPr>
      <w:r w:rsidRPr="00830DD8">
        <w:t xml:space="preserve">Department of Health and Human Services. (2018). </w:t>
      </w:r>
      <w:r w:rsidRPr="00830DD8">
        <w:rPr>
          <w:i/>
        </w:rPr>
        <w:t>Public participation framework</w:t>
      </w:r>
      <w:r w:rsidRPr="00830DD8">
        <w:t>. Melbourne: State Government of Victoria</w:t>
      </w:r>
      <w:r>
        <w:t>.</w:t>
      </w:r>
    </w:p>
    <w:p w14:paraId="6BA0D255" w14:textId="77777777" w:rsidR="00F61A49" w:rsidRPr="00830DD8" w:rsidRDefault="00F61A49" w:rsidP="00F61A49">
      <w:pPr>
        <w:pStyle w:val="DHHSbody"/>
      </w:pPr>
      <w:r w:rsidRPr="00830DD8">
        <w:t xml:space="preserve">Department of Health and Human Services. (2018). </w:t>
      </w:r>
      <w:r w:rsidRPr="00830DD8">
        <w:rPr>
          <w:i/>
        </w:rPr>
        <w:t>Stakeholder engagement toolkit</w:t>
      </w:r>
      <w:r w:rsidRPr="00830DD8">
        <w:t>. Melbourne: State Government of Victoria</w:t>
      </w:r>
      <w:r>
        <w:t>.</w:t>
      </w:r>
    </w:p>
    <w:p w14:paraId="13B1E897" w14:textId="77777777" w:rsidR="00F61A49" w:rsidRPr="00830DD8" w:rsidRDefault="00F61A49" w:rsidP="00F61A49">
      <w:pPr>
        <w:pStyle w:val="DHHSbody"/>
      </w:pPr>
      <w:r w:rsidRPr="00830DD8">
        <w:t xml:space="preserve">Department of Human Services. (2006). </w:t>
      </w:r>
      <w:r w:rsidRPr="00801F42">
        <w:rPr>
          <w:i/>
        </w:rPr>
        <w:t>Caring together: an action plan for carer involvement in Victorian public mental health servic</w:t>
      </w:r>
      <w:r w:rsidRPr="00830DD8">
        <w:t>es.</w:t>
      </w:r>
      <w:r>
        <w:t xml:space="preserve"> Melbourne: State Government of Victoria.</w:t>
      </w:r>
    </w:p>
    <w:p w14:paraId="2B34A27A" w14:textId="77777777" w:rsidR="00F61A49" w:rsidRPr="00830DD8" w:rsidRDefault="00F61A49" w:rsidP="00F61A49">
      <w:pPr>
        <w:pStyle w:val="DHHSbody"/>
      </w:pPr>
      <w:r w:rsidRPr="00830DD8">
        <w:t xml:space="preserve">Department of Human Services. (2009). </w:t>
      </w:r>
      <w:r w:rsidRPr="00801F42">
        <w:rPr>
          <w:i/>
        </w:rPr>
        <w:t xml:space="preserve">Strengthening consumer participation in Victoria's public mental health service: action </w:t>
      </w:r>
      <w:r w:rsidRPr="00830DD8">
        <w:t xml:space="preserve">plan. </w:t>
      </w:r>
      <w:r>
        <w:t>Melbourne: State Government of Victoria.</w:t>
      </w:r>
    </w:p>
    <w:p w14:paraId="1D49EFF3" w14:textId="77777777" w:rsidR="00F61A49" w:rsidRPr="00B435D6" w:rsidRDefault="00F61A49" w:rsidP="00F61A49">
      <w:pPr>
        <w:pStyle w:val="DHHSbody"/>
        <w:rPr>
          <w:noProof/>
          <w:lang w:val="en-US"/>
        </w:rPr>
      </w:pPr>
      <w:r>
        <w:rPr>
          <w:noProof/>
          <w:lang w:val="en-US"/>
        </w:rPr>
        <w:t xml:space="preserve">Government of South Australia. (2013). </w:t>
      </w:r>
      <w:r w:rsidRPr="00F44038">
        <w:rPr>
          <w:i/>
          <w:noProof/>
          <w:lang w:val="en-US"/>
        </w:rPr>
        <w:t xml:space="preserve">Better together: </w:t>
      </w:r>
      <w:r>
        <w:rPr>
          <w:i/>
          <w:noProof/>
          <w:lang w:val="en-US"/>
        </w:rPr>
        <w:t>p</w:t>
      </w:r>
      <w:r w:rsidRPr="00F44038">
        <w:rPr>
          <w:i/>
          <w:noProof/>
          <w:lang w:val="en-US"/>
        </w:rPr>
        <w:t>rinciples of engagement</w:t>
      </w:r>
      <w:r>
        <w:rPr>
          <w:noProof/>
          <w:lang w:val="en-US"/>
        </w:rPr>
        <w:t>. 2</w:t>
      </w:r>
      <w:r w:rsidRPr="00E55558">
        <w:rPr>
          <w:noProof/>
          <w:lang w:val="en-US"/>
        </w:rPr>
        <w:t>nd</w:t>
      </w:r>
      <w:r>
        <w:rPr>
          <w:noProof/>
          <w:lang w:val="en-US"/>
        </w:rPr>
        <w:t xml:space="preserve"> edition. Adeaide: South Australian Government.</w:t>
      </w:r>
    </w:p>
    <w:p w14:paraId="3886F7A6" w14:textId="77777777" w:rsidR="00F61A49" w:rsidRPr="00830DD8" w:rsidRDefault="00F61A49" w:rsidP="00F61A49">
      <w:pPr>
        <w:pStyle w:val="DHHSbody"/>
      </w:pPr>
      <w:r w:rsidRPr="00830DD8">
        <w:t xml:space="preserve">Heazlewood, J. (2018). </w:t>
      </w:r>
      <w:r w:rsidRPr="00830DD8">
        <w:rPr>
          <w:i/>
        </w:rPr>
        <w:t>Get Up Mum</w:t>
      </w:r>
      <w:r w:rsidRPr="00830DD8">
        <w:t xml:space="preserve">. </w:t>
      </w:r>
      <w:r>
        <w:t>Melbourne</w:t>
      </w:r>
      <w:r w:rsidRPr="00830DD8">
        <w:t>: Affirm Press.</w:t>
      </w:r>
    </w:p>
    <w:p w14:paraId="2CD761E3" w14:textId="77777777" w:rsidR="00F61A49" w:rsidRDefault="00F61A49" w:rsidP="00F61A49">
      <w:pPr>
        <w:pStyle w:val="DHHSbody"/>
        <w:rPr>
          <w:noProof/>
          <w:lang w:val="en-US"/>
        </w:rPr>
      </w:pPr>
      <w:r w:rsidRPr="000551A1">
        <w:rPr>
          <w:noProof/>
          <w:lang w:val="en-US"/>
        </w:rPr>
        <w:t xml:space="preserve">Holmes, B. (2011). </w:t>
      </w:r>
      <w:r w:rsidRPr="00F44038">
        <w:rPr>
          <w:i/>
          <w:noProof/>
          <w:lang w:val="en-US"/>
        </w:rPr>
        <w:t>Citizens' engagement in policymaking and the design of public services.</w:t>
      </w:r>
      <w:r w:rsidRPr="000551A1">
        <w:rPr>
          <w:noProof/>
          <w:lang w:val="en-US"/>
        </w:rPr>
        <w:t xml:space="preserve"> Canberra: Parliamentary Library.</w:t>
      </w:r>
    </w:p>
    <w:p w14:paraId="5DD31F59" w14:textId="77777777" w:rsidR="00F61A49" w:rsidRDefault="00F61A49" w:rsidP="00F61A49">
      <w:pPr>
        <w:pStyle w:val="DHHSbody"/>
        <w:rPr>
          <w:noProof/>
          <w:lang w:val="en-US"/>
        </w:rPr>
      </w:pPr>
      <w:r>
        <w:rPr>
          <w:noProof/>
          <w:lang w:val="en-US"/>
        </w:rPr>
        <w:t xml:space="preserve">Institute for Innovation and Improvement (2009) </w:t>
      </w:r>
      <w:r w:rsidRPr="00F44038">
        <w:rPr>
          <w:i/>
          <w:noProof/>
          <w:lang w:val="en-US"/>
        </w:rPr>
        <w:t>The EBD approach: experience based design. Using patient and staff experience to design better healthcare services</w:t>
      </w:r>
      <w:r>
        <w:rPr>
          <w:noProof/>
          <w:lang w:val="en-US"/>
        </w:rPr>
        <w:t>. UK: NHS.</w:t>
      </w:r>
    </w:p>
    <w:p w14:paraId="07668A07" w14:textId="77777777" w:rsidR="00F61A49" w:rsidRPr="00830DD8" w:rsidRDefault="00F61A49" w:rsidP="00F61A49">
      <w:pPr>
        <w:pStyle w:val="DHHSbody"/>
      </w:pPr>
      <w:r w:rsidRPr="00830DD8">
        <w:t xml:space="preserve">International Association for Public Participation. (2015). </w:t>
      </w:r>
      <w:hyperlink r:id="rId46" w:history="1">
        <w:r w:rsidRPr="00390F3D">
          <w:rPr>
            <w:rStyle w:val="Hyperlink"/>
            <w:i/>
          </w:rPr>
          <w:t>IAP2 Quality Assurance Standard</w:t>
        </w:r>
        <w:r w:rsidRPr="00390F3D">
          <w:rPr>
            <w:rStyle w:val="Hyperlink"/>
          </w:rPr>
          <w:t>.</w:t>
        </w:r>
      </w:hyperlink>
      <w:r w:rsidRPr="00830DD8">
        <w:t xml:space="preserve"> Retrieved from </w:t>
      </w:r>
      <w:r w:rsidRPr="00BC0AF3">
        <w:t>https://www.iap2.org.au/Tenant/C0000004/00000001/files/IAP2_Quality_Assurance_Standard_2015.pdf</w:t>
      </w:r>
      <w:r>
        <w:t>.</w:t>
      </w:r>
    </w:p>
    <w:p w14:paraId="03C9E937" w14:textId="77777777" w:rsidR="00F61A49" w:rsidRDefault="00F61A49" w:rsidP="00F61A49">
      <w:pPr>
        <w:pStyle w:val="DHHSbody"/>
        <w:rPr>
          <w:noProof/>
          <w:lang w:val="en-US"/>
        </w:rPr>
      </w:pPr>
      <w:r w:rsidRPr="00100B1C">
        <w:rPr>
          <w:noProof/>
          <w:lang w:val="en-US"/>
        </w:rPr>
        <w:lastRenderedPageBreak/>
        <w:t xml:space="preserve">Iyer, S. P., Pancake, L. S., Dandino, E. S., Wells, </w:t>
      </w:r>
      <w:r>
        <w:rPr>
          <w:noProof/>
          <w:lang w:val="en-US"/>
        </w:rPr>
        <w:t xml:space="preserve">K. B. (2015). Consumer-involved </w:t>
      </w:r>
      <w:r w:rsidRPr="00100B1C">
        <w:rPr>
          <w:noProof/>
          <w:lang w:val="en-US"/>
        </w:rPr>
        <w:t xml:space="preserve">participatory research to address general medical health and wellness in a community mental health setting. </w:t>
      </w:r>
      <w:r w:rsidRPr="00F44038">
        <w:rPr>
          <w:i/>
          <w:noProof/>
          <w:lang w:val="en-US"/>
        </w:rPr>
        <w:t>Psychiatric Services</w:t>
      </w:r>
      <w:r>
        <w:rPr>
          <w:noProof/>
          <w:lang w:val="en-US"/>
        </w:rPr>
        <w:t xml:space="preserve">, 66(12): 1268–1270. </w:t>
      </w:r>
    </w:p>
    <w:p w14:paraId="74049F12" w14:textId="77777777" w:rsidR="00F61A49" w:rsidRDefault="00F61A49" w:rsidP="00F61A49">
      <w:pPr>
        <w:pStyle w:val="DHHSbody"/>
        <w:rPr>
          <w:noProof/>
          <w:lang w:val="en-US"/>
        </w:rPr>
      </w:pPr>
      <w:r>
        <w:rPr>
          <w:noProof/>
          <w:lang w:val="en-US"/>
        </w:rPr>
        <w:t xml:space="preserve">Mental Health Australia. (2017). </w:t>
      </w:r>
      <w:r w:rsidRPr="00F44038">
        <w:rPr>
          <w:i/>
          <w:noProof/>
          <w:lang w:val="en-US"/>
        </w:rPr>
        <w:t>Co-design in mental health policy</w:t>
      </w:r>
      <w:r>
        <w:rPr>
          <w:noProof/>
          <w:lang w:val="en-US"/>
        </w:rPr>
        <w:t>. Deakin: Mental Health Australia.</w:t>
      </w:r>
    </w:p>
    <w:p w14:paraId="7057694D" w14:textId="77777777" w:rsidR="00F61A49" w:rsidRPr="00830DD8" w:rsidRDefault="00F61A49" w:rsidP="00F61A49">
      <w:pPr>
        <w:pStyle w:val="DHHSbody"/>
      </w:pPr>
      <w:r w:rsidRPr="00830DD8">
        <w:t>National Consumer and Carer Forum of Australia. (2004).</w:t>
      </w:r>
      <w:hyperlink r:id="rId47" w:history="1">
        <w:r w:rsidRPr="00390F3D">
          <w:rPr>
            <w:rStyle w:val="Hyperlink"/>
          </w:rPr>
          <w:t xml:space="preserve"> </w:t>
        </w:r>
        <w:r w:rsidRPr="00390F3D">
          <w:rPr>
            <w:rStyle w:val="Hyperlink"/>
            <w:i/>
          </w:rPr>
          <w:t xml:space="preserve">Consumer and carer participation: </w:t>
        </w:r>
        <w:r>
          <w:rPr>
            <w:rStyle w:val="Hyperlink"/>
            <w:i/>
          </w:rPr>
          <w:t>a</w:t>
        </w:r>
        <w:r w:rsidRPr="00390F3D">
          <w:rPr>
            <w:rStyle w:val="Hyperlink"/>
            <w:i/>
          </w:rPr>
          <w:t xml:space="preserve"> framework for the mental health sector</w:t>
        </w:r>
        <w:r w:rsidRPr="00390F3D">
          <w:rPr>
            <w:rStyle w:val="Hyperlink"/>
          </w:rPr>
          <w:t>.</w:t>
        </w:r>
      </w:hyperlink>
      <w:r w:rsidRPr="00830DD8">
        <w:t xml:space="preserve"> National Consumer and Carer Forum of Australia</w:t>
      </w:r>
      <w:r>
        <w:t>.</w:t>
      </w:r>
      <w:r w:rsidRPr="00830DD8">
        <w:t xml:space="preserve"> Retrieved from </w:t>
      </w:r>
      <w:r w:rsidRPr="00BC0AF3">
        <w:t>http://nmhccf.org.au/publication/consumer-and-carer-participation-policy</w:t>
      </w:r>
      <w:r w:rsidRPr="00830DD8">
        <w:t>.</w:t>
      </w:r>
    </w:p>
    <w:p w14:paraId="646FA13D" w14:textId="77777777" w:rsidR="00F61A49" w:rsidRPr="00FF2231" w:rsidRDefault="00F61A49" w:rsidP="00F61A49">
      <w:pPr>
        <w:pStyle w:val="DHHSbody"/>
        <w:rPr>
          <w:noProof/>
          <w:lang w:val="en-US"/>
        </w:rPr>
      </w:pPr>
      <w:r w:rsidRPr="00FF2231">
        <w:rPr>
          <w:noProof/>
          <w:lang w:val="en-US"/>
        </w:rPr>
        <w:t>National Consumer and Carer Forum</w:t>
      </w:r>
      <w:r>
        <w:rPr>
          <w:noProof/>
          <w:lang w:val="en-US"/>
        </w:rPr>
        <w:t>.</w:t>
      </w:r>
      <w:r w:rsidRPr="00FF2231">
        <w:rPr>
          <w:noProof/>
          <w:lang w:val="en-US"/>
        </w:rPr>
        <w:t xml:space="preserve"> (2004). </w:t>
      </w:r>
      <w:r w:rsidRPr="00F44038">
        <w:rPr>
          <w:i/>
          <w:noProof/>
          <w:lang w:val="en-US"/>
        </w:rPr>
        <w:t>Consumer and carer participation policy: a framework for the mental health sector</w:t>
      </w:r>
      <w:r w:rsidRPr="00FF2231">
        <w:rPr>
          <w:noProof/>
          <w:lang w:val="en-US"/>
        </w:rPr>
        <w:t>. Canberra: National Consumer and Carer Forum of Australia.</w:t>
      </w:r>
    </w:p>
    <w:p w14:paraId="29897B27" w14:textId="77777777" w:rsidR="00F61A49" w:rsidRDefault="00F61A49" w:rsidP="00F61A49">
      <w:pPr>
        <w:pStyle w:val="DHHSbody"/>
        <w:rPr>
          <w:noProof/>
          <w:lang w:val="en-US"/>
        </w:rPr>
      </w:pPr>
      <w:r>
        <w:rPr>
          <w:noProof/>
          <w:lang w:val="en-US"/>
        </w:rPr>
        <w:t xml:space="preserve">National Development Team for Inclusion. (2016). </w:t>
      </w:r>
      <w:r w:rsidRPr="00F44038">
        <w:rPr>
          <w:i/>
          <w:noProof/>
          <w:lang w:val="en-US"/>
        </w:rPr>
        <w:t xml:space="preserve">Position paper: Are mainstream mental health services ready to progress transformative co-production? </w:t>
      </w:r>
      <w:r>
        <w:rPr>
          <w:noProof/>
          <w:lang w:val="en-US"/>
        </w:rPr>
        <w:t>UK: NDTI.</w:t>
      </w:r>
    </w:p>
    <w:p w14:paraId="1A46406A" w14:textId="77777777" w:rsidR="00F61A49" w:rsidRDefault="00F61A49" w:rsidP="00F61A49">
      <w:pPr>
        <w:pStyle w:val="DHHSbody"/>
        <w:rPr>
          <w:noProof/>
          <w:lang w:val="en-US"/>
        </w:rPr>
      </w:pPr>
      <w:r w:rsidRPr="00691368">
        <w:rPr>
          <w:noProof/>
          <w:lang w:val="en-US"/>
        </w:rPr>
        <w:t>Ostrom, E. (1996)</w:t>
      </w:r>
      <w:r>
        <w:rPr>
          <w:noProof/>
          <w:lang w:val="en-US"/>
        </w:rPr>
        <w:t>.</w:t>
      </w:r>
      <w:r w:rsidRPr="00691368">
        <w:rPr>
          <w:noProof/>
          <w:lang w:val="en-US"/>
        </w:rPr>
        <w:t xml:space="preserve"> Crossing the great divide: coproduction, synergy, and development</w:t>
      </w:r>
      <w:r>
        <w:rPr>
          <w:noProof/>
          <w:lang w:val="en-US"/>
        </w:rPr>
        <w:t>.</w:t>
      </w:r>
      <w:r w:rsidRPr="00691368">
        <w:rPr>
          <w:noProof/>
          <w:lang w:val="en-US"/>
        </w:rPr>
        <w:t xml:space="preserve"> </w:t>
      </w:r>
      <w:r w:rsidRPr="00F44038">
        <w:rPr>
          <w:i/>
          <w:noProof/>
          <w:lang w:val="en-US"/>
        </w:rPr>
        <w:t>World Development</w:t>
      </w:r>
      <w:r>
        <w:rPr>
          <w:noProof/>
          <w:lang w:val="en-US"/>
        </w:rPr>
        <w:t>, 24(6):1073–</w:t>
      </w:r>
      <w:r w:rsidRPr="00691368">
        <w:rPr>
          <w:noProof/>
          <w:lang w:val="en-US"/>
        </w:rPr>
        <w:t>1087</w:t>
      </w:r>
      <w:r>
        <w:rPr>
          <w:noProof/>
          <w:lang w:val="en-US"/>
        </w:rPr>
        <w:t>.</w:t>
      </w:r>
    </w:p>
    <w:p w14:paraId="1421F3A8" w14:textId="77777777" w:rsidR="00F61A49" w:rsidRPr="00830DD8" w:rsidRDefault="00F61A49" w:rsidP="00F61A49">
      <w:pPr>
        <w:pStyle w:val="DHHSbody"/>
      </w:pPr>
      <w:r w:rsidRPr="00830DD8">
        <w:t xml:space="preserve">Roper, C., Grey, F., Cadogan, E. (2018). </w:t>
      </w:r>
      <w:hyperlink r:id="rId48" w:history="1">
        <w:r w:rsidRPr="00390F3D">
          <w:rPr>
            <w:rStyle w:val="Hyperlink"/>
            <w:i/>
          </w:rPr>
          <w:t>Co-production: Putting principles into practice in mental health contexts</w:t>
        </w:r>
      </w:hyperlink>
      <w:r w:rsidRPr="00830DD8">
        <w:t>.</w:t>
      </w:r>
      <w:r>
        <w:t xml:space="preserve"> </w:t>
      </w:r>
      <w:r w:rsidRPr="00830DD8">
        <w:t xml:space="preserve">Retrieved from </w:t>
      </w:r>
      <w:r w:rsidRPr="00BC0AF3">
        <w:t>https://recoverylibrary.unimelb.edu.au/__data/assets/pdf_file/0010/2659969/Coproduction_putting-principles-into-practice.pdf</w:t>
      </w:r>
      <w:r>
        <w:t>.</w:t>
      </w:r>
    </w:p>
    <w:p w14:paraId="758D4301" w14:textId="77777777" w:rsidR="00F61A49" w:rsidRPr="00FF2231" w:rsidRDefault="00F61A49" w:rsidP="00F61A49">
      <w:pPr>
        <w:pStyle w:val="DHHSbody"/>
        <w:rPr>
          <w:noProof/>
          <w:lang w:val="en-US"/>
        </w:rPr>
      </w:pPr>
      <w:r w:rsidRPr="00FF2231">
        <w:rPr>
          <w:noProof/>
          <w:lang w:val="en-US"/>
        </w:rPr>
        <w:t xml:space="preserve">Slay, J., Robinson, B. (2011). </w:t>
      </w:r>
      <w:r w:rsidRPr="00F44038">
        <w:rPr>
          <w:i/>
          <w:noProof/>
          <w:lang w:val="en-US"/>
        </w:rPr>
        <w:t>In this together: Building knowledge about co-production</w:t>
      </w:r>
      <w:r w:rsidRPr="00FF2231">
        <w:rPr>
          <w:noProof/>
          <w:lang w:val="en-US"/>
        </w:rPr>
        <w:t>. London: New Economics Foundation.</w:t>
      </w:r>
    </w:p>
    <w:p w14:paraId="47506870" w14:textId="77777777" w:rsidR="00F61A49" w:rsidRDefault="00F61A49" w:rsidP="00F61A49">
      <w:pPr>
        <w:pStyle w:val="DHHSbody"/>
        <w:rPr>
          <w:noProof/>
          <w:lang w:val="en-US"/>
        </w:rPr>
      </w:pPr>
      <w:r w:rsidRPr="00691368">
        <w:rPr>
          <w:noProof/>
          <w:lang w:val="en-US"/>
        </w:rPr>
        <w:t>Slay, J.</w:t>
      </w:r>
      <w:r>
        <w:rPr>
          <w:noProof/>
          <w:lang w:val="en-US"/>
        </w:rPr>
        <w:t xml:space="preserve">, </w:t>
      </w:r>
      <w:r w:rsidRPr="00691368">
        <w:rPr>
          <w:noProof/>
          <w:lang w:val="en-US"/>
        </w:rPr>
        <w:t>Stephens, L. (2013)</w:t>
      </w:r>
      <w:r>
        <w:rPr>
          <w:noProof/>
          <w:lang w:val="en-US"/>
        </w:rPr>
        <w:t>.</w:t>
      </w:r>
      <w:r w:rsidRPr="00691368">
        <w:rPr>
          <w:noProof/>
          <w:lang w:val="en-US"/>
        </w:rPr>
        <w:t xml:space="preserve"> </w:t>
      </w:r>
      <w:r w:rsidRPr="00F44038">
        <w:rPr>
          <w:i/>
          <w:noProof/>
          <w:lang w:val="en-US"/>
        </w:rPr>
        <w:t xml:space="preserve">Co-production in mental health: </w:t>
      </w:r>
      <w:r>
        <w:rPr>
          <w:i/>
          <w:noProof/>
          <w:lang w:val="en-US"/>
        </w:rPr>
        <w:t>a</w:t>
      </w:r>
      <w:r w:rsidRPr="00F44038">
        <w:rPr>
          <w:i/>
          <w:noProof/>
          <w:lang w:val="en-US"/>
        </w:rPr>
        <w:t xml:space="preserve"> literature review</w:t>
      </w:r>
      <w:r w:rsidRPr="00691368">
        <w:rPr>
          <w:noProof/>
          <w:lang w:val="en-US"/>
        </w:rPr>
        <w:t>. London: New Economics Foundation/Mind</w:t>
      </w:r>
      <w:r>
        <w:rPr>
          <w:noProof/>
          <w:lang w:val="en-US"/>
        </w:rPr>
        <w:t>.</w:t>
      </w:r>
    </w:p>
    <w:p w14:paraId="72C359E4" w14:textId="77777777" w:rsidR="00F61A49" w:rsidRDefault="00F61A49" w:rsidP="00F61A49">
      <w:pPr>
        <w:pStyle w:val="DHHSbody"/>
        <w:rPr>
          <w:noProof/>
          <w:lang w:val="en-US"/>
        </w:rPr>
      </w:pPr>
      <w:r>
        <w:rPr>
          <w:noProof/>
          <w:lang w:val="en-US"/>
        </w:rPr>
        <w:t xml:space="preserve">Social Innovation Generation (2014) </w:t>
      </w:r>
      <w:r w:rsidRPr="00F44038">
        <w:rPr>
          <w:i/>
          <w:noProof/>
          <w:lang w:val="en-US"/>
        </w:rPr>
        <w:t>Designing and delivering services in partnership with citizens and professionals</w:t>
      </w:r>
      <w:r>
        <w:rPr>
          <w:noProof/>
          <w:lang w:val="en-US"/>
        </w:rPr>
        <w:t>. Canada: SiG.</w:t>
      </w:r>
    </w:p>
    <w:p w14:paraId="4B5C6B6D" w14:textId="77777777" w:rsidR="00F61A49" w:rsidRPr="0085314C" w:rsidRDefault="00F61A49" w:rsidP="00F61A49">
      <w:pPr>
        <w:pStyle w:val="DHHSbody"/>
        <w:rPr>
          <w:noProof/>
          <w:lang w:val="en-US"/>
        </w:rPr>
      </w:pPr>
      <w:r w:rsidRPr="00FF2231">
        <w:rPr>
          <w:noProof/>
          <w:lang w:val="en-US"/>
        </w:rPr>
        <w:t xml:space="preserve">Stephens, L., Ryan-Collins, J., Boyle, D. (2008). </w:t>
      </w:r>
      <w:r w:rsidRPr="00F44038">
        <w:rPr>
          <w:i/>
          <w:noProof/>
          <w:lang w:val="en-US"/>
        </w:rPr>
        <w:t xml:space="preserve">Co-production: </w:t>
      </w:r>
      <w:r>
        <w:rPr>
          <w:i/>
          <w:noProof/>
          <w:lang w:val="en-US"/>
        </w:rPr>
        <w:t>a</w:t>
      </w:r>
      <w:r w:rsidRPr="00F44038">
        <w:rPr>
          <w:i/>
          <w:noProof/>
          <w:lang w:val="en-US"/>
        </w:rPr>
        <w:t xml:space="preserve"> manifesto for growing the core economy</w:t>
      </w:r>
      <w:r w:rsidRPr="00FF2231">
        <w:rPr>
          <w:noProof/>
          <w:lang w:val="en-US"/>
        </w:rPr>
        <w:t>. London: New Economics Foundation.</w:t>
      </w:r>
    </w:p>
    <w:p w14:paraId="33920825" w14:textId="77777777" w:rsidR="00F61A49" w:rsidRPr="00830DD8" w:rsidRDefault="00F61A49" w:rsidP="00F61A49">
      <w:pPr>
        <w:pStyle w:val="DHHSbody"/>
      </w:pPr>
      <w:r w:rsidRPr="00830DD8">
        <w:t xml:space="preserve">Victorian Auditor-General’s Office. (2015). </w:t>
      </w:r>
      <w:hyperlink r:id="rId49" w:history="1">
        <w:r w:rsidRPr="00390F3D">
          <w:rPr>
            <w:rStyle w:val="Hyperlink"/>
            <w:i/>
          </w:rPr>
          <w:t>Public participation in government decision-making</w:t>
        </w:r>
      </w:hyperlink>
      <w:r w:rsidRPr="00830DD8">
        <w:rPr>
          <w:i/>
        </w:rPr>
        <w:t>. Better practice guide</w:t>
      </w:r>
      <w:r w:rsidRPr="00830DD8">
        <w:t xml:space="preserve">. Retrieved from </w:t>
      </w:r>
      <w:r w:rsidRPr="00BC0AF3">
        <w:t>https://www.audit.vic.gov.au/report/public-participation-government-decision-making-better-practice-guide</w:t>
      </w:r>
      <w:r>
        <w:t>.</w:t>
      </w:r>
    </w:p>
    <w:p w14:paraId="6E9FD3FE" w14:textId="44BB14FF" w:rsidR="00F61A49" w:rsidRPr="0085314C" w:rsidRDefault="00F61A49" w:rsidP="00F61A49">
      <w:pPr>
        <w:pStyle w:val="DHHSbody"/>
        <w:rPr>
          <w:noProof/>
          <w:lang w:val="en-US"/>
        </w:rPr>
      </w:pPr>
      <w:r>
        <w:rPr>
          <w:noProof/>
          <w:lang w:eastAsia="en-AU"/>
        </w:rPr>
        <w:fldChar w:fldCharType="end"/>
      </w:r>
    </w:p>
    <w:sectPr w:rsidR="00F61A49" w:rsidRPr="0085314C" w:rsidSect="00F61A49">
      <w:headerReference w:type="even" r:id="rId50"/>
      <w:headerReference w:type="default" r:id="rId51"/>
      <w:footerReference w:type="even" r:id="rId52"/>
      <w:footerReference w:type="default" r:id="rId53"/>
      <w:footerReference w:type="first" r:id="rId54"/>
      <w:pgSz w:w="11906" w:h="16838"/>
      <w:pgMar w:top="1701" w:right="1304" w:bottom="1134" w:left="130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0E22" w14:textId="77777777" w:rsidR="00583BA4" w:rsidRDefault="00583BA4">
      <w:r>
        <w:separator/>
      </w:r>
    </w:p>
  </w:endnote>
  <w:endnote w:type="continuationSeparator" w:id="0">
    <w:p w14:paraId="0E2AAF13" w14:textId="77777777" w:rsidR="00583BA4" w:rsidRDefault="0058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4465" w14:textId="637A0DBB" w:rsidR="00583BA4" w:rsidRDefault="00583BA4" w:rsidP="0066332C">
    <w:pPr>
      <w:pStyle w:val="DHHSfooter"/>
    </w:pPr>
    <w:r w:rsidRPr="00F61A49">
      <w:t>Mental health lived experience engagement framework</w:t>
    </w:r>
    <w:r w:rsidRPr="0031753A">
      <w:tab/>
      <w:t xml:space="preserve">Page </w:t>
    </w:r>
    <w:r w:rsidRPr="0031753A">
      <w:fldChar w:fldCharType="begin"/>
    </w:r>
    <w:r w:rsidRPr="0031753A">
      <w:instrText xml:space="preserve"> PAGE </w:instrText>
    </w:r>
    <w:r w:rsidRPr="0031753A">
      <w:fldChar w:fldCharType="separate"/>
    </w:r>
    <w:r>
      <w:t>27</w:t>
    </w:r>
    <w:r w:rsidRPr="003175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5493" w14:textId="77777777" w:rsidR="00583BA4" w:rsidRDefault="00583BA4" w:rsidP="00C71A3A">
    <w:pPr>
      <w:pStyle w:val="DHHSfooter"/>
    </w:pPr>
    <w:r>
      <w:t xml:space="preserve">Page </w:t>
    </w:r>
    <w:r w:rsidRPr="005A39EC">
      <w:fldChar w:fldCharType="begin"/>
    </w:r>
    <w:r w:rsidRPr="005A39EC">
      <w:instrText xml:space="preserve"> PAGE </w:instrText>
    </w:r>
    <w:r w:rsidRPr="005A39EC">
      <w:fldChar w:fldCharType="separate"/>
    </w:r>
    <w:r>
      <w:t>36</w:t>
    </w:r>
    <w:r w:rsidRPr="005A39EC">
      <w:fldChar w:fldCharType="end"/>
    </w:r>
    <w:r>
      <w:tab/>
    </w:r>
    <w:r w:rsidRPr="0085314C">
      <w:t>Mental health lived experience engagement framework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2D92" w14:textId="01DDE0C8" w:rsidR="00583BA4" w:rsidRPr="00BB6432" w:rsidRDefault="00583BA4" w:rsidP="0066332C">
    <w:pPr>
      <w:pStyle w:val="DHHSfooter"/>
    </w:pPr>
    <w:r w:rsidRPr="00F61A49">
      <w:t>Mental health lived experience engagement framework</w:t>
    </w:r>
    <w:r>
      <w:t xml:space="preserve">                                                                               </w:t>
    </w:r>
    <w:r w:rsidRPr="0031753A">
      <w:t xml:space="preserve">Page </w:t>
    </w:r>
    <w:r w:rsidRPr="0031753A">
      <w:fldChar w:fldCharType="begin"/>
    </w:r>
    <w:r w:rsidRPr="0031753A">
      <w:instrText xml:space="preserve"> PAGE </w:instrText>
    </w:r>
    <w:r w:rsidRPr="0031753A">
      <w:fldChar w:fldCharType="separate"/>
    </w:r>
    <w:r>
      <w:t>27</w:t>
    </w:r>
    <w:r w:rsidRPr="0031753A">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7CBA" w14:textId="77777777" w:rsidR="00583BA4" w:rsidRDefault="00583B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829E" w14:textId="7E7957B2" w:rsidR="00583BA4" w:rsidRPr="008114D1" w:rsidRDefault="00583BA4" w:rsidP="00E969B1">
    <w:pPr>
      <w:pStyle w:val="DHHSfooter"/>
    </w:pPr>
    <w:r>
      <w:t xml:space="preserve">Page </w:t>
    </w:r>
    <w:r w:rsidRPr="005A39EC">
      <w:fldChar w:fldCharType="begin"/>
    </w:r>
    <w:r w:rsidRPr="005A39EC">
      <w:instrText xml:space="preserve"> PAGE </w:instrText>
    </w:r>
    <w:r w:rsidRPr="005A39EC">
      <w:fldChar w:fldCharType="separate"/>
    </w:r>
    <w:r>
      <w:rPr>
        <w:noProof/>
      </w:rPr>
      <w:t>8</w:t>
    </w:r>
    <w:r w:rsidRPr="005A39EC">
      <w:fldChar w:fldCharType="end"/>
    </w:r>
    <w:r>
      <w:tab/>
    </w:r>
    <w:r w:rsidRPr="00F61A49">
      <w:t>Mental health lived experience engagement framework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268D" w14:textId="4A66197C" w:rsidR="00583BA4" w:rsidRPr="0031753A" w:rsidRDefault="00583BA4" w:rsidP="00E969B1">
    <w:pPr>
      <w:pStyle w:val="DHHSfooter"/>
    </w:pPr>
    <w:r w:rsidRPr="00F61A49">
      <w:t>Mental health lived experience engagement framework</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4CEE" w14:textId="77777777" w:rsidR="00583BA4" w:rsidRPr="001A7E04" w:rsidRDefault="00583BA4"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BCAB" w14:textId="77777777" w:rsidR="00583BA4" w:rsidRDefault="00583BA4">
      <w:r>
        <w:separator/>
      </w:r>
    </w:p>
  </w:footnote>
  <w:footnote w:type="continuationSeparator" w:id="0">
    <w:p w14:paraId="0589062E" w14:textId="77777777" w:rsidR="00583BA4" w:rsidRDefault="0058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C574" w14:textId="77777777" w:rsidR="00583BA4" w:rsidRDefault="00583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E1FD" w14:textId="77777777" w:rsidR="00583BA4" w:rsidRPr="0085314C" w:rsidRDefault="00583BA4" w:rsidP="00C71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1E65" w14:textId="77777777" w:rsidR="00583BA4" w:rsidRDefault="00583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2A72" w14:textId="77777777" w:rsidR="00583BA4" w:rsidRPr="0069374A" w:rsidRDefault="00583BA4"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7445" w14:textId="77777777" w:rsidR="00583BA4" w:rsidRDefault="00583BA4"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01F9"/>
    <w:multiLevelType w:val="hybridMultilevel"/>
    <w:tmpl w:val="A492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70A7B"/>
    <w:multiLevelType w:val="hybridMultilevel"/>
    <w:tmpl w:val="70A26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A7097"/>
    <w:multiLevelType w:val="hybridMultilevel"/>
    <w:tmpl w:val="43045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F4477"/>
    <w:multiLevelType w:val="hybridMultilevel"/>
    <w:tmpl w:val="A5C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519D9"/>
    <w:multiLevelType w:val="hybridMultilevel"/>
    <w:tmpl w:val="B9D6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87451"/>
    <w:multiLevelType w:val="hybridMultilevel"/>
    <w:tmpl w:val="4DC27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7A7AC1"/>
    <w:multiLevelType w:val="hybridMultilevel"/>
    <w:tmpl w:val="9BC0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D51B47"/>
    <w:multiLevelType w:val="multilevel"/>
    <w:tmpl w:val="4B4E7622"/>
    <w:numStyleLink w:val="ZZNumbers"/>
  </w:abstractNum>
  <w:abstractNum w:abstractNumId="8" w15:restartNumberingAfterBreak="0">
    <w:nsid w:val="2B906DF8"/>
    <w:multiLevelType w:val="hybridMultilevel"/>
    <w:tmpl w:val="0598D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3E522C"/>
    <w:multiLevelType w:val="multilevel"/>
    <w:tmpl w:val="2D14E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D6225E8"/>
    <w:multiLevelType w:val="hybridMultilevel"/>
    <w:tmpl w:val="E8AEE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D776B7"/>
    <w:multiLevelType w:val="hybridMultilevel"/>
    <w:tmpl w:val="4594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2920DD"/>
    <w:multiLevelType w:val="hybridMultilevel"/>
    <w:tmpl w:val="C8842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E2111"/>
    <w:multiLevelType w:val="hybridMultilevel"/>
    <w:tmpl w:val="9B28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F4D685A"/>
    <w:multiLevelType w:val="hybridMultilevel"/>
    <w:tmpl w:val="02806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894351"/>
    <w:multiLevelType w:val="hybridMultilevel"/>
    <w:tmpl w:val="66BCC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583637"/>
    <w:multiLevelType w:val="hybridMultilevel"/>
    <w:tmpl w:val="188E84D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CA5336"/>
    <w:multiLevelType w:val="hybridMultilevel"/>
    <w:tmpl w:val="07A6D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CD75FA"/>
    <w:multiLevelType w:val="hybridMultilevel"/>
    <w:tmpl w:val="F7C60BDA"/>
    <w:lvl w:ilvl="0" w:tplc="05E2F0A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961A7"/>
    <w:multiLevelType w:val="multilevel"/>
    <w:tmpl w:val="2D14E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B1221"/>
    <w:multiLevelType w:val="hybridMultilevel"/>
    <w:tmpl w:val="7398F8C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D7741F"/>
    <w:multiLevelType w:val="hybridMultilevel"/>
    <w:tmpl w:val="2B94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363C81"/>
    <w:multiLevelType w:val="hybridMultilevel"/>
    <w:tmpl w:val="A40E2D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7065FE"/>
    <w:multiLevelType w:val="hybridMultilevel"/>
    <w:tmpl w:val="1FAE998A"/>
    <w:lvl w:ilvl="0" w:tplc="05E2F0A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3257A5"/>
    <w:multiLevelType w:val="hybridMultilevel"/>
    <w:tmpl w:val="33440994"/>
    <w:lvl w:ilvl="0" w:tplc="BC524E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2822B7"/>
    <w:multiLevelType w:val="hybridMultilevel"/>
    <w:tmpl w:val="F1088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F1287"/>
    <w:multiLevelType w:val="hybridMultilevel"/>
    <w:tmpl w:val="56EE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24"/>
  </w:num>
  <w:num w:numId="18">
    <w:abstractNumId w:val="22"/>
  </w:num>
  <w:num w:numId="19">
    <w:abstractNumId w:val="20"/>
  </w:num>
  <w:num w:numId="20">
    <w:abstractNumId w:val="25"/>
  </w:num>
  <w:num w:numId="21">
    <w:abstractNumId w:val="26"/>
  </w:num>
  <w:num w:numId="22">
    <w:abstractNumId w:val="6"/>
  </w:num>
  <w:num w:numId="23">
    <w:abstractNumId w:val="0"/>
  </w:num>
  <w:num w:numId="24">
    <w:abstractNumId w:val="4"/>
  </w:num>
  <w:num w:numId="25">
    <w:abstractNumId w:val="2"/>
  </w:num>
  <w:num w:numId="26">
    <w:abstractNumId w:val="21"/>
  </w:num>
  <w:num w:numId="27">
    <w:abstractNumId w:val="9"/>
  </w:num>
  <w:num w:numId="28">
    <w:abstractNumId w:val="13"/>
  </w:num>
  <w:num w:numId="29">
    <w:abstractNumId w:val="23"/>
  </w:num>
  <w:num w:numId="30">
    <w:abstractNumId w:val="27"/>
  </w:num>
  <w:num w:numId="31">
    <w:abstractNumId w:val="14"/>
  </w:num>
  <w:num w:numId="32">
    <w:abstractNumId w:val="3"/>
  </w:num>
  <w:num w:numId="33">
    <w:abstractNumId w:val="1"/>
  </w:num>
  <w:num w:numId="34">
    <w:abstractNumId w:val="12"/>
  </w:num>
  <w:num w:numId="35">
    <w:abstractNumId w:val="11"/>
  </w:num>
  <w:num w:numId="36">
    <w:abstractNumId w:val="17"/>
  </w:num>
  <w:num w:numId="37">
    <w:abstractNumId w:val="16"/>
  </w:num>
  <w:num w:numId="38">
    <w:abstractNumId w:val="8"/>
  </w:num>
  <w:num w:numId="39">
    <w:abstractNumId w:val="5"/>
  </w:num>
  <w:num w:numId="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2"/>
    <w:rsid w:val="00002990"/>
    <w:rsid w:val="000048AC"/>
    <w:rsid w:val="00013DAC"/>
    <w:rsid w:val="00014FC4"/>
    <w:rsid w:val="00020AAB"/>
    <w:rsid w:val="000223A4"/>
    <w:rsid w:val="00022E60"/>
    <w:rsid w:val="00026C19"/>
    <w:rsid w:val="00031263"/>
    <w:rsid w:val="00060E93"/>
    <w:rsid w:val="00064936"/>
    <w:rsid w:val="000734F8"/>
    <w:rsid w:val="000736B8"/>
    <w:rsid w:val="000817CB"/>
    <w:rsid w:val="000873EF"/>
    <w:rsid w:val="000A20BA"/>
    <w:rsid w:val="000B3792"/>
    <w:rsid w:val="000C6242"/>
    <w:rsid w:val="000C68DB"/>
    <w:rsid w:val="000D29CD"/>
    <w:rsid w:val="000D2C32"/>
    <w:rsid w:val="000E6F72"/>
    <w:rsid w:val="000F0478"/>
    <w:rsid w:val="000F0A50"/>
    <w:rsid w:val="000F5536"/>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566B"/>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219"/>
    <w:rsid w:val="002A6A4E"/>
    <w:rsid w:val="002B5A85"/>
    <w:rsid w:val="002B63A7"/>
    <w:rsid w:val="002C5543"/>
    <w:rsid w:val="002D0F7F"/>
    <w:rsid w:val="002D7AF9"/>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44BA"/>
    <w:rsid w:val="003271DC"/>
    <w:rsid w:val="00334B54"/>
    <w:rsid w:val="0033739E"/>
    <w:rsid w:val="00343733"/>
    <w:rsid w:val="00355886"/>
    <w:rsid w:val="00356814"/>
    <w:rsid w:val="0038019F"/>
    <w:rsid w:val="00382071"/>
    <w:rsid w:val="003A2F25"/>
    <w:rsid w:val="003B2807"/>
    <w:rsid w:val="003C68F2"/>
    <w:rsid w:val="003D5CFB"/>
    <w:rsid w:val="003E2636"/>
    <w:rsid w:val="003E2E12"/>
    <w:rsid w:val="003F0ABF"/>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1A3F"/>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82768"/>
    <w:rsid w:val="00583461"/>
    <w:rsid w:val="00583BA4"/>
    <w:rsid w:val="005856A4"/>
    <w:rsid w:val="00590730"/>
    <w:rsid w:val="005A3051"/>
    <w:rsid w:val="005A53FE"/>
    <w:rsid w:val="005B7D22"/>
    <w:rsid w:val="005C029E"/>
    <w:rsid w:val="005E085D"/>
    <w:rsid w:val="005E3FA7"/>
    <w:rsid w:val="005E6AFA"/>
    <w:rsid w:val="005E7963"/>
    <w:rsid w:val="005F218C"/>
    <w:rsid w:val="005F4523"/>
    <w:rsid w:val="00601D4D"/>
    <w:rsid w:val="006021B4"/>
    <w:rsid w:val="00605B5B"/>
    <w:rsid w:val="006062D8"/>
    <w:rsid w:val="00606827"/>
    <w:rsid w:val="00620262"/>
    <w:rsid w:val="00621B4C"/>
    <w:rsid w:val="00626110"/>
    <w:rsid w:val="00627C52"/>
    <w:rsid w:val="00630937"/>
    <w:rsid w:val="00653B84"/>
    <w:rsid w:val="00653E0D"/>
    <w:rsid w:val="0066332C"/>
    <w:rsid w:val="006865C8"/>
    <w:rsid w:val="00686B48"/>
    <w:rsid w:val="00687038"/>
    <w:rsid w:val="0068714E"/>
    <w:rsid w:val="006929F7"/>
    <w:rsid w:val="0069374A"/>
    <w:rsid w:val="00694AB8"/>
    <w:rsid w:val="00695EF7"/>
    <w:rsid w:val="0069699D"/>
    <w:rsid w:val="006B2C51"/>
    <w:rsid w:val="006B6361"/>
    <w:rsid w:val="006D2E8B"/>
    <w:rsid w:val="006D360C"/>
    <w:rsid w:val="006D5AC9"/>
    <w:rsid w:val="006D66ED"/>
    <w:rsid w:val="006E786B"/>
    <w:rsid w:val="006F1FF0"/>
    <w:rsid w:val="007002B1"/>
    <w:rsid w:val="00704EB7"/>
    <w:rsid w:val="00705742"/>
    <w:rsid w:val="007104FE"/>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0449"/>
    <w:rsid w:val="00A75CD5"/>
    <w:rsid w:val="00A83DF3"/>
    <w:rsid w:val="00A85915"/>
    <w:rsid w:val="00A952AB"/>
    <w:rsid w:val="00A9783D"/>
    <w:rsid w:val="00AA45E6"/>
    <w:rsid w:val="00AA5A37"/>
    <w:rsid w:val="00AB489C"/>
    <w:rsid w:val="00AB50C1"/>
    <w:rsid w:val="00AB6936"/>
    <w:rsid w:val="00AC0C3B"/>
    <w:rsid w:val="00AC2D63"/>
    <w:rsid w:val="00AC4C8E"/>
    <w:rsid w:val="00AD03D8"/>
    <w:rsid w:val="00AD0711"/>
    <w:rsid w:val="00AD704E"/>
    <w:rsid w:val="00AE5FE0"/>
    <w:rsid w:val="00AE60B7"/>
    <w:rsid w:val="00AF2AB7"/>
    <w:rsid w:val="00AF2B1C"/>
    <w:rsid w:val="00AF4D3F"/>
    <w:rsid w:val="00B0300B"/>
    <w:rsid w:val="00B05457"/>
    <w:rsid w:val="00B128A0"/>
    <w:rsid w:val="00B20240"/>
    <w:rsid w:val="00B23281"/>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B6CA9"/>
    <w:rsid w:val="00BC01C1"/>
    <w:rsid w:val="00BC5A34"/>
    <w:rsid w:val="00BD17F5"/>
    <w:rsid w:val="00BD6E05"/>
    <w:rsid w:val="00BE54D0"/>
    <w:rsid w:val="00BF6B6C"/>
    <w:rsid w:val="00BF7251"/>
    <w:rsid w:val="00BF7F28"/>
    <w:rsid w:val="00C01909"/>
    <w:rsid w:val="00C05787"/>
    <w:rsid w:val="00C13059"/>
    <w:rsid w:val="00C156D4"/>
    <w:rsid w:val="00C167A3"/>
    <w:rsid w:val="00C17898"/>
    <w:rsid w:val="00C2181C"/>
    <w:rsid w:val="00C2657D"/>
    <w:rsid w:val="00C416E1"/>
    <w:rsid w:val="00C47BF8"/>
    <w:rsid w:val="00C51B1C"/>
    <w:rsid w:val="00C53DCE"/>
    <w:rsid w:val="00C655F2"/>
    <w:rsid w:val="00C65B61"/>
    <w:rsid w:val="00C70E53"/>
    <w:rsid w:val="00C71A3A"/>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3742"/>
    <w:rsid w:val="00CC4F64"/>
    <w:rsid w:val="00CD058C"/>
    <w:rsid w:val="00CD3B98"/>
    <w:rsid w:val="00CD4216"/>
    <w:rsid w:val="00CD733F"/>
    <w:rsid w:val="00CE0942"/>
    <w:rsid w:val="00CE7CA5"/>
    <w:rsid w:val="00CF1D81"/>
    <w:rsid w:val="00CF2DC9"/>
    <w:rsid w:val="00CF7CB6"/>
    <w:rsid w:val="00D311AB"/>
    <w:rsid w:val="00D325A8"/>
    <w:rsid w:val="00D34386"/>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13827"/>
    <w:rsid w:val="00F3136B"/>
    <w:rsid w:val="00F314F1"/>
    <w:rsid w:val="00F327EA"/>
    <w:rsid w:val="00F33641"/>
    <w:rsid w:val="00F42842"/>
    <w:rsid w:val="00F46E40"/>
    <w:rsid w:val="00F4760A"/>
    <w:rsid w:val="00F52B8E"/>
    <w:rsid w:val="00F53CFD"/>
    <w:rsid w:val="00F54AF5"/>
    <w:rsid w:val="00F557E3"/>
    <w:rsid w:val="00F61A49"/>
    <w:rsid w:val="00F61E78"/>
    <w:rsid w:val="00F635C5"/>
    <w:rsid w:val="00F736E3"/>
    <w:rsid w:val="00F767E8"/>
    <w:rsid w:val="00F86A3F"/>
    <w:rsid w:val="00F91297"/>
    <w:rsid w:val="00F9133B"/>
    <w:rsid w:val="00F97730"/>
    <w:rsid w:val="00FB32A4"/>
    <w:rsid w:val="00FB594D"/>
    <w:rsid w:val="00FC49BB"/>
    <w:rsid w:val="00FD3F2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0B2986F"/>
  <w15:chartTrackingRefBased/>
  <w15:docId w15:val="{F12AA1B3-9553-4E6E-9E15-F1E9B9BF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3"/>
    <w:lsdException w:name="Medium Shading 2 Accent 3" w:uiPriority="69"/>
    <w:lsdException w:name="Medium List 1 Accent 3" w:uiPriority="70"/>
    <w:lsdException w:name="Medium List 2 Accent 3" w:uiPriority="71"/>
    <w:lsdException w:name="Medium Grid 1 Accent 3" w:uiPriority="67"/>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67"/>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67"/>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9"/>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customStyle="1" w:styleId="DHHSbodyChar">
    <w:name w:val="DHHS body Char"/>
    <w:link w:val="DHHSbody"/>
    <w:locked/>
    <w:rsid w:val="00FD3F22"/>
    <w:rPr>
      <w:rFonts w:ascii="Arial" w:eastAsia="Times" w:hAnsi="Arial"/>
      <w:lang w:eastAsia="en-US"/>
    </w:rPr>
  </w:style>
  <w:style w:type="character" w:styleId="CommentReference">
    <w:name w:val="annotation reference"/>
    <w:uiPriority w:val="99"/>
    <w:semiHidden/>
    <w:unhideWhenUsed/>
    <w:rsid w:val="00F61A49"/>
    <w:rPr>
      <w:sz w:val="16"/>
      <w:szCs w:val="16"/>
    </w:rPr>
  </w:style>
  <w:style w:type="paragraph" w:styleId="CommentText">
    <w:name w:val="annotation text"/>
    <w:basedOn w:val="Normal"/>
    <w:link w:val="CommentTextChar"/>
    <w:uiPriority w:val="99"/>
    <w:unhideWhenUsed/>
    <w:rsid w:val="00F61A49"/>
  </w:style>
  <w:style w:type="character" w:customStyle="1" w:styleId="CommentTextChar">
    <w:name w:val="Comment Text Char"/>
    <w:link w:val="CommentText"/>
    <w:uiPriority w:val="99"/>
    <w:rsid w:val="00F61A4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61A49"/>
    <w:rPr>
      <w:b/>
      <w:bCs/>
    </w:rPr>
  </w:style>
  <w:style w:type="character" w:customStyle="1" w:styleId="CommentSubjectChar">
    <w:name w:val="Comment Subject Char"/>
    <w:link w:val="CommentSubject"/>
    <w:uiPriority w:val="99"/>
    <w:semiHidden/>
    <w:rsid w:val="00F61A49"/>
    <w:rPr>
      <w:rFonts w:ascii="Cambria" w:hAnsi="Cambria"/>
      <w:b/>
      <w:bCs/>
      <w:lang w:eastAsia="en-US"/>
    </w:rPr>
  </w:style>
  <w:style w:type="paragraph" w:styleId="BalloonText">
    <w:name w:val="Balloon Text"/>
    <w:basedOn w:val="Normal"/>
    <w:link w:val="BalloonTextChar"/>
    <w:uiPriority w:val="99"/>
    <w:semiHidden/>
    <w:unhideWhenUsed/>
    <w:rsid w:val="00F61A49"/>
    <w:rPr>
      <w:rFonts w:ascii="Segoe UI" w:hAnsi="Segoe UI" w:cs="Segoe UI"/>
      <w:sz w:val="18"/>
      <w:szCs w:val="18"/>
    </w:rPr>
  </w:style>
  <w:style w:type="character" w:customStyle="1" w:styleId="BalloonTextChar">
    <w:name w:val="Balloon Text Char"/>
    <w:link w:val="BalloonText"/>
    <w:uiPriority w:val="99"/>
    <w:semiHidden/>
    <w:rsid w:val="00F61A49"/>
    <w:rPr>
      <w:rFonts w:ascii="Segoe UI" w:hAnsi="Segoe UI" w:cs="Segoe UI"/>
      <w:sz w:val="18"/>
      <w:szCs w:val="18"/>
      <w:lang w:eastAsia="en-US"/>
    </w:rPr>
  </w:style>
  <w:style w:type="paragraph" w:styleId="ListParagraph">
    <w:name w:val="List Paragraph"/>
    <w:basedOn w:val="Normal"/>
    <w:uiPriority w:val="34"/>
    <w:qFormat/>
    <w:rsid w:val="00F61A49"/>
    <w:pPr>
      <w:spacing w:after="200" w:line="276" w:lineRule="auto"/>
      <w:ind w:left="720"/>
      <w:contextualSpacing/>
    </w:pPr>
    <w:rPr>
      <w:rFonts w:ascii="Arial" w:eastAsia="Calibri" w:hAnsi="Arial"/>
      <w:szCs w:val="22"/>
    </w:rPr>
  </w:style>
  <w:style w:type="character" w:customStyle="1" w:styleId="HeaderChar">
    <w:name w:val="Header Char"/>
    <w:link w:val="Header"/>
    <w:uiPriority w:val="99"/>
    <w:rsid w:val="00F61A49"/>
    <w:rPr>
      <w:rFonts w:ascii="Arial" w:hAnsi="Arial" w:cs="Arial"/>
      <w:sz w:val="18"/>
      <w:szCs w:val="18"/>
      <w:lang w:eastAsia="en-US"/>
    </w:rPr>
  </w:style>
  <w:style w:type="character" w:customStyle="1" w:styleId="FooterChar">
    <w:name w:val="Footer Char"/>
    <w:link w:val="Footer"/>
    <w:uiPriority w:val="99"/>
    <w:rsid w:val="00F61A49"/>
    <w:rPr>
      <w:rFonts w:ascii="Arial" w:hAnsi="Arial" w:cs="Arial"/>
      <w:sz w:val="18"/>
      <w:szCs w:val="18"/>
      <w:lang w:eastAsia="en-US"/>
    </w:rPr>
  </w:style>
  <w:style w:type="paragraph" w:customStyle="1" w:styleId="body">
    <w:name w:val="body"/>
    <w:basedOn w:val="Normal"/>
    <w:link w:val="bodyChar"/>
    <w:qFormat/>
    <w:rsid w:val="00F61A49"/>
    <w:pPr>
      <w:spacing w:before="120" w:after="120"/>
    </w:pPr>
    <w:rPr>
      <w:rFonts w:ascii="Arial" w:eastAsia="Calibri" w:hAnsi="Arial"/>
      <w:szCs w:val="22"/>
    </w:rPr>
  </w:style>
  <w:style w:type="character" w:customStyle="1" w:styleId="bodyChar">
    <w:name w:val="body Char"/>
    <w:link w:val="body"/>
    <w:rsid w:val="00F61A49"/>
    <w:rPr>
      <w:rFonts w:ascii="Arial" w:eastAsia="Calibri" w:hAnsi="Arial"/>
      <w:szCs w:val="22"/>
      <w:lang w:eastAsia="en-US"/>
    </w:rPr>
  </w:style>
  <w:style w:type="table" w:styleId="MediumShading1-Accent3">
    <w:name w:val="Medium Shading 1 Accent 3"/>
    <w:basedOn w:val="TableNormal"/>
    <w:uiPriority w:val="63"/>
    <w:rsid w:val="00F61A4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F61A4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F61A49"/>
    <w:pPr>
      <w:autoSpaceDE w:val="0"/>
      <w:autoSpaceDN w:val="0"/>
      <w:adjustRightInd w:val="0"/>
    </w:pPr>
    <w:rPr>
      <w:rFonts w:ascii="HelveticaNeueLT Std Lt" w:eastAsia="Calibri" w:hAnsi="HelveticaNeueLT Std Lt" w:cs="HelveticaNeueLT Std Lt"/>
      <w:color w:val="000000"/>
      <w:sz w:val="24"/>
      <w:szCs w:val="24"/>
      <w:lang w:eastAsia="en-US"/>
    </w:rPr>
  </w:style>
  <w:style w:type="table" w:styleId="MediumGrid1-Accent4">
    <w:name w:val="Medium Grid 1 Accent 4"/>
    <w:basedOn w:val="TableNormal"/>
    <w:uiPriority w:val="67"/>
    <w:rsid w:val="00F61A49"/>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z-TopofForm">
    <w:name w:val="HTML Top of Form"/>
    <w:basedOn w:val="Normal"/>
    <w:next w:val="Normal"/>
    <w:link w:val="z-TopofFormChar"/>
    <w:hidden/>
    <w:uiPriority w:val="99"/>
    <w:semiHidden/>
    <w:unhideWhenUsed/>
    <w:rsid w:val="00F61A49"/>
    <w:pPr>
      <w:pBdr>
        <w:bottom w:val="single" w:sz="6" w:space="1" w:color="auto"/>
      </w:pBdr>
      <w:spacing w:line="276" w:lineRule="auto"/>
      <w:jc w:val="center"/>
    </w:pPr>
    <w:rPr>
      <w:rFonts w:ascii="Arial" w:eastAsia="Calibri" w:hAnsi="Arial" w:cs="Arial"/>
      <w:vanish/>
      <w:sz w:val="16"/>
      <w:szCs w:val="16"/>
    </w:rPr>
  </w:style>
  <w:style w:type="character" w:customStyle="1" w:styleId="z-TopofFormChar">
    <w:name w:val="z-Top of Form Char"/>
    <w:link w:val="z-TopofForm"/>
    <w:uiPriority w:val="99"/>
    <w:semiHidden/>
    <w:rsid w:val="00F61A49"/>
    <w:rPr>
      <w:rFonts w:ascii="Arial" w:eastAsia="Calibri"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61A49"/>
    <w:pPr>
      <w:pBdr>
        <w:top w:val="single" w:sz="6" w:space="1" w:color="auto"/>
      </w:pBdr>
      <w:spacing w:line="276" w:lineRule="auto"/>
      <w:jc w:val="center"/>
    </w:pPr>
    <w:rPr>
      <w:rFonts w:ascii="Arial" w:eastAsia="Calibri" w:hAnsi="Arial" w:cs="Arial"/>
      <w:vanish/>
      <w:sz w:val="16"/>
      <w:szCs w:val="16"/>
    </w:rPr>
  </w:style>
  <w:style w:type="character" w:customStyle="1" w:styleId="z-BottomofFormChar">
    <w:name w:val="z-Bottom of Form Char"/>
    <w:link w:val="z-BottomofForm"/>
    <w:uiPriority w:val="99"/>
    <w:semiHidden/>
    <w:rsid w:val="00F61A49"/>
    <w:rPr>
      <w:rFonts w:ascii="Arial" w:eastAsia="Calibri" w:hAnsi="Arial" w:cs="Arial"/>
      <w:vanish/>
      <w:sz w:val="16"/>
      <w:szCs w:val="16"/>
      <w:lang w:eastAsia="en-US"/>
    </w:rPr>
  </w:style>
  <w:style w:type="table" w:styleId="MediumGrid1-Accent5">
    <w:name w:val="Medium Grid 1 Accent 5"/>
    <w:basedOn w:val="TableNormal"/>
    <w:uiPriority w:val="67"/>
    <w:rsid w:val="00F61A49"/>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Revision">
    <w:name w:val="Revision"/>
    <w:hidden/>
    <w:uiPriority w:val="99"/>
    <w:rsid w:val="00F61A49"/>
    <w:rPr>
      <w:rFonts w:ascii="Calibri" w:eastAsia="Calibri" w:hAnsi="Calibri"/>
      <w:sz w:val="22"/>
      <w:szCs w:val="22"/>
      <w:lang w:eastAsia="en-US"/>
    </w:rPr>
  </w:style>
  <w:style w:type="paragraph" w:customStyle="1" w:styleId="EndNoteBibliographyTitle">
    <w:name w:val="EndNote Bibliography Title"/>
    <w:basedOn w:val="Normal"/>
    <w:link w:val="EndNoteBibliographyTitleChar"/>
    <w:rsid w:val="00F61A49"/>
    <w:pPr>
      <w:spacing w:line="276" w:lineRule="auto"/>
      <w:jc w:val="center"/>
    </w:pPr>
    <w:rPr>
      <w:rFonts w:ascii="Arial" w:eastAsia="Calibri" w:hAnsi="Arial" w:cs="Arial"/>
      <w:noProof/>
      <w:szCs w:val="22"/>
      <w:lang w:val="en-US"/>
    </w:rPr>
  </w:style>
  <w:style w:type="character" w:customStyle="1" w:styleId="EndNoteBibliographyTitleChar">
    <w:name w:val="EndNote Bibliography Title Char"/>
    <w:link w:val="EndNoteBibliographyTitle"/>
    <w:rsid w:val="00F61A49"/>
    <w:rPr>
      <w:rFonts w:ascii="Arial" w:eastAsia="Calibri" w:hAnsi="Arial" w:cs="Arial"/>
      <w:noProof/>
      <w:szCs w:val="22"/>
      <w:lang w:val="en-US" w:eastAsia="en-US"/>
    </w:rPr>
  </w:style>
  <w:style w:type="paragraph" w:customStyle="1" w:styleId="EndNoteBibliography">
    <w:name w:val="EndNote Bibliography"/>
    <w:basedOn w:val="Normal"/>
    <w:link w:val="EndNoteBibliographyChar"/>
    <w:rsid w:val="00F61A49"/>
    <w:pPr>
      <w:spacing w:after="200"/>
    </w:pPr>
    <w:rPr>
      <w:rFonts w:ascii="Arial" w:eastAsia="Calibri" w:hAnsi="Arial" w:cs="Arial"/>
      <w:noProof/>
      <w:szCs w:val="22"/>
      <w:lang w:val="en-US"/>
    </w:rPr>
  </w:style>
  <w:style w:type="character" w:customStyle="1" w:styleId="EndNoteBibliographyChar">
    <w:name w:val="EndNote Bibliography Char"/>
    <w:link w:val="EndNoteBibliography"/>
    <w:rsid w:val="00F61A49"/>
    <w:rPr>
      <w:rFonts w:ascii="Arial" w:eastAsia="Calibri" w:hAnsi="Arial" w:cs="Arial"/>
      <w:noProof/>
      <w:szCs w:val="22"/>
      <w:lang w:val="en-US" w:eastAsia="en-US"/>
    </w:rPr>
  </w:style>
  <w:style w:type="paragraph" w:styleId="NormalWeb">
    <w:name w:val="Normal (Web)"/>
    <w:basedOn w:val="Normal"/>
    <w:uiPriority w:val="99"/>
    <w:unhideWhenUsed/>
    <w:rsid w:val="00F61A49"/>
    <w:pPr>
      <w:spacing w:before="100" w:beforeAutospacing="1" w:after="100" w:afterAutospacing="1"/>
    </w:pPr>
    <w:rPr>
      <w:rFonts w:ascii="Times New Roman" w:hAnsi="Times New Roman"/>
      <w:sz w:val="24"/>
      <w:szCs w:val="24"/>
      <w:lang w:val="en-US"/>
    </w:rPr>
  </w:style>
  <w:style w:type="character" w:customStyle="1" w:styleId="UnresolvedMention1">
    <w:name w:val="Unresolved Mention1"/>
    <w:uiPriority w:val="99"/>
    <w:semiHidden/>
    <w:unhideWhenUsed/>
    <w:rsid w:val="00F61A49"/>
    <w:rPr>
      <w:color w:val="605E5C"/>
      <w:shd w:val="clear" w:color="auto" w:fill="E1DFDD"/>
    </w:rPr>
  </w:style>
  <w:style w:type="paragraph" w:styleId="Caption">
    <w:name w:val="caption"/>
    <w:basedOn w:val="Normal"/>
    <w:next w:val="Normal"/>
    <w:uiPriority w:val="35"/>
    <w:unhideWhenUsed/>
    <w:qFormat/>
    <w:rsid w:val="00F61A49"/>
    <w:pPr>
      <w:spacing w:after="200"/>
    </w:pPr>
    <w:rPr>
      <w:rFonts w:ascii="Arial" w:eastAsia="Calibri" w:hAnsi="Arial"/>
      <w:i/>
      <w:iCs/>
      <w:color w:val="1F497D"/>
      <w:sz w:val="18"/>
      <w:szCs w:val="18"/>
    </w:rPr>
  </w:style>
  <w:style w:type="paragraph" w:styleId="TOCHeading">
    <w:name w:val="TOC Heading"/>
    <w:basedOn w:val="Heading1"/>
    <w:next w:val="Normal"/>
    <w:uiPriority w:val="39"/>
    <w:unhideWhenUsed/>
    <w:qFormat/>
    <w:rsid w:val="00F61A49"/>
    <w:pPr>
      <w:spacing w:before="240" w:after="120" w:line="259" w:lineRule="auto"/>
      <w:outlineLvl w:val="9"/>
    </w:pPr>
    <w:rPr>
      <w:rFonts w:cs="Arial"/>
      <w:b/>
      <w:bCs w:val="0"/>
      <w:noProof/>
      <w:color w:val="365F91"/>
      <w:sz w:val="32"/>
      <w:szCs w:val="32"/>
      <w:lang w:val="en-US" w:eastAsia="en-AU"/>
    </w:rPr>
  </w:style>
  <w:style w:type="paragraph" w:styleId="NoSpacing">
    <w:name w:val="No Spacing"/>
    <w:uiPriority w:val="1"/>
    <w:qFormat/>
    <w:rsid w:val="00F61A49"/>
    <w:rPr>
      <w:rFonts w:ascii="Arial" w:eastAsia="Calibri" w:hAnsi="Arial"/>
      <w:szCs w:val="22"/>
      <w:lang w:eastAsia="en-US"/>
    </w:rPr>
  </w:style>
  <w:style w:type="character" w:styleId="UnresolvedMention">
    <w:name w:val="Unresolved Mention"/>
    <w:uiPriority w:val="99"/>
    <w:semiHidden/>
    <w:unhideWhenUsed/>
    <w:rsid w:val="00F61A49"/>
    <w:rPr>
      <w:color w:val="808080"/>
      <w:shd w:val="clear" w:color="auto" w:fill="E6E6E6"/>
    </w:rPr>
  </w:style>
  <w:style w:type="paragraph" w:customStyle="1" w:styleId="p3">
    <w:name w:val="p3"/>
    <w:basedOn w:val="Normal"/>
    <w:rsid w:val="00F61A49"/>
    <w:pPr>
      <w:spacing w:before="100" w:beforeAutospacing="1" w:after="100" w:afterAutospacing="1"/>
    </w:pPr>
    <w:rPr>
      <w:rFonts w:ascii="Times New Roman" w:hAnsi="Times New Roman"/>
      <w:sz w:val="24"/>
      <w:szCs w:val="24"/>
      <w:lang w:eastAsia="en-AU"/>
    </w:rPr>
  </w:style>
  <w:style w:type="character" w:customStyle="1" w:styleId="s1">
    <w:name w:val="s1"/>
    <w:rsid w:val="00F61A49"/>
  </w:style>
  <w:style w:type="character" w:customStyle="1" w:styleId="apple-converted-space">
    <w:name w:val="apple-converted-space"/>
    <w:rsid w:val="00F61A49"/>
  </w:style>
  <w:style w:type="table" w:styleId="ListTable4-Accent3">
    <w:name w:val="List Table 4 Accent 3"/>
    <w:basedOn w:val="TableNormal"/>
    <w:uiPriority w:val="49"/>
    <w:rsid w:val="00F61A49"/>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534736">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763826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andemcarers.org.au/history-of-the-lived-experience-workforce.php" TargetMode="External"/><Relationship Id="rId26" Type="http://schemas.openxmlformats.org/officeDocument/2006/relationships/hyperlink" Target="http://www.tandemcarers.org.au/register.php" TargetMode="External"/><Relationship Id="rId39" Type="http://schemas.openxmlformats.org/officeDocument/2006/relationships/hyperlink" Target="https://www.mosaiclab.com.au/" TargetMode="External"/><Relationship Id="rId21" Type="http://schemas.openxmlformats.org/officeDocument/2006/relationships/hyperlink" Target="http://www.vmiac.org.au" TargetMode="External"/><Relationship Id="rId34" Type="http://schemas.openxmlformats.org/officeDocument/2006/relationships/hyperlink" Target="http://www.carersvictoria.org.au/" TargetMode="External"/><Relationship Id="rId42" Type="http://schemas.openxmlformats.org/officeDocument/2006/relationships/hyperlink" Target="http://mheco.org.au" TargetMode="External"/><Relationship Id="rId47" Type="http://schemas.openxmlformats.org/officeDocument/2006/relationships/hyperlink" Target="http://nmhccf.org.au/publication/consumer-and-carer-participation-policy"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vmiac.org.au/" TargetMode="External"/><Relationship Id="rId33" Type="http://schemas.openxmlformats.org/officeDocument/2006/relationships/hyperlink" Target="https://www.bouverie.org.au/research/carer-academic" TargetMode="External"/><Relationship Id="rId38" Type="http://schemas.openxmlformats.org/officeDocument/2006/relationships/hyperlink" Target="https://intranet.dhhs.vic.gov.au/stakeholder-engagement" TargetMode="External"/><Relationship Id="rId46" Type="http://schemas.openxmlformats.org/officeDocument/2006/relationships/hyperlink" Target="https://www.iap2.org.au/Tenant/C0000004/00000001/files/IAP2_Quality_Assurance_Standard_2015.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yperlink" Target="https://www.tandemcarers.org.au/contact.php" TargetMode="External"/><Relationship Id="rId41" Type="http://schemas.openxmlformats.org/officeDocument/2006/relationships/hyperlink" Target="https://peeracademy.com/"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hs.vic.gov.au/publications/mental-health-lived-experience-engagement-framework" TargetMode="External"/><Relationship Id="rId24" Type="http://schemas.openxmlformats.org/officeDocument/2006/relationships/image" Target="media/image5.png"/><Relationship Id="rId32" Type="http://schemas.openxmlformats.org/officeDocument/2006/relationships/hyperlink" Target="https://www.findanexpert.unimelb.edu.au/display/person6844" TargetMode="External"/><Relationship Id="rId37" Type="http://schemas.openxmlformats.org/officeDocument/2006/relationships/hyperlink" Target="https://intranet.dhhs.vic.gov.au/online-consultations" TargetMode="External"/><Relationship Id="rId40" Type="http://schemas.openxmlformats.org/officeDocument/2006/relationships/hyperlink" Target="https://www.tacsi.org.au/" TargetMode="External"/><Relationship Id="rId45" Type="http://schemas.openxmlformats.org/officeDocument/2006/relationships/hyperlink" Target="https://healthsciences.unimelb.edu.au/departments/nursing/about-us/centre-for-psychiatric-nursing" TargetMode="External"/><Relationship Id="rId53"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vmiac.org.au/" TargetMode="External"/><Relationship Id="rId36" Type="http://schemas.openxmlformats.org/officeDocument/2006/relationships/hyperlink" Target="https://engage.vic.gov.au/" TargetMode="External"/><Relationship Id="rId49" Type="http://schemas.openxmlformats.org/officeDocument/2006/relationships/hyperlink" Target="https://www.audit.vic.gov.au/report/public-participation-government-decision-making-better-practice-guide" TargetMode="External"/><Relationship Id="rId10" Type="http://schemas.openxmlformats.org/officeDocument/2006/relationships/hyperlink" Target="mailto:lived-experience-engagement-team@dhhs.vic.gov.au" TargetMode="External"/><Relationship Id="rId19" Type="http://schemas.openxmlformats.org/officeDocument/2006/relationships/image" Target="media/image2.emf"/><Relationship Id="rId31" Type="http://schemas.openxmlformats.org/officeDocument/2006/relationships/hyperlink" Target="https://www.cmhl.org.au/" TargetMode="External"/><Relationship Id="rId44" Type="http://schemas.openxmlformats.org/officeDocument/2006/relationships/hyperlink" Target="https://www.thoughtcollaborative.com.au/"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tandemcarers.org.au/register.php" TargetMode="External"/><Relationship Id="rId27" Type="http://schemas.openxmlformats.org/officeDocument/2006/relationships/hyperlink" Target="http://www.health.vic.gov.au/mentalhealthservices/approved.htm" TargetMode="External"/><Relationship Id="rId30" Type="http://schemas.openxmlformats.org/officeDocument/2006/relationships/hyperlink" Target="http://www.tandemcarers.org.au/carer-lived-experience-network.php" TargetMode="External"/><Relationship Id="rId35" Type="http://schemas.openxmlformats.org/officeDocument/2006/relationships/hyperlink" Target="http://www.health.vic.gov.au/mentalhealthservices/approved.htm" TargetMode="External"/><Relationship Id="rId43" Type="http://schemas.openxmlformats.org/officeDocument/2006/relationships/hyperlink" Target="http://www.portablestudios.com.au/" TargetMode="External"/><Relationship Id="rId48" Type="http://schemas.openxmlformats.org/officeDocument/2006/relationships/hyperlink" Target="https://recoverylibrary.unimelb.edu.au/__data/assets/pdf_file/0010/2659969/Coproduction_putting-principles-into-practice.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20Davies\Documents\The%20Word%20Guy\Clients\DHHS\Style%20guides%20-%20templates%20-%20accessibility\All%20templates%20-%20save%20as%20.docx%20when%20using\DHHS%20Repor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BEB2-97F8-477B-A3CA-8F870BCC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01 Navy 2765.dot</Template>
  <TotalTime>1</TotalTime>
  <Pages>40</Pages>
  <Words>10616</Words>
  <Characters>72448</Characters>
  <Application>Microsoft Office Word</Application>
  <DocSecurity>4</DocSecurity>
  <Lines>603</Lines>
  <Paragraphs>165</Paragraphs>
  <ScaleCrop>false</ScaleCrop>
  <HeadingPairs>
    <vt:vector size="2" baseType="variant">
      <vt:variant>
        <vt:lpstr>Title</vt:lpstr>
      </vt:variant>
      <vt:variant>
        <vt:i4>1</vt:i4>
      </vt:variant>
    </vt:vector>
  </HeadingPairs>
  <TitlesOfParts>
    <vt:vector size="1" baseType="lpstr">
      <vt:lpstr>Mental health lived experience engagement framework</vt:lpstr>
    </vt:vector>
  </TitlesOfParts>
  <Company>Department of Health and Human Services</Company>
  <LinksUpToDate>false</LinksUpToDate>
  <CharactersWithSpaces>82899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lived experience engagement framework</dc:title>
  <dc:subject/>
  <dc:creator>Department of Health and Human Services</dc:creator>
  <cp:keywords/>
  <cp:lastModifiedBy>Melissa Taylor (DHHS)</cp:lastModifiedBy>
  <cp:revision>2</cp:revision>
  <cp:lastPrinted>2015-08-24T03:33:00Z</cp:lastPrinted>
  <dcterms:created xsi:type="dcterms:W3CDTF">2019-08-07T23:03:00Z</dcterms:created>
  <dcterms:modified xsi:type="dcterms:W3CDTF">2019-08-07T23:03:00Z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