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713F" w14:textId="77777777" w:rsidR="00056EC4" w:rsidRDefault="00E9042A" w:rsidP="00056EC4">
      <w:pPr>
        <w:pStyle w:val="Body"/>
      </w:pPr>
      <w:r>
        <w:rPr>
          <w:noProof/>
        </w:rPr>
        <w:drawing>
          <wp:anchor distT="0" distB="0" distL="114300" distR="114300" simplePos="0" relativeHeight="251658240" behindDoc="1" locked="1" layoutInCell="1" allowOverlap="0" wp14:anchorId="1664787D" wp14:editId="276F114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97305D5" w14:textId="77777777" w:rsidTr="00431F42">
        <w:trPr>
          <w:cantSplit/>
        </w:trPr>
        <w:tc>
          <w:tcPr>
            <w:tcW w:w="0" w:type="auto"/>
            <w:tcMar>
              <w:top w:w="0" w:type="dxa"/>
              <w:left w:w="0" w:type="dxa"/>
              <w:right w:w="0" w:type="dxa"/>
            </w:tcMar>
          </w:tcPr>
          <w:p w14:paraId="50E76DFB" w14:textId="0F5CC3BF" w:rsidR="00AD784C" w:rsidRPr="00431F42" w:rsidRDefault="00F809DD" w:rsidP="00CC3BB0">
            <w:pPr>
              <w:pStyle w:val="Documenttitle"/>
            </w:pPr>
            <w:r>
              <w:t xml:space="preserve">Statewide </w:t>
            </w:r>
            <w:r w:rsidR="00A043CB">
              <w:t>r</w:t>
            </w:r>
            <w:r>
              <w:t xml:space="preserve">adiotherapy </w:t>
            </w:r>
            <w:r w:rsidR="00A043CB">
              <w:t>s</w:t>
            </w:r>
            <w:r>
              <w:t xml:space="preserve">ervices </w:t>
            </w:r>
            <w:r w:rsidR="00A043CB">
              <w:t>f</w:t>
            </w:r>
            <w:r>
              <w:t>ramework</w:t>
            </w:r>
          </w:p>
        </w:tc>
      </w:tr>
      <w:tr w:rsidR="00AD784C" w14:paraId="01124E75" w14:textId="77777777" w:rsidTr="00431F42">
        <w:trPr>
          <w:cantSplit/>
        </w:trPr>
        <w:tc>
          <w:tcPr>
            <w:tcW w:w="0" w:type="auto"/>
          </w:tcPr>
          <w:p w14:paraId="2CB39971" w14:textId="2405A3A3" w:rsidR="00386109" w:rsidRPr="00A1389F" w:rsidRDefault="00F809DD" w:rsidP="009315BE">
            <w:pPr>
              <w:pStyle w:val="Documentsubtitle"/>
            </w:pPr>
            <w:r>
              <w:t>2021</w:t>
            </w:r>
          </w:p>
        </w:tc>
      </w:tr>
      <w:tr w:rsidR="00430393" w14:paraId="0104636B" w14:textId="77777777" w:rsidTr="00431F42">
        <w:trPr>
          <w:cantSplit/>
        </w:trPr>
        <w:tc>
          <w:tcPr>
            <w:tcW w:w="0" w:type="auto"/>
          </w:tcPr>
          <w:p w14:paraId="3658A024" w14:textId="25F33A3E" w:rsidR="00430393" w:rsidRDefault="00254A6A" w:rsidP="00430393">
            <w:pPr>
              <w:pStyle w:val="Bannermarking"/>
            </w:pPr>
            <w:r>
              <w:t xml:space="preserve"> </w:t>
            </w:r>
          </w:p>
        </w:tc>
      </w:tr>
    </w:tbl>
    <w:p w14:paraId="2066B2C0" w14:textId="77777777" w:rsidR="00FE4081" w:rsidRDefault="00FE4081" w:rsidP="00FE4081">
      <w:pPr>
        <w:pStyle w:val="Body"/>
      </w:pPr>
    </w:p>
    <w:p w14:paraId="1EE4300B"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3237AF7" w14:textId="77777777" w:rsidTr="00562507">
        <w:trPr>
          <w:cantSplit/>
          <w:trHeight w:val="7088"/>
        </w:trPr>
        <w:tc>
          <w:tcPr>
            <w:tcW w:w="9288" w:type="dxa"/>
          </w:tcPr>
          <w:p w14:paraId="01C7804C" w14:textId="77777777" w:rsidR="009F2182" w:rsidRDefault="009F2182" w:rsidP="00BA26F6">
            <w:pPr>
              <w:pStyle w:val="Body"/>
              <w:rPr>
                <w:rFonts w:eastAsia="Times New Roman"/>
                <w:color w:val="87189D"/>
                <w:sz w:val="24"/>
                <w:szCs w:val="24"/>
              </w:rPr>
            </w:pPr>
          </w:p>
          <w:p w14:paraId="0015106B" w14:textId="4ECBF6CA" w:rsidR="00A91C21" w:rsidRPr="00BA26F6" w:rsidRDefault="00A91C21" w:rsidP="00BA26F6">
            <w:pPr>
              <w:pStyle w:val="Body"/>
              <w:rPr>
                <w:rFonts w:eastAsia="Times New Roman"/>
                <w:color w:val="87189D"/>
                <w:sz w:val="24"/>
                <w:szCs w:val="24"/>
              </w:rPr>
            </w:pPr>
          </w:p>
        </w:tc>
      </w:tr>
      <w:tr w:rsidR="009F2182" w14:paraId="5EF44C4D" w14:textId="77777777" w:rsidTr="00562507">
        <w:trPr>
          <w:cantSplit/>
          <w:trHeight w:val="5103"/>
        </w:trPr>
        <w:tc>
          <w:tcPr>
            <w:tcW w:w="9288" w:type="dxa"/>
            <w:vAlign w:val="bottom"/>
          </w:tcPr>
          <w:p w14:paraId="43313901" w14:textId="6F8E547E" w:rsidR="009F2182" w:rsidRPr="0055119B" w:rsidRDefault="009F2182" w:rsidP="009F2182">
            <w:pPr>
              <w:pStyle w:val="Accessibilitypara"/>
            </w:pPr>
            <w:r w:rsidRPr="0055119B">
              <w:t>To receive this document in another format</w:t>
            </w:r>
            <w:r>
              <w:t>,</w:t>
            </w:r>
            <w:r w:rsidRPr="0055119B">
              <w:t xml:space="preserve"> phone</w:t>
            </w:r>
            <w:r w:rsidR="0069663E">
              <w:t xml:space="preserve"> </w:t>
            </w:r>
            <w:r w:rsidR="0069663E" w:rsidRPr="0069663E">
              <w:rPr>
                <w:sz w:val="22"/>
                <w:szCs w:val="18"/>
              </w:rPr>
              <w:t xml:space="preserve">(03) 9456 3687 </w:t>
            </w:r>
            <w:r w:rsidRPr="0055119B">
              <w:t xml:space="preserve">using the National Relay Service 13 36 77 if required, or email </w:t>
            </w:r>
            <w:r w:rsidR="00254A6A">
              <w:t>c</w:t>
            </w:r>
            <w:r w:rsidR="006E01A8" w:rsidRPr="00306190">
              <w:rPr>
                <w:color w:val="0D0D0D" w:themeColor="text1" w:themeTint="F2"/>
              </w:rPr>
              <w:t>ancerplanning@health.vic.gov.au</w:t>
            </w:r>
          </w:p>
          <w:p w14:paraId="5264BE1E" w14:textId="77777777" w:rsidR="009F2182" w:rsidRPr="0055119B" w:rsidRDefault="009F2182" w:rsidP="009F2182">
            <w:pPr>
              <w:pStyle w:val="Imprint"/>
            </w:pPr>
            <w:r w:rsidRPr="0055119B">
              <w:t>Authorised and published by the Victorian Government, 1 Treasury Place, Melbourne.</w:t>
            </w:r>
          </w:p>
          <w:p w14:paraId="7DDE6E2B" w14:textId="0472ED35"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2F5600">
              <w:t>July 2021</w:t>
            </w:r>
            <w:r w:rsidRPr="0055119B">
              <w:t>.</w:t>
            </w:r>
          </w:p>
          <w:p w14:paraId="6F4C9C9A" w14:textId="64972431" w:rsidR="00190E2B" w:rsidRPr="0055119B" w:rsidRDefault="00190E2B" w:rsidP="009F2182">
            <w:pPr>
              <w:pStyle w:val="Imprint"/>
            </w:pPr>
            <w:bookmarkStart w:id="0" w:name="_Hlk62746129"/>
            <w:r>
              <w:rPr>
                <w:rFonts w:cs="Arial"/>
                <w:b/>
                <w:bCs/>
                <w:color w:val="000000"/>
              </w:rPr>
              <w:t xml:space="preserve">ISBN </w:t>
            </w:r>
            <w:r>
              <w:rPr>
                <w:rFonts w:cs="Arial"/>
                <w:color w:val="000000"/>
              </w:rPr>
              <w:t>978-1-76096-419-1</w:t>
            </w:r>
            <w:r>
              <w:rPr>
                <w:rFonts w:cs="Arial"/>
                <w:b/>
                <w:bCs/>
                <w:color w:val="000000"/>
              </w:rPr>
              <w:t xml:space="preserve"> (pdf/online/MS word)</w:t>
            </w:r>
          </w:p>
          <w:p w14:paraId="55920C72" w14:textId="6937810D" w:rsidR="009F2182" w:rsidRDefault="009F2182" w:rsidP="00306190">
            <w:pPr>
              <w:pStyle w:val="Imprint"/>
            </w:pPr>
            <w:r w:rsidRPr="0055119B">
              <w:t>Available at</w:t>
            </w:r>
            <w:r w:rsidR="00254A6A">
              <w:t xml:space="preserve"> </w:t>
            </w:r>
            <w:hyperlink r:id="rId18" w:history="1">
              <w:r w:rsidR="00254A6A" w:rsidRPr="00254A6A">
                <w:rPr>
                  <w:rFonts w:eastAsia="Times New Roman"/>
                  <w:color w:val="0000FF"/>
                  <w:sz w:val="21"/>
                  <w:u w:val="single"/>
                </w:rPr>
                <w:t>Statewide radiotherapy services</w:t>
              </w:r>
            </w:hyperlink>
            <w:r w:rsidRPr="0055119B">
              <w:t xml:space="preserve"> &lt;</w:t>
            </w:r>
            <w:r w:rsidR="00306190" w:rsidRPr="00306190">
              <w:rPr>
                <w:color w:val="0D0D0D" w:themeColor="text1" w:themeTint="F2"/>
              </w:rPr>
              <w:t xml:space="preserve">https://www2.health.vic.gov.au/about/health-strategies/cancer-care/radio-therapy/statewide-radiotherapy-services </w:t>
            </w:r>
            <w:r w:rsidRPr="0055119B">
              <w:t>&gt;</w:t>
            </w:r>
            <w:bookmarkEnd w:id="0"/>
          </w:p>
        </w:tc>
      </w:tr>
      <w:tr w:rsidR="0008204A" w14:paraId="318B6A61" w14:textId="77777777" w:rsidTr="0008204A">
        <w:trPr>
          <w:cantSplit/>
        </w:trPr>
        <w:tc>
          <w:tcPr>
            <w:tcW w:w="9288" w:type="dxa"/>
          </w:tcPr>
          <w:p w14:paraId="5D200C79" w14:textId="77777777" w:rsidR="0008204A" w:rsidRPr="0055119B" w:rsidRDefault="0008204A" w:rsidP="0008204A">
            <w:pPr>
              <w:pStyle w:val="Body"/>
            </w:pPr>
          </w:p>
        </w:tc>
      </w:tr>
    </w:tbl>
    <w:p w14:paraId="4C7CDEB5" w14:textId="77777777" w:rsidR="0008204A" w:rsidRPr="0008204A" w:rsidRDefault="0008204A" w:rsidP="0008204A">
      <w:pPr>
        <w:pStyle w:val="Body"/>
      </w:pPr>
      <w:r w:rsidRPr="0008204A">
        <w:br w:type="page"/>
      </w:r>
    </w:p>
    <w:p w14:paraId="6D78ACED" w14:textId="77777777" w:rsidR="00AD784C" w:rsidRPr="00B57329" w:rsidRDefault="00AD784C" w:rsidP="002365B4">
      <w:pPr>
        <w:pStyle w:val="TOCheadingreport"/>
      </w:pPr>
      <w:r w:rsidRPr="00B57329">
        <w:lastRenderedPageBreak/>
        <w:t>Contents</w:t>
      </w:r>
    </w:p>
    <w:p w14:paraId="3F28D694" w14:textId="1DBC6D93" w:rsidR="002857F7" w:rsidRDefault="002F5600">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w:instrText>
      </w:r>
      <w:r>
        <w:rPr>
          <w:b w:val="0"/>
        </w:rPr>
        <w:fldChar w:fldCharType="separate"/>
      </w:r>
      <w:hyperlink w:anchor="_Toc73452536" w:history="1">
        <w:r w:rsidR="002857F7" w:rsidRPr="00954ECB">
          <w:rPr>
            <w:rStyle w:val="Hyperlink"/>
          </w:rPr>
          <w:t>Acknowledgements</w:t>
        </w:r>
        <w:r w:rsidR="002857F7">
          <w:rPr>
            <w:webHidden/>
          </w:rPr>
          <w:tab/>
        </w:r>
        <w:r w:rsidR="002857F7">
          <w:rPr>
            <w:webHidden/>
          </w:rPr>
          <w:fldChar w:fldCharType="begin"/>
        </w:r>
        <w:r w:rsidR="002857F7">
          <w:rPr>
            <w:webHidden/>
          </w:rPr>
          <w:instrText xml:space="preserve"> PAGEREF _Toc73452536 \h </w:instrText>
        </w:r>
        <w:r w:rsidR="002857F7">
          <w:rPr>
            <w:webHidden/>
          </w:rPr>
        </w:r>
        <w:r w:rsidR="002857F7">
          <w:rPr>
            <w:webHidden/>
          </w:rPr>
          <w:fldChar w:fldCharType="separate"/>
        </w:r>
        <w:r w:rsidR="00CB1D69">
          <w:rPr>
            <w:webHidden/>
          </w:rPr>
          <w:t>4</w:t>
        </w:r>
        <w:r w:rsidR="002857F7">
          <w:rPr>
            <w:webHidden/>
          </w:rPr>
          <w:fldChar w:fldCharType="end"/>
        </w:r>
      </w:hyperlink>
    </w:p>
    <w:p w14:paraId="1CBCB652" w14:textId="7C123775" w:rsidR="002857F7" w:rsidRDefault="00084B09">
      <w:pPr>
        <w:pStyle w:val="TOC1"/>
        <w:rPr>
          <w:rFonts w:asciiTheme="minorHAnsi" w:eastAsiaTheme="minorEastAsia" w:hAnsiTheme="minorHAnsi" w:cstheme="minorBidi"/>
          <w:b w:val="0"/>
          <w:sz w:val="22"/>
          <w:szCs w:val="22"/>
          <w:lang w:eastAsia="en-AU"/>
        </w:rPr>
      </w:pPr>
      <w:hyperlink w:anchor="_Toc73452537" w:history="1">
        <w:r w:rsidR="002857F7" w:rsidRPr="00954ECB">
          <w:rPr>
            <w:rStyle w:val="Hyperlink"/>
          </w:rPr>
          <w:t>Purpose</w:t>
        </w:r>
        <w:r w:rsidR="002857F7">
          <w:rPr>
            <w:webHidden/>
          </w:rPr>
          <w:tab/>
        </w:r>
        <w:r w:rsidR="002857F7">
          <w:rPr>
            <w:webHidden/>
          </w:rPr>
          <w:fldChar w:fldCharType="begin"/>
        </w:r>
        <w:r w:rsidR="002857F7">
          <w:rPr>
            <w:webHidden/>
          </w:rPr>
          <w:instrText xml:space="preserve"> PAGEREF _Toc73452537 \h </w:instrText>
        </w:r>
        <w:r w:rsidR="002857F7">
          <w:rPr>
            <w:webHidden/>
          </w:rPr>
        </w:r>
        <w:r w:rsidR="002857F7">
          <w:rPr>
            <w:webHidden/>
          </w:rPr>
          <w:fldChar w:fldCharType="separate"/>
        </w:r>
        <w:r w:rsidR="00CB1D69">
          <w:rPr>
            <w:webHidden/>
          </w:rPr>
          <w:t>5</w:t>
        </w:r>
        <w:r w:rsidR="002857F7">
          <w:rPr>
            <w:webHidden/>
          </w:rPr>
          <w:fldChar w:fldCharType="end"/>
        </w:r>
      </w:hyperlink>
    </w:p>
    <w:p w14:paraId="0EAB375E" w14:textId="61F5F855" w:rsidR="002857F7" w:rsidRDefault="00084B09">
      <w:pPr>
        <w:pStyle w:val="TOC1"/>
        <w:rPr>
          <w:rFonts w:asciiTheme="minorHAnsi" w:eastAsiaTheme="minorEastAsia" w:hAnsiTheme="minorHAnsi" w:cstheme="minorBidi"/>
          <w:b w:val="0"/>
          <w:sz w:val="22"/>
          <w:szCs w:val="22"/>
          <w:lang w:eastAsia="en-AU"/>
        </w:rPr>
      </w:pPr>
      <w:hyperlink w:anchor="_Toc73452538" w:history="1">
        <w:r w:rsidR="002857F7" w:rsidRPr="00954ECB">
          <w:rPr>
            <w:rStyle w:val="Hyperlink"/>
          </w:rPr>
          <w:t>Background</w:t>
        </w:r>
        <w:r w:rsidR="002857F7">
          <w:rPr>
            <w:webHidden/>
          </w:rPr>
          <w:tab/>
        </w:r>
        <w:r w:rsidR="002857F7">
          <w:rPr>
            <w:webHidden/>
          </w:rPr>
          <w:fldChar w:fldCharType="begin"/>
        </w:r>
        <w:r w:rsidR="002857F7">
          <w:rPr>
            <w:webHidden/>
          </w:rPr>
          <w:instrText xml:space="preserve"> PAGEREF _Toc73452538 \h </w:instrText>
        </w:r>
        <w:r w:rsidR="002857F7">
          <w:rPr>
            <w:webHidden/>
          </w:rPr>
        </w:r>
        <w:r w:rsidR="002857F7">
          <w:rPr>
            <w:webHidden/>
          </w:rPr>
          <w:fldChar w:fldCharType="separate"/>
        </w:r>
        <w:r w:rsidR="00CB1D69">
          <w:rPr>
            <w:webHidden/>
          </w:rPr>
          <w:t>5</w:t>
        </w:r>
        <w:r w:rsidR="002857F7">
          <w:rPr>
            <w:webHidden/>
          </w:rPr>
          <w:fldChar w:fldCharType="end"/>
        </w:r>
      </w:hyperlink>
    </w:p>
    <w:p w14:paraId="5977C0E0" w14:textId="4B17AD32" w:rsidR="002857F7" w:rsidRDefault="00084B09">
      <w:pPr>
        <w:pStyle w:val="TOC1"/>
        <w:rPr>
          <w:rFonts w:asciiTheme="minorHAnsi" w:eastAsiaTheme="minorEastAsia" w:hAnsiTheme="minorHAnsi" w:cstheme="minorBidi"/>
          <w:b w:val="0"/>
          <w:sz w:val="22"/>
          <w:szCs w:val="22"/>
          <w:lang w:eastAsia="en-AU"/>
        </w:rPr>
      </w:pPr>
      <w:hyperlink w:anchor="_Toc73452539" w:history="1">
        <w:r w:rsidR="002857F7" w:rsidRPr="00954ECB">
          <w:rPr>
            <w:rStyle w:val="Hyperlink"/>
          </w:rPr>
          <w:t>Statewide radiotherapy services</w:t>
        </w:r>
        <w:r w:rsidR="002857F7">
          <w:rPr>
            <w:webHidden/>
          </w:rPr>
          <w:tab/>
        </w:r>
        <w:r w:rsidR="002857F7">
          <w:rPr>
            <w:webHidden/>
          </w:rPr>
          <w:fldChar w:fldCharType="begin"/>
        </w:r>
        <w:r w:rsidR="002857F7">
          <w:rPr>
            <w:webHidden/>
          </w:rPr>
          <w:instrText xml:space="preserve"> PAGEREF _Toc73452539 \h </w:instrText>
        </w:r>
        <w:r w:rsidR="002857F7">
          <w:rPr>
            <w:webHidden/>
          </w:rPr>
        </w:r>
        <w:r w:rsidR="002857F7">
          <w:rPr>
            <w:webHidden/>
          </w:rPr>
          <w:fldChar w:fldCharType="separate"/>
        </w:r>
        <w:r w:rsidR="00CB1D69">
          <w:rPr>
            <w:webHidden/>
          </w:rPr>
          <w:t>5</w:t>
        </w:r>
        <w:r w:rsidR="002857F7">
          <w:rPr>
            <w:webHidden/>
          </w:rPr>
          <w:fldChar w:fldCharType="end"/>
        </w:r>
      </w:hyperlink>
    </w:p>
    <w:p w14:paraId="622F4643" w14:textId="7960AA13" w:rsidR="002857F7" w:rsidRDefault="00084B09">
      <w:pPr>
        <w:pStyle w:val="TOC2"/>
        <w:rPr>
          <w:rFonts w:asciiTheme="minorHAnsi" w:eastAsiaTheme="minorEastAsia" w:hAnsiTheme="minorHAnsi" w:cstheme="minorBidi"/>
          <w:sz w:val="22"/>
          <w:szCs w:val="22"/>
          <w:lang w:eastAsia="en-AU"/>
        </w:rPr>
      </w:pPr>
      <w:hyperlink w:anchor="_Toc73452540" w:history="1">
        <w:r w:rsidR="002857F7" w:rsidRPr="00954ECB">
          <w:rPr>
            <w:rStyle w:val="Hyperlink"/>
          </w:rPr>
          <w:t>Framework principles</w:t>
        </w:r>
        <w:r w:rsidR="002857F7">
          <w:rPr>
            <w:webHidden/>
          </w:rPr>
          <w:tab/>
        </w:r>
        <w:r w:rsidR="002857F7">
          <w:rPr>
            <w:webHidden/>
          </w:rPr>
          <w:fldChar w:fldCharType="begin"/>
        </w:r>
        <w:r w:rsidR="002857F7">
          <w:rPr>
            <w:webHidden/>
          </w:rPr>
          <w:instrText xml:space="preserve"> PAGEREF _Toc73452540 \h </w:instrText>
        </w:r>
        <w:r w:rsidR="002857F7">
          <w:rPr>
            <w:webHidden/>
          </w:rPr>
        </w:r>
        <w:r w:rsidR="002857F7">
          <w:rPr>
            <w:webHidden/>
          </w:rPr>
          <w:fldChar w:fldCharType="separate"/>
        </w:r>
        <w:r w:rsidR="00CB1D69">
          <w:rPr>
            <w:webHidden/>
          </w:rPr>
          <w:t>6</w:t>
        </w:r>
        <w:r w:rsidR="002857F7">
          <w:rPr>
            <w:webHidden/>
          </w:rPr>
          <w:fldChar w:fldCharType="end"/>
        </w:r>
      </w:hyperlink>
    </w:p>
    <w:p w14:paraId="4AA75FF7" w14:textId="4B75C0DC" w:rsidR="002857F7" w:rsidRDefault="00084B09">
      <w:pPr>
        <w:pStyle w:val="TOC2"/>
        <w:rPr>
          <w:rFonts w:asciiTheme="minorHAnsi" w:eastAsiaTheme="minorEastAsia" w:hAnsiTheme="minorHAnsi" w:cstheme="minorBidi"/>
          <w:sz w:val="22"/>
          <w:szCs w:val="22"/>
          <w:lang w:eastAsia="en-AU"/>
        </w:rPr>
      </w:pPr>
      <w:hyperlink w:anchor="_Toc73452541" w:history="1">
        <w:r w:rsidR="002857F7" w:rsidRPr="00954ECB">
          <w:rPr>
            <w:rStyle w:val="Hyperlink"/>
          </w:rPr>
          <w:t>Key elements of a statewide radiotherapy service</w:t>
        </w:r>
        <w:r w:rsidR="002857F7">
          <w:rPr>
            <w:webHidden/>
          </w:rPr>
          <w:tab/>
        </w:r>
        <w:r w:rsidR="002857F7">
          <w:rPr>
            <w:webHidden/>
          </w:rPr>
          <w:fldChar w:fldCharType="begin"/>
        </w:r>
        <w:r w:rsidR="002857F7">
          <w:rPr>
            <w:webHidden/>
          </w:rPr>
          <w:instrText xml:space="preserve"> PAGEREF _Toc73452541 \h </w:instrText>
        </w:r>
        <w:r w:rsidR="002857F7">
          <w:rPr>
            <w:webHidden/>
          </w:rPr>
        </w:r>
        <w:r w:rsidR="002857F7">
          <w:rPr>
            <w:webHidden/>
          </w:rPr>
          <w:fldChar w:fldCharType="separate"/>
        </w:r>
        <w:r w:rsidR="00CB1D69">
          <w:rPr>
            <w:webHidden/>
          </w:rPr>
          <w:t>8</w:t>
        </w:r>
        <w:r w:rsidR="002857F7">
          <w:rPr>
            <w:webHidden/>
          </w:rPr>
          <w:fldChar w:fldCharType="end"/>
        </w:r>
      </w:hyperlink>
    </w:p>
    <w:p w14:paraId="12196897" w14:textId="3958B15C" w:rsidR="002857F7" w:rsidRDefault="00084B09">
      <w:pPr>
        <w:pStyle w:val="TOC3"/>
        <w:rPr>
          <w:rFonts w:asciiTheme="minorHAnsi" w:eastAsiaTheme="minorEastAsia" w:hAnsiTheme="minorHAnsi" w:cstheme="minorBidi"/>
          <w:noProof/>
          <w:sz w:val="22"/>
          <w:szCs w:val="22"/>
          <w:lang w:eastAsia="en-AU"/>
        </w:rPr>
      </w:pPr>
      <w:hyperlink w:anchor="_Toc73452542" w:history="1">
        <w:r w:rsidR="002857F7" w:rsidRPr="00954ECB">
          <w:rPr>
            <w:rStyle w:val="Hyperlink"/>
            <w:noProof/>
          </w:rPr>
          <w:t>1. Service description and referral infrastructure</w:t>
        </w:r>
        <w:r w:rsidR="002857F7">
          <w:rPr>
            <w:noProof/>
            <w:webHidden/>
          </w:rPr>
          <w:tab/>
        </w:r>
        <w:r w:rsidR="002857F7">
          <w:rPr>
            <w:noProof/>
            <w:webHidden/>
          </w:rPr>
          <w:fldChar w:fldCharType="begin"/>
        </w:r>
        <w:r w:rsidR="002857F7">
          <w:rPr>
            <w:noProof/>
            <w:webHidden/>
          </w:rPr>
          <w:instrText xml:space="preserve"> PAGEREF _Toc73452542 \h </w:instrText>
        </w:r>
        <w:r w:rsidR="002857F7">
          <w:rPr>
            <w:noProof/>
            <w:webHidden/>
          </w:rPr>
        </w:r>
        <w:r w:rsidR="002857F7">
          <w:rPr>
            <w:noProof/>
            <w:webHidden/>
          </w:rPr>
          <w:fldChar w:fldCharType="separate"/>
        </w:r>
        <w:r w:rsidR="00CB1D69">
          <w:rPr>
            <w:noProof/>
            <w:webHidden/>
          </w:rPr>
          <w:t>8</w:t>
        </w:r>
        <w:r w:rsidR="002857F7">
          <w:rPr>
            <w:noProof/>
            <w:webHidden/>
          </w:rPr>
          <w:fldChar w:fldCharType="end"/>
        </w:r>
      </w:hyperlink>
    </w:p>
    <w:p w14:paraId="73CE24DF" w14:textId="7A00B818" w:rsidR="002857F7" w:rsidRDefault="00084B09">
      <w:pPr>
        <w:pStyle w:val="TOC3"/>
        <w:rPr>
          <w:rFonts w:asciiTheme="minorHAnsi" w:eastAsiaTheme="minorEastAsia" w:hAnsiTheme="minorHAnsi" w:cstheme="minorBidi"/>
          <w:noProof/>
          <w:sz w:val="22"/>
          <w:szCs w:val="22"/>
          <w:lang w:eastAsia="en-AU"/>
        </w:rPr>
      </w:pPr>
      <w:hyperlink w:anchor="_Toc73452543" w:history="1">
        <w:r w:rsidR="002857F7" w:rsidRPr="00954ECB">
          <w:rPr>
            <w:rStyle w:val="Hyperlink"/>
            <w:noProof/>
          </w:rPr>
          <w:t>2. Guidelines for referrers including appropriate indications</w:t>
        </w:r>
        <w:r w:rsidR="002857F7">
          <w:rPr>
            <w:noProof/>
            <w:webHidden/>
          </w:rPr>
          <w:tab/>
        </w:r>
        <w:r w:rsidR="002857F7">
          <w:rPr>
            <w:noProof/>
            <w:webHidden/>
          </w:rPr>
          <w:fldChar w:fldCharType="begin"/>
        </w:r>
        <w:r w:rsidR="002857F7">
          <w:rPr>
            <w:noProof/>
            <w:webHidden/>
          </w:rPr>
          <w:instrText xml:space="preserve"> PAGEREF _Toc73452543 \h </w:instrText>
        </w:r>
        <w:r w:rsidR="002857F7">
          <w:rPr>
            <w:noProof/>
            <w:webHidden/>
          </w:rPr>
        </w:r>
        <w:r w:rsidR="002857F7">
          <w:rPr>
            <w:noProof/>
            <w:webHidden/>
          </w:rPr>
          <w:fldChar w:fldCharType="separate"/>
        </w:r>
        <w:r w:rsidR="00CB1D69">
          <w:rPr>
            <w:noProof/>
            <w:webHidden/>
          </w:rPr>
          <w:t>8</w:t>
        </w:r>
        <w:r w:rsidR="002857F7">
          <w:rPr>
            <w:noProof/>
            <w:webHidden/>
          </w:rPr>
          <w:fldChar w:fldCharType="end"/>
        </w:r>
      </w:hyperlink>
    </w:p>
    <w:p w14:paraId="46696BCF" w14:textId="7DFF8435" w:rsidR="002857F7" w:rsidRDefault="00084B09">
      <w:pPr>
        <w:pStyle w:val="TOC3"/>
        <w:rPr>
          <w:rFonts w:asciiTheme="minorHAnsi" w:eastAsiaTheme="minorEastAsia" w:hAnsiTheme="minorHAnsi" w:cstheme="minorBidi"/>
          <w:noProof/>
          <w:sz w:val="22"/>
          <w:szCs w:val="22"/>
          <w:lang w:eastAsia="en-AU"/>
        </w:rPr>
      </w:pPr>
      <w:hyperlink w:anchor="_Toc73452544" w:history="1">
        <w:r w:rsidR="002857F7" w:rsidRPr="00954ECB">
          <w:rPr>
            <w:rStyle w:val="Hyperlink"/>
            <w:noProof/>
          </w:rPr>
          <w:t>3. Triage of referrals to a statewide service</w:t>
        </w:r>
        <w:r w:rsidR="002857F7">
          <w:rPr>
            <w:noProof/>
            <w:webHidden/>
          </w:rPr>
          <w:tab/>
        </w:r>
        <w:r w:rsidR="002857F7">
          <w:rPr>
            <w:noProof/>
            <w:webHidden/>
          </w:rPr>
          <w:fldChar w:fldCharType="begin"/>
        </w:r>
        <w:r w:rsidR="002857F7">
          <w:rPr>
            <w:noProof/>
            <w:webHidden/>
          </w:rPr>
          <w:instrText xml:space="preserve"> PAGEREF _Toc73452544 \h </w:instrText>
        </w:r>
        <w:r w:rsidR="002857F7">
          <w:rPr>
            <w:noProof/>
            <w:webHidden/>
          </w:rPr>
        </w:r>
        <w:r w:rsidR="002857F7">
          <w:rPr>
            <w:noProof/>
            <w:webHidden/>
          </w:rPr>
          <w:fldChar w:fldCharType="separate"/>
        </w:r>
        <w:r w:rsidR="00CB1D69">
          <w:rPr>
            <w:noProof/>
            <w:webHidden/>
          </w:rPr>
          <w:t>9</w:t>
        </w:r>
        <w:r w:rsidR="002857F7">
          <w:rPr>
            <w:noProof/>
            <w:webHidden/>
          </w:rPr>
          <w:fldChar w:fldCharType="end"/>
        </w:r>
      </w:hyperlink>
    </w:p>
    <w:p w14:paraId="5559B426" w14:textId="19B840AB" w:rsidR="002857F7" w:rsidRDefault="00084B09">
      <w:pPr>
        <w:pStyle w:val="TOC3"/>
        <w:rPr>
          <w:rFonts w:asciiTheme="minorHAnsi" w:eastAsiaTheme="minorEastAsia" w:hAnsiTheme="minorHAnsi" w:cstheme="minorBidi"/>
          <w:noProof/>
          <w:sz w:val="22"/>
          <w:szCs w:val="22"/>
          <w:lang w:eastAsia="en-AU"/>
        </w:rPr>
      </w:pPr>
      <w:hyperlink w:anchor="_Toc73452545" w:history="1">
        <w:r w:rsidR="002857F7" w:rsidRPr="00954ECB">
          <w:rPr>
            <w:rStyle w:val="Hyperlink"/>
            <w:noProof/>
          </w:rPr>
          <w:t>4. Multidisciplinary meeting presentation</w:t>
        </w:r>
        <w:r w:rsidR="002857F7">
          <w:rPr>
            <w:noProof/>
            <w:webHidden/>
          </w:rPr>
          <w:tab/>
        </w:r>
        <w:r w:rsidR="002857F7">
          <w:rPr>
            <w:noProof/>
            <w:webHidden/>
          </w:rPr>
          <w:fldChar w:fldCharType="begin"/>
        </w:r>
        <w:r w:rsidR="002857F7">
          <w:rPr>
            <w:noProof/>
            <w:webHidden/>
          </w:rPr>
          <w:instrText xml:space="preserve"> PAGEREF _Toc73452545 \h </w:instrText>
        </w:r>
        <w:r w:rsidR="002857F7">
          <w:rPr>
            <w:noProof/>
            <w:webHidden/>
          </w:rPr>
        </w:r>
        <w:r w:rsidR="002857F7">
          <w:rPr>
            <w:noProof/>
            <w:webHidden/>
          </w:rPr>
          <w:fldChar w:fldCharType="separate"/>
        </w:r>
        <w:r w:rsidR="00CB1D69">
          <w:rPr>
            <w:noProof/>
            <w:webHidden/>
          </w:rPr>
          <w:t>9</w:t>
        </w:r>
        <w:r w:rsidR="002857F7">
          <w:rPr>
            <w:noProof/>
            <w:webHidden/>
          </w:rPr>
          <w:fldChar w:fldCharType="end"/>
        </w:r>
      </w:hyperlink>
    </w:p>
    <w:p w14:paraId="6D60E860" w14:textId="21BC4136" w:rsidR="002857F7" w:rsidRDefault="00084B09">
      <w:pPr>
        <w:pStyle w:val="TOC3"/>
        <w:rPr>
          <w:rFonts w:asciiTheme="minorHAnsi" w:eastAsiaTheme="minorEastAsia" w:hAnsiTheme="minorHAnsi" w:cstheme="minorBidi"/>
          <w:noProof/>
          <w:sz w:val="22"/>
          <w:szCs w:val="22"/>
          <w:lang w:eastAsia="en-AU"/>
        </w:rPr>
      </w:pPr>
      <w:hyperlink w:anchor="_Toc73452546" w:history="1">
        <w:r w:rsidR="002857F7" w:rsidRPr="00954ECB">
          <w:rPr>
            <w:rStyle w:val="Hyperlink"/>
            <w:noProof/>
          </w:rPr>
          <w:t>5. General and technical patient and referrer information</w:t>
        </w:r>
        <w:r w:rsidR="002857F7">
          <w:rPr>
            <w:noProof/>
            <w:webHidden/>
          </w:rPr>
          <w:tab/>
        </w:r>
        <w:r w:rsidR="002857F7">
          <w:rPr>
            <w:noProof/>
            <w:webHidden/>
          </w:rPr>
          <w:fldChar w:fldCharType="begin"/>
        </w:r>
        <w:r w:rsidR="002857F7">
          <w:rPr>
            <w:noProof/>
            <w:webHidden/>
          </w:rPr>
          <w:instrText xml:space="preserve"> PAGEREF _Toc73452546 \h </w:instrText>
        </w:r>
        <w:r w:rsidR="002857F7">
          <w:rPr>
            <w:noProof/>
            <w:webHidden/>
          </w:rPr>
        </w:r>
        <w:r w:rsidR="002857F7">
          <w:rPr>
            <w:noProof/>
            <w:webHidden/>
          </w:rPr>
          <w:fldChar w:fldCharType="separate"/>
        </w:r>
        <w:r w:rsidR="00CB1D69">
          <w:rPr>
            <w:noProof/>
            <w:webHidden/>
          </w:rPr>
          <w:t>10</w:t>
        </w:r>
        <w:r w:rsidR="002857F7">
          <w:rPr>
            <w:noProof/>
            <w:webHidden/>
          </w:rPr>
          <w:fldChar w:fldCharType="end"/>
        </w:r>
      </w:hyperlink>
    </w:p>
    <w:p w14:paraId="39BF8B29" w14:textId="0423DD80" w:rsidR="002857F7" w:rsidRDefault="00084B09">
      <w:pPr>
        <w:pStyle w:val="TOC3"/>
        <w:rPr>
          <w:rFonts w:asciiTheme="minorHAnsi" w:eastAsiaTheme="minorEastAsia" w:hAnsiTheme="minorHAnsi" w:cstheme="minorBidi"/>
          <w:noProof/>
          <w:sz w:val="22"/>
          <w:szCs w:val="22"/>
          <w:lang w:eastAsia="en-AU"/>
        </w:rPr>
      </w:pPr>
      <w:hyperlink w:anchor="_Toc73452547" w:history="1">
        <w:r w:rsidR="002857F7" w:rsidRPr="00954ECB">
          <w:rPr>
            <w:rStyle w:val="Hyperlink"/>
            <w:noProof/>
          </w:rPr>
          <w:t>6. Consultation and information flow between referrer and service provider</w:t>
        </w:r>
        <w:r w:rsidR="002857F7">
          <w:rPr>
            <w:noProof/>
            <w:webHidden/>
          </w:rPr>
          <w:tab/>
        </w:r>
        <w:r w:rsidR="002857F7">
          <w:rPr>
            <w:noProof/>
            <w:webHidden/>
          </w:rPr>
          <w:fldChar w:fldCharType="begin"/>
        </w:r>
        <w:r w:rsidR="002857F7">
          <w:rPr>
            <w:noProof/>
            <w:webHidden/>
          </w:rPr>
          <w:instrText xml:space="preserve"> PAGEREF _Toc73452547 \h </w:instrText>
        </w:r>
        <w:r w:rsidR="002857F7">
          <w:rPr>
            <w:noProof/>
            <w:webHidden/>
          </w:rPr>
        </w:r>
        <w:r w:rsidR="002857F7">
          <w:rPr>
            <w:noProof/>
            <w:webHidden/>
          </w:rPr>
          <w:fldChar w:fldCharType="separate"/>
        </w:r>
        <w:r w:rsidR="00CB1D69">
          <w:rPr>
            <w:noProof/>
            <w:webHidden/>
          </w:rPr>
          <w:t>11</w:t>
        </w:r>
        <w:r w:rsidR="002857F7">
          <w:rPr>
            <w:noProof/>
            <w:webHidden/>
          </w:rPr>
          <w:fldChar w:fldCharType="end"/>
        </w:r>
      </w:hyperlink>
    </w:p>
    <w:p w14:paraId="044A671C" w14:textId="4ECC2700" w:rsidR="002857F7" w:rsidRDefault="00084B09">
      <w:pPr>
        <w:pStyle w:val="TOC3"/>
        <w:rPr>
          <w:rFonts w:asciiTheme="minorHAnsi" w:eastAsiaTheme="minorEastAsia" w:hAnsiTheme="minorHAnsi" w:cstheme="minorBidi"/>
          <w:noProof/>
          <w:sz w:val="22"/>
          <w:szCs w:val="22"/>
          <w:lang w:eastAsia="en-AU"/>
        </w:rPr>
      </w:pPr>
      <w:hyperlink w:anchor="_Toc73452548" w:history="1">
        <w:r w:rsidR="002857F7" w:rsidRPr="00954ECB">
          <w:rPr>
            <w:rStyle w:val="Hyperlink"/>
            <w:noProof/>
          </w:rPr>
          <w:t>7. Evaluation of the statewide radiotherapy service</w:t>
        </w:r>
        <w:r w:rsidR="002857F7">
          <w:rPr>
            <w:noProof/>
            <w:webHidden/>
          </w:rPr>
          <w:tab/>
        </w:r>
        <w:r w:rsidR="002857F7">
          <w:rPr>
            <w:noProof/>
            <w:webHidden/>
          </w:rPr>
          <w:fldChar w:fldCharType="begin"/>
        </w:r>
        <w:r w:rsidR="002857F7">
          <w:rPr>
            <w:noProof/>
            <w:webHidden/>
          </w:rPr>
          <w:instrText xml:space="preserve"> PAGEREF _Toc73452548 \h </w:instrText>
        </w:r>
        <w:r w:rsidR="002857F7">
          <w:rPr>
            <w:noProof/>
            <w:webHidden/>
          </w:rPr>
        </w:r>
        <w:r w:rsidR="002857F7">
          <w:rPr>
            <w:noProof/>
            <w:webHidden/>
          </w:rPr>
          <w:fldChar w:fldCharType="separate"/>
        </w:r>
        <w:r w:rsidR="00CB1D69">
          <w:rPr>
            <w:noProof/>
            <w:webHidden/>
          </w:rPr>
          <w:t>11</w:t>
        </w:r>
        <w:r w:rsidR="002857F7">
          <w:rPr>
            <w:noProof/>
            <w:webHidden/>
          </w:rPr>
          <w:fldChar w:fldCharType="end"/>
        </w:r>
      </w:hyperlink>
    </w:p>
    <w:p w14:paraId="35624E07" w14:textId="07A7B7D5" w:rsidR="002857F7" w:rsidRDefault="00084B09">
      <w:pPr>
        <w:pStyle w:val="TOC2"/>
        <w:rPr>
          <w:rFonts w:asciiTheme="minorHAnsi" w:eastAsiaTheme="minorEastAsia" w:hAnsiTheme="minorHAnsi" w:cstheme="minorBidi"/>
          <w:sz w:val="22"/>
          <w:szCs w:val="22"/>
          <w:lang w:eastAsia="en-AU"/>
        </w:rPr>
      </w:pPr>
      <w:hyperlink w:anchor="_Toc73452549" w:history="1">
        <w:r w:rsidR="002857F7" w:rsidRPr="00954ECB">
          <w:rPr>
            <w:rStyle w:val="Hyperlink"/>
          </w:rPr>
          <w:t>Operational considerations of a statewide radiotherapy service</w:t>
        </w:r>
        <w:r w:rsidR="002857F7">
          <w:rPr>
            <w:webHidden/>
          </w:rPr>
          <w:tab/>
        </w:r>
        <w:r w:rsidR="002857F7">
          <w:rPr>
            <w:webHidden/>
          </w:rPr>
          <w:fldChar w:fldCharType="begin"/>
        </w:r>
        <w:r w:rsidR="002857F7">
          <w:rPr>
            <w:webHidden/>
          </w:rPr>
          <w:instrText xml:space="preserve"> PAGEREF _Toc73452549 \h </w:instrText>
        </w:r>
        <w:r w:rsidR="002857F7">
          <w:rPr>
            <w:webHidden/>
          </w:rPr>
        </w:r>
        <w:r w:rsidR="002857F7">
          <w:rPr>
            <w:webHidden/>
          </w:rPr>
          <w:fldChar w:fldCharType="separate"/>
        </w:r>
        <w:r w:rsidR="00CB1D69">
          <w:rPr>
            <w:webHidden/>
          </w:rPr>
          <w:t>12</w:t>
        </w:r>
        <w:r w:rsidR="002857F7">
          <w:rPr>
            <w:webHidden/>
          </w:rPr>
          <w:fldChar w:fldCharType="end"/>
        </w:r>
      </w:hyperlink>
    </w:p>
    <w:p w14:paraId="17582681" w14:textId="77E5B520" w:rsidR="002857F7" w:rsidRDefault="00084B09">
      <w:pPr>
        <w:pStyle w:val="TOC1"/>
        <w:rPr>
          <w:rFonts w:asciiTheme="minorHAnsi" w:eastAsiaTheme="minorEastAsia" w:hAnsiTheme="minorHAnsi" w:cstheme="minorBidi"/>
          <w:b w:val="0"/>
          <w:sz w:val="22"/>
          <w:szCs w:val="22"/>
          <w:lang w:eastAsia="en-AU"/>
        </w:rPr>
      </w:pPr>
      <w:hyperlink w:anchor="_Toc73452550" w:history="1">
        <w:r w:rsidR="002857F7" w:rsidRPr="00954ECB">
          <w:rPr>
            <w:rStyle w:val="Hyperlink"/>
          </w:rPr>
          <w:t>Research and clinical trials associated with statewide RT treatment services</w:t>
        </w:r>
        <w:r w:rsidR="002857F7">
          <w:rPr>
            <w:webHidden/>
          </w:rPr>
          <w:tab/>
        </w:r>
        <w:r w:rsidR="002857F7">
          <w:rPr>
            <w:webHidden/>
          </w:rPr>
          <w:fldChar w:fldCharType="begin"/>
        </w:r>
        <w:r w:rsidR="002857F7">
          <w:rPr>
            <w:webHidden/>
          </w:rPr>
          <w:instrText xml:space="preserve"> PAGEREF _Toc73452550 \h </w:instrText>
        </w:r>
        <w:r w:rsidR="002857F7">
          <w:rPr>
            <w:webHidden/>
          </w:rPr>
        </w:r>
        <w:r w:rsidR="002857F7">
          <w:rPr>
            <w:webHidden/>
          </w:rPr>
          <w:fldChar w:fldCharType="separate"/>
        </w:r>
        <w:r w:rsidR="00CB1D69">
          <w:rPr>
            <w:webHidden/>
          </w:rPr>
          <w:t>13</w:t>
        </w:r>
        <w:r w:rsidR="002857F7">
          <w:rPr>
            <w:webHidden/>
          </w:rPr>
          <w:fldChar w:fldCharType="end"/>
        </w:r>
      </w:hyperlink>
    </w:p>
    <w:p w14:paraId="2BC9F30A" w14:textId="565D59D1" w:rsidR="002857F7" w:rsidRDefault="00084B09">
      <w:pPr>
        <w:pStyle w:val="TOC2"/>
        <w:rPr>
          <w:rFonts w:asciiTheme="minorHAnsi" w:eastAsiaTheme="minorEastAsia" w:hAnsiTheme="minorHAnsi" w:cstheme="minorBidi"/>
          <w:sz w:val="22"/>
          <w:szCs w:val="22"/>
          <w:lang w:eastAsia="en-AU"/>
        </w:rPr>
      </w:pPr>
      <w:hyperlink w:anchor="_Toc73452551" w:history="1">
        <w:r w:rsidR="002857F7" w:rsidRPr="00954ECB">
          <w:rPr>
            <w:rStyle w:val="Hyperlink"/>
          </w:rPr>
          <w:t>General research considerations</w:t>
        </w:r>
        <w:r w:rsidR="002857F7">
          <w:rPr>
            <w:webHidden/>
          </w:rPr>
          <w:tab/>
        </w:r>
        <w:r w:rsidR="002857F7">
          <w:rPr>
            <w:webHidden/>
          </w:rPr>
          <w:fldChar w:fldCharType="begin"/>
        </w:r>
        <w:r w:rsidR="002857F7">
          <w:rPr>
            <w:webHidden/>
          </w:rPr>
          <w:instrText xml:space="preserve"> PAGEREF _Toc73452551 \h </w:instrText>
        </w:r>
        <w:r w:rsidR="002857F7">
          <w:rPr>
            <w:webHidden/>
          </w:rPr>
        </w:r>
        <w:r w:rsidR="002857F7">
          <w:rPr>
            <w:webHidden/>
          </w:rPr>
          <w:fldChar w:fldCharType="separate"/>
        </w:r>
        <w:r w:rsidR="00CB1D69">
          <w:rPr>
            <w:webHidden/>
          </w:rPr>
          <w:t>13</w:t>
        </w:r>
        <w:r w:rsidR="002857F7">
          <w:rPr>
            <w:webHidden/>
          </w:rPr>
          <w:fldChar w:fldCharType="end"/>
        </w:r>
      </w:hyperlink>
    </w:p>
    <w:p w14:paraId="7D7D87BE" w14:textId="2D1B6866" w:rsidR="002857F7" w:rsidRDefault="00084B09">
      <w:pPr>
        <w:pStyle w:val="TOC2"/>
        <w:rPr>
          <w:rFonts w:asciiTheme="minorHAnsi" w:eastAsiaTheme="minorEastAsia" w:hAnsiTheme="minorHAnsi" w:cstheme="minorBidi"/>
          <w:sz w:val="22"/>
          <w:szCs w:val="22"/>
          <w:lang w:eastAsia="en-AU"/>
        </w:rPr>
      </w:pPr>
      <w:hyperlink w:anchor="_Toc73452552" w:history="1">
        <w:r w:rsidR="002857F7" w:rsidRPr="00954ECB">
          <w:rPr>
            <w:rStyle w:val="Hyperlink"/>
          </w:rPr>
          <w:t>Research operational considerations</w:t>
        </w:r>
        <w:r w:rsidR="002857F7">
          <w:rPr>
            <w:webHidden/>
          </w:rPr>
          <w:tab/>
        </w:r>
        <w:r w:rsidR="002857F7">
          <w:rPr>
            <w:webHidden/>
          </w:rPr>
          <w:fldChar w:fldCharType="begin"/>
        </w:r>
        <w:r w:rsidR="002857F7">
          <w:rPr>
            <w:webHidden/>
          </w:rPr>
          <w:instrText xml:space="preserve"> PAGEREF _Toc73452552 \h </w:instrText>
        </w:r>
        <w:r w:rsidR="002857F7">
          <w:rPr>
            <w:webHidden/>
          </w:rPr>
        </w:r>
        <w:r w:rsidR="002857F7">
          <w:rPr>
            <w:webHidden/>
          </w:rPr>
          <w:fldChar w:fldCharType="separate"/>
        </w:r>
        <w:r w:rsidR="00CB1D69">
          <w:rPr>
            <w:webHidden/>
          </w:rPr>
          <w:t>13</w:t>
        </w:r>
        <w:r w:rsidR="002857F7">
          <w:rPr>
            <w:webHidden/>
          </w:rPr>
          <w:fldChar w:fldCharType="end"/>
        </w:r>
      </w:hyperlink>
    </w:p>
    <w:p w14:paraId="53CD7E4E" w14:textId="5C19EEE5" w:rsidR="002857F7" w:rsidRDefault="00084B09">
      <w:pPr>
        <w:pStyle w:val="TOC1"/>
        <w:rPr>
          <w:rFonts w:asciiTheme="minorHAnsi" w:eastAsiaTheme="minorEastAsia" w:hAnsiTheme="minorHAnsi" w:cstheme="minorBidi"/>
          <w:b w:val="0"/>
          <w:sz w:val="22"/>
          <w:szCs w:val="22"/>
          <w:lang w:eastAsia="en-AU"/>
        </w:rPr>
      </w:pPr>
      <w:hyperlink w:anchor="_Toc73452553" w:history="1">
        <w:r w:rsidR="002857F7" w:rsidRPr="00954ECB">
          <w:rPr>
            <w:rStyle w:val="Hyperlink"/>
          </w:rPr>
          <w:t>Broader considerations of statewide radiotherapy services</w:t>
        </w:r>
        <w:r w:rsidR="002857F7">
          <w:rPr>
            <w:webHidden/>
          </w:rPr>
          <w:tab/>
        </w:r>
        <w:r w:rsidR="002857F7">
          <w:rPr>
            <w:webHidden/>
          </w:rPr>
          <w:fldChar w:fldCharType="begin"/>
        </w:r>
        <w:r w:rsidR="002857F7">
          <w:rPr>
            <w:webHidden/>
          </w:rPr>
          <w:instrText xml:space="preserve"> PAGEREF _Toc73452553 \h </w:instrText>
        </w:r>
        <w:r w:rsidR="002857F7">
          <w:rPr>
            <w:webHidden/>
          </w:rPr>
        </w:r>
        <w:r w:rsidR="002857F7">
          <w:rPr>
            <w:webHidden/>
          </w:rPr>
          <w:fldChar w:fldCharType="separate"/>
        </w:r>
        <w:r w:rsidR="00CB1D69">
          <w:rPr>
            <w:webHidden/>
          </w:rPr>
          <w:t>14</w:t>
        </w:r>
        <w:r w:rsidR="002857F7">
          <w:rPr>
            <w:webHidden/>
          </w:rPr>
          <w:fldChar w:fldCharType="end"/>
        </w:r>
      </w:hyperlink>
    </w:p>
    <w:p w14:paraId="0D7360F6" w14:textId="0211E82E" w:rsidR="002857F7" w:rsidRDefault="00084B09">
      <w:pPr>
        <w:pStyle w:val="TOC1"/>
        <w:rPr>
          <w:rFonts w:asciiTheme="minorHAnsi" w:eastAsiaTheme="minorEastAsia" w:hAnsiTheme="minorHAnsi" w:cstheme="minorBidi"/>
          <w:b w:val="0"/>
          <w:sz w:val="22"/>
          <w:szCs w:val="22"/>
          <w:lang w:eastAsia="en-AU"/>
        </w:rPr>
      </w:pPr>
      <w:hyperlink w:anchor="_Toc73452554" w:history="1">
        <w:r w:rsidR="002857F7" w:rsidRPr="00954ECB">
          <w:rPr>
            <w:rStyle w:val="Hyperlink"/>
          </w:rPr>
          <w:t>Conclusion</w:t>
        </w:r>
        <w:r w:rsidR="002857F7">
          <w:rPr>
            <w:webHidden/>
          </w:rPr>
          <w:tab/>
        </w:r>
        <w:r w:rsidR="002857F7">
          <w:rPr>
            <w:webHidden/>
          </w:rPr>
          <w:fldChar w:fldCharType="begin"/>
        </w:r>
        <w:r w:rsidR="002857F7">
          <w:rPr>
            <w:webHidden/>
          </w:rPr>
          <w:instrText xml:space="preserve"> PAGEREF _Toc73452554 \h </w:instrText>
        </w:r>
        <w:r w:rsidR="002857F7">
          <w:rPr>
            <w:webHidden/>
          </w:rPr>
        </w:r>
        <w:r w:rsidR="002857F7">
          <w:rPr>
            <w:webHidden/>
          </w:rPr>
          <w:fldChar w:fldCharType="separate"/>
        </w:r>
        <w:r w:rsidR="00CB1D69">
          <w:rPr>
            <w:webHidden/>
          </w:rPr>
          <w:t>15</w:t>
        </w:r>
        <w:r w:rsidR="002857F7">
          <w:rPr>
            <w:webHidden/>
          </w:rPr>
          <w:fldChar w:fldCharType="end"/>
        </w:r>
      </w:hyperlink>
    </w:p>
    <w:p w14:paraId="1E5B830E" w14:textId="4708A66B" w:rsidR="002857F7" w:rsidRDefault="00084B09">
      <w:pPr>
        <w:pStyle w:val="TOC1"/>
        <w:rPr>
          <w:rFonts w:asciiTheme="minorHAnsi" w:eastAsiaTheme="minorEastAsia" w:hAnsiTheme="minorHAnsi" w:cstheme="minorBidi"/>
          <w:b w:val="0"/>
          <w:sz w:val="22"/>
          <w:szCs w:val="22"/>
          <w:lang w:eastAsia="en-AU"/>
        </w:rPr>
      </w:pPr>
      <w:hyperlink w:anchor="_Toc73452555" w:history="1">
        <w:r w:rsidR="002857F7" w:rsidRPr="00954ECB">
          <w:rPr>
            <w:rStyle w:val="Hyperlink"/>
          </w:rPr>
          <w:t>Appendices</w:t>
        </w:r>
        <w:r w:rsidR="002857F7">
          <w:rPr>
            <w:webHidden/>
          </w:rPr>
          <w:tab/>
        </w:r>
        <w:r w:rsidR="002857F7">
          <w:rPr>
            <w:webHidden/>
          </w:rPr>
          <w:fldChar w:fldCharType="begin"/>
        </w:r>
        <w:r w:rsidR="002857F7">
          <w:rPr>
            <w:webHidden/>
          </w:rPr>
          <w:instrText xml:space="preserve"> PAGEREF _Toc73452555 \h </w:instrText>
        </w:r>
        <w:r w:rsidR="002857F7">
          <w:rPr>
            <w:webHidden/>
          </w:rPr>
        </w:r>
        <w:r w:rsidR="002857F7">
          <w:rPr>
            <w:webHidden/>
          </w:rPr>
          <w:fldChar w:fldCharType="separate"/>
        </w:r>
        <w:r w:rsidR="00CB1D69">
          <w:rPr>
            <w:webHidden/>
          </w:rPr>
          <w:t>16</w:t>
        </w:r>
        <w:r w:rsidR="002857F7">
          <w:rPr>
            <w:webHidden/>
          </w:rPr>
          <w:fldChar w:fldCharType="end"/>
        </w:r>
      </w:hyperlink>
    </w:p>
    <w:p w14:paraId="7CABB994" w14:textId="21975118" w:rsidR="00FB1F6E" w:rsidRDefault="002F5600" w:rsidP="00D079AA">
      <w:pPr>
        <w:pStyle w:val="Body"/>
      </w:pPr>
      <w:r>
        <w:rPr>
          <w:rFonts w:eastAsia="Times New Roman"/>
          <w:b/>
          <w:noProof/>
        </w:rPr>
        <w:fldChar w:fldCharType="end"/>
      </w:r>
    </w:p>
    <w:p w14:paraId="62FB692F" w14:textId="77777777" w:rsidR="00FB1F6E" w:rsidRDefault="00FB1F6E" w:rsidP="00A043CB">
      <w:pPr>
        <w:pStyle w:val="Body"/>
      </w:pPr>
      <w:r>
        <w:br w:type="page"/>
      </w:r>
    </w:p>
    <w:p w14:paraId="5FE02D0A" w14:textId="49D80F2D" w:rsidR="00DC4394" w:rsidRPr="00216B42" w:rsidRDefault="00DC4394" w:rsidP="00DC4394">
      <w:pPr>
        <w:pStyle w:val="Heading1"/>
      </w:pPr>
      <w:bookmarkStart w:id="1" w:name="_Toc73452536"/>
      <w:r>
        <w:lastRenderedPageBreak/>
        <w:t>Acknowledgements</w:t>
      </w:r>
      <w:bookmarkEnd w:id="1"/>
      <w:r w:rsidRPr="00216B42">
        <w:t xml:space="preserve"> </w:t>
      </w:r>
    </w:p>
    <w:p w14:paraId="362CB6E5" w14:textId="377AC1CE" w:rsidR="00DC4394" w:rsidRDefault="00DC4394" w:rsidP="00DC4394">
      <w:pPr>
        <w:pStyle w:val="Body"/>
      </w:pPr>
      <w:r w:rsidRPr="002D554D">
        <w:t>The</w:t>
      </w:r>
      <w:r>
        <w:t xml:space="preserve"> Department of Health acknowledges the members of the Statewide Radiotherapy Referrals Working Group who contributed to the development of this framework. </w:t>
      </w:r>
    </w:p>
    <w:p w14:paraId="6C7135FF" w14:textId="77777777" w:rsidR="00DC4394" w:rsidRDefault="00DC4394" w:rsidP="00DC4394">
      <w:pPr>
        <w:pStyle w:val="Body"/>
      </w:pPr>
      <w:r>
        <w:t>Thank you to Shane Brasier, Sid Davis, Hany Elsaleh, Farshad Foroudi,</w:t>
      </w:r>
      <w:r w:rsidRPr="004D0913">
        <w:t xml:space="preserve"> </w:t>
      </w:r>
      <w:r>
        <w:t>Katherine Fox, Kate Francis, Gerry Hanna, Colin Hornby, Graham Pitson, Amanda Smith, Nilgun Touma</w:t>
      </w:r>
      <w:r w:rsidRPr="008A65B0">
        <w:t xml:space="preserve"> </w:t>
      </w:r>
      <w:r>
        <w:t xml:space="preserve">and Nigel Anderson. </w:t>
      </w:r>
    </w:p>
    <w:p w14:paraId="07371099" w14:textId="77777777" w:rsidR="00DC4394" w:rsidRDefault="00DC4394">
      <w:pPr>
        <w:spacing w:after="0" w:line="240" w:lineRule="auto"/>
        <w:rPr>
          <w:rFonts w:eastAsia="MS Gothic" w:cs="Arial"/>
          <w:bCs/>
          <w:color w:val="201547"/>
          <w:kern w:val="32"/>
          <w:sz w:val="44"/>
          <w:szCs w:val="44"/>
        </w:rPr>
      </w:pPr>
      <w:bookmarkStart w:id="2" w:name="_Toc73097779"/>
      <w:bookmarkStart w:id="3" w:name="_Hlk66712316"/>
      <w:r>
        <w:br w:type="page"/>
      </w:r>
    </w:p>
    <w:p w14:paraId="577811D2" w14:textId="00CB02CD" w:rsidR="000F2963" w:rsidRPr="008346D1" w:rsidRDefault="000F2963" w:rsidP="000F2963">
      <w:pPr>
        <w:pStyle w:val="Heading1"/>
      </w:pPr>
      <w:bookmarkStart w:id="4" w:name="_Toc73452537"/>
      <w:r w:rsidRPr="008346D1">
        <w:lastRenderedPageBreak/>
        <w:t>Purpose</w:t>
      </w:r>
      <w:bookmarkEnd w:id="2"/>
      <w:bookmarkEnd w:id="4"/>
    </w:p>
    <w:p w14:paraId="345078FC" w14:textId="7FCA957A" w:rsidR="000F2963" w:rsidRPr="00D57C6C" w:rsidRDefault="000F2963" w:rsidP="00D57C6C">
      <w:pPr>
        <w:pStyle w:val="Body"/>
      </w:pPr>
      <w:bookmarkStart w:id="5" w:name="_Hlk29471196"/>
      <w:r w:rsidRPr="00D57C6C">
        <w:t xml:space="preserve">The Victorian </w:t>
      </w:r>
      <w:r w:rsidR="00C10683">
        <w:t>G</w:t>
      </w:r>
      <w:r w:rsidRPr="00D57C6C">
        <w:t xml:space="preserve">overnment </w:t>
      </w:r>
      <w:bookmarkEnd w:id="5"/>
      <w:r w:rsidRPr="00D57C6C">
        <w:t xml:space="preserve">has made funding announcements for two specialist radiotherapy </w:t>
      </w:r>
      <w:r w:rsidR="007E75C9">
        <w:t xml:space="preserve">(RT) </w:t>
      </w:r>
      <w:r w:rsidRPr="00D57C6C">
        <w:t>treatment machines to date</w:t>
      </w:r>
      <w:r w:rsidR="00AA4F8A">
        <w:t xml:space="preserve"> –</w:t>
      </w:r>
      <w:r w:rsidRPr="00D57C6C">
        <w:t xml:space="preserve"> </w:t>
      </w:r>
      <w:r w:rsidR="00AA4F8A">
        <w:t>a</w:t>
      </w:r>
      <w:r w:rsidR="005D3E5B">
        <w:t xml:space="preserve"> </w:t>
      </w:r>
      <w:r w:rsidR="005D3E5B" w:rsidRPr="005D3E5B">
        <w:t>magnetic resonance linear accelerator</w:t>
      </w:r>
      <w:r w:rsidR="005D3E5B" w:rsidRPr="005D3E5B" w:rsidDel="005D3E5B">
        <w:t xml:space="preserve"> </w:t>
      </w:r>
      <w:r w:rsidR="005D3E5B">
        <w:t>(</w:t>
      </w:r>
      <w:r w:rsidRPr="00D57C6C">
        <w:t>MR-linac</w:t>
      </w:r>
      <w:r w:rsidR="005D3E5B">
        <w:t>)</w:t>
      </w:r>
      <w:r w:rsidRPr="00D57C6C">
        <w:t xml:space="preserve"> to be located at </w:t>
      </w:r>
      <w:r w:rsidR="007E75C9">
        <w:t xml:space="preserve">the </w:t>
      </w:r>
      <w:r w:rsidRPr="00D57C6C">
        <w:t>Olivia Newton</w:t>
      </w:r>
      <w:r w:rsidR="007E75C9">
        <w:t>-</w:t>
      </w:r>
      <w:r w:rsidRPr="00D57C6C">
        <w:t xml:space="preserve">John Cancer, Wellness </w:t>
      </w:r>
      <w:r w:rsidR="007E75C9">
        <w:t>and</w:t>
      </w:r>
      <w:r w:rsidRPr="00D57C6C">
        <w:t xml:space="preserve"> Research Centre </w:t>
      </w:r>
      <w:r w:rsidR="007E75C9">
        <w:t>(</w:t>
      </w:r>
      <w:r w:rsidRPr="00D57C6C">
        <w:t>Austin Hospital</w:t>
      </w:r>
      <w:r w:rsidR="007E75C9">
        <w:t>)</w:t>
      </w:r>
      <w:r w:rsidRPr="00D57C6C">
        <w:t xml:space="preserve"> and a Gamma Knife at the Peter MacCallum Cancer Centre in Parkville. These were funded on the basis of providing a statewide service to all Victorians whose cancer (or</w:t>
      </w:r>
      <w:r w:rsidR="007E75C9">
        <w:t>,</w:t>
      </w:r>
      <w:r w:rsidRPr="00D57C6C">
        <w:t xml:space="preserve"> in some cases, non-cancer) would most benefit from </w:t>
      </w:r>
      <w:r w:rsidR="00AA4F8A">
        <w:t>this</w:t>
      </w:r>
      <w:r w:rsidR="00AA4F8A" w:rsidRPr="00D57C6C">
        <w:t xml:space="preserve"> </w:t>
      </w:r>
      <w:r w:rsidRPr="00D57C6C">
        <w:t>specialty radiation treatment technology.</w:t>
      </w:r>
    </w:p>
    <w:p w14:paraId="0E3E3145" w14:textId="752D39E3" w:rsidR="000F2963" w:rsidRPr="00D57C6C" w:rsidRDefault="000F2963" w:rsidP="00D57C6C">
      <w:pPr>
        <w:pStyle w:val="Body"/>
      </w:pPr>
      <w:r w:rsidRPr="00D57C6C">
        <w:t>This document provide</w:t>
      </w:r>
      <w:r w:rsidR="00B1255A">
        <w:t>s</w:t>
      </w:r>
      <w:r w:rsidRPr="00D57C6C">
        <w:t xml:space="preserve"> principles and a high-level process for referr</w:t>
      </w:r>
      <w:r w:rsidR="00B1255A">
        <w:t>ing</w:t>
      </w:r>
      <w:r w:rsidRPr="00D57C6C">
        <w:t xml:space="preserve"> patients who would be most appropriately treated on specialist </w:t>
      </w:r>
      <w:r w:rsidR="007E75C9">
        <w:t>RT</w:t>
      </w:r>
      <w:r w:rsidR="007E75C9" w:rsidRPr="00D57C6C">
        <w:t xml:space="preserve"> </w:t>
      </w:r>
      <w:r w:rsidRPr="00D57C6C">
        <w:t xml:space="preserve">treatment equipment, irrespective of where they </w:t>
      </w:r>
      <w:r w:rsidR="007E75C9">
        <w:t>live</w:t>
      </w:r>
      <w:r w:rsidR="007E75C9" w:rsidRPr="00D57C6C">
        <w:t xml:space="preserve"> </w:t>
      </w:r>
      <w:r w:rsidRPr="00D57C6C">
        <w:t>in Victoria or from which local health service they would otherwise be receiving their cancer care.</w:t>
      </w:r>
    </w:p>
    <w:p w14:paraId="02F4CFC1" w14:textId="77777777" w:rsidR="000F2963" w:rsidRPr="005D6D5A" w:rsidRDefault="000F2963" w:rsidP="000F2963">
      <w:pPr>
        <w:pStyle w:val="Heading1"/>
      </w:pPr>
      <w:bookmarkStart w:id="6" w:name="_Toc73097780"/>
      <w:bookmarkStart w:id="7" w:name="_Toc73452538"/>
      <w:r w:rsidRPr="005D6D5A">
        <w:t>Background</w:t>
      </w:r>
      <w:bookmarkEnd w:id="6"/>
      <w:bookmarkEnd w:id="7"/>
    </w:p>
    <w:p w14:paraId="04D2CE9F" w14:textId="06509126" w:rsidR="000F2963" w:rsidRPr="00D57C6C" w:rsidRDefault="000F2963" w:rsidP="00D57C6C">
      <w:pPr>
        <w:pStyle w:val="Body"/>
      </w:pPr>
      <w:bookmarkStart w:id="8" w:name="_Toc440566509"/>
      <w:r w:rsidRPr="00D57C6C">
        <w:t xml:space="preserve">Historically, developments in RT treatment equipment have generally occurred at a measured rate. However, in more recent years the rate of development has </w:t>
      </w:r>
      <w:r w:rsidR="00B1255A">
        <w:t>accelerated</w:t>
      </w:r>
      <w:r w:rsidR="00B1255A" w:rsidRPr="00D57C6C">
        <w:t xml:space="preserve"> </w:t>
      </w:r>
      <w:r w:rsidRPr="00D57C6C">
        <w:t xml:space="preserve">with increased computerisation and other associated technological developments. This has led to a significant increase in the variety of RT treatment machines available. Some of these machines focus </w:t>
      </w:r>
      <w:r w:rsidR="00B1255A">
        <w:t xml:space="preserve">on </w:t>
      </w:r>
      <w:r w:rsidRPr="00D57C6C">
        <w:t xml:space="preserve">treating a specific anatomical area, while others focus on a specific facet of treatment delivery such as the imaging or precision delivery. Other equipment developments have focused on specific forms of radiation </w:t>
      </w:r>
      <w:r w:rsidR="00154D87">
        <w:t xml:space="preserve">such as </w:t>
      </w:r>
      <w:r w:rsidRPr="00D57C6C">
        <w:t>proton beams or kV beams for intraoperative use.</w:t>
      </w:r>
      <w:r w:rsidR="00A043CB">
        <w:t xml:space="preserve"> </w:t>
      </w:r>
    </w:p>
    <w:p w14:paraId="264D6363" w14:textId="54785B47" w:rsidR="000F2963" w:rsidRPr="00D57C6C" w:rsidRDefault="000F2963" w:rsidP="00D57C6C">
      <w:pPr>
        <w:pStyle w:val="Body"/>
      </w:pPr>
      <w:r w:rsidRPr="00D57C6C">
        <w:t xml:space="preserve">Specialist </w:t>
      </w:r>
      <w:r w:rsidR="00B1255A">
        <w:t>RT</w:t>
      </w:r>
      <w:r w:rsidR="00B1255A" w:rsidRPr="00D57C6C">
        <w:t xml:space="preserve"> </w:t>
      </w:r>
      <w:r w:rsidRPr="00D57C6C">
        <w:t>treatment machines consequently add a layer of complexity to the RT equipment landscape</w:t>
      </w:r>
      <w:r w:rsidR="00DE23A5">
        <w:t>,</w:t>
      </w:r>
      <w:r w:rsidRPr="00D57C6C">
        <w:t xml:space="preserve"> which is underpinned by the mainstream ‘workhorse’ linear accelerator. It is accepted, however, that it is impractical for every public </w:t>
      </w:r>
      <w:r w:rsidR="00973449">
        <w:t>RT</w:t>
      </w:r>
      <w:r w:rsidRPr="00D57C6C">
        <w:t xml:space="preserve"> treatment facility to have one of every type of specialty RT machine in their treatment fleet</w:t>
      </w:r>
      <w:r w:rsidR="00DE23A5">
        <w:t>,</w:t>
      </w:r>
      <w:r w:rsidRPr="00D57C6C">
        <w:t xml:space="preserve"> requiring additional skills and training. The workforce at smaller facilities is insufficient to support all the various pieces of specialist equipment available with the requisite expertise, and some specialty treatment machines are hugely expensive (</w:t>
      </w:r>
      <w:r w:rsidR="00B1255A">
        <w:t>such as</w:t>
      </w:r>
      <w:r w:rsidRPr="00D57C6C">
        <w:t xml:space="preserve"> protons). Even those specialist </w:t>
      </w:r>
      <w:r w:rsidR="00973449">
        <w:t>RT</w:t>
      </w:r>
      <w:r w:rsidRPr="00D57C6C">
        <w:t xml:space="preserve"> machines based on ‘conventional’ medical equipment such as the MR-linac, which is the fusion of two existing pieces of standalone machinery (an MRI and a linac), are significantly more expensive than either piece alone. </w:t>
      </w:r>
      <w:r w:rsidR="00393DF2">
        <w:t>So</w:t>
      </w:r>
      <w:r w:rsidRPr="00D57C6C">
        <w:t>, when health investment is also considered, it is neither surprising nor unreasonable that it has been assessed as not cost</w:t>
      </w:r>
      <w:r w:rsidR="00393DF2">
        <w:t>-</w:t>
      </w:r>
      <w:r w:rsidRPr="00D57C6C">
        <w:t xml:space="preserve">effective to have reproduced in many </w:t>
      </w:r>
      <w:r w:rsidR="00973449">
        <w:t>RT</w:t>
      </w:r>
      <w:r w:rsidR="00973449" w:rsidRPr="00D57C6C">
        <w:t xml:space="preserve"> </w:t>
      </w:r>
      <w:r w:rsidRPr="00D57C6C">
        <w:t>departments around the state, multiple instances of expensive specialist treatment equipment that is more idealised for some cancers than others.</w:t>
      </w:r>
    </w:p>
    <w:p w14:paraId="01EA8B3A" w14:textId="1910282E" w:rsidR="000F2963" w:rsidRPr="005D6D5A" w:rsidRDefault="000F2963" w:rsidP="000F2963">
      <w:pPr>
        <w:pStyle w:val="Heading1"/>
      </w:pPr>
      <w:bookmarkStart w:id="9" w:name="_Toc73097781"/>
      <w:bookmarkStart w:id="10" w:name="_Toc73452539"/>
      <w:bookmarkEnd w:id="8"/>
      <w:r w:rsidRPr="005D6D5A">
        <w:t xml:space="preserve">Statewide </w:t>
      </w:r>
      <w:r w:rsidR="00897078">
        <w:t>r</w:t>
      </w:r>
      <w:r w:rsidRPr="005D6D5A">
        <w:t xml:space="preserve">adiotherapy </w:t>
      </w:r>
      <w:r w:rsidR="00897078">
        <w:t>s</w:t>
      </w:r>
      <w:r w:rsidRPr="005D6D5A">
        <w:t>ervices</w:t>
      </w:r>
      <w:bookmarkEnd w:id="9"/>
      <w:bookmarkEnd w:id="10"/>
    </w:p>
    <w:p w14:paraId="1DEBD221" w14:textId="50ED8C97" w:rsidR="000F2963" w:rsidRPr="00D57C6C" w:rsidRDefault="000F2963" w:rsidP="00D57C6C">
      <w:pPr>
        <w:pStyle w:val="Body"/>
      </w:pPr>
      <w:r w:rsidRPr="00D57C6C">
        <w:t xml:space="preserve">There are </w:t>
      </w:r>
      <w:r w:rsidR="00393DF2">
        <w:t>several</w:t>
      </w:r>
      <w:r w:rsidRPr="00D57C6C">
        <w:t xml:space="preserve"> underlying principles that must be considered when implementing a statewide service for the specialist RT equipment. </w:t>
      </w:r>
    </w:p>
    <w:p w14:paraId="7AE8F199" w14:textId="19ACA059" w:rsidR="000F2963" w:rsidRPr="00D57C6C" w:rsidRDefault="000F2963" w:rsidP="00D57C6C">
      <w:pPr>
        <w:pStyle w:val="Body"/>
      </w:pPr>
      <w:r w:rsidRPr="00D57C6C">
        <w:t xml:space="preserve">As a statewide service, the facility operating the specialist </w:t>
      </w:r>
      <w:r w:rsidR="00973449">
        <w:t>RT</w:t>
      </w:r>
      <w:r w:rsidR="00973449" w:rsidRPr="00D57C6C">
        <w:t xml:space="preserve"> </w:t>
      </w:r>
      <w:r w:rsidRPr="00D57C6C">
        <w:t>equipment will, for non-local cases, be akin to a contracted service providing only a component of the patient’s care on behalf of another health service from which the patient may also have had or be currently receiving active cancer care.</w:t>
      </w:r>
    </w:p>
    <w:p w14:paraId="55897D38" w14:textId="77777777" w:rsidR="000F2963" w:rsidRPr="00D57C6C" w:rsidRDefault="000F2963" w:rsidP="00D57C6C">
      <w:pPr>
        <w:pStyle w:val="Body"/>
      </w:pPr>
      <w:r w:rsidRPr="00D57C6C">
        <w:t>Specifically, specialist RT treatment machines are intended to:</w:t>
      </w:r>
    </w:p>
    <w:p w14:paraId="1695AE87" w14:textId="26EB777E" w:rsidR="000F2963" w:rsidRPr="00D57C6C" w:rsidRDefault="000F2963" w:rsidP="00D57C6C">
      <w:pPr>
        <w:pStyle w:val="Bullet1"/>
      </w:pPr>
      <w:r w:rsidRPr="00D57C6C">
        <w:t>serve the whole population of Victoria equitably</w:t>
      </w:r>
    </w:p>
    <w:p w14:paraId="07553B13" w14:textId="4D7546CA" w:rsidR="000F2963" w:rsidRPr="00D57C6C" w:rsidRDefault="000F2963" w:rsidP="00D57C6C">
      <w:pPr>
        <w:pStyle w:val="Bullet1"/>
      </w:pPr>
      <w:r w:rsidRPr="00D57C6C">
        <w:lastRenderedPageBreak/>
        <w:t xml:space="preserve">provide a treatment service for the purposes of patients accessing a specific piece of </w:t>
      </w:r>
      <w:r w:rsidR="00973449">
        <w:t>RT</w:t>
      </w:r>
      <w:r w:rsidRPr="00D57C6C">
        <w:t xml:space="preserve"> equipment that is operated under the auspices of a particular facility</w:t>
      </w:r>
      <w:r w:rsidR="00897078">
        <w:rPr>
          <w:rStyle w:val="FootnoteReference"/>
        </w:rPr>
        <w:footnoteReference w:id="1"/>
      </w:r>
    </w:p>
    <w:p w14:paraId="6BC80D0F" w14:textId="566E61A4" w:rsidR="000F2963" w:rsidRPr="00D57C6C" w:rsidRDefault="000F2963" w:rsidP="00D57C6C">
      <w:pPr>
        <w:pStyle w:val="Bullet1"/>
      </w:pPr>
      <w:r w:rsidRPr="00D57C6C">
        <w:t>provide a specific course of treatment on RT specialist equipment for the care of people with appropriate cancers and certain non-cancer conditions deemed to most benefit from it</w:t>
      </w:r>
    </w:p>
    <w:p w14:paraId="74A9EB63" w14:textId="02DBD5B3" w:rsidR="000F2963" w:rsidRPr="00D57C6C" w:rsidRDefault="000F2963" w:rsidP="00D57C6C">
      <w:pPr>
        <w:pStyle w:val="Bullet1"/>
      </w:pPr>
      <w:r w:rsidRPr="00D57C6C">
        <w:t xml:space="preserve">foster leadership in </w:t>
      </w:r>
      <w:r w:rsidR="00973449">
        <w:t>RT</w:t>
      </w:r>
      <w:r w:rsidRPr="00D57C6C">
        <w:t xml:space="preserve"> treatments that cost</w:t>
      </w:r>
      <w:r w:rsidR="00393DF2">
        <w:t>-</w:t>
      </w:r>
      <w:r w:rsidRPr="00D57C6C">
        <w:t>effectively utilise the unique RT equipment in Victoria</w:t>
      </w:r>
    </w:p>
    <w:p w14:paraId="4232CEA0" w14:textId="313BEAB3" w:rsidR="000F2963" w:rsidRDefault="000F2963" w:rsidP="006E01A8">
      <w:pPr>
        <w:pStyle w:val="Bullet1"/>
      </w:pPr>
      <w:r w:rsidRPr="00D57C6C">
        <w:t>promote access to clinical trials</w:t>
      </w:r>
      <w:r w:rsidR="00393DF2">
        <w:t>–</w:t>
      </w:r>
      <w:r w:rsidRPr="00D57C6C">
        <w:t>based research related to the improvements that can be leveraged from the specialist RT equipment</w:t>
      </w:r>
      <w:r w:rsidR="00D57C6C">
        <w:t>.</w:t>
      </w:r>
    </w:p>
    <w:p w14:paraId="322DA22C" w14:textId="62A797B6" w:rsidR="000F2963" w:rsidRPr="0068108E" w:rsidRDefault="000F2963" w:rsidP="000F2963">
      <w:pPr>
        <w:pStyle w:val="Heading2"/>
      </w:pPr>
      <w:bookmarkStart w:id="11" w:name="_Toc73097782"/>
      <w:bookmarkStart w:id="12" w:name="_Toc73452540"/>
      <w:r w:rsidRPr="0068108E">
        <w:t xml:space="preserve">Framework </w:t>
      </w:r>
      <w:r w:rsidR="00897078">
        <w:t>p</w:t>
      </w:r>
      <w:r w:rsidRPr="0068108E">
        <w:t>rinciples</w:t>
      </w:r>
      <w:bookmarkEnd w:id="11"/>
      <w:bookmarkEnd w:id="12"/>
    </w:p>
    <w:p w14:paraId="1BB347DB" w14:textId="51EE4748" w:rsidR="000F2963" w:rsidRPr="00B359E2" w:rsidRDefault="000F2963" w:rsidP="00B359E2">
      <w:pPr>
        <w:pStyle w:val="Body"/>
      </w:pPr>
      <w:r w:rsidRPr="00B359E2">
        <w:t xml:space="preserve">This intention of this framework is to consider those statewide </w:t>
      </w:r>
      <w:r w:rsidR="00973449">
        <w:t>RT</w:t>
      </w:r>
      <w:r w:rsidRPr="00B359E2">
        <w:t xml:space="preserve"> treatment services already funded and operating or being commissioned in the medium term, as well as other RT specialty treatment equipment that may be implemented as a statewide service in the future.</w:t>
      </w:r>
    </w:p>
    <w:p w14:paraId="47D8562E" w14:textId="13BC4E62" w:rsidR="000F2963" w:rsidRPr="00B359E2" w:rsidRDefault="000F2963" w:rsidP="00B359E2">
      <w:pPr>
        <w:pStyle w:val="Body"/>
      </w:pPr>
      <w:r w:rsidRPr="00B359E2">
        <w:t xml:space="preserve">The concept of specialist </w:t>
      </w:r>
      <w:r w:rsidR="00973449">
        <w:t>RT</w:t>
      </w:r>
      <w:r w:rsidRPr="00B359E2">
        <w:t xml:space="preserve"> equipment that serves the whole of Victoria requires some variation to the more typical operation of </w:t>
      </w:r>
      <w:r w:rsidR="00973449">
        <w:t>RT</w:t>
      </w:r>
      <w:r w:rsidRPr="00B359E2">
        <w:t xml:space="preserve"> providers within health services. RT providers commonly receive and retain any patient that may be referred to them for care by another health service when the radiation therapy cannot be delivered locally. Referrals for radiation therapy may serve patients with certain conditions better by directing them to a statewide service not being operated at a particular facility. </w:t>
      </w:r>
    </w:p>
    <w:p w14:paraId="516EF056" w14:textId="398EB82C" w:rsidR="000F2963" w:rsidRPr="00B359E2" w:rsidRDefault="000F2963" w:rsidP="00B359E2">
      <w:pPr>
        <w:pStyle w:val="Body"/>
      </w:pPr>
      <w:r w:rsidRPr="00B359E2">
        <w:t xml:space="preserve">Similarly, a direct referral from a local GP to a health service the GP knows may sometimes overlook a closer public </w:t>
      </w:r>
      <w:r w:rsidR="00973449">
        <w:t>RT</w:t>
      </w:r>
      <w:r w:rsidRPr="00B359E2">
        <w:t xml:space="preserve"> service that could appropriately deliver the required cancer care.</w:t>
      </w:r>
      <w:r w:rsidR="00A043CB">
        <w:t xml:space="preserve"> </w:t>
      </w:r>
    </w:p>
    <w:p w14:paraId="2806F3FA" w14:textId="2BAF4C67" w:rsidR="000F2963" w:rsidRPr="00B359E2" w:rsidRDefault="000F2963" w:rsidP="00B359E2">
      <w:pPr>
        <w:pStyle w:val="Body"/>
      </w:pPr>
      <w:r w:rsidRPr="00B359E2">
        <w:t xml:space="preserve">The </w:t>
      </w:r>
      <w:r w:rsidR="00897078">
        <w:t>f</w:t>
      </w:r>
      <w:r w:rsidRPr="00B359E2">
        <w:t>ramework seeks to encompass and include the following seven principles of statewide services:</w:t>
      </w:r>
    </w:p>
    <w:p w14:paraId="2DCA8467" w14:textId="77777777" w:rsidR="000F2963" w:rsidRPr="00234034" w:rsidRDefault="000F2963" w:rsidP="000F2963">
      <w:pPr>
        <w:pStyle w:val="Numberdigit"/>
        <w:numPr>
          <w:ilvl w:val="0"/>
          <w:numId w:val="4"/>
        </w:numPr>
      </w:pPr>
      <w:r w:rsidRPr="00234034">
        <w:t>All cancer patients within Victoria, irrespective of their residential address or</w:t>
      </w:r>
      <w:r>
        <w:t xml:space="preserve"> any</w:t>
      </w:r>
      <w:r w:rsidRPr="00234034">
        <w:t xml:space="preserve"> other RT service providers nearby, should have equal access to the specialist RT </w:t>
      </w:r>
      <w:r>
        <w:t>treatment machine</w:t>
      </w:r>
      <w:r w:rsidRPr="00234034">
        <w:t>.</w:t>
      </w:r>
    </w:p>
    <w:p w14:paraId="4D46414D" w14:textId="108222B7" w:rsidR="000F2963" w:rsidRPr="00234034" w:rsidRDefault="000F2963" w:rsidP="000F2963">
      <w:pPr>
        <w:pStyle w:val="Numberdigit"/>
        <w:numPr>
          <w:ilvl w:val="0"/>
          <w:numId w:val="4"/>
        </w:numPr>
      </w:pPr>
      <w:r w:rsidRPr="00234034">
        <w:t>A statewide service implemented for specialist RT treatment equipment is not intended to treat all cancer cases referred. By virtue of the technology incorporated into each specialist RT treatment machine</w:t>
      </w:r>
      <w:r w:rsidR="00393DF2">
        <w:t>,</w:t>
      </w:r>
      <w:r w:rsidRPr="00234034">
        <w:t xml:space="preserve"> some cancers are expected to benefit more than others from a specific piece of equipment</w:t>
      </w:r>
      <w:r>
        <w:t>,</w:t>
      </w:r>
      <w:r w:rsidRPr="00234034">
        <w:t xml:space="preserve"> and an indications list </w:t>
      </w:r>
      <w:r>
        <w:t>will</w:t>
      </w:r>
      <w:r w:rsidRPr="00234034">
        <w:t xml:space="preserve"> be developed for each statewide service implemented</w:t>
      </w:r>
      <w:r>
        <w:t>. This is</w:t>
      </w:r>
      <w:r w:rsidRPr="00234034">
        <w:t xml:space="preserve"> to ensure those patients most likely to benefit from t</w:t>
      </w:r>
      <w:r>
        <w:t>hat technology</w:t>
      </w:r>
      <w:r w:rsidRPr="00234034">
        <w:t xml:space="preserve"> are appropriately referred</w:t>
      </w:r>
      <w:r>
        <w:t xml:space="preserve"> and prioritised</w:t>
      </w:r>
      <w:r w:rsidRPr="00234034">
        <w:t>.</w:t>
      </w:r>
    </w:p>
    <w:p w14:paraId="1B4417AB" w14:textId="77777777" w:rsidR="000F2963" w:rsidRDefault="000F2963" w:rsidP="000F2963">
      <w:pPr>
        <w:pStyle w:val="Numberdigit"/>
        <w:numPr>
          <w:ilvl w:val="0"/>
          <w:numId w:val="4"/>
        </w:numPr>
      </w:pPr>
      <w:r w:rsidRPr="00234034">
        <w:t>The originating health service – if a cancer service – will continue to manage the patient’s overall cancer care</w:t>
      </w:r>
      <w:r>
        <w:t xml:space="preserve"> as much as possible</w:t>
      </w:r>
      <w:r w:rsidRPr="00234034">
        <w:t xml:space="preserve">. Referrals both to, and back from, the </w:t>
      </w:r>
      <w:r>
        <w:t xml:space="preserve">RT </w:t>
      </w:r>
      <w:r w:rsidRPr="00234034">
        <w:t>facility with the specialist equipment are to be supported by participating health services.</w:t>
      </w:r>
    </w:p>
    <w:p w14:paraId="1E4CB5CB" w14:textId="77777777" w:rsidR="000F2963" w:rsidRPr="00234034" w:rsidRDefault="000F2963" w:rsidP="000F2963">
      <w:pPr>
        <w:pStyle w:val="Numberdigit"/>
        <w:numPr>
          <w:ilvl w:val="0"/>
          <w:numId w:val="4"/>
        </w:numPr>
      </w:pPr>
      <w:r w:rsidRPr="00234034">
        <w:t xml:space="preserve">The holistic needs of the patient receiving the cancer care </w:t>
      </w:r>
      <w:r>
        <w:t>must continue to be</w:t>
      </w:r>
      <w:r w:rsidRPr="00234034">
        <w:t xml:space="preserve"> managed. This is especially so where chemotherapy is also a component of care. </w:t>
      </w:r>
    </w:p>
    <w:p w14:paraId="7FE6E8D6" w14:textId="7F57BF39" w:rsidR="000F2963" w:rsidRPr="00234034" w:rsidRDefault="000F2963" w:rsidP="000F2963">
      <w:pPr>
        <w:pStyle w:val="Numberdigit"/>
        <w:numPr>
          <w:ilvl w:val="0"/>
          <w:numId w:val="4"/>
        </w:numPr>
      </w:pPr>
      <w:r>
        <w:t>A</w:t>
      </w:r>
      <w:r w:rsidRPr="00234034">
        <w:t>spects of care that can be appropriately delivered as close to home as practicable while receiving</w:t>
      </w:r>
      <w:r w:rsidR="00393DF2">
        <w:t>,</w:t>
      </w:r>
      <w:r w:rsidRPr="00234034">
        <w:t xml:space="preserve"> and then following, treatment on the specialist RT equipment</w:t>
      </w:r>
      <w:r>
        <w:t>,</w:t>
      </w:r>
      <w:r w:rsidRPr="00234034">
        <w:t xml:space="preserve"> </w:t>
      </w:r>
      <w:r>
        <w:t>should be</w:t>
      </w:r>
      <w:r w:rsidRPr="00234034">
        <w:t xml:space="preserve"> considered.</w:t>
      </w:r>
    </w:p>
    <w:p w14:paraId="587F4D81" w14:textId="422EE266" w:rsidR="000F2963" w:rsidRPr="00234034" w:rsidRDefault="000F2963" w:rsidP="000F2963">
      <w:pPr>
        <w:pStyle w:val="Numberdigit"/>
        <w:numPr>
          <w:ilvl w:val="0"/>
          <w:numId w:val="4"/>
        </w:numPr>
      </w:pPr>
      <w:r>
        <w:lastRenderedPageBreak/>
        <w:t>A</w:t>
      </w:r>
      <w:r w:rsidRPr="00234034">
        <w:t xml:space="preserve">ppropriate patient information transfer (including image or RT plan data) to support ongoing care at both the specialist RT service and at the </w:t>
      </w:r>
      <w:r>
        <w:t xml:space="preserve">original </w:t>
      </w:r>
      <w:r w:rsidRPr="00234034">
        <w:t xml:space="preserve">referring service after the </w:t>
      </w:r>
      <w:r w:rsidR="00973449">
        <w:t>RT</w:t>
      </w:r>
      <w:r w:rsidRPr="00234034">
        <w:t xml:space="preserve"> has been delivered</w:t>
      </w:r>
      <w:r>
        <w:t xml:space="preserve"> is an integral part of every statewide service</w:t>
      </w:r>
      <w:r w:rsidRPr="00234034">
        <w:t>.</w:t>
      </w:r>
    </w:p>
    <w:p w14:paraId="26CD4021" w14:textId="5445018B" w:rsidR="000F2963" w:rsidRDefault="000F2963" w:rsidP="000F2963">
      <w:pPr>
        <w:pStyle w:val="Numberdigit"/>
        <w:numPr>
          <w:ilvl w:val="0"/>
          <w:numId w:val="4"/>
        </w:numPr>
      </w:pPr>
      <w:r w:rsidRPr="00234034">
        <w:t xml:space="preserve">The implementation of a statewide service will consider all aspects of specialist </w:t>
      </w:r>
      <w:r>
        <w:t xml:space="preserve">RT </w:t>
      </w:r>
      <w:r w:rsidRPr="00234034">
        <w:t>treatment provision including clinical research opportunities</w:t>
      </w:r>
      <w:r>
        <w:t>, system</w:t>
      </w:r>
      <w:r w:rsidRPr="00234034">
        <w:t xml:space="preserve"> and </w:t>
      </w:r>
      <w:r>
        <w:t>service delivery processes</w:t>
      </w:r>
      <w:r w:rsidR="00393DF2">
        <w:t>,</w:t>
      </w:r>
      <w:r>
        <w:t xml:space="preserve"> as well as clinical care and the documentation of patient outcomes. It is anticipated that</w:t>
      </w:r>
      <w:r w:rsidRPr="00152318">
        <w:t xml:space="preserve"> </w:t>
      </w:r>
      <w:r>
        <w:t>both clinician</w:t>
      </w:r>
      <w:r w:rsidR="00393DF2">
        <w:t>-</w:t>
      </w:r>
      <w:r>
        <w:t xml:space="preserve"> and patient</w:t>
      </w:r>
      <w:r w:rsidR="00393DF2">
        <w:t>-</w:t>
      </w:r>
      <w:r>
        <w:t>reported outcomes will be documented and collected</w:t>
      </w:r>
      <w:r w:rsidRPr="00234034">
        <w:t>.</w:t>
      </w:r>
    </w:p>
    <w:p w14:paraId="39AE2DCB" w14:textId="5C8F33CB" w:rsidR="00393DF2" w:rsidRPr="00234034" w:rsidRDefault="00393DF2" w:rsidP="006E01A8">
      <w:pPr>
        <w:pStyle w:val="Body"/>
      </w:pPr>
      <w:r>
        <w:t xml:space="preserve">Figure 1 shows </w:t>
      </w:r>
      <w:r w:rsidR="000B1AEC">
        <w:t>how a statewide RT service could be implemented.</w:t>
      </w:r>
    </w:p>
    <w:p w14:paraId="49F79610" w14:textId="77777777" w:rsidR="00EC1DD9" w:rsidRDefault="006E01A8" w:rsidP="00EC1DD9">
      <w:pPr>
        <w:pStyle w:val="Figurecaption"/>
        <w:jc w:val="both"/>
      </w:pPr>
      <w:r>
        <w:t>Figure 1: Implementing a statewide radiotherapy service</w:t>
      </w:r>
    </w:p>
    <w:p w14:paraId="7A1D66F1" w14:textId="64812865" w:rsidR="000F2963" w:rsidRDefault="00EC1DD9" w:rsidP="00EC1DD9">
      <w:pPr>
        <w:pStyle w:val="Figurecaption"/>
        <w:jc w:val="center"/>
        <w:rPr>
          <w:rFonts w:eastAsia="MS Mincho"/>
          <w:bCs/>
          <w:color w:val="0070C0"/>
          <w:sz w:val="28"/>
          <w:szCs w:val="26"/>
        </w:rPr>
      </w:pPr>
      <w:r>
        <w:rPr>
          <w:noProof/>
        </w:rPr>
        <w:drawing>
          <wp:inline distT="0" distB="0" distL="0" distR="0" wp14:anchorId="63413BC9" wp14:editId="3A532C5B">
            <wp:extent cx="4612005" cy="6727872"/>
            <wp:effectExtent l="0" t="0" r="0" b="0"/>
            <wp:docPr id="41" name="Picture 41" descr="Figure 1 is a flow diagram that shows how a statewide RT service could be implemen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Figure 1 is a flow diagram that shows how a statewide RT service could be implemented.&#10;"/>
                    <pic:cNvPicPr/>
                  </pic:nvPicPr>
                  <pic:blipFill>
                    <a:blip r:embed="rId19"/>
                    <a:stretch>
                      <a:fillRect/>
                    </a:stretch>
                  </pic:blipFill>
                  <pic:spPr>
                    <a:xfrm>
                      <a:off x="0" y="0"/>
                      <a:ext cx="4637404" cy="6764923"/>
                    </a:xfrm>
                    <a:prstGeom prst="rect">
                      <a:avLst/>
                    </a:prstGeom>
                  </pic:spPr>
                </pic:pic>
              </a:graphicData>
            </a:graphic>
          </wp:inline>
        </w:drawing>
      </w:r>
      <w:r w:rsidR="000F2963">
        <w:rPr>
          <w:color w:val="0070C0"/>
          <w:sz w:val="28"/>
          <w:szCs w:val="26"/>
        </w:rPr>
        <w:br w:type="page"/>
      </w:r>
    </w:p>
    <w:p w14:paraId="55031A25" w14:textId="45E094FD" w:rsidR="000F2963" w:rsidRPr="00B359E2" w:rsidRDefault="000F2963" w:rsidP="00B359E2">
      <w:pPr>
        <w:pStyle w:val="Heading2"/>
      </w:pPr>
      <w:bookmarkStart w:id="13" w:name="_Toc73097783"/>
      <w:bookmarkStart w:id="14" w:name="_Toc73452541"/>
      <w:r w:rsidRPr="00B359E2">
        <w:lastRenderedPageBreak/>
        <w:t xml:space="preserve">Key </w:t>
      </w:r>
      <w:r w:rsidR="00897078">
        <w:t>e</w:t>
      </w:r>
      <w:r w:rsidRPr="00B359E2">
        <w:t xml:space="preserve">lements of </w:t>
      </w:r>
      <w:r w:rsidR="000B1AEC">
        <w:t>a</w:t>
      </w:r>
      <w:r w:rsidR="000B1AEC" w:rsidRPr="00B359E2">
        <w:t xml:space="preserve"> </w:t>
      </w:r>
      <w:r w:rsidR="00897078">
        <w:t>s</w:t>
      </w:r>
      <w:r w:rsidRPr="00B359E2">
        <w:t xml:space="preserve">tatewide </w:t>
      </w:r>
      <w:r w:rsidR="00897078">
        <w:t>r</w:t>
      </w:r>
      <w:r w:rsidRPr="00B359E2">
        <w:t xml:space="preserve">adiotherapy </w:t>
      </w:r>
      <w:r w:rsidR="00897078">
        <w:t>s</w:t>
      </w:r>
      <w:r w:rsidRPr="00B359E2">
        <w:t>ervice</w:t>
      </w:r>
      <w:bookmarkEnd w:id="13"/>
      <w:bookmarkEnd w:id="14"/>
    </w:p>
    <w:p w14:paraId="730EDB2D" w14:textId="53C0905D" w:rsidR="000F2963" w:rsidRPr="00B359E2" w:rsidRDefault="000F2963" w:rsidP="00B359E2">
      <w:pPr>
        <w:pStyle w:val="Body"/>
      </w:pPr>
      <w:r w:rsidRPr="00B359E2">
        <w:t>To ensure best practice patient care and referrals to specific specialist RT treatment machines are appropriate</w:t>
      </w:r>
      <w:r w:rsidR="000B1AEC">
        <w:t>,</w:t>
      </w:r>
      <w:r w:rsidRPr="00B359E2">
        <w:t xml:space="preserve"> the statewide service requires some fundamental components to be successful. </w:t>
      </w:r>
    </w:p>
    <w:p w14:paraId="1BFB301B" w14:textId="4185E9AB" w:rsidR="000F2963" w:rsidRPr="00B359E2" w:rsidRDefault="000F2963" w:rsidP="00B359E2">
      <w:pPr>
        <w:pStyle w:val="Body"/>
      </w:pPr>
      <w:r w:rsidRPr="00B359E2">
        <w:t>The following elements are expected to exist/occur as part of being a designated statewide service:</w:t>
      </w:r>
    </w:p>
    <w:p w14:paraId="0E713EDF" w14:textId="18FE9BC3" w:rsidR="000F2963" w:rsidRPr="00B359E2" w:rsidRDefault="00897078" w:rsidP="00B359E2">
      <w:pPr>
        <w:pStyle w:val="Bullet1"/>
      </w:pPr>
      <w:bookmarkStart w:id="15" w:name="_Hlk21949306"/>
      <w:bookmarkStart w:id="16" w:name="_Hlk21949341"/>
      <w:r>
        <w:t>s</w:t>
      </w:r>
      <w:r w:rsidR="000F2963" w:rsidRPr="00B359E2">
        <w:t xml:space="preserve">ervice </w:t>
      </w:r>
      <w:r>
        <w:t>d</w:t>
      </w:r>
      <w:r w:rsidR="000F2963" w:rsidRPr="00B359E2">
        <w:t xml:space="preserve">escription and </w:t>
      </w:r>
      <w:r>
        <w:t>r</w:t>
      </w:r>
      <w:r w:rsidR="000F2963" w:rsidRPr="00B359E2">
        <w:t>eferral infrastructur</w:t>
      </w:r>
      <w:bookmarkEnd w:id="15"/>
      <w:r w:rsidR="000F2963" w:rsidRPr="00B359E2">
        <w:t>e</w:t>
      </w:r>
      <w:bookmarkEnd w:id="16"/>
    </w:p>
    <w:p w14:paraId="2985BA4B" w14:textId="7AAA3E4F" w:rsidR="000F2963" w:rsidRPr="00B359E2" w:rsidRDefault="00897078" w:rsidP="00B359E2">
      <w:pPr>
        <w:pStyle w:val="Bullet1"/>
      </w:pPr>
      <w:r>
        <w:t>g</w:t>
      </w:r>
      <w:r w:rsidR="000F2963" w:rsidRPr="00B359E2">
        <w:t>uidelines for referrers including appropriate indications</w:t>
      </w:r>
    </w:p>
    <w:p w14:paraId="0A489B74" w14:textId="64B7783F" w:rsidR="000F2963" w:rsidRPr="00B359E2" w:rsidRDefault="00897078" w:rsidP="00B359E2">
      <w:pPr>
        <w:pStyle w:val="Bullet1"/>
      </w:pPr>
      <w:r>
        <w:t>t</w:t>
      </w:r>
      <w:r w:rsidR="000F2963" w:rsidRPr="00B359E2">
        <w:t>riage of referrals to a statewide service</w:t>
      </w:r>
    </w:p>
    <w:p w14:paraId="1E805A34" w14:textId="176BD9B3" w:rsidR="000F2963" w:rsidRPr="00B359E2" w:rsidRDefault="00897078" w:rsidP="00B359E2">
      <w:pPr>
        <w:pStyle w:val="Bullet1"/>
      </w:pPr>
      <w:r>
        <w:t>m</w:t>
      </w:r>
      <w:r w:rsidR="000F2963" w:rsidRPr="00B359E2">
        <w:t>ulti</w:t>
      </w:r>
      <w:r>
        <w:t>d</w:t>
      </w:r>
      <w:r w:rsidR="000F2963" w:rsidRPr="00B359E2">
        <w:t xml:space="preserve">isciplinary </w:t>
      </w:r>
      <w:r>
        <w:t>m</w:t>
      </w:r>
      <w:r w:rsidR="000F2963" w:rsidRPr="00B359E2">
        <w:t>eeting (MDM) presentation</w:t>
      </w:r>
    </w:p>
    <w:p w14:paraId="3D11450C" w14:textId="36FBB5E7" w:rsidR="000F2963" w:rsidRPr="00B359E2" w:rsidRDefault="00897078" w:rsidP="00B359E2">
      <w:pPr>
        <w:pStyle w:val="Bullet1"/>
      </w:pPr>
      <w:bookmarkStart w:id="17" w:name="_Hlk21949265"/>
      <w:r>
        <w:t>g</w:t>
      </w:r>
      <w:r w:rsidR="000F2963" w:rsidRPr="00B359E2">
        <w:t xml:space="preserve">eneral and technical </w:t>
      </w:r>
      <w:r>
        <w:t>p</w:t>
      </w:r>
      <w:r w:rsidR="000F2963" w:rsidRPr="00B359E2">
        <w:t xml:space="preserve">atient and </w:t>
      </w:r>
      <w:r>
        <w:t>r</w:t>
      </w:r>
      <w:r w:rsidR="000F2963" w:rsidRPr="00B359E2">
        <w:t>eferrer information</w:t>
      </w:r>
      <w:bookmarkEnd w:id="17"/>
    </w:p>
    <w:p w14:paraId="5A92B420" w14:textId="717E1EFB" w:rsidR="000F2963" w:rsidRPr="00B359E2" w:rsidRDefault="00897078" w:rsidP="00B359E2">
      <w:pPr>
        <w:pStyle w:val="Bullet1"/>
      </w:pPr>
      <w:r>
        <w:t>c</w:t>
      </w:r>
      <w:r w:rsidR="000F2963" w:rsidRPr="00B359E2">
        <w:t>onsultation and information flow between referrer and service provider</w:t>
      </w:r>
    </w:p>
    <w:p w14:paraId="49151680" w14:textId="15F60CF5" w:rsidR="000F2963" w:rsidRPr="00B359E2" w:rsidRDefault="00897078" w:rsidP="00B359E2">
      <w:pPr>
        <w:pStyle w:val="Bullet1"/>
      </w:pPr>
      <w:r>
        <w:t>e</w:t>
      </w:r>
      <w:r w:rsidR="000F2963" w:rsidRPr="00B359E2">
        <w:t>valuation of the statewide RT service (processes, patient experience and outcomes)</w:t>
      </w:r>
      <w:r>
        <w:t>.</w:t>
      </w:r>
    </w:p>
    <w:p w14:paraId="490D1566" w14:textId="33EFB132" w:rsidR="000F2963" w:rsidRDefault="000F2963" w:rsidP="000F2963">
      <w:pPr>
        <w:pStyle w:val="Heading3"/>
      </w:pPr>
      <w:bookmarkStart w:id="18" w:name="_Toc73452542"/>
      <w:r w:rsidRPr="00861178">
        <w:t xml:space="preserve">1. </w:t>
      </w:r>
      <w:r>
        <w:t xml:space="preserve">Service </w:t>
      </w:r>
      <w:r w:rsidR="00897078">
        <w:t>d</w:t>
      </w:r>
      <w:r>
        <w:t xml:space="preserve">escription and </w:t>
      </w:r>
      <w:r w:rsidR="00897078">
        <w:t>r</w:t>
      </w:r>
      <w:r w:rsidRPr="00861178">
        <w:t xml:space="preserve">eferral </w:t>
      </w:r>
      <w:r w:rsidR="00897078">
        <w:t>i</w:t>
      </w:r>
      <w:r w:rsidRPr="00861178">
        <w:t>nfrastructure</w:t>
      </w:r>
      <w:bookmarkEnd w:id="18"/>
    </w:p>
    <w:p w14:paraId="15FACF49" w14:textId="78B68FAE" w:rsidR="000F2963" w:rsidRDefault="000F2963" w:rsidP="000F2963">
      <w:pPr>
        <w:pStyle w:val="Body"/>
      </w:pPr>
      <w:r>
        <w:t xml:space="preserve">Specialist </w:t>
      </w:r>
      <w:r w:rsidR="00973449">
        <w:t>RT</w:t>
      </w:r>
      <w:r>
        <w:t xml:space="preserve"> treatment machines are presumed to be located at substantial tertiary </w:t>
      </w:r>
      <w:r w:rsidR="00973449">
        <w:t>RT</w:t>
      </w:r>
      <w:r>
        <w:t xml:space="preserve"> ‘hub’ services. This is intentional </w:t>
      </w:r>
      <w:r w:rsidR="005D3E5B">
        <w:t xml:space="preserve">because </w:t>
      </w:r>
      <w:r>
        <w:t xml:space="preserve">the service needs a minimum size to support a specialist treatment machine while maintaining an appropriate patient throughput on standard linac treatment machines. Larger </w:t>
      </w:r>
      <w:r w:rsidR="00973449">
        <w:t>RT</w:t>
      </w:r>
      <w:r>
        <w:t xml:space="preserve"> services have more clinical staff, dedicated research support and permanent </w:t>
      </w:r>
      <w:r w:rsidR="005D3E5B">
        <w:t xml:space="preserve">staff resources </w:t>
      </w:r>
      <w:r>
        <w:t>allocated to education and development. Tertiary services also have all the expected associated support services</w:t>
      </w:r>
      <w:r w:rsidR="005D3E5B">
        <w:t>,</w:t>
      </w:r>
      <w:r>
        <w:t xml:space="preserve"> which include tumour stream</w:t>
      </w:r>
      <w:r w:rsidR="005D3E5B">
        <w:t>–</w:t>
      </w:r>
      <w:r>
        <w:t>specific MDMs, radiation</w:t>
      </w:r>
      <w:r w:rsidR="005D3E5B">
        <w:t>-</w:t>
      </w:r>
      <w:r>
        <w:t xml:space="preserve">dedicated nurses </w:t>
      </w:r>
      <w:r w:rsidR="005D3E5B">
        <w:t>(</w:t>
      </w:r>
      <w:r>
        <w:t>including nurse coordinators</w:t>
      </w:r>
      <w:r w:rsidR="005D3E5B">
        <w:t>)</w:t>
      </w:r>
      <w:r>
        <w:t>, allied health staff with radiation oncology expertise (</w:t>
      </w:r>
      <w:r w:rsidR="00897078">
        <w:t>such as</w:t>
      </w:r>
      <w:r>
        <w:t xml:space="preserve"> speech pathology) and patient accommodation for regional and rural patients.</w:t>
      </w:r>
    </w:p>
    <w:p w14:paraId="51EEE634" w14:textId="5D17D078" w:rsidR="000F2963" w:rsidRPr="00861178" w:rsidRDefault="005D3E5B" w:rsidP="000F2963">
      <w:pPr>
        <w:pStyle w:val="Body"/>
      </w:pPr>
      <w:r>
        <w:t>R</w:t>
      </w:r>
      <w:r w:rsidR="000F2963" w:rsidRPr="00861178">
        <w:t xml:space="preserve">eferrals to a specialist </w:t>
      </w:r>
      <w:r w:rsidR="00973449">
        <w:t>RT</w:t>
      </w:r>
      <w:r w:rsidR="000F2963" w:rsidRPr="00861178">
        <w:t xml:space="preserve"> treatment machine should be able to be made in the most straightforward manner possible. A webpage </w:t>
      </w:r>
      <w:r w:rsidR="00897078">
        <w:t xml:space="preserve">that </w:t>
      </w:r>
      <w:r w:rsidR="000F2963">
        <w:t>provides</w:t>
      </w:r>
      <w:r w:rsidR="000F2963" w:rsidRPr="00861178">
        <w:t xml:space="preserve"> some basic information on what statewide services exist</w:t>
      </w:r>
      <w:r w:rsidR="000F2963">
        <w:t>, the specific equipment at each location</w:t>
      </w:r>
      <w:r w:rsidR="000F2963" w:rsidRPr="00861178">
        <w:t xml:space="preserve"> and the intended conditions for th</w:t>
      </w:r>
      <w:r w:rsidR="000F2963">
        <w:t>at</w:t>
      </w:r>
      <w:r w:rsidR="000F2963" w:rsidRPr="00861178">
        <w:t xml:space="preserve"> specialist RT equipment is one such </w:t>
      </w:r>
      <w:r w:rsidR="000F2963">
        <w:t>enabler of an uncomplicated referral process</w:t>
      </w:r>
      <w:r w:rsidR="000F2963" w:rsidRPr="00861178">
        <w:t xml:space="preserve">. </w:t>
      </w:r>
    </w:p>
    <w:p w14:paraId="55024C0E" w14:textId="6508E6CE" w:rsidR="000F2963" w:rsidRPr="00861178" w:rsidRDefault="000F2963" w:rsidP="000F2963">
      <w:pPr>
        <w:pStyle w:val="Body"/>
      </w:pPr>
      <w:r w:rsidRPr="00861178">
        <w:t>The web</w:t>
      </w:r>
      <w:r>
        <w:t>page</w:t>
      </w:r>
      <w:r w:rsidRPr="00861178">
        <w:t xml:space="preserve"> </w:t>
      </w:r>
      <w:r>
        <w:t>will</w:t>
      </w:r>
      <w:r w:rsidRPr="00861178">
        <w:t xml:space="preserve"> be hosted b</w:t>
      </w:r>
      <w:r>
        <w:t>y</w:t>
      </w:r>
      <w:r w:rsidRPr="00861178">
        <w:t xml:space="preserve"> the</w:t>
      </w:r>
      <w:r>
        <w:t xml:space="preserve"> Victorian</w:t>
      </w:r>
      <w:r w:rsidRPr="00861178">
        <w:t xml:space="preserve"> </w:t>
      </w:r>
      <w:r>
        <w:t>D</w:t>
      </w:r>
      <w:r w:rsidRPr="00861178">
        <w:t xml:space="preserve">epartment of </w:t>
      </w:r>
      <w:r>
        <w:t>H</w:t>
      </w:r>
      <w:r w:rsidRPr="00861178">
        <w:t xml:space="preserve">ealth </w:t>
      </w:r>
      <w:r>
        <w:t>and</w:t>
      </w:r>
      <w:r w:rsidRPr="00861178">
        <w:t xml:space="preserve"> will </w:t>
      </w:r>
      <w:r>
        <w:t xml:space="preserve">appropriately </w:t>
      </w:r>
      <w:r w:rsidRPr="00861178">
        <w:t>direct referrers via links to portal</w:t>
      </w:r>
      <w:r>
        <w:t>s</w:t>
      </w:r>
      <w:r w:rsidRPr="00861178">
        <w:t xml:space="preserve"> at each facility </w:t>
      </w:r>
      <w:r>
        <w:t>that operates</w:t>
      </w:r>
      <w:r w:rsidRPr="00861178">
        <w:t xml:space="preserve"> a specialist piece of </w:t>
      </w:r>
      <w:r>
        <w:t xml:space="preserve">RT </w:t>
      </w:r>
      <w:r w:rsidRPr="00861178">
        <w:t>equipment.</w:t>
      </w:r>
    </w:p>
    <w:p w14:paraId="542C95E4" w14:textId="5B73F657" w:rsidR="000F2963" w:rsidRPr="00861178" w:rsidRDefault="000F2963" w:rsidP="000F2963">
      <w:pPr>
        <w:pStyle w:val="Body"/>
      </w:pPr>
      <w:r w:rsidRPr="00861178">
        <w:t>Victoria has also funded and implement</w:t>
      </w:r>
      <w:r>
        <w:t>ed</w:t>
      </w:r>
      <w:r w:rsidRPr="00861178">
        <w:t xml:space="preserve"> a secure statewide </w:t>
      </w:r>
      <w:r w:rsidR="00973449">
        <w:t>RT</w:t>
      </w:r>
      <w:r w:rsidRPr="00861178">
        <w:t xml:space="preserve"> data</w:t>
      </w:r>
      <w:r w:rsidR="005D3E5B">
        <w:t>-</w:t>
      </w:r>
      <w:r w:rsidRPr="00861178">
        <w:t xml:space="preserve">sharing service that will permit an existing RT facility to transfer RT planning data to </w:t>
      </w:r>
      <w:r>
        <w:t>a</w:t>
      </w:r>
      <w:r w:rsidRPr="00861178">
        <w:t xml:space="preserve"> s</w:t>
      </w:r>
      <w:r>
        <w:t>tatewide RT service t</w:t>
      </w:r>
      <w:r w:rsidRPr="00861178">
        <w:t>o undertak</w:t>
      </w:r>
      <w:r>
        <w:t>e</w:t>
      </w:r>
      <w:r w:rsidRPr="00861178">
        <w:t xml:space="preserve"> plan comparisons or to access scans that can be used for planning, </w:t>
      </w:r>
      <w:r>
        <w:t xml:space="preserve">or </w:t>
      </w:r>
      <w:r w:rsidR="005D3E5B">
        <w:t xml:space="preserve">for </w:t>
      </w:r>
      <w:r>
        <w:t>assess</w:t>
      </w:r>
      <w:r w:rsidR="005D3E5B">
        <w:t>ing</w:t>
      </w:r>
      <w:r>
        <w:t xml:space="preserve"> </w:t>
      </w:r>
      <w:r w:rsidRPr="00861178">
        <w:t xml:space="preserve">previous </w:t>
      </w:r>
      <w:r w:rsidR="00973449">
        <w:t>RT</w:t>
      </w:r>
      <w:r w:rsidRPr="00861178">
        <w:t xml:space="preserve"> treatment data </w:t>
      </w:r>
      <w:r w:rsidR="005D3E5B">
        <w:t>and so on</w:t>
      </w:r>
      <w:r w:rsidRPr="00861178">
        <w:t>.</w:t>
      </w:r>
    </w:p>
    <w:p w14:paraId="4D7F3FBE" w14:textId="77777777" w:rsidR="000F2963" w:rsidRPr="00861178" w:rsidRDefault="000F2963" w:rsidP="000F2963">
      <w:pPr>
        <w:pStyle w:val="Heading3"/>
      </w:pPr>
      <w:bookmarkStart w:id="19" w:name="_Toc73452543"/>
      <w:r w:rsidRPr="00861178">
        <w:t>2. Guidelines for referrers including appropriate indications</w:t>
      </w:r>
      <w:bookmarkEnd w:id="19"/>
    </w:p>
    <w:p w14:paraId="25BD35CA" w14:textId="41881113" w:rsidR="000F2963" w:rsidRDefault="000F2963" w:rsidP="00C40E9A">
      <w:pPr>
        <w:pStyle w:val="Body"/>
      </w:pPr>
      <w:r w:rsidRPr="00861178">
        <w:t xml:space="preserve">Specialist </w:t>
      </w:r>
      <w:r w:rsidR="00973449">
        <w:t>RT</w:t>
      </w:r>
      <w:r>
        <w:t xml:space="preserve"> treatment</w:t>
      </w:r>
      <w:r w:rsidRPr="00861178">
        <w:t xml:space="preserve"> equipment such as an </w:t>
      </w:r>
      <w:r>
        <w:t>MR-linac</w:t>
      </w:r>
      <w:r w:rsidRPr="00861178">
        <w:t xml:space="preserve"> or protons can generate considerable interest from patients and clinicians. While the interest is welcome</w:t>
      </w:r>
      <w:r>
        <w:t>,</w:t>
      </w:r>
      <w:r w:rsidRPr="00861178">
        <w:t xml:space="preserve"> there is </w:t>
      </w:r>
      <w:r>
        <w:t xml:space="preserve">a </w:t>
      </w:r>
      <w:r w:rsidRPr="00861178">
        <w:t xml:space="preserve">need to </w:t>
      </w:r>
      <w:r>
        <w:t>ensure access for patients with</w:t>
      </w:r>
      <w:r w:rsidRPr="00861178">
        <w:t xml:space="preserve"> th</w:t>
      </w:r>
      <w:r>
        <w:t>os</w:t>
      </w:r>
      <w:r w:rsidRPr="00861178">
        <w:t xml:space="preserve">e indications that will optimally benefit from the technology. </w:t>
      </w:r>
    </w:p>
    <w:p w14:paraId="66C55116" w14:textId="07C2AECB" w:rsidR="000F2963" w:rsidRDefault="000F2963" w:rsidP="00C40E9A">
      <w:pPr>
        <w:pStyle w:val="Body"/>
      </w:pPr>
      <w:r w:rsidRPr="00861178">
        <w:t xml:space="preserve">Many cancers treated with </w:t>
      </w:r>
      <w:r w:rsidR="00973449">
        <w:t>RT</w:t>
      </w:r>
      <w:r w:rsidRPr="00861178">
        <w:t xml:space="preserve"> in Victoria are already receiving the ideal m</w:t>
      </w:r>
      <w:r>
        <w:t>ode</w:t>
      </w:r>
      <w:r w:rsidRPr="00861178">
        <w:t xml:space="preserve"> of radi</w:t>
      </w:r>
      <w:r>
        <w:t xml:space="preserve">ation </w:t>
      </w:r>
      <w:r w:rsidRPr="00861178">
        <w:t>therapy</w:t>
      </w:r>
      <w:r w:rsidR="00E4536A">
        <w:t>,</w:t>
      </w:r>
      <w:r w:rsidRPr="00861178">
        <w:t xml:space="preserve"> </w:t>
      </w:r>
      <w:r>
        <w:t>so</w:t>
      </w:r>
      <w:r w:rsidRPr="00861178">
        <w:t xml:space="preserve"> it is important that the </w:t>
      </w:r>
      <w:r>
        <w:t>‘</w:t>
      </w:r>
      <w:r w:rsidRPr="00861178">
        <w:t>magnet effect</w:t>
      </w:r>
      <w:r>
        <w:t>’</w:t>
      </w:r>
      <w:r w:rsidRPr="00861178">
        <w:t xml:space="preserve"> of </w:t>
      </w:r>
      <w:r>
        <w:t xml:space="preserve">some new equipment offering the promise of better outcomes </w:t>
      </w:r>
      <w:r w:rsidR="003A6701">
        <w:t>(</w:t>
      </w:r>
      <w:r>
        <w:t>for certain cancers</w:t>
      </w:r>
      <w:r w:rsidR="003A6701">
        <w:t>)</w:t>
      </w:r>
      <w:r>
        <w:t xml:space="preserve"> doesn’t generate unnecessary referrals that preclude the more ideal indications receiving </w:t>
      </w:r>
      <w:r w:rsidR="00E4536A">
        <w:t xml:space="preserve">timely </w:t>
      </w:r>
      <w:r>
        <w:t>treatment on a</w:t>
      </w:r>
      <w:r w:rsidR="00E4536A">
        <w:t>n</w:t>
      </w:r>
      <w:r>
        <w:t xml:space="preserve"> RT specialist treatment machine</w:t>
      </w:r>
      <w:r w:rsidRPr="00861178">
        <w:t>.</w:t>
      </w:r>
      <w:r w:rsidR="00A043CB">
        <w:t xml:space="preserve"> </w:t>
      </w:r>
    </w:p>
    <w:p w14:paraId="3AC49681" w14:textId="29AD8763" w:rsidR="000F2963" w:rsidRDefault="000F2963" w:rsidP="00C40E9A">
      <w:pPr>
        <w:pStyle w:val="Body"/>
      </w:pPr>
      <w:bookmarkStart w:id="20" w:name="_Hlk20754119"/>
      <w:r w:rsidRPr="00861178">
        <w:t xml:space="preserve">Introducing a </w:t>
      </w:r>
      <w:r w:rsidR="00897078">
        <w:t>s</w:t>
      </w:r>
      <w:r w:rsidRPr="00861178">
        <w:t xml:space="preserve">tatewide </w:t>
      </w:r>
      <w:bookmarkEnd w:id="20"/>
      <w:r w:rsidRPr="00861178">
        <w:t xml:space="preserve">referrals </w:t>
      </w:r>
      <w:r>
        <w:t>system therefore requires develop</w:t>
      </w:r>
      <w:r w:rsidR="00E4536A">
        <w:t>ing</w:t>
      </w:r>
      <w:r>
        <w:t xml:space="preserve"> and promoti</w:t>
      </w:r>
      <w:r w:rsidR="00E4536A">
        <w:t>ng</w:t>
      </w:r>
      <w:r>
        <w:t xml:space="preserve"> a range of expected disease indications for each specialist treatment machine. Having a list of indications and their associated clinical guidelines for those tumours considered most appropriate for each </w:t>
      </w:r>
      <w:r>
        <w:lastRenderedPageBreak/>
        <w:t>specialist machine is important to assist with case triage. However, there may be some cases with a particular clinical scenario where treatment on a statewide machine means optimal treatment of a cancer not on the indications list for that particular specialist RT machine.</w:t>
      </w:r>
    </w:p>
    <w:p w14:paraId="22CEA0B7" w14:textId="00748948" w:rsidR="000F2963" w:rsidRPr="00861178" w:rsidRDefault="000F2963" w:rsidP="00C40E9A">
      <w:pPr>
        <w:pStyle w:val="Body"/>
      </w:pPr>
      <w:r>
        <w:t xml:space="preserve">For each statewide </w:t>
      </w:r>
      <w:r w:rsidR="00973449">
        <w:t>RT</w:t>
      </w:r>
      <w:r>
        <w:t xml:space="preserve"> service offered, a group of clinical experts familiar with the technology and expected range of tumour types likely to benefit need to review the evidence and determine the range of conditions best suited to maximising the treatment benefits of a specific piece of specialist RT equipment. A summary of the resultant clinical guidelines and an indications list will be provided on the statewide </w:t>
      </w:r>
      <w:r w:rsidR="00973449">
        <w:t>RT</w:t>
      </w:r>
      <w:r>
        <w:t xml:space="preserve"> referrals website, while the complete information for each statewide RT service is provided as </w:t>
      </w:r>
      <w:r w:rsidR="00E4536A">
        <w:t xml:space="preserve">an </w:t>
      </w:r>
      <w:r>
        <w:t>appendix to this document and will also be included as part of the online referral information of the facility operating the specialist equipment.</w:t>
      </w:r>
    </w:p>
    <w:p w14:paraId="31E4DBB2" w14:textId="0B1F4FAF" w:rsidR="000F2963" w:rsidRPr="002F30E2" w:rsidRDefault="000F2963" w:rsidP="00C40E9A">
      <w:pPr>
        <w:pStyle w:val="Heading3"/>
      </w:pPr>
      <w:bookmarkStart w:id="21" w:name="_Toc73452544"/>
      <w:r w:rsidRPr="002F30E2">
        <w:t xml:space="preserve">3. Triage of </w:t>
      </w:r>
      <w:r w:rsidR="00897078">
        <w:t>r</w:t>
      </w:r>
      <w:r w:rsidRPr="002F30E2">
        <w:t>eferrals</w:t>
      </w:r>
      <w:r>
        <w:t xml:space="preserve"> to a statewide service</w:t>
      </w:r>
      <w:bookmarkEnd w:id="21"/>
    </w:p>
    <w:p w14:paraId="33CD1AC0" w14:textId="36D7E341" w:rsidR="000F2963" w:rsidRDefault="000F2963" w:rsidP="00C40E9A">
      <w:pPr>
        <w:pStyle w:val="Body"/>
      </w:pPr>
      <w:r>
        <w:t xml:space="preserve">In the context of specialist RT treatment machines, referrals to a facility that is operating a statewide service will likely come from a variety of sources. The treating facility will already have some referral pathways in place for its existing RT services and these will certainly remain one mechanism for patient referrals. However, in </w:t>
      </w:r>
      <w:r w:rsidRPr="00C971B6">
        <w:t>serv</w:t>
      </w:r>
      <w:r>
        <w:t>ing</w:t>
      </w:r>
      <w:r w:rsidRPr="00C971B6">
        <w:t xml:space="preserve"> the whole population of Victoria</w:t>
      </w:r>
      <w:r>
        <w:t xml:space="preserve">, referrals to a facility operating a specialist RT treatment machine could come more broadly from other cancer centres, radiation oncology providers, individual cancer specialists, </w:t>
      </w:r>
      <w:r w:rsidR="00E4536A">
        <w:t>GPs</w:t>
      </w:r>
      <w:r>
        <w:t xml:space="preserve"> and potentially even self-referrals from cancer patients.</w:t>
      </w:r>
    </w:p>
    <w:p w14:paraId="7E271C40" w14:textId="77777777" w:rsidR="00E4536A" w:rsidRDefault="000F2963" w:rsidP="00C40E9A">
      <w:pPr>
        <w:pStyle w:val="Body"/>
      </w:pPr>
      <w:r>
        <w:t xml:space="preserve">The broad range of potential referrers requires that a timely and robust triage of patient referrals occurs. </w:t>
      </w:r>
    </w:p>
    <w:p w14:paraId="01B10A0A" w14:textId="77777777" w:rsidR="00E4536A" w:rsidRDefault="000F2963" w:rsidP="00E4536A">
      <w:pPr>
        <w:pStyle w:val="Bullet1"/>
      </w:pPr>
      <w:r>
        <w:t xml:space="preserve">Has the appropriate information been provided? </w:t>
      </w:r>
    </w:p>
    <w:p w14:paraId="19EDAF9E" w14:textId="1A489BA9" w:rsidR="00E4536A" w:rsidRDefault="000F2963" w:rsidP="00E4536A">
      <w:pPr>
        <w:pStyle w:val="Bullet1"/>
      </w:pPr>
      <w:r>
        <w:t>Has the case been presented to an MDM or does one need to be organised? (see point 4 for information on MDMs)</w:t>
      </w:r>
    </w:p>
    <w:p w14:paraId="485C1D2C" w14:textId="77777777" w:rsidR="00E4536A" w:rsidRDefault="000F2963" w:rsidP="00E4536A">
      <w:pPr>
        <w:pStyle w:val="Bullet1"/>
      </w:pPr>
      <w:r>
        <w:t xml:space="preserve">Is there some potential clinical urgency that requires an expedited consultation? </w:t>
      </w:r>
    </w:p>
    <w:p w14:paraId="4717B556" w14:textId="6E88750A" w:rsidR="00E4536A" w:rsidRDefault="000F2963" w:rsidP="00E4536A">
      <w:pPr>
        <w:pStyle w:val="Bullet1"/>
      </w:pPr>
      <w:r>
        <w:t xml:space="preserve">Is there any comorbidity that should be considered when accepting a case? </w:t>
      </w:r>
    </w:p>
    <w:p w14:paraId="57E2E844" w14:textId="6512AEA1" w:rsidR="00E4536A" w:rsidRDefault="000F2963" w:rsidP="006E01A8">
      <w:pPr>
        <w:pStyle w:val="Bullet1"/>
      </w:pPr>
      <w:r>
        <w:t xml:space="preserve">Are there any contraindications related to the specialist RT machine </w:t>
      </w:r>
      <w:r w:rsidR="00E4536A">
        <w:t xml:space="preserve">– </w:t>
      </w:r>
      <w:r>
        <w:t>for example, a patient with a metal artificial hip that might be referred to the MR-linac</w:t>
      </w:r>
      <w:r w:rsidR="00E4536A">
        <w:t>?</w:t>
      </w:r>
      <w:r>
        <w:t xml:space="preserve"> </w:t>
      </w:r>
    </w:p>
    <w:p w14:paraId="5E87FE7B" w14:textId="18C2350D" w:rsidR="000F2963" w:rsidRDefault="000F2963" w:rsidP="006E01A8">
      <w:pPr>
        <w:pStyle w:val="Bodyafterbullets"/>
      </w:pPr>
      <w:r>
        <w:t>As such, a checklist should be implemented to ensure the referral process is as efficient as possible. In conjunction with the triage checklist, a contraindications (or potential issues) document related to the technical aspects of the treatment also needs to be developed by the facility operating the specialist RT statewide service.</w:t>
      </w:r>
    </w:p>
    <w:p w14:paraId="3E2C5D50" w14:textId="79FA91EF" w:rsidR="000F2963" w:rsidRPr="002F30E2" w:rsidRDefault="000F2963" w:rsidP="00C40E9A">
      <w:pPr>
        <w:pStyle w:val="Heading3"/>
      </w:pPr>
      <w:bookmarkStart w:id="22" w:name="_Toc73452545"/>
      <w:r w:rsidRPr="002F30E2">
        <w:t>4. Multi</w:t>
      </w:r>
      <w:r w:rsidR="00897078">
        <w:t>d</w:t>
      </w:r>
      <w:r w:rsidRPr="002F30E2">
        <w:t xml:space="preserve">isciplinary </w:t>
      </w:r>
      <w:r w:rsidR="00897078">
        <w:t>m</w:t>
      </w:r>
      <w:r w:rsidRPr="002F30E2">
        <w:t>eeting presentation</w:t>
      </w:r>
      <w:bookmarkEnd w:id="22"/>
      <w:r w:rsidRPr="002F30E2">
        <w:t xml:space="preserve"> </w:t>
      </w:r>
    </w:p>
    <w:p w14:paraId="4704A7D8" w14:textId="68EFEEA7" w:rsidR="000F2963" w:rsidRDefault="000F2963" w:rsidP="00C40E9A">
      <w:pPr>
        <w:pStyle w:val="Body"/>
      </w:pPr>
      <w:r>
        <w:t xml:space="preserve">Victoria’s </w:t>
      </w:r>
      <w:hyperlink r:id="rId20" w:history="1">
        <w:r w:rsidR="00897078" w:rsidRPr="002F5993">
          <w:rPr>
            <w:rStyle w:val="Hyperlink"/>
          </w:rPr>
          <w:t>o</w:t>
        </w:r>
        <w:r w:rsidRPr="002F5993">
          <w:rPr>
            <w:rStyle w:val="Hyperlink"/>
          </w:rPr>
          <w:t xml:space="preserve">ptimal </w:t>
        </w:r>
        <w:r w:rsidR="00897078" w:rsidRPr="002F5993">
          <w:rPr>
            <w:rStyle w:val="Hyperlink"/>
          </w:rPr>
          <w:t>c</w:t>
        </w:r>
        <w:r w:rsidRPr="002F5993">
          <w:rPr>
            <w:rStyle w:val="Hyperlink"/>
          </w:rPr>
          <w:t>are pathways</w:t>
        </w:r>
      </w:hyperlink>
      <w:r>
        <w:t xml:space="preserve"> </w:t>
      </w:r>
      <w:r w:rsidR="002F5993">
        <w:t>&lt;</w:t>
      </w:r>
      <w:r w:rsidR="002F5993" w:rsidRPr="002F5993">
        <w:t>https://www.cancervic.org.au/for-health-professionals/optimal-care-pathways</w:t>
      </w:r>
      <w:r w:rsidR="002F5993">
        <w:t xml:space="preserve">&gt; </w:t>
      </w:r>
      <w:r>
        <w:t>for the various tumour streams all include the step of a presentation of radical treatment cases at an MDM. For many high</w:t>
      </w:r>
      <w:r w:rsidR="002F5993">
        <w:t>-</w:t>
      </w:r>
      <w:r>
        <w:t>dose palliative cases</w:t>
      </w:r>
      <w:r w:rsidR="002F5993">
        <w:t>,</w:t>
      </w:r>
      <w:r>
        <w:t xml:space="preserve"> this would also be expected as the standard of care and is consistent with the nominal </w:t>
      </w:r>
      <w:r w:rsidR="00897078">
        <w:t xml:space="preserve">departmental </w:t>
      </w:r>
      <w:r>
        <w:t>benchmark of 80</w:t>
      </w:r>
      <w:r w:rsidR="00897078">
        <w:t xml:space="preserve"> per cent</w:t>
      </w:r>
      <w:r>
        <w:t xml:space="preserve"> of cancer cases being presented to an MDM. </w:t>
      </w:r>
    </w:p>
    <w:p w14:paraId="18A7E4E2" w14:textId="33BB628D" w:rsidR="000F2963" w:rsidRDefault="000F2963" w:rsidP="00C40E9A">
      <w:pPr>
        <w:pStyle w:val="Body"/>
      </w:pPr>
      <w:r>
        <w:t xml:space="preserve">As part of a statewide service being offered for specialist </w:t>
      </w:r>
      <w:r w:rsidR="00973449">
        <w:t>RT</w:t>
      </w:r>
      <w:r>
        <w:t xml:space="preserve"> treatment machines, it is expected that all cases treated will be presented at an MDM. These cases may have already been presented to an appropriate MDM prior to referral (indeed the MDM could be the pathway for the referral to the specialist RT equipment). However, if not, then the facility operating the specialist RT treatment machine must ensure the case is presented to an MDM conducted at their facility. </w:t>
      </w:r>
    </w:p>
    <w:p w14:paraId="7C047CA7" w14:textId="00232428" w:rsidR="000F2963" w:rsidRDefault="000F2963" w:rsidP="00C40E9A">
      <w:pPr>
        <w:pStyle w:val="Body"/>
      </w:pPr>
      <w:r>
        <w:lastRenderedPageBreak/>
        <w:t>An ‘appropriate MDM’ is defined as one held for a specific tumour stream, compris</w:t>
      </w:r>
      <w:r w:rsidR="002F5993">
        <w:t>ing</w:t>
      </w:r>
      <w:r>
        <w:t xml:space="preserve"> clinicians with relevant subspecialty experience in surgery, </w:t>
      </w:r>
      <w:r w:rsidR="00973449">
        <w:t>RT</w:t>
      </w:r>
      <w:r>
        <w:t xml:space="preserve"> and medical oncology in attendance. Th</w:t>
      </w:r>
      <w:r w:rsidR="002F5993">
        <w:t>erefore</w:t>
      </w:r>
      <w:r>
        <w:t>, if prior to a referral to the service operating the specialist RT treatment a patient has been presented to an MDM that is not appropriate such as a general solid tumour MDM, or an MDM where only a partial range of clinical expertise is present, this would not qualify as an appropriate MDM. In such situations that case should be presented to a tumour stream</w:t>
      </w:r>
      <w:r w:rsidR="002F5993">
        <w:t>–</w:t>
      </w:r>
      <w:r>
        <w:t>specific MDM at the facility to which the patient has been referred.</w:t>
      </w:r>
    </w:p>
    <w:p w14:paraId="532F089B" w14:textId="199013CF" w:rsidR="000F2963" w:rsidRDefault="000F2963" w:rsidP="00C40E9A">
      <w:pPr>
        <w:pStyle w:val="Body"/>
      </w:pPr>
      <w:r>
        <w:t xml:space="preserve">Facilitation of the MDM using software that other sites/providers can access such as QOOL-Vic will ensure adding cases for review, a record of the multidisciplinary team’s decision and the transfer of information for the cases referred is seamless. </w:t>
      </w:r>
      <w:r w:rsidRPr="00435988">
        <w:t xml:space="preserve">QOOL-Vic has specifically been identified in the </w:t>
      </w:r>
      <w:r w:rsidR="00495F0F" w:rsidRPr="006E01A8">
        <w:rPr>
          <w:i/>
          <w:iCs/>
        </w:rPr>
        <w:t>Victorian c</w:t>
      </w:r>
      <w:r w:rsidRPr="006E01A8">
        <w:rPr>
          <w:i/>
          <w:iCs/>
        </w:rPr>
        <w:t xml:space="preserve">ancer </w:t>
      </w:r>
      <w:r w:rsidR="00495F0F" w:rsidRPr="006E01A8">
        <w:rPr>
          <w:i/>
          <w:iCs/>
        </w:rPr>
        <w:t>p</w:t>
      </w:r>
      <w:r w:rsidRPr="006E01A8">
        <w:rPr>
          <w:i/>
          <w:iCs/>
        </w:rPr>
        <w:t>lan 2020</w:t>
      </w:r>
      <w:r w:rsidR="00495F0F" w:rsidRPr="006E01A8">
        <w:rPr>
          <w:i/>
          <w:iCs/>
        </w:rPr>
        <w:t>–</w:t>
      </w:r>
      <w:r w:rsidRPr="006E01A8">
        <w:rPr>
          <w:i/>
          <w:iCs/>
        </w:rPr>
        <w:t>2024</w:t>
      </w:r>
      <w:r w:rsidRPr="00435988">
        <w:t xml:space="preserve"> as </w:t>
      </w:r>
      <w:r>
        <w:t>the</w:t>
      </w:r>
      <w:r w:rsidRPr="00435988">
        <w:t xml:space="preserve"> statewide </w:t>
      </w:r>
      <w:r>
        <w:t xml:space="preserve">software </w:t>
      </w:r>
      <w:r w:rsidRPr="00435988">
        <w:t xml:space="preserve">platform to support cancer services, importantly, statewide ones. </w:t>
      </w:r>
      <w:r>
        <w:t>This is therefore recommended as part of the infrastructure of a statewide RT service</w:t>
      </w:r>
      <w:r w:rsidR="002F5993">
        <w:t>,</w:t>
      </w:r>
      <w:r>
        <w:t xml:space="preserve"> which is addressed in a subsequent section. </w:t>
      </w:r>
    </w:p>
    <w:p w14:paraId="527115AF" w14:textId="77777777" w:rsidR="000F2963" w:rsidRDefault="000F2963" w:rsidP="00C40E9A">
      <w:pPr>
        <w:pStyle w:val="Heading3"/>
      </w:pPr>
      <w:bookmarkStart w:id="23" w:name="_Toc73452546"/>
      <w:r>
        <w:t>5</w:t>
      </w:r>
      <w:r w:rsidRPr="00404EE6">
        <w:t xml:space="preserve">. </w:t>
      </w:r>
      <w:bookmarkStart w:id="24" w:name="_Hlk21948489"/>
      <w:r>
        <w:t>G</w:t>
      </w:r>
      <w:bookmarkStart w:id="25" w:name="_Hlk21948544"/>
      <w:r>
        <w:t>eneral and technical p</w:t>
      </w:r>
      <w:r w:rsidRPr="00404EE6">
        <w:t xml:space="preserve">atient </w:t>
      </w:r>
      <w:r>
        <w:t xml:space="preserve">and referrer </w:t>
      </w:r>
      <w:r w:rsidRPr="00404EE6">
        <w:t>information</w:t>
      </w:r>
      <w:bookmarkEnd w:id="23"/>
      <w:bookmarkEnd w:id="24"/>
      <w:bookmarkEnd w:id="25"/>
    </w:p>
    <w:p w14:paraId="5759B9F5" w14:textId="5E5B3EF7" w:rsidR="000F2963" w:rsidRDefault="000F2963" w:rsidP="00C40E9A">
      <w:pPr>
        <w:pStyle w:val="Body"/>
      </w:pPr>
      <w:r>
        <w:t xml:space="preserve">All public </w:t>
      </w:r>
      <w:r w:rsidR="00973449">
        <w:t>RT</w:t>
      </w:r>
      <w:r>
        <w:t xml:space="preserve"> services already have information resources for patients such as brochures and videos to supplement the verbal information provided to patients at the time the treatment is prescribed. Th</w:t>
      </w:r>
      <w:r w:rsidR="002F5993">
        <w:t>ese are</w:t>
      </w:r>
      <w:r>
        <w:t xml:space="preserve"> freely available during </w:t>
      </w:r>
      <w:r w:rsidR="00973449">
        <w:t>RT</w:t>
      </w:r>
      <w:r>
        <w:t xml:space="preserve"> planning and treatment appointments. Nonetheless, for s</w:t>
      </w:r>
      <w:r w:rsidRPr="003C37BC">
        <w:t xml:space="preserve">pecialist </w:t>
      </w:r>
      <w:r w:rsidR="00973449">
        <w:t>RT</w:t>
      </w:r>
      <w:r w:rsidRPr="003C37BC">
        <w:t xml:space="preserve"> equipment</w:t>
      </w:r>
      <w:r>
        <w:t>, which by definition is uncommon even in the radiation oncology community, it is important that such information is available prior to patients being consulted by the radiation oncology.</w:t>
      </w:r>
      <w:r w:rsidRPr="003C37BC">
        <w:t xml:space="preserve"> </w:t>
      </w:r>
    </w:p>
    <w:p w14:paraId="283FCE9C" w14:textId="18C51AB6" w:rsidR="000F2963" w:rsidRDefault="000F2963" w:rsidP="00C40E9A">
      <w:pPr>
        <w:pStyle w:val="Body"/>
      </w:pPr>
      <w:r>
        <w:t xml:space="preserve">In addition to general RT patient information, specific information </w:t>
      </w:r>
      <w:r w:rsidR="002F5993">
        <w:t>about</w:t>
      </w:r>
      <w:r>
        <w:t xml:space="preserve"> the specialist RT service needs to be available to inform prospective patients and referrers about the treatment equipment and how it is most suited to the published indications that are matched to that specific treatment technology. This will help engender appropriate expectations related to the specialist statewide RT treatment</w:t>
      </w:r>
      <w:r w:rsidRPr="00203ED7">
        <w:t xml:space="preserve"> </w:t>
      </w:r>
      <w:r>
        <w:t xml:space="preserve">machines. </w:t>
      </w:r>
    </w:p>
    <w:p w14:paraId="32E61203" w14:textId="38B14CB9" w:rsidR="000F2963" w:rsidRDefault="000F2963" w:rsidP="00C40E9A">
      <w:pPr>
        <w:pStyle w:val="Body"/>
      </w:pPr>
      <w:r>
        <w:t xml:space="preserve">It is also important to note that non-radiation oncology referrers often have limited knowledge or understanding of routine </w:t>
      </w:r>
      <w:r w:rsidR="00973449">
        <w:t>RT</w:t>
      </w:r>
      <w:r w:rsidR="002F5993">
        <w:t>.</w:t>
      </w:r>
      <w:r>
        <w:t xml:space="preserve"> </w:t>
      </w:r>
      <w:r w:rsidR="002F5993">
        <w:t>S</w:t>
      </w:r>
      <w:r>
        <w:t>o</w:t>
      </w:r>
      <w:r w:rsidR="002F5993">
        <w:t>,</w:t>
      </w:r>
      <w:r>
        <w:t xml:space="preserve"> in addition to the clinical guidelines and indications list provided for referrers, </w:t>
      </w:r>
      <w:r w:rsidR="002F5993">
        <w:t xml:space="preserve">it is equally important that </w:t>
      </w:r>
      <w:r>
        <w:t xml:space="preserve">some general information specific to the specialist RT machine </w:t>
      </w:r>
      <w:r w:rsidR="002F5993">
        <w:t xml:space="preserve">is </w:t>
      </w:r>
      <w:r>
        <w:t xml:space="preserve">available. </w:t>
      </w:r>
    </w:p>
    <w:p w14:paraId="3F4DC0AD" w14:textId="6A8D45D9" w:rsidR="000F2963" w:rsidRPr="003C37BC" w:rsidRDefault="000F2963" w:rsidP="00C40E9A">
      <w:pPr>
        <w:pStyle w:val="Body"/>
      </w:pPr>
      <w:r>
        <w:t>A specialist RT service site will also need to develop a technical checklist to ensure suitability of the patient to a specific piece of specialist equipment. For example, if a referrer is informed that an MR-linac</w:t>
      </w:r>
      <w:r w:rsidR="00852BF5">
        <w:t>-</w:t>
      </w:r>
      <w:r>
        <w:t>based treatment involves 30 minutes in a tunnel</w:t>
      </w:r>
      <w:r w:rsidR="00852BF5">
        <w:t>-</w:t>
      </w:r>
      <w:r>
        <w:t xml:space="preserve">like enclosed space, that can be useful information when assessing the suitability of a claustrophobic patient. Furthermore, information pertinent to the Victorian MR-linac should be available online </w:t>
      </w:r>
      <w:r w:rsidR="00852BF5">
        <w:t xml:space="preserve">because </w:t>
      </w:r>
      <w:r>
        <w:t xml:space="preserve">any patient or referrer who undertakes a google search will likely come across some information that does not relate to the Victorian service and </w:t>
      </w:r>
      <w:r w:rsidR="00852BF5">
        <w:t xml:space="preserve">that </w:t>
      </w:r>
      <w:r>
        <w:t>may not be helpful. An example of this is the Australian MRI Linac being developed under the auspices of the University of Sydney and Ingham Institute in Liverpool, NSW, which most often comes at the top of an MR-linac google search. However, this is a research</w:t>
      </w:r>
      <w:r w:rsidR="00852BF5">
        <w:t>-</w:t>
      </w:r>
      <w:r>
        <w:t xml:space="preserve">based ‘open’ magnet system that is very different </w:t>
      </w:r>
      <w:r w:rsidR="00852BF5">
        <w:t>from</w:t>
      </w:r>
      <w:r>
        <w:t xml:space="preserve"> the commercially available MR-linacs currently operating clinically and could give a prospective patient the completely wrong impression of the Victorian machine and clinical treatment environment.</w:t>
      </w:r>
    </w:p>
    <w:p w14:paraId="13812A38" w14:textId="77777777" w:rsidR="000F2963" w:rsidRPr="00404EE6" w:rsidRDefault="000F2963" w:rsidP="00C40E9A">
      <w:pPr>
        <w:pStyle w:val="Heading3"/>
      </w:pPr>
      <w:bookmarkStart w:id="26" w:name="_Toc73452547"/>
      <w:r>
        <w:lastRenderedPageBreak/>
        <w:t>6</w:t>
      </w:r>
      <w:r w:rsidRPr="00404EE6">
        <w:t>. Consultation and information flow between refer</w:t>
      </w:r>
      <w:r>
        <w:t>rer</w:t>
      </w:r>
      <w:r w:rsidRPr="00404EE6">
        <w:t xml:space="preserve"> and service provider</w:t>
      </w:r>
      <w:bookmarkEnd w:id="26"/>
    </w:p>
    <w:p w14:paraId="5D3D5207" w14:textId="55E4AFD5" w:rsidR="000F2963" w:rsidRDefault="000F2963" w:rsidP="00C40E9A">
      <w:pPr>
        <w:pStyle w:val="Body"/>
      </w:pPr>
      <w:r w:rsidRPr="0034797D">
        <w:t>Provi</w:t>
      </w:r>
      <w:r w:rsidR="00852BF5">
        <w:t>ding</w:t>
      </w:r>
      <w:r w:rsidRPr="0034797D">
        <w:t xml:space="preserve"> a statewide </w:t>
      </w:r>
      <w:r w:rsidR="00973449">
        <w:t>RT</w:t>
      </w:r>
      <w:r w:rsidRPr="0034797D">
        <w:t xml:space="preserve"> service </w:t>
      </w:r>
      <w:r>
        <w:t>n</w:t>
      </w:r>
      <w:r w:rsidRPr="0034797D">
        <w:t>e</w:t>
      </w:r>
      <w:r>
        <w:t>cessitates that</w:t>
      </w:r>
      <w:r w:rsidRPr="0034797D">
        <w:t xml:space="preserve"> the facility operating the service receive</w:t>
      </w:r>
      <w:r>
        <w:t>s</w:t>
      </w:r>
      <w:r w:rsidRPr="0034797D">
        <w:t xml:space="preserve"> all necessary information related to the patient being referred.</w:t>
      </w:r>
      <w:r>
        <w:t xml:space="preserve"> There is an onus on the referrer to proactively provide as much information as possible to the facility providing the specialist RT service</w:t>
      </w:r>
      <w:r w:rsidR="00852BF5">
        <w:t>,</w:t>
      </w:r>
      <w:r>
        <w:t xml:space="preserve"> </w:t>
      </w:r>
      <w:r w:rsidRPr="0005716B">
        <w:t xml:space="preserve">supported by </w:t>
      </w:r>
      <w:r>
        <w:t xml:space="preserve">the </w:t>
      </w:r>
      <w:r w:rsidRPr="0005716B">
        <w:t>specialist RT service guides and templates</w:t>
      </w:r>
      <w:r>
        <w:t xml:space="preserve">. </w:t>
      </w:r>
    </w:p>
    <w:p w14:paraId="1480AC6A" w14:textId="5FE8DC01" w:rsidR="000F2963" w:rsidRDefault="000F2963" w:rsidP="00C40E9A">
      <w:pPr>
        <w:pStyle w:val="Body"/>
      </w:pPr>
      <w:r>
        <w:t>A referral portal should therefore have the ability to upload documents (pdfs, jpgs</w:t>
      </w:r>
      <w:r w:rsidR="00852BF5">
        <w:t>, other formats</w:t>
      </w:r>
      <w:r>
        <w:t>). Ideally patients will have been seen in an MDM where the imaging and pathology is available online and be seen at a facility that is using the statewide MDM platform to permit information sharing.</w:t>
      </w:r>
    </w:p>
    <w:p w14:paraId="27631821" w14:textId="3A394B1D" w:rsidR="000F2963" w:rsidRDefault="000F2963" w:rsidP="00C40E9A">
      <w:pPr>
        <w:pStyle w:val="Body"/>
      </w:pPr>
      <w:r>
        <w:t>Also for public RT providers, there is a statewide patient RT planning data</w:t>
      </w:r>
      <w:r w:rsidR="00852BF5">
        <w:t>-</w:t>
      </w:r>
      <w:r>
        <w:t>sharing server that will permit relevant RT imaging and plans to be provided to the treating site and/or back again to a referring public RT provider.</w:t>
      </w:r>
    </w:p>
    <w:p w14:paraId="1FA1779E" w14:textId="17F3D39C" w:rsidR="000F2963" w:rsidRDefault="000F2963" w:rsidP="00C40E9A">
      <w:pPr>
        <w:pStyle w:val="Body"/>
      </w:pPr>
      <w:r>
        <w:t xml:space="preserve">Additionally, </w:t>
      </w:r>
      <w:r w:rsidR="00852BF5">
        <w:t>after completing</w:t>
      </w:r>
      <w:r>
        <w:t xml:space="preserve"> the specialist RT treatment, there is an expectation that referrers</w:t>
      </w:r>
      <w:r w:rsidR="00852BF5">
        <w:t>,</w:t>
      </w:r>
      <w:r>
        <w:t xml:space="preserve"> when undertaking ongoing patient follow</w:t>
      </w:r>
      <w:r w:rsidR="005F7F1C">
        <w:t>-</w:t>
      </w:r>
      <w:r>
        <w:t>up, report (to the treating centre) via predetermined minimum datasets with respect to each follow</w:t>
      </w:r>
      <w:r w:rsidR="00852BF5">
        <w:t>-</w:t>
      </w:r>
      <w:r>
        <w:t xml:space="preserve">up consult. This will support ongoing evaluation of clinical outcomes associated with each technology, </w:t>
      </w:r>
      <w:r w:rsidR="00852BF5">
        <w:t xml:space="preserve">help acquire </w:t>
      </w:r>
      <w:r>
        <w:t>valuable data on the efficacy of statewide services and enable government</w:t>
      </w:r>
      <w:r w:rsidR="00A043CB">
        <w:t xml:space="preserve"> </w:t>
      </w:r>
      <w:r>
        <w:t>reporting on the investment related to the new technologies.</w:t>
      </w:r>
    </w:p>
    <w:p w14:paraId="0B68F20D" w14:textId="713C4D41" w:rsidR="005F7F1C" w:rsidRDefault="005F7F1C" w:rsidP="006E01A8">
      <w:pPr>
        <w:pStyle w:val="Figurecaption"/>
      </w:pPr>
      <w:r>
        <w:t xml:space="preserve">Figure 2: </w:t>
      </w:r>
      <w:r w:rsidR="00E02BD7" w:rsidRPr="00E02BD7">
        <w:t>The information flow from clinical follow up of patients must be a two way</w:t>
      </w:r>
    </w:p>
    <w:p w14:paraId="7F2D1172" w14:textId="7F032F82" w:rsidR="005E5A18" w:rsidRDefault="005E5A18" w:rsidP="005E5A18">
      <w:pPr>
        <w:pStyle w:val="Body"/>
      </w:pPr>
    </w:p>
    <w:p w14:paraId="38427A0D" w14:textId="266E64C6" w:rsidR="005E5A18" w:rsidRPr="005E5A18" w:rsidRDefault="007E2F8E" w:rsidP="005B24BF">
      <w:pPr>
        <w:pStyle w:val="Body"/>
        <w:jc w:val="center"/>
      </w:pPr>
      <w:r>
        <w:rPr>
          <w:noProof/>
        </w:rPr>
        <w:drawing>
          <wp:inline distT="0" distB="0" distL="0" distR="0" wp14:anchorId="741CCE3A" wp14:editId="6B22834C">
            <wp:extent cx="5541901" cy="2039620"/>
            <wp:effectExtent l="0" t="0" r="1905" b="0"/>
            <wp:docPr id="54" name="Picture 54" descr="Figure 2 shows the information flow from clinical follow up of patients must be a two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Figure 2 shows the information flow from clinical follow up of patients must be a two way"/>
                    <pic:cNvPicPr/>
                  </pic:nvPicPr>
                  <pic:blipFill>
                    <a:blip r:embed="rId21"/>
                    <a:stretch>
                      <a:fillRect/>
                    </a:stretch>
                  </pic:blipFill>
                  <pic:spPr>
                    <a:xfrm>
                      <a:off x="0" y="0"/>
                      <a:ext cx="5544534" cy="2040589"/>
                    </a:xfrm>
                    <a:prstGeom prst="rect">
                      <a:avLst/>
                    </a:prstGeom>
                  </pic:spPr>
                </pic:pic>
              </a:graphicData>
            </a:graphic>
          </wp:inline>
        </w:drawing>
      </w:r>
    </w:p>
    <w:p w14:paraId="0C374773" w14:textId="316CB46B" w:rsidR="006E01A8" w:rsidRPr="00E02BD7" w:rsidRDefault="006E01A8" w:rsidP="00A043CB">
      <w:pPr>
        <w:pStyle w:val="Body"/>
        <w:rPr>
          <w:rFonts w:asciiTheme="minorHAnsi" w:hAnsiTheme="minorHAnsi"/>
          <w:sz w:val="32"/>
          <w:szCs w:val="32"/>
        </w:rPr>
      </w:pPr>
    </w:p>
    <w:p w14:paraId="324F2626" w14:textId="2E5B6D61" w:rsidR="000F2963" w:rsidRPr="00404EE6" w:rsidRDefault="000F2963" w:rsidP="00C40E9A">
      <w:pPr>
        <w:pStyle w:val="Heading3"/>
      </w:pPr>
      <w:bookmarkStart w:id="27" w:name="_Toc73452548"/>
      <w:r>
        <w:t>7</w:t>
      </w:r>
      <w:r w:rsidRPr="00404EE6">
        <w:t xml:space="preserve">. </w:t>
      </w:r>
      <w:r w:rsidRPr="00E56EE0">
        <w:t xml:space="preserve">Evaluation of </w:t>
      </w:r>
      <w:r w:rsidR="00852BF5">
        <w:t xml:space="preserve">the </w:t>
      </w:r>
      <w:r w:rsidR="005F7F1C">
        <w:t>s</w:t>
      </w:r>
      <w:r w:rsidRPr="00E56EE0">
        <w:t xml:space="preserve">tatewide </w:t>
      </w:r>
      <w:r>
        <w:t>radiotherapy</w:t>
      </w:r>
      <w:r w:rsidRPr="00E56EE0">
        <w:t xml:space="preserve"> service</w:t>
      </w:r>
      <w:bookmarkEnd w:id="27"/>
    </w:p>
    <w:p w14:paraId="21775DB1" w14:textId="20272EE1" w:rsidR="000F2963" w:rsidRDefault="005F7F1C" w:rsidP="00C40E9A">
      <w:pPr>
        <w:pStyle w:val="Body"/>
      </w:pPr>
      <w:r>
        <w:t>Establishing</w:t>
      </w:r>
      <w:r w:rsidR="000F2963" w:rsidRPr="0034797D">
        <w:t xml:space="preserve"> a statewide </w:t>
      </w:r>
      <w:r w:rsidR="00973449">
        <w:t>RT</w:t>
      </w:r>
      <w:r w:rsidR="000F2963" w:rsidRPr="0034797D">
        <w:t xml:space="preserve"> service </w:t>
      </w:r>
      <w:r w:rsidR="000F2963">
        <w:t>n</w:t>
      </w:r>
      <w:r w:rsidR="000F2963" w:rsidRPr="0034797D">
        <w:t>e</w:t>
      </w:r>
      <w:r w:rsidR="000F2963">
        <w:t>cessitates that</w:t>
      </w:r>
      <w:r w:rsidR="000F2963" w:rsidRPr="0034797D">
        <w:t xml:space="preserve"> the </w:t>
      </w:r>
      <w:r w:rsidR="000F2963">
        <w:t xml:space="preserve">effectiveness of the service is routinely evaluated. </w:t>
      </w:r>
    </w:p>
    <w:p w14:paraId="7B5219A0" w14:textId="6135F6FB" w:rsidR="000F2963" w:rsidRDefault="000F2963" w:rsidP="00C40E9A">
      <w:pPr>
        <w:pStyle w:val="Body"/>
      </w:pPr>
      <w:r>
        <w:t>There has been significant investment by government in the specialist RT machines</w:t>
      </w:r>
      <w:r w:rsidR="00852BF5">
        <w:t>,</w:t>
      </w:r>
      <w:r>
        <w:t xml:space="preserve"> and it is important to determine how well the service is performing in relation to the intended outcomes. For example</w:t>
      </w:r>
      <w:r w:rsidR="00852BF5">
        <w:t>,</w:t>
      </w:r>
      <w:r>
        <w:t xml:space="preserve"> is equitable access for all Victorians being achieved? Are the expected indications being treated at the service? Are the outcomes for patients any different? Is the wraparound care of a patient referred across institutions being realised? And, are patients satisfied with the service? These are the sort of questions that need to be asked regularly and the answers provided via intentional evaluation.</w:t>
      </w:r>
    </w:p>
    <w:p w14:paraId="17AE1686" w14:textId="497E8335" w:rsidR="000F2963" w:rsidRDefault="000F2963" w:rsidP="00C40E9A">
      <w:pPr>
        <w:pStyle w:val="Body"/>
      </w:pPr>
      <w:r>
        <w:lastRenderedPageBreak/>
        <w:t xml:space="preserve">It is anticipated that in the first </w:t>
      </w:r>
      <w:r w:rsidR="005F7F1C">
        <w:t>six</w:t>
      </w:r>
      <w:r>
        <w:t xml:space="preserve"> months of operation, a new statewide RT service will be bedded down. A light</w:t>
      </w:r>
      <w:r w:rsidR="00852BF5">
        <w:t>-</w:t>
      </w:r>
      <w:r>
        <w:t>touch evaluation at approximately three months from clinical commencement is warranted to ensure the planned processes and supports</w:t>
      </w:r>
      <w:r w:rsidR="005F7F1C">
        <w:t xml:space="preserve"> </w:t>
      </w:r>
      <w:r w:rsidR="00852BF5">
        <w:t>(</w:t>
      </w:r>
      <w:r w:rsidR="005F7F1C">
        <w:t>for example,</w:t>
      </w:r>
      <w:r>
        <w:t xml:space="preserve"> MDMs</w:t>
      </w:r>
      <w:r w:rsidR="00852BF5">
        <w:t>)</w:t>
      </w:r>
      <w:r>
        <w:t xml:space="preserve"> are working as expected. It is recommended that this </w:t>
      </w:r>
      <w:r w:rsidR="005F7F1C">
        <w:t>three-</w:t>
      </w:r>
      <w:r>
        <w:t xml:space="preserve">month review be followed by a more formal evaluation six months after the commencement of the service, including a review of the early data gathered. </w:t>
      </w:r>
    </w:p>
    <w:p w14:paraId="0CA2CEDA" w14:textId="2AA0FA0C" w:rsidR="000F2963" w:rsidRDefault="000F2963" w:rsidP="00C40E9A">
      <w:pPr>
        <w:pStyle w:val="Body"/>
      </w:pPr>
      <w:r>
        <w:t xml:space="preserve">A full evaluation of the service should be undertaken at 12 months and annually thereafter to ensure the impact of the service is documented and </w:t>
      </w:r>
      <w:r w:rsidR="005F7F1C">
        <w:t xml:space="preserve">that </w:t>
      </w:r>
      <w:r>
        <w:t>any issues are discovered and resolved. Patient experience</w:t>
      </w:r>
      <w:r w:rsidR="00324EDC">
        <w:t>s and</w:t>
      </w:r>
      <w:r>
        <w:t xml:space="preserve"> clinical and administrative data collected as part of the service should also be reviewed as part of the evaluation.</w:t>
      </w:r>
      <w:r w:rsidR="00A043CB">
        <w:t xml:space="preserve"> </w:t>
      </w:r>
    </w:p>
    <w:p w14:paraId="05ADA59A" w14:textId="74B84DAF" w:rsidR="000F2963" w:rsidRPr="00B90DA8" w:rsidRDefault="000F2963" w:rsidP="00C40E9A">
      <w:pPr>
        <w:pStyle w:val="Heading2"/>
      </w:pPr>
      <w:bookmarkStart w:id="28" w:name="_Hlk25745265"/>
      <w:bookmarkStart w:id="29" w:name="_Toc73452549"/>
      <w:bookmarkStart w:id="30" w:name="_Hlk21948659"/>
      <w:r>
        <w:t>Operational considerations</w:t>
      </w:r>
      <w:r w:rsidRPr="00B90DA8">
        <w:t xml:space="preserve"> of </w:t>
      </w:r>
      <w:r w:rsidR="00324EDC">
        <w:t xml:space="preserve">a </w:t>
      </w:r>
      <w:r w:rsidR="005F7F1C">
        <w:t>s</w:t>
      </w:r>
      <w:r w:rsidRPr="00B90DA8">
        <w:t xml:space="preserve">tatewide </w:t>
      </w:r>
      <w:r w:rsidR="005F7F1C">
        <w:t>r</w:t>
      </w:r>
      <w:r w:rsidRPr="00B90DA8">
        <w:t>a</w:t>
      </w:r>
      <w:r>
        <w:t>diotherapy</w:t>
      </w:r>
      <w:r w:rsidRPr="00B90DA8">
        <w:t xml:space="preserve"> </w:t>
      </w:r>
      <w:r w:rsidR="005F7F1C">
        <w:t>s</w:t>
      </w:r>
      <w:r w:rsidRPr="00B90DA8">
        <w:t>ervice</w:t>
      </w:r>
      <w:bookmarkEnd w:id="28"/>
      <w:bookmarkEnd w:id="29"/>
    </w:p>
    <w:p w14:paraId="71B6B1E6" w14:textId="6A84077B" w:rsidR="000F2963" w:rsidRDefault="000F2963" w:rsidP="00C40E9A">
      <w:pPr>
        <w:pStyle w:val="Body"/>
      </w:pPr>
      <w:bookmarkStart w:id="31" w:name="_Hlk21948874"/>
      <w:bookmarkEnd w:id="30"/>
      <w:r w:rsidRPr="002D554D">
        <w:t xml:space="preserve">There are </w:t>
      </w:r>
      <w:bookmarkEnd w:id="31"/>
      <w:r w:rsidR="003E0A2C">
        <w:t>several</w:t>
      </w:r>
      <w:r>
        <w:t xml:space="preserve"> operational conditions and processes that need to be implemented to ensure the success of a statewide specialist RT service. At a minimum these include:</w:t>
      </w:r>
    </w:p>
    <w:p w14:paraId="08D3C429" w14:textId="0B823217" w:rsidR="000F2963" w:rsidRDefault="003E0A2C" w:rsidP="00C40E9A">
      <w:pPr>
        <w:pStyle w:val="Bullet1"/>
      </w:pPr>
      <w:r>
        <w:t>j</w:t>
      </w:r>
      <w:r w:rsidR="000F2963">
        <w:t>oint appointments of radiation oncologists</w:t>
      </w:r>
      <w:r>
        <w:t xml:space="preserve"> – t</w:t>
      </w:r>
      <w:r w:rsidR="000F2963">
        <w:t xml:space="preserve">his will involve formal </w:t>
      </w:r>
      <w:r w:rsidR="000F2963" w:rsidRPr="001B7AF8">
        <w:t>credentia</w:t>
      </w:r>
      <w:r>
        <w:t>l</w:t>
      </w:r>
      <w:r w:rsidR="000F2963" w:rsidRPr="001B7AF8">
        <w:t>ling by the specialist RT provider</w:t>
      </w:r>
      <w:r w:rsidR="000F2963">
        <w:t xml:space="preserve"> of radiation oncologists from other RT services who will be referring patients</w:t>
      </w:r>
      <w:r>
        <w:t xml:space="preserve"> (t</w:t>
      </w:r>
      <w:r w:rsidR="000F2963">
        <w:t>his would permit them to review patients at the facility with the specialist equipment and</w:t>
      </w:r>
      <w:r>
        <w:t>,</w:t>
      </w:r>
      <w:r w:rsidR="000F2963">
        <w:t xml:space="preserve"> if appropriate, would facilitate their role as the prescribing </w:t>
      </w:r>
      <w:r>
        <w:t xml:space="preserve">radiation oncologist </w:t>
      </w:r>
      <w:r w:rsidR="000F2963">
        <w:t>and approver of the plan</w:t>
      </w:r>
      <w:r>
        <w:t>)</w:t>
      </w:r>
    </w:p>
    <w:p w14:paraId="3F191942" w14:textId="1C4F029E" w:rsidR="000F2963" w:rsidRDefault="003E0A2C" w:rsidP="00C40E9A">
      <w:pPr>
        <w:pStyle w:val="Bullet1"/>
      </w:pPr>
      <w:r>
        <w:t>a</w:t>
      </w:r>
      <w:r w:rsidR="000F2963">
        <w:t xml:space="preserve"> statewide referral webpage that links to a referral portal at the facility with the specialist RT equipment that the patient is being directed to</w:t>
      </w:r>
    </w:p>
    <w:p w14:paraId="40EAD3F1" w14:textId="1E24395F" w:rsidR="000F2963" w:rsidRDefault="000F2963" w:rsidP="00C40E9A">
      <w:pPr>
        <w:pStyle w:val="Bullet1"/>
      </w:pPr>
      <w:r>
        <w:t>MDM software that permits transfer of information and MDM discussion</w:t>
      </w:r>
      <w:r w:rsidR="003E0A2C">
        <w:t>s</w:t>
      </w:r>
      <w:r>
        <w:t>/decisions.</w:t>
      </w:r>
    </w:p>
    <w:p w14:paraId="0BD18BA9" w14:textId="1854C6C2" w:rsidR="000F2963" w:rsidRDefault="003E0A2C" w:rsidP="00C40E9A">
      <w:pPr>
        <w:pStyle w:val="Bullet1"/>
      </w:pPr>
      <w:r>
        <w:t>a</w:t>
      </w:r>
      <w:r w:rsidR="00973449">
        <w:t>n</w:t>
      </w:r>
      <w:r w:rsidR="000F2963">
        <w:t xml:space="preserve"> </w:t>
      </w:r>
      <w:r w:rsidR="00973449">
        <w:t>RT</w:t>
      </w:r>
      <w:r w:rsidR="000F2963">
        <w:t xml:space="preserve"> patient planning data</w:t>
      </w:r>
      <w:r>
        <w:t>-</w:t>
      </w:r>
      <w:r w:rsidR="000F2963">
        <w:t>sharing server (including any imaging used for planning)</w:t>
      </w:r>
    </w:p>
    <w:p w14:paraId="00E79456" w14:textId="178D26FD" w:rsidR="000F2963" w:rsidRDefault="003E0A2C" w:rsidP="00C40E9A">
      <w:pPr>
        <w:pStyle w:val="Bullet1"/>
      </w:pPr>
      <w:r>
        <w:t>t</w:t>
      </w:r>
      <w:r w:rsidR="000F2963">
        <w:t>raining for a broader cohort of clinical staff that will interact with patients and clinicians not involved in the discipline of radiation oncology</w:t>
      </w:r>
    </w:p>
    <w:p w14:paraId="4F3254B9" w14:textId="07C6898C" w:rsidR="000F2963" w:rsidRDefault="003E0A2C" w:rsidP="00C40E9A">
      <w:pPr>
        <w:pStyle w:val="Bullet1"/>
      </w:pPr>
      <w:r>
        <w:t>p</w:t>
      </w:r>
      <w:r w:rsidR="000F2963">
        <w:t>ublished patient and referrer information (brochures, videos), including expectations of referrers to complete ongoing patient follow</w:t>
      </w:r>
      <w:r>
        <w:t>-</w:t>
      </w:r>
      <w:r w:rsidR="000F2963">
        <w:t>up beyond a course of specialist RT</w:t>
      </w:r>
    </w:p>
    <w:p w14:paraId="58E920DD" w14:textId="5B055DDA" w:rsidR="000F2963" w:rsidRDefault="003E0A2C" w:rsidP="00C40E9A">
      <w:pPr>
        <w:pStyle w:val="Bullet1"/>
      </w:pPr>
      <w:r>
        <w:t>p</w:t>
      </w:r>
      <w:r w:rsidR="000F2963">
        <w:t>atient accommodation and/or transport as required to support patients from across the state</w:t>
      </w:r>
    </w:p>
    <w:p w14:paraId="029E938F" w14:textId="0FA6F93E" w:rsidR="000F2963" w:rsidRDefault="003E0A2C" w:rsidP="00C40E9A">
      <w:pPr>
        <w:pStyle w:val="Bullet1"/>
      </w:pPr>
      <w:r>
        <w:t>e</w:t>
      </w:r>
      <w:r w:rsidR="000F2963">
        <w:t>ducational opportunities to inform referring clinicians</w:t>
      </w:r>
      <w:r>
        <w:t>,</w:t>
      </w:r>
      <w:r w:rsidR="000F2963">
        <w:t xml:space="preserve"> particularly targeting those forums that represent the majority of referrals (</w:t>
      </w:r>
      <w:r w:rsidR="005F7F1C">
        <w:t>for example,</w:t>
      </w:r>
      <w:r w:rsidR="000F2963">
        <w:t xml:space="preserve"> presentation to an MDM).</w:t>
      </w:r>
    </w:p>
    <w:p w14:paraId="188F7D30" w14:textId="0F555BD2" w:rsidR="000F2963" w:rsidRDefault="000F2963" w:rsidP="006E01A8">
      <w:pPr>
        <w:pStyle w:val="Bodyafterbullets"/>
      </w:pPr>
      <w:r>
        <w:t xml:space="preserve">The existence of these enablers is assumed in implementing </w:t>
      </w:r>
      <w:r w:rsidR="003E0A2C">
        <w:t xml:space="preserve">a </w:t>
      </w:r>
      <w:r>
        <w:t xml:space="preserve">statewide service and have been agreed by Victoria’s four public </w:t>
      </w:r>
      <w:r w:rsidR="00973449">
        <w:t>RT</w:t>
      </w:r>
      <w:r>
        <w:t xml:space="preserve"> service providers.</w:t>
      </w:r>
    </w:p>
    <w:p w14:paraId="3EBA04F4" w14:textId="77777777" w:rsidR="003E0A2C" w:rsidRDefault="003E0A2C">
      <w:pPr>
        <w:spacing w:after="0" w:line="240" w:lineRule="auto"/>
        <w:rPr>
          <w:rFonts w:eastAsia="MS Gothic" w:cs="Arial"/>
          <w:bCs/>
          <w:color w:val="201547"/>
          <w:kern w:val="32"/>
          <w:sz w:val="44"/>
          <w:szCs w:val="44"/>
        </w:rPr>
      </w:pPr>
      <w:r>
        <w:br w:type="page"/>
      </w:r>
    </w:p>
    <w:p w14:paraId="63502EDC" w14:textId="6998AA04" w:rsidR="000F2963" w:rsidRPr="0085404A" w:rsidRDefault="000F2963" w:rsidP="00C40E9A">
      <w:pPr>
        <w:pStyle w:val="Heading1"/>
      </w:pPr>
      <w:bookmarkStart w:id="32" w:name="_Toc73452550"/>
      <w:r w:rsidRPr="0085404A">
        <w:lastRenderedPageBreak/>
        <w:t xml:space="preserve">Research </w:t>
      </w:r>
      <w:r w:rsidR="005F7F1C">
        <w:t>and</w:t>
      </w:r>
      <w:r w:rsidRPr="0085404A">
        <w:t xml:space="preserve"> clinical trials associated with </w:t>
      </w:r>
      <w:r w:rsidR="005F7F1C">
        <w:t>s</w:t>
      </w:r>
      <w:r w:rsidRPr="0085404A">
        <w:t xml:space="preserve">tatewide RT treatment </w:t>
      </w:r>
      <w:r w:rsidR="005F7F1C">
        <w:t>s</w:t>
      </w:r>
      <w:r w:rsidRPr="0085404A">
        <w:t>ervices</w:t>
      </w:r>
      <w:bookmarkEnd w:id="32"/>
    </w:p>
    <w:p w14:paraId="1622879D" w14:textId="3E217FE1" w:rsidR="000F2963" w:rsidRDefault="000F2963" w:rsidP="00C40E9A">
      <w:pPr>
        <w:pStyle w:val="Body"/>
      </w:pPr>
      <w:r>
        <w:t>Clinical trials and other forms of research such as health services research are expected to form part of</w:t>
      </w:r>
      <w:r w:rsidR="00A043CB">
        <w:t xml:space="preserve"> </w:t>
      </w:r>
      <w:r w:rsidRPr="002D554D">
        <w:t>a</w:t>
      </w:r>
      <w:r>
        <w:t xml:space="preserve"> statewide service. As such</w:t>
      </w:r>
      <w:r w:rsidR="003E0A2C">
        <w:t>,</w:t>
      </w:r>
      <w:r>
        <w:t xml:space="preserve"> access to clinical trials should </w:t>
      </w:r>
      <w:r w:rsidR="003671D3">
        <w:t xml:space="preserve">be </w:t>
      </w:r>
      <w:r>
        <w:t xml:space="preserve">open to all suitable patients regardless of the location of the specialist RT treatment equipment and </w:t>
      </w:r>
      <w:r w:rsidR="003671D3">
        <w:t xml:space="preserve">their </w:t>
      </w:r>
      <w:r>
        <w:t>eligibility not be impeded by either the referring or treatment facility.</w:t>
      </w:r>
    </w:p>
    <w:p w14:paraId="45B955C5" w14:textId="583D102E" w:rsidR="000F2963" w:rsidRDefault="000F2963" w:rsidP="00C40E9A">
      <w:pPr>
        <w:pStyle w:val="Body"/>
      </w:pPr>
      <w:r>
        <w:t>Should a specific trial not be available at the statewide service facility to which a patient is referred, mechanisms should be available to ensure the patient can appropriately access both the relevant trial and the specialist RT treatment.</w:t>
      </w:r>
    </w:p>
    <w:p w14:paraId="420A9A01" w14:textId="2CD6224D" w:rsidR="000F2963" w:rsidRPr="00773BF7" w:rsidRDefault="000F2963" w:rsidP="00A043CB">
      <w:pPr>
        <w:pStyle w:val="Heading2"/>
      </w:pPr>
      <w:bookmarkStart w:id="33" w:name="_Toc73452551"/>
      <w:r>
        <w:t xml:space="preserve">General </w:t>
      </w:r>
      <w:r w:rsidR="005F7F1C">
        <w:t>r</w:t>
      </w:r>
      <w:r w:rsidRPr="00773BF7">
        <w:t xml:space="preserve">esearch </w:t>
      </w:r>
      <w:r w:rsidR="005F7F1C">
        <w:t>c</w:t>
      </w:r>
      <w:r w:rsidRPr="00773BF7">
        <w:t>onsiderations</w:t>
      </w:r>
      <w:bookmarkEnd w:id="33"/>
    </w:p>
    <w:p w14:paraId="2BC2EB4F" w14:textId="36BECDC5" w:rsidR="000F2963" w:rsidRDefault="000F2963" w:rsidP="00076C7A">
      <w:pPr>
        <w:pStyle w:val="Body"/>
      </w:pPr>
      <w:r>
        <w:t>As part of establishing a statewide service, joint appointments and credential</w:t>
      </w:r>
      <w:r w:rsidR="00364FF5">
        <w:t>l</w:t>
      </w:r>
      <w:r>
        <w:t>ing of staff from other facilities has already been noted as an important consideration both for continuity of care and sector education. As an extension of this principle, when considering clinical trials that involve a statewide service, the opportunity for inclu</w:t>
      </w:r>
      <w:r w:rsidR="00364FF5">
        <w:t>ding</w:t>
      </w:r>
      <w:r>
        <w:t xml:space="preserve"> a broader group of investigators should be explored.</w:t>
      </w:r>
    </w:p>
    <w:p w14:paraId="6FCA1275" w14:textId="0B9254FC" w:rsidR="000F2963" w:rsidRDefault="000F2963" w:rsidP="00076C7A">
      <w:pPr>
        <w:pStyle w:val="Body"/>
      </w:pPr>
      <w:r>
        <w:t>In general, there are well</w:t>
      </w:r>
      <w:r w:rsidR="00364FF5">
        <w:t>-</w:t>
      </w:r>
      <w:r>
        <w:t>understood and documented processes in place for clinical research. Multi</w:t>
      </w:r>
      <w:r w:rsidR="00364FF5">
        <w:t>-</w:t>
      </w:r>
      <w:r>
        <w:t>institutional agreements and ethics approvals are already possible through established practices</w:t>
      </w:r>
      <w:r w:rsidR="00364FF5">
        <w:t>,</w:t>
      </w:r>
      <w:r>
        <w:t xml:space="preserve"> so provi</w:t>
      </w:r>
      <w:r w:rsidR="00364FF5">
        <w:t>ding</w:t>
      </w:r>
      <w:r>
        <w:t xml:space="preserve"> a specialist RT statewide service can leverage off this environment by instigating these collaborative research processes ‘up-front’ at the commencement of the service.</w:t>
      </w:r>
    </w:p>
    <w:p w14:paraId="36330DC3" w14:textId="36A0B598" w:rsidR="000F2963" w:rsidRDefault="000F2963" w:rsidP="00076C7A">
      <w:pPr>
        <w:pStyle w:val="Body"/>
      </w:pPr>
      <w:r>
        <w:t>In principle, patient registries should also be established for each specialist RT treatment machine operating a statewide service. To that end the intention for statewide services is to expand the data elements in the Victorian Radiotherapy Minimum Data Set to include the core additional clinical items that a registry might capture so that individual machine/patient registries will ultimately not be required for statewide specialist RT treatment services.</w:t>
      </w:r>
    </w:p>
    <w:p w14:paraId="5FA3C409" w14:textId="013DCDAD" w:rsidR="000F2963" w:rsidRDefault="000F2963" w:rsidP="00076C7A">
      <w:pPr>
        <w:pStyle w:val="Body"/>
      </w:pPr>
      <w:r>
        <w:t>Collecti</w:t>
      </w:r>
      <w:r w:rsidR="00364FF5">
        <w:t>ng</w:t>
      </w:r>
      <w:r>
        <w:t xml:space="preserve"> data across multiple locations at </w:t>
      </w:r>
      <w:r w:rsidR="00364FF5">
        <w:t>(</w:t>
      </w:r>
      <w:r>
        <w:t>potentially</w:t>
      </w:r>
      <w:r w:rsidR="00364FF5">
        <w:t>)</w:t>
      </w:r>
      <w:r>
        <w:t xml:space="preserve"> unrelated service providers needs to be facilitated. Data elements common to all sites need to be agreed and collected (whether for the </w:t>
      </w:r>
      <w:r w:rsidR="001E2129">
        <w:t>Victorian Radiotherapy Minimum Data Set</w:t>
      </w:r>
      <w:r>
        <w:t>, a specific patient registry or formal research proposal).</w:t>
      </w:r>
    </w:p>
    <w:p w14:paraId="28A47113" w14:textId="409DD861" w:rsidR="000F2963" w:rsidRDefault="000F2963" w:rsidP="00076C7A">
      <w:pPr>
        <w:pStyle w:val="Body"/>
      </w:pPr>
      <w:r>
        <w:t xml:space="preserve">Health services research intentionally planned as part of establishing a statewide service is also important from a performance perspective. </w:t>
      </w:r>
      <w:r w:rsidRPr="001B7AF8">
        <w:t>Data/registries must be designed to support health services research</w:t>
      </w:r>
      <w:r>
        <w:t xml:space="preserve"> </w:t>
      </w:r>
      <w:r w:rsidR="00364FF5">
        <w:t>because</w:t>
      </w:r>
      <w:r w:rsidRPr="001B7AF8">
        <w:t xml:space="preserve"> </w:t>
      </w:r>
      <w:r>
        <w:t>such research can provide significant feedback on service referrals from a specific region of the state and/or utilisation for an indicated condition relative to other treatments being delivered and ultimately may permit outcome comparisons.</w:t>
      </w:r>
    </w:p>
    <w:p w14:paraId="63823151" w14:textId="6EAB9C00" w:rsidR="000F2963" w:rsidRDefault="000F2963" w:rsidP="00A043CB">
      <w:pPr>
        <w:pStyle w:val="Heading2"/>
      </w:pPr>
      <w:bookmarkStart w:id="34" w:name="_Toc73452552"/>
      <w:r w:rsidRPr="00773BF7">
        <w:t>Research</w:t>
      </w:r>
      <w:r>
        <w:t xml:space="preserve"> </w:t>
      </w:r>
      <w:r w:rsidR="005F7F1C">
        <w:t>o</w:t>
      </w:r>
      <w:r>
        <w:t xml:space="preserve">perational </w:t>
      </w:r>
      <w:r w:rsidR="005F7F1C">
        <w:t>c</w:t>
      </w:r>
      <w:r>
        <w:t>onsiderations</w:t>
      </w:r>
      <w:bookmarkEnd w:id="34"/>
      <w:r w:rsidR="00A043CB">
        <w:t xml:space="preserve"> </w:t>
      </w:r>
    </w:p>
    <w:p w14:paraId="14AACA1E" w14:textId="04ECFF20" w:rsidR="000F2963" w:rsidRDefault="000F2963" w:rsidP="00076C7A">
      <w:pPr>
        <w:pStyle w:val="Body"/>
      </w:pPr>
      <w:r>
        <w:t>Some of the practical aspects of research at statewide services need to be addressed and agreed among the participating facilities</w:t>
      </w:r>
      <w:r w:rsidR="00364FF5">
        <w:t>.</w:t>
      </w:r>
    </w:p>
    <w:p w14:paraId="7718A4A1" w14:textId="13042626" w:rsidR="000F2963" w:rsidRDefault="000F2963" w:rsidP="00076C7A">
      <w:pPr>
        <w:pStyle w:val="Body"/>
      </w:pPr>
      <w:r>
        <w:t>Research grant applications</w:t>
      </w:r>
      <w:r w:rsidR="00364FF5">
        <w:t>,</w:t>
      </w:r>
      <w:r>
        <w:t xml:space="preserve"> if successful</w:t>
      </w:r>
      <w:r w:rsidR="00364FF5">
        <w:t>,</w:t>
      </w:r>
      <w:r>
        <w:t xml:space="preserve"> will flow funds to a specific princip</w:t>
      </w:r>
      <w:r w:rsidR="005F7F1C">
        <w:t>al</w:t>
      </w:r>
      <w:r>
        <w:t xml:space="preserve"> investigator location and assign the associated accountability to that facility. </w:t>
      </w:r>
      <w:r w:rsidRPr="00773BF7">
        <w:t>How is</w:t>
      </w:r>
      <w:r>
        <w:t xml:space="preserve"> the</w:t>
      </w:r>
      <w:r w:rsidRPr="00773BF7">
        <w:t xml:space="preserve"> research funding received and shared</w:t>
      </w:r>
      <w:r>
        <w:t xml:space="preserve"> between the sites involved in a patient’s care?</w:t>
      </w:r>
    </w:p>
    <w:p w14:paraId="0AFBAE9A" w14:textId="769A09D9" w:rsidR="000F2963" w:rsidRPr="0085404A" w:rsidRDefault="000F2963" w:rsidP="00076C7A">
      <w:pPr>
        <w:pStyle w:val="Heading1"/>
      </w:pPr>
      <w:bookmarkStart w:id="35" w:name="_Hlk29471074"/>
      <w:bookmarkStart w:id="36" w:name="_Toc73452553"/>
      <w:r w:rsidRPr="0085404A">
        <w:lastRenderedPageBreak/>
        <w:t xml:space="preserve">Broader considerations </w:t>
      </w:r>
      <w:bookmarkEnd w:id="35"/>
      <w:r w:rsidRPr="0085404A">
        <w:t xml:space="preserve">of </w:t>
      </w:r>
      <w:r w:rsidR="005F7F1C">
        <w:t>s</w:t>
      </w:r>
      <w:r w:rsidRPr="0085404A">
        <w:t xml:space="preserve">tatewide </w:t>
      </w:r>
      <w:r w:rsidR="005F7F1C">
        <w:t>r</w:t>
      </w:r>
      <w:r>
        <w:t>adiotherapy</w:t>
      </w:r>
      <w:r w:rsidRPr="0085404A">
        <w:t xml:space="preserve"> </w:t>
      </w:r>
      <w:r w:rsidR="005F7F1C">
        <w:t>s</w:t>
      </w:r>
      <w:r w:rsidRPr="0085404A">
        <w:t>ervices</w:t>
      </w:r>
      <w:bookmarkEnd w:id="36"/>
    </w:p>
    <w:p w14:paraId="7465FD58" w14:textId="48D4E512" w:rsidR="000F2963" w:rsidRDefault="000F2963" w:rsidP="00076C7A">
      <w:pPr>
        <w:pStyle w:val="Body"/>
      </w:pPr>
      <w:bookmarkStart w:id="37" w:name="_Hlk29471217"/>
      <w:r w:rsidRPr="002D554D">
        <w:t>The</w:t>
      </w:r>
      <w:r>
        <w:t xml:space="preserve"> introduction </w:t>
      </w:r>
      <w:bookmarkEnd w:id="37"/>
      <w:r>
        <w:t>of specialist RT treatment equipment raises issues that need to be considered</w:t>
      </w:r>
      <w:r w:rsidRPr="002D554D">
        <w:t xml:space="preserve"> </w:t>
      </w:r>
      <w:r>
        <w:t>in the context of implementing a statewide service</w:t>
      </w:r>
      <w:r w:rsidR="00364FF5">
        <w:t>:</w:t>
      </w:r>
      <w:r>
        <w:t xml:space="preserve"> </w:t>
      </w:r>
    </w:p>
    <w:p w14:paraId="474ED8DB" w14:textId="37CB790B" w:rsidR="000F2963" w:rsidRPr="00905B6B" w:rsidRDefault="000F2963" w:rsidP="00DC4394">
      <w:pPr>
        <w:pStyle w:val="Numberlowerroman"/>
      </w:pPr>
      <w:r w:rsidRPr="00905B6B">
        <w:t xml:space="preserve">The provision of statewide RT services should be underpinned by statewide MDM access. The </w:t>
      </w:r>
      <w:r w:rsidR="005F7F1C">
        <w:t>department’s</w:t>
      </w:r>
      <w:r w:rsidR="005F7F1C" w:rsidRPr="00905B6B">
        <w:t xml:space="preserve"> </w:t>
      </w:r>
      <w:r w:rsidRPr="00905B6B">
        <w:t>statewide MDM software (QOOL-Vic) is required to facilitate a highly secure and truly statewide service supporting the associated referrals from other RT services and may need to be implemented by the health service if it has not already done so. Notably</w:t>
      </w:r>
      <w:r w:rsidR="0034357E">
        <w:t>,</w:t>
      </w:r>
      <w:r w:rsidRPr="00905B6B">
        <w:t xml:space="preserve"> QOOL-Vic provides instant access to cancer pathology reports from pathology providers around Victoria and access to MDM notes from any previous MDMs conducted using the software irrespective of the location the MDM occurred in the state.</w:t>
      </w:r>
    </w:p>
    <w:p w14:paraId="36E21E61" w14:textId="13EF7789" w:rsidR="000F2963" w:rsidRPr="00905B6B" w:rsidRDefault="000F2963" w:rsidP="00DC4394">
      <w:pPr>
        <w:pStyle w:val="Numberlowerroman"/>
      </w:pPr>
      <w:r w:rsidRPr="00905B6B">
        <w:t>New technology attracts the attention of cancer patients who may be pursing every avenue of treatment to improve their chances of a cure. This will undoubtedly lead to enquiries from patients in other jurisdictions</w:t>
      </w:r>
      <w:r w:rsidR="0034357E">
        <w:t>.</w:t>
      </w:r>
      <w:r w:rsidRPr="00905B6B">
        <w:t xml:space="preserve"> </w:t>
      </w:r>
      <w:r w:rsidR="0034357E">
        <w:t>C</w:t>
      </w:r>
      <w:r w:rsidRPr="00905B6B">
        <w:t>lear guidelines around clinical need and the implementation of the disease indications list are an important part of triaging interstate referrals.</w:t>
      </w:r>
      <w:r w:rsidR="00A043CB">
        <w:t xml:space="preserve"> </w:t>
      </w:r>
    </w:p>
    <w:p w14:paraId="1BB43A65" w14:textId="20D71E32" w:rsidR="000F2963" w:rsidRPr="00905B6B" w:rsidRDefault="000F2963" w:rsidP="00DC4394">
      <w:pPr>
        <w:pStyle w:val="Numberlowerroman"/>
      </w:pPr>
      <w:r w:rsidRPr="00905B6B">
        <w:t xml:space="preserve">The importance of patient and referrer education is significant for specialist RT services. Information brochures and patient videos are standard RT items that are routinely produced for radiation therapy and will also form part of the education for specialist RT treatments. However, getting the optimal referrals requires more than these general </w:t>
      </w:r>
      <w:r w:rsidR="00973449">
        <w:t>RT</w:t>
      </w:r>
      <w:r w:rsidRPr="00905B6B">
        <w:t xml:space="preserve"> information sources. Providing interactive user referral suggestions that direct cases to specialist RT treatment machines based on the cancer type/subtype as part of the statewide MDM software or as an online tool on the </w:t>
      </w:r>
      <w:r w:rsidR="005F7F1C">
        <w:t>department’s</w:t>
      </w:r>
      <w:r w:rsidR="005F7F1C" w:rsidRPr="00905B6B">
        <w:t xml:space="preserve"> </w:t>
      </w:r>
      <w:r w:rsidRPr="00905B6B">
        <w:t>webpage, could proactively help optimise the web-based referrals as well as educate both referrers and the public. This again highlights the importance of having developed a list of disease indications considered to be optimally suited to the specialist RT machine in question.</w:t>
      </w:r>
    </w:p>
    <w:p w14:paraId="6C30EF48" w14:textId="2FE32718" w:rsidR="000F2963" w:rsidRPr="00905B6B" w:rsidRDefault="000F2963" w:rsidP="00DC4394">
      <w:pPr>
        <w:pStyle w:val="Numberlowerroman"/>
      </w:pPr>
      <w:r w:rsidRPr="00905B6B">
        <w:t>Furthermore, the requirement for referrers to provide ongoing contributions to patient follow-up will in itself necessitate ongoing education around those specialist technologies. Educational forums for referring clinicians (</w:t>
      </w:r>
      <w:r w:rsidR="0034357E">
        <w:t xml:space="preserve">such as </w:t>
      </w:r>
      <w:r w:rsidRPr="00905B6B">
        <w:t>grand rounds</w:t>
      </w:r>
      <w:r w:rsidR="0034357E">
        <w:t xml:space="preserve"> and</w:t>
      </w:r>
      <w:r w:rsidRPr="00905B6B">
        <w:t xml:space="preserve"> symposi</w:t>
      </w:r>
      <w:r w:rsidR="0034357E">
        <w:t>ums</w:t>
      </w:r>
      <w:r w:rsidRPr="00905B6B">
        <w:t xml:space="preserve">), particularly for those from the radiation oncology community that are likely to represent </w:t>
      </w:r>
      <w:r w:rsidR="005F7F1C">
        <w:t>most</w:t>
      </w:r>
      <w:r w:rsidRPr="00905B6B">
        <w:t xml:space="preserve"> referrals, should be planned as part of any new statewide service.</w:t>
      </w:r>
    </w:p>
    <w:p w14:paraId="2C589F02" w14:textId="32AE9C41" w:rsidR="000F2963" w:rsidRPr="00905B6B" w:rsidRDefault="000F2963" w:rsidP="00DC4394">
      <w:pPr>
        <w:pStyle w:val="Numberlowerroman"/>
      </w:pPr>
      <w:r w:rsidRPr="00905B6B">
        <w:t xml:space="preserve">The enduring success of statewide </w:t>
      </w:r>
      <w:r w:rsidR="00973449">
        <w:t>RT</w:t>
      </w:r>
      <w:r w:rsidRPr="00905B6B">
        <w:t xml:space="preserve"> services will depend o</w:t>
      </w:r>
      <w:r w:rsidR="0034357E">
        <w:t>n</w:t>
      </w:r>
      <w:r w:rsidRPr="00905B6B">
        <w:t xml:space="preserve"> the support each individual RT service provides</w:t>
      </w:r>
      <w:r w:rsidR="007040A6">
        <w:t>,</w:t>
      </w:r>
      <w:r w:rsidRPr="00905B6B">
        <w:t xml:space="preserve"> whether they are operating a specialist treatment machine or referring patients to facilities where those machines are located. As such</w:t>
      </w:r>
      <w:r w:rsidR="007040A6">
        <w:t>,</w:t>
      </w:r>
      <w:r w:rsidRPr="00905B6B">
        <w:t xml:space="preserve"> a Statewide RT Service Operations Committee will need to be established with government and health service representatives to provide ongoing oversight of the service. This committee will be responsible for problem solving process issues, ensuring constant broad clinician engagement, auditing patient information flow to/from referrers to the service facilities and supporting evaluation of the statewide service. </w:t>
      </w:r>
    </w:p>
    <w:p w14:paraId="345F507D" w14:textId="77777777" w:rsidR="00DC4394" w:rsidRDefault="00DC4394">
      <w:pPr>
        <w:spacing w:after="0" w:line="240" w:lineRule="auto"/>
        <w:rPr>
          <w:rFonts w:eastAsia="MS Gothic" w:cs="Arial"/>
          <w:bCs/>
          <w:color w:val="201547"/>
          <w:kern w:val="32"/>
          <w:sz w:val="44"/>
          <w:szCs w:val="44"/>
        </w:rPr>
      </w:pPr>
      <w:r>
        <w:br w:type="page"/>
      </w:r>
    </w:p>
    <w:p w14:paraId="28817CC0" w14:textId="563E7019" w:rsidR="000F2963" w:rsidRPr="00905B6B" w:rsidRDefault="000F2963" w:rsidP="00905B6B">
      <w:pPr>
        <w:pStyle w:val="Heading1"/>
      </w:pPr>
      <w:bookmarkStart w:id="38" w:name="_Toc73452554"/>
      <w:r w:rsidRPr="00905B6B">
        <w:lastRenderedPageBreak/>
        <w:t>Conclusion</w:t>
      </w:r>
      <w:bookmarkEnd w:id="38"/>
      <w:r w:rsidRPr="00905B6B">
        <w:t xml:space="preserve"> </w:t>
      </w:r>
    </w:p>
    <w:p w14:paraId="0A9B9D22" w14:textId="226B5DE4" w:rsidR="000F2963" w:rsidRDefault="000F2963" w:rsidP="00905B6B">
      <w:pPr>
        <w:pStyle w:val="Body"/>
      </w:pPr>
      <w:r w:rsidRPr="002D554D">
        <w:t>Th</w:t>
      </w:r>
      <w:r>
        <w:t xml:space="preserve">is statewide </w:t>
      </w:r>
      <w:r w:rsidR="00973449">
        <w:t>RT</w:t>
      </w:r>
      <w:r>
        <w:t xml:space="preserve"> framework sets out high</w:t>
      </w:r>
      <w:r w:rsidR="005F7F1C">
        <w:t>-</w:t>
      </w:r>
      <w:r>
        <w:t xml:space="preserve">level consideration for </w:t>
      </w:r>
      <w:r w:rsidR="007040A6">
        <w:t xml:space="preserve">a </w:t>
      </w:r>
      <w:r>
        <w:t xml:space="preserve">statewide </w:t>
      </w:r>
      <w:r w:rsidR="007040A6">
        <w:t xml:space="preserve">RT </w:t>
      </w:r>
      <w:r>
        <w:t>service. The seven principles outlined are the foundation on which patient</w:t>
      </w:r>
      <w:r w:rsidR="007040A6">
        <w:t>-</w:t>
      </w:r>
      <w:r>
        <w:t>centred statewide services should be instigated</w:t>
      </w:r>
      <w:r w:rsidR="007040A6">
        <w:t>,</w:t>
      </w:r>
      <w:r>
        <w:t xml:space="preserve"> and the key elements of statewide services are articulated to ensure quality and consistency.</w:t>
      </w:r>
    </w:p>
    <w:p w14:paraId="2E32166B" w14:textId="754BFDBD" w:rsidR="000F2963" w:rsidRDefault="000F2963" w:rsidP="00905B6B">
      <w:pPr>
        <w:pStyle w:val="Body"/>
      </w:pPr>
      <w:r>
        <w:t>The framework is not intended to comprehensively set out the specifics of every process – for example</w:t>
      </w:r>
      <w:r w:rsidR="007040A6">
        <w:t>,</w:t>
      </w:r>
      <w:r>
        <w:t xml:space="preserve"> ensuring a patient is returned back to a referring health service for their ongoing cancer care. However, it does set</w:t>
      </w:r>
      <w:r w:rsidR="0001523A">
        <w:t xml:space="preserve"> </w:t>
      </w:r>
      <w:r>
        <w:t xml:space="preserve">out some important referral enablers such as the webpage for specialist RT equipment and the referral links included there, as well as the use of the </w:t>
      </w:r>
      <w:r w:rsidR="0001523A">
        <w:t>d</w:t>
      </w:r>
      <w:r>
        <w:t>epartment’s statewide MDM software QOOL-Vic</w:t>
      </w:r>
      <w:r w:rsidR="007040A6">
        <w:t>.</w:t>
      </w:r>
      <w:r>
        <w:t xml:space="preserve"> </w:t>
      </w:r>
      <w:r w:rsidR="007040A6">
        <w:t>T</w:t>
      </w:r>
      <w:r>
        <w:t>his software both provides a mechanism for patient information to be transferred to a statewide service as well as a mechanism for referrals support.</w:t>
      </w:r>
    </w:p>
    <w:p w14:paraId="640922B9" w14:textId="649C666B" w:rsidR="000F2963" w:rsidRDefault="000F2963" w:rsidP="00905B6B">
      <w:pPr>
        <w:pStyle w:val="Body"/>
      </w:pPr>
      <w:r>
        <w:t>The government anticipates th</w:t>
      </w:r>
      <w:r w:rsidR="007D59DE">
        <w:t>at</w:t>
      </w:r>
      <w:r>
        <w:t xml:space="preserve"> develop</w:t>
      </w:r>
      <w:r w:rsidR="007D59DE">
        <w:t>ing</w:t>
      </w:r>
      <w:r>
        <w:t xml:space="preserve"> </w:t>
      </w:r>
      <w:r w:rsidR="007D59DE">
        <w:t xml:space="preserve">a </w:t>
      </w:r>
      <w:r>
        <w:t>statewide specialist RT service will improve access to these unique treatment services for all Victorian cancer patients but especially for those underserved populations that might otherwise not be referred due to remoteness, ethnicity, socioeconomic or other factors.</w:t>
      </w:r>
    </w:p>
    <w:p w14:paraId="7AC58ABD" w14:textId="77777777" w:rsidR="006C209D" w:rsidRDefault="006C209D" w:rsidP="00A043CB">
      <w:pPr>
        <w:pStyle w:val="Body"/>
      </w:pPr>
      <w:r>
        <w:br w:type="page"/>
      </w:r>
    </w:p>
    <w:p w14:paraId="3272092A" w14:textId="74B910C7" w:rsidR="000F2963" w:rsidRDefault="000F2963" w:rsidP="006C209D">
      <w:pPr>
        <w:pStyle w:val="Heading1"/>
      </w:pPr>
      <w:bookmarkStart w:id="39" w:name="_Toc73452555"/>
      <w:r>
        <w:lastRenderedPageBreak/>
        <w:t>Appendices</w:t>
      </w:r>
      <w:bookmarkEnd w:id="39"/>
    </w:p>
    <w:p w14:paraId="17E08D09" w14:textId="4BD3BA74" w:rsidR="00647E89" w:rsidRPr="0069663E" w:rsidRDefault="0069663E" w:rsidP="0069663E">
      <w:pPr>
        <w:pStyle w:val="Numberdigitindent"/>
        <w:numPr>
          <w:ilvl w:val="1"/>
          <w:numId w:val="4"/>
        </w:numPr>
        <w:spacing w:after="0" w:line="240" w:lineRule="auto"/>
        <w:rPr>
          <w:rFonts w:cs="Arial"/>
          <w:szCs w:val="21"/>
        </w:rPr>
      </w:pPr>
      <w:r>
        <w:t>A list of</w:t>
      </w:r>
      <w:r w:rsidR="00647E89" w:rsidRPr="00651BBA">
        <w:t xml:space="preserve"> </w:t>
      </w:r>
      <w:r w:rsidR="00647E89">
        <w:t>c</w:t>
      </w:r>
      <w:r w:rsidR="00647E89" w:rsidRPr="00651BBA">
        <w:t xml:space="preserve">linical </w:t>
      </w:r>
      <w:r w:rsidR="00647E89" w:rsidRPr="0069663E">
        <w:rPr>
          <w:rFonts w:cs="Arial"/>
          <w:szCs w:val="21"/>
        </w:rPr>
        <w:t xml:space="preserve">indications for the </w:t>
      </w:r>
      <w:r w:rsidR="00647E89" w:rsidRPr="00651BBA">
        <w:t xml:space="preserve">Victorian </w:t>
      </w:r>
      <w:r w:rsidR="00647E89">
        <w:t>s</w:t>
      </w:r>
      <w:r w:rsidR="00647E89" w:rsidRPr="00651BBA">
        <w:t>tate MR</w:t>
      </w:r>
      <w:r w:rsidR="00647E89">
        <w:t>-l</w:t>
      </w:r>
      <w:r w:rsidR="00647E89" w:rsidRPr="00651BBA">
        <w:t xml:space="preserve">inear </w:t>
      </w:r>
      <w:r w:rsidR="00647E89">
        <w:t>a</w:t>
      </w:r>
      <w:r w:rsidR="00647E89" w:rsidRPr="00651BBA">
        <w:t>ccelerator</w:t>
      </w:r>
      <w:r w:rsidR="00647E89">
        <w:t xml:space="preserve">, </w:t>
      </w:r>
      <w:r w:rsidR="00647E89" w:rsidRPr="0069663E">
        <w:rPr>
          <w:rFonts w:cs="Arial"/>
          <w:szCs w:val="21"/>
        </w:rPr>
        <w:t xml:space="preserve">developed by a team of specialist radiation oncologists, can be found </w:t>
      </w:r>
      <w:r w:rsidR="00254A6A" w:rsidRPr="0069663E">
        <w:rPr>
          <w:rFonts w:cs="Arial"/>
          <w:szCs w:val="21"/>
        </w:rPr>
        <w:t xml:space="preserve">at </w:t>
      </w:r>
      <w:hyperlink r:id="rId22" w:history="1">
        <w:r w:rsidR="00254A6A" w:rsidRPr="0069663E">
          <w:rPr>
            <w:rFonts w:eastAsia="Times New Roman"/>
            <w:color w:val="0000FF"/>
            <w:u w:val="single"/>
          </w:rPr>
          <w:t>Recommendations for Clinical Indications for Victorian MR-linac</w:t>
        </w:r>
      </w:hyperlink>
    </w:p>
    <w:p w14:paraId="3EB00ADA" w14:textId="77777777" w:rsidR="00647E89" w:rsidRDefault="00647E89">
      <w:pPr>
        <w:spacing w:after="0" w:line="240" w:lineRule="auto"/>
        <w:rPr>
          <w:rFonts w:cs="Arial"/>
          <w:szCs w:val="21"/>
        </w:rPr>
      </w:pPr>
    </w:p>
    <w:p w14:paraId="5226A519" w14:textId="22871360" w:rsidR="00254A6A" w:rsidRPr="0069663E" w:rsidRDefault="0069663E" w:rsidP="0069663E">
      <w:pPr>
        <w:pStyle w:val="Numberdigitindent"/>
        <w:numPr>
          <w:ilvl w:val="1"/>
          <w:numId w:val="4"/>
        </w:numPr>
        <w:spacing w:after="0" w:line="240" w:lineRule="auto"/>
        <w:rPr>
          <w:rFonts w:cs="Arial"/>
          <w:szCs w:val="21"/>
        </w:rPr>
      </w:pPr>
      <w:r>
        <w:t>A list of</w:t>
      </w:r>
      <w:r w:rsidR="00647E89" w:rsidRPr="00651BBA">
        <w:t xml:space="preserve"> </w:t>
      </w:r>
      <w:r w:rsidR="00647E89">
        <w:t>c</w:t>
      </w:r>
      <w:r w:rsidR="00647E89" w:rsidRPr="00651BBA">
        <w:t xml:space="preserve">linical </w:t>
      </w:r>
      <w:r w:rsidR="00647E89" w:rsidRPr="0069663E">
        <w:rPr>
          <w:rFonts w:cs="Arial"/>
          <w:szCs w:val="21"/>
        </w:rPr>
        <w:t xml:space="preserve">indications for the </w:t>
      </w:r>
      <w:r w:rsidR="00647E89" w:rsidRPr="00651BBA">
        <w:t xml:space="preserve">Victorian </w:t>
      </w:r>
      <w:r w:rsidR="00647E89">
        <w:t>s</w:t>
      </w:r>
      <w:r w:rsidR="00647E89" w:rsidRPr="00651BBA">
        <w:t xml:space="preserve">tate </w:t>
      </w:r>
      <w:r w:rsidR="00647E89">
        <w:t xml:space="preserve">Gamma Knife, </w:t>
      </w:r>
      <w:r w:rsidR="00647E89" w:rsidRPr="0069663E">
        <w:rPr>
          <w:rFonts w:cs="Arial"/>
          <w:szCs w:val="21"/>
        </w:rPr>
        <w:t xml:space="preserve">developed by a team of specialist radiation oncologists, can be found </w:t>
      </w:r>
      <w:r w:rsidR="00254A6A" w:rsidRPr="0069663E">
        <w:rPr>
          <w:rFonts w:cs="Arial"/>
          <w:szCs w:val="21"/>
        </w:rPr>
        <w:t xml:space="preserve">at </w:t>
      </w:r>
      <w:hyperlink r:id="rId23" w:history="1">
        <w:r w:rsidR="00254A6A" w:rsidRPr="0069663E">
          <w:rPr>
            <w:rFonts w:eastAsia="Times New Roman"/>
            <w:color w:val="0000FF"/>
            <w:u w:val="single"/>
          </w:rPr>
          <w:t>Recommendations for Clinical Indications for Victorian Gamma Knife</w:t>
        </w:r>
      </w:hyperlink>
      <w:r w:rsidR="00254A6A" w:rsidRPr="0069663E">
        <w:rPr>
          <w:rFonts w:cs="Arial"/>
          <w:szCs w:val="21"/>
        </w:rPr>
        <w:t xml:space="preserve"> </w:t>
      </w:r>
    </w:p>
    <w:bookmarkEnd w:id="3"/>
    <w:p w14:paraId="5BD66D8B" w14:textId="5A4EB930" w:rsidR="00A76085" w:rsidRDefault="00A76085">
      <w:pPr>
        <w:spacing w:after="0" w:line="240" w:lineRule="auto"/>
        <w:rPr>
          <w:rFonts w:asciiTheme="minorHAnsi" w:hAnsiTheme="minorHAnsi"/>
          <w:sz w:val="24"/>
          <w:szCs w:val="24"/>
        </w:rPr>
      </w:pPr>
    </w:p>
    <w:sectPr w:rsidR="00A76085" w:rsidSect="00454A7D">
      <w:headerReference w:type="even" r:id="rId24"/>
      <w:headerReference w:type="default" r:id="rId25"/>
      <w:footerReference w:type="even" r:id="rId26"/>
      <w:footerReference w:type="default" r:id="rId27"/>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3089" w14:textId="77777777" w:rsidR="00A764A9" w:rsidRDefault="00A764A9">
      <w:r>
        <w:separator/>
      </w:r>
    </w:p>
    <w:p w14:paraId="6AC8D727" w14:textId="77777777" w:rsidR="00A764A9" w:rsidRDefault="00A764A9"/>
  </w:endnote>
  <w:endnote w:type="continuationSeparator" w:id="0">
    <w:p w14:paraId="3FFFE845" w14:textId="77777777" w:rsidR="00A764A9" w:rsidRDefault="00A764A9">
      <w:r>
        <w:continuationSeparator/>
      </w:r>
    </w:p>
    <w:p w14:paraId="577E62A7" w14:textId="77777777" w:rsidR="00A764A9" w:rsidRDefault="00A76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F272" w14:textId="77777777" w:rsidR="006E01A8" w:rsidRDefault="006E01A8">
    <w:pPr>
      <w:pStyle w:val="Footer"/>
    </w:pPr>
    <w:r>
      <w:rPr>
        <w:noProof/>
      </w:rPr>
      <mc:AlternateContent>
        <mc:Choice Requires="wps">
          <w:drawing>
            <wp:anchor distT="0" distB="0" distL="114300" distR="114300" simplePos="0" relativeHeight="251671040" behindDoc="0" locked="0" layoutInCell="0" allowOverlap="1" wp14:anchorId="27D3EDD2" wp14:editId="0857466B">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E9F95" w14:textId="77777777" w:rsidR="006E01A8" w:rsidRPr="00EB4BC7" w:rsidRDefault="006E01A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D3EDD2"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231E9F95" w14:textId="77777777" w:rsidR="006E01A8" w:rsidRPr="00EB4BC7" w:rsidRDefault="006E01A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3BD3" w14:textId="77777777" w:rsidR="006E01A8" w:rsidRDefault="006E01A8">
    <w:pPr>
      <w:pStyle w:val="Footer"/>
    </w:pPr>
    <w:r>
      <w:rPr>
        <w:noProof/>
        <w:lang w:eastAsia="en-AU"/>
      </w:rPr>
      <mc:AlternateContent>
        <mc:Choice Requires="wps">
          <w:drawing>
            <wp:anchor distT="0" distB="0" distL="114300" distR="114300" simplePos="0" relativeHeight="251652608" behindDoc="0" locked="0" layoutInCell="0" allowOverlap="1" wp14:anchorId="17352208" wp14:editId="6C67585B">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D1F3C" w14:textId="77777777" w:rsidR="006E01A8" w:rsidRPr="00EB4BC7" w:rsidRDefault="006E01A8"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35220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A9D1F3C" w14:textId="77777777" w:rsidR="006E01A8" w:rsidRPr="00EB4BC7" w:rsidRDefault="006E01A8"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4135" w14:textId="77777777" w:rsidR="006E01A8" w:rsidRDefault="006E01A8">
    <w:pPr>
      <w:pStyle w:val="Footer"/>
    </w:pPr>
    <w:r>
      <w:rPr>
        <w:noProof/>
      </w:rPr>
      <mc:AlternateContent>
        <mc:Choice Requires="wps">
          <w:drawing>
            <wp:anchor distT="0" distB="0" distL="114300" distR="114300" simplePos="0" relativeHeight="251661824" behindDoc="0" locked="0" layoutInCell="0" allowOverlap="1" wp14:anchorId="53B597E3" wp14:editId="7890D0F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82FFD2" w14:textId="77777777" w:rsidR="006E01A8" w:rsidRPr="00EB4BC7" w:rsidRDefault="006E01A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B597E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1A82FFD2" w14:textId="77777777" w:rsidR="006E01A8" w:rsidRPr="00EB4BC7" w:rsidRDefault="006E01A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AD00" w14:textId="77777777" w:rsidR="006E01A8" w:rsidRDefault="006E01A8">
    <w:pPr>
      <w:pStyle w:val="Footer"/>
    </w:pPr>
    <w:r>
      <w:rPr>
        <w:noProof/>
        <w:lang w:eastAsia="en-AU"/>
      </w:rPr>
      <mc:AlternateContent>
        <mc:Choice Requires="wps">
          <w:drawing>
            <wp:anchor distT="0" distB="0" distL="114300" distR="114300" simplePos="0" relativeHeight="251693568" behindDoc="0" locked="0" layoutInCell="0" allowOverlap="1" wp14:anchorId="66AE0E24" wp14:editId="3E6156B7">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A6F98" w14:textId="77777777" w:rsidR="006E01A8" w:rsidRPr="002C5B7C" w:rsidRDefault="006E01A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AE0E2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52BA6F98" w14:textId="77777777" w:rsidR="006E01A8" w:rsidRPr="002C5B7C" w:rsidRDefault="006E01A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CBC3" w14:textId="77777777" w:rsidR="006E01A8" w:rsidRDefault="006E01A8">
    <w:pPr>
      <w:pStyle w:val="Footer"/>
    </w:pPr>
    <w:r>
      <w:rPr>
        <w:noProof/>
        <w:lang w:eastAsia="en-AU"/>
      </w:rPr>
      <mc:AlternateContent>
        <mc:Choice Requires="wps">
          <w:drawing>
            <wp:anchor distT="0" distB="0" distL="114300" distR="114300" simplePos="0" relativeHeight="251696640" behindDoc="0" locked="0" layoutInCell="0" allowOverlap="1" wp14:anchorId="374889F1" wp14:editId="74E0A5C2">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AC9ED" w14:textId="77777777" w:rsidR="006E01A8" w:rsidRPr="008977D1" w:rsidRDefault="006E01A8"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4889F1"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ccLQOrgIAAEwFAAAOAAAA&#10;AAAAAAAAAAAAAC4CAABkcnMvZTJvRG9jLnhtbFBLAQItABQABgAIAAAAIQBIDV6a3wAAAAsBAAAP&#10;AAAAAAAAAAAAAAAAAAgFAABkcnMvZG93bnJldi54bWxQSwUGAAAAAAQABADzAAAAFAYAAAAA&#10;" o:allowincell="f" filled="f" stroked="f" strokeweight=".5pt">
              <v:textbox inset=",0,,0">
                <w:txbxContent>
                  <w:p w14:paraId="2DFAC9ED" w14:textId="77777777" w:rsidR="006E01A8" w:rsidRPr="008977D1" w:rsidRDefault="006E01A8"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6944010E" wp14:editId="70E9606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E5B9E" w14:textId="77777777" w:rsidR="006E01A8" w:rsidRPr="00EB4BC7" w:rsidRDefault="006E01A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44010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617E5B9E" w14:textId="77777777" w:rsidR="006E01A8" w:rsidRPr="00EB4BC7" w:rsidRDefault="006E01A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1FDAF" w14:textId="77777777" w:rsidR="00A764A9" w:rsidRDefault="00A764A9" w:rsidP="00207717">
      <w:pPr>
        <w:spacing w:before="120"/>
      </w:pPr>
      <w:r>
        <w:separator/>
      </w:r>
    </w:p>
  </w:footnote>
  <w:footnote w:type="continuationSeparator" w:id="0">
    <w:p w14:paraId="2C6FC718" w14:textId="77777777" w:rsidR="00A764A9" w:rsidRDefault="00A764A9">
      <w:r>
        <w:continuationSeparator/>
      </w:r>
    </w:p>
    <w:p w14:paraId="5735B1A5" w14:textId="77777777" w:rsidR="00A764A9" w:rsidRDefault="00A764A9"/>
  </w:footnote>
  <w:footnote w:id="1">
    <w:p w14:paraId="47E908A2" w14:textId="5DBB377A" w:rsidR="006E01A8" w:rsidRDefault="006E01A8">
      <w:pPr>
        <w:pStyle w:val="FootnoteText"/>
      </w:pPr>
      <w:r>
        <w:rPr>
          <w:rStyle w:val="FootnoteReference"/>
        </w:rPr>
        <w:footnoteRef/>
      </w:r>
      <w:r>
        <w:t xml:space="preserve"> </w:t>
      </w:r>
      <w:r w:rsidRPr="00897078">
        <w:t xml:space="preserve">The term </w:t>
      </w:r>
      <w:r>
        <w:t>‘</w:t>
      </w:r>
      <w:r w:rsidRPr="00897078">
        <w:t>facility</w:t>
      </w:r>
      <w:r>
        <w:t>’</w:t>
      </w:r>
      <w:r w:rsidRPr="00897078">
        <w:t xml:space="preserve"> typically refers to a physical or organisational structure that may operate a number of clinical services. When referring to a statewide RT service it is not intended to encompass all the clinical services operating at a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ED4C" w14:textId="77777777" w:rsidR="00084B09" w:rsidRDefault="00084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D01C" w14:textId="77777777" w:rsidR="00084B09" w:rsidRDefault="00084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7C8D" w14:textId="77777777" w:rsidR="00084B09" w:rsidRDefault="00084B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1EBB" w14:textId="77777777" w:rsidR="006E01A8" w:rsidRPr="00454A7D" w:rsidRDefault="006E01A8"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A2E5" w14:textId="506DA301" w:rsidR="006E01A8" w:rsidRPr="0051568D" w:rsidRDefault="006E01A8" w:rsidP="0017674D">
    <w:pPr>
      <w:pStyle w:val="Header"/>
    </w:pPr>
    <w:r>
      <w:t>Statewide radiotherapy services framework 2021</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0A8F"/>
    <w:multiLevelType w:val="hybridMultilevel"/>
    <w:tmpl w:val="6B669206"/>
    <w:lvl w:ilvl="0" w:tplc="7908A3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72F5040"/>
    <w:multiLevelType w:val="hybridMultilevel"/>
    <w:tmpl w:val="04D84D9C"/>
    <w:lvl w:ilvl="0" w:tplc="38D47DB4">
      <w:start w:val="1"/>
      <w:numFmt w:val="decimal"/>
      <w:lvlText w:val="%1."/>
      <w:lvlJc w:val="left"/>
      <w:pPr>
        <w:ind w:left="720" w:hanging="360"/>
      </w:pPr>
      <w:rPr>
        <w:rFonts w:asciiTheme="minorHAnsi" w:hAnsiTheme="minorHAnsi"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8D43DB"/>
    <w:multiLevelType w:val="multilevel"/>
    <w:tmpl w:val="B33A2DBC"/>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3C94303"/>
    <w:multiLevelType w:val="hybridMultilevel"/>
    <w:tmpl w:val="3B3E0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2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9"/>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9"/>
  </w:num>
  <w:num w:numId="25">
    <w:abstractNumId w:val="27"/>
  </w:num>
  <w:num w:numId="26">
    <w:abstractNumId w:val="23"/>
  </w:num>
  <w:num w:numId="27">
    <w:abstractNumId w:val="12"/>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7"/>
  </w:num>
  <w:num w:numId="42">
    <w:abstractNumId w:val="10"/>
  </w:num>
  <w:num w:numId="43">
    <w:abstractNumId w:val="14"/>
  </w:num>
  <w:num w:numId="4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36"/>
    <w:rsid w:val="00000719"/>
    <w:rsid w:val="00002D68"/>
    <w:rsid w:val="000033F7"/>
    <w:rsid w:val="00003403"/>
    <w:rsid w:val="00005347"/>
    <w:rsid w:val="000072B6"/>
    <w:rsid w:val="0001021B"/>
    <w:rsid w:val="00011D89"/>
    <w:rsid w:val="0001523A"/>
    <w:rsid w:val="000154FD"/>
    <w:rsid w:val="00022271"/>
    <w:rsid w:val="000235E8"/>
    <w:rsid w:val="00024485"/>
    <w:rsid w:val="00024D89"/>
    <w:rsid w:val="000250B6"/>
    <w:rsid w:val="00026540"/>
    <w:rsid w:val="00030CDD"/>
    <w:rsid w:val="00033D81"/>
    <w:rsid w:val="00033DC9"/>
    <w:rsid w:val="00037366"/>
    <w:rsid w:val="000416BA"/>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76C7A"/>
    <w:rsid w:val="0008204A"/>
    <w:rsid w:val="00084B09"/>
    <w:rsid w:val="0008508E"/>
    <w:rsid w:val="00087951"/>
    <w:rsid w:val="0009113B"/>
    <w:rsid w:val="00093402"/>
    <w:rsid w:val="00094DA3"/>
    <w:rsid w:val="00096CD1"/>
    <w:rsid w:val="000A012C"/>
    <w:rsid w:val="000A0EB9"/>
    <w:rsid w:val="000A186C"/>
    <w:rsid w:val="000A1EA4"/>
    <w:rsid w:val="000A2476"/>
    <w:rsid w:val="000A641A"/>
    <w:rsid w:val="000B1AEC"/>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963"/>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4D87"/>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0E2B"/>
    <w:rsid w:val="00192F9D"/>
    <w:rsid w:val="00196EB8"/>
    <w:rsid w:val="00196EFB"/>
    <w:rsid w:val="001979FF"/>
    <w:rsid w:val="00197B17"/>
    <w:rsid w:val="001A14F2"/>
    <w:rsid w:val="001A1950"/>
    <w:rsid w:val="001A1C54"/>
    <w:rsid w:val="001A3ACE"/>
    <w:rsid w:val="001A6272"/>
    <w:rsid w:val="001B058F"/>
    <w:rsid w:val="001B6B96"/>
    <w:rsid w:val="001B738B"/>
    <w:rsid w:val="001C09DB"/>
    <w:rsid w:val="001C277E"/>
    <w:rsid w:val="001C2A72"/>
    <w:rsid w:val="001C31B7"/>
    <w:rsid w:val="001D0B75"/>
    <w:rsid w:val="001D1D10"/>
    <w:rsid w:val="001D39A5"/>
    <w:rsid w:val="001D3C09"/>
    <w:rsid w:val="001D44E8"/>
    <w:rsid w:val="001D60EC"/>
    <w:rsid w:val="001D6F59"/>
    <w:rsid w:val="001E212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A6A"/>
    <w:rsid w:val="00254F58"/>
    <w:rsid w:val="002620BC"/>
    <w:rsid w:val="00262802"/>
    <w:rsid w:val="00263A90"/>
    <w:rsid w:val="0026408B"/>
    <w:rsid w:val="00267C3E"/>
    <w:rsid w:val="002709BB"/>
    <w:rsid w:val="0027131C"/>
    <w:rsid w:val="00273BAC"/>
    <w:rsid w:val="00273ED7"/>
    <w:rsid w:val="002763B3"/>
    <w:rsid w:val="002802E3"/>
    <w:rsid w:val="0028213D"/>
    <w:rsid w:val="002857F7"/>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600"/>
    <w:rsid w:val="002F5993"/>
    <w:rsid w:val="002F5F31"/>
    <w:rsid w:val="002F5F46"/>
    <w:rsid w:val="00302216"/>
    <w:rsid w:val="00303E53"/>
    <w:rsid w:val="003041B6"/>
    <w:rsid w:val="00305CC1"/>
    <w:rsid w:val="00306190"/>
    <w:rsid w:val="00306E5F"/>
    <w:rsid w:val="00307E14"/>
    <w:rsid w:val="00314054"/>
    <w:rsid w:val="00316F27"/>
    <w:rsid w:val="003214F1"/>
    <w:rsid w:val="00322E4B"/>
    <w:rsid w:val="00324EDC"/>
    <w:rsid w:val="00327382"/>
    <w:rsid w:val="00327870"/>
    <w:rsid w:val="0033259D"/>
    <w:rsid w:val="003333D2"/>
    <w:rsid w:val="00334686"/>
    <w:rsid w:val="00337339"/>
    <w:rsid w:val="00340345"/>
    <w:rsid w:val="003406C6"/>
    <w:rsid w:val="003418CC"/>
    <w:rsid w:val="003434EE"/>
    <w:rsid w:val="0034357E"/>
    <w:rsid w:val="003459BD"/>
    <w:rsid w:val="00350D38"/>
    <w:rsid w:val="00351B36"/>
    <w:rsid w:val="00357B4E"/>
    <w:rsid w:val="00364FF5"/>
    <w:rsid w:val="00365696"/>
    <w:rsid w:val="003671D3"/>
    <w:rsid w:val="003716FD"/>
    <w:rsid w:val="0037204B"/>
    <w:rsid w:val="003744CF"/>
    <w:rsid w:val="00374717"/>
    <w:rsid w:val="0037676C"/>
    <w:rsid w:val="00381043"/>
    <w:rsid w:val="003829E5"/>
    <w:rsid w:val="00386109"/>
    <w:rsid w:val="00386944"/>
    <w:rsid w:val="00393DF2"/>
    <w:rsid w:val="003956CC"/>
    <w:rsid w:val="00395C9A"/>
    <w:rsid w:val="003A0853"/>
    <w:rsid w:val="003A6701"/>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0A2C"/>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F0F"/>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1F8D"/>
    <w:rsid w:val="00596A4B"/>
    <w:rsid w:val="00597507"/>
    <w:rsid w:val="005A388A"/>
    <w:rsid w:val="005A479D"/>
    <w:rsid w:val="005B1C6D"/>
    <w:rsid w:val="005B21B6"/>
    <w:rsid w:val="005B24BF"/>
    <w:rsid w:val="005B3A08"/>
    <w:rsid w:val="005B7A63"/>
    <w:rsid w:val="005C0955"/>
    <w:rsid w:val="005C49DA"/>
    <w:rsid w:val="005C50F3"/>
    <w:rsid w:val="005C54B5"/>
    <w:rsid w:val="005C5D80"/>
    <w:rsid w:val="005C5D91"/>
    <w:rsid w:val="005D07B8"/>
    <w:rsid w:val="005D3E5B"/>
    <w:rsid w:val="005D6597"/>
    <w:rsid w:val="005E14E7"/>
    <w:rsid w:val="005E26A3"/>
    <w:rsid w:val="005E2ECB"/>
    <w:rsid w:val="005E447E"/>
    <w:rsid w:val="005E4FD1"/>
    <w:rsid w:val="005E5A18"/>
    <w:rsid w:val="005F0775"/>
    <w:rsid w:val="005F0CF5"/>
    <w:rsid w:val="005F21EB"/>
    <w:rsid w:val="005F424B"/>
    <w:rsid w:val="005F64CF"/>
    <w:rsid w:val="005F7F1C"/>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E89"/>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63E"/>
    <w:rsid w:val="00696F27"/>
    <w:rsid w:val="006A18C2"/>
    <w:rsid w:val="006A3383"/>
    <w:rsid w:val="006B077C"/>
    <w:rsid w:val="006B6803"/>
    <w:rsid w:val="006C209D"/>
    <w:rsid w:val="006D0F16"/>
    <w:rsid w:val="006D2A3F"/>
    <w:rsid w:val="006D2FBC"/>
    <w:rsid w:val="006D6E34"/>
    <w:rsid w:val="006E01A8"/>
    <w:rsid w:val="006E138B"/>
    <w:rsid w:val="006E1867"/>
    <w:rsid w:val="006F0330"/>
    <w:rsid w:val="006F1FDC"/>
    <w:rsid w:val="006F6B8C"/>
    <w:rsid w:val="007013EF"/>
    <w:rsid w:val="007040A6"/>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4ACD"/>
    <w:rsid w:val="007C7301"/>
    <w:rsid w:val="007C7859"/>
    <w:rsid w:val="007C7F28"/>
    <w:rsid w:val="007D1466"/>
    <w:rsid w:val="007D2BDE"/>
    <w:rsid w:val="007D2FB6"/>
    <w:rsid w:val="007D49EB"/>
    <w:rsid w:val="007D59DE"/>
    <w:rsid w:val="007D5E1C"/>
    <w:rsid w:val="007E0DE2"/>
    <w:rsid w:val="007E2F8E"/>
    <w:rsid w:val="007E3667"/>
    <w:rsid w:val="007E3B98"/>
    <w:rsid w:val="007E417A"/>
    <w:rsid w:val="007E548D"/>
    <w:rsid w:val="007E75C9"/>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697A"/>
    <w:rsid w:val="008474FE"/>
    <w:rsid w:val="00852BF5"/>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078"/>
    <w:rsid w:val="008977D1"/>
    <w:rsid w:val="008A28A8"/>
    <w:rsid w:val="008A54AC"/>
    <w:rsid w:val="008A5B32"/>
    <w:rsid w:val="008B2029"/>
    <w:rsid w:val="008B2EE4"/>
    <w:rsid w:val="008B3821"/>
    <w:rsid w:val="008B4D3D"/>
    <w:rsid w:val="008B57C7"/>
    <w:rsid w:val="008C2F92"/>
    <w:rsid w:val="008C3546"/>
    <w:rsid w:val="008C589D"/>
    <w:rsid w:val="008C6936"/>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5B6B"/>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3449"/>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3CB"/>
    <w:rsid w:val="00A04CCE"/>
    <w:rsid w:val="00A07421"/>
    <w:rsid w:val="00A0776B"/>
    <w:rsid w:val="00A10FB9"/>
    <w:rsid w:val="00A11421"/>
    <w:rsid w:val="00A1389F"/>
    <w:rsid w:val="00A13B7A"/>
    <w:rsid w:val="00A157B1"/>
    <w:rsid w:val="00A22229"/>
    <w:rsid w:val="00A229A4"/>
    <w:rsid w:val="00A24442"/>
    <w:rsid w:val="00A24ADA"/>
    <w:rsid w:val="00A32577"/>
    <w:rsid w:val="00A330BB"/>
    <w:rsid w:val="00A446F5"/>
    <w:rsid w:val="00A44882"/>
    <w:rsid w:val="00A45125"/>
    <w:rsid w:val="00A54715"/>
    <w:rsid w:val="00A6061C"/>
    <w:rsid w:val="00A62D44"/>
    <w:rsid w:val="00A67263"/>
    <w:rsid w:val="00A7161C"/>
    <w:rsid w:val="00A71CE4"/>
    <w:rsid w:val="00A76085"/>
    <w:rsid w:val="00A764A9"/>
    <w:rsid w:val="00A77AA3"/>
    <w:rsid w:val="00A8236D"/>
    <w:rsid w:val="00A854EB"/>
    <w:rsid w:val="00A872E5"/>
    <w:rsid w:val="00A91406"/>
    <w:rsid w:val="00A91C21"/>
    <w:rsid w:val="00A96E65"/>
    <w:rsid w:val="00A96ECE"/>
    <w:rsid w:val="00A97C72"/>
    <w:rsid w:val="00AA1A7D"/>
    <w:rsid w:val="00AA310B"/>
    <w:rsid w:val="00AA4F8A"/>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255A"/>
    <w:rsid w:val="00B13851"/>
    <w:rsid w:val="00B13B1C"/>
    <w:rsid w:val="00B14B5F"/>
    <w:rsid w:val="00B21F90"/>
    <w:rsid w:val="00B22291"/>
    <w:rsid w:val="00B23F9A"/>
    <w:rsid w:val="00B2417B"/>
    <w:rsid w:val="00B24E6F"/>
    <w:rsid w:val="00B26CB5"/>
    <w:rsid w:val="00B2752E"/>
    <w:rsid w:val="00B307CC"/>
    <w:rsid w:val="00B326B7"/>
    <w:rsid w:val="00B3588E"/>
    <w:rsid w:val="00B359E2"/>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6B9D"/>
    <w:rsid w:val="00BD788C"/>
    <w:rsid w:val="00BE28D2"/>
    <w:rsid w:val="00BE4A64"/>
    <w:rsid w:val="00BE5E43"/>
    <w:rsid w:val="00BF557D"/>
    <w:rsid w:val="00BF658D"/>
    <w:rsid w:val="00BF7F58"/>
    <w:rsid w:val="00C01381"/>
    <w:rsid w:val="00C01AB1"/>
    <w:rsid w:val="00C026A0"/>
    <w:rsid w:val="00C06137"/>
    <w:rsid w:val="00C06929"/>
    <w:rsid w:val="00C079B8"/>
    <w:rsid w:val="00C10037"/>
    <w:rsid w:val="00C10683"/>
    <w:rsid w:val="00C115E1"/>
    <w:rsid w:val="00C123EA"/>
    <w:rsid w:val="00C12A49"/>
    <w:rsid w:val="00C133EE"/>
    <w:rsid w:val="00C149D0"/>
    <w:rsid w:val="00C26588"/>
    <w:rsid w:val="00C27DE9"/>
    <w:rsid w:val="00C32989"/>
    <w:rsid w:val="00C33388"/>
    <w:rsid w:val="00C35484"/>
    <w:rsid w:val="00C40E9A"/>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77B8F"/>
    <w:rsid w:val="00C85ED3"/>
    <w:rsid w:val="00C863C4"/>
    <w:rsid w:val="00C90DAB"/>
    <w:rsid w:val="00C920EA"/>
    <w:rsid w:val="00C93C3E"/>
    <w:rsid w:val="00C96218"/>
    <w:rsid w:val="00CA12E3"/>
    <w:rsid w:val="00CA1476"/>
    <w:rsid w:val="00CA5CBB"/>
    <w:rsid w:val="00CA6611"/>
    <w:rsid w:val="00CA6AE6"/>
    <w:rsid w:val="00CA782F"/>
    <w:rsid w:val="00CB187B"/>
    <w:rsid w:val="00CB1D69"/>
    <w:rsid w:val="00CB2835"/>
    <w:rsid w:val="00CB3285"/>
    <w:rsid w:val="00CB4500"/>
    <w:rsid w:val="00CC0C72"/>
    <w:rsid w:val="00CC2BFD"/>
    <w:rsid w:val="00CC3BB0"/>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57C6C"/>
    <w:rsid w:val="00D618F4"/>
    <w:rsid w:val="00D63636"/>
    <w:rsid w:val="00D714CC"/>
    <w:rsid w:val="00D7374B"/>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394"/>
    <w:rsid w:val="00DC4FCF"/>
    <w:rsid w:val="00DC50E0"/>
    <w:rsid w:val="00DC6386"/>
    <w:rsid w:val="00DD1130"/>
    <w:rsid w:val="00DD1951"/>
    <w:rsid w:val="00DD487D"/>
    <w:rsid w:val="00DD4E83"/>
    <w:rsid w:val="00DD6628"/>
    <w:rsid w:val="00DD6945"/>
    <w:rsid w:val="00DE23A5"/>
    <w:rsid w:val="00DE2D04"/>
    <w:rsid w:val="00DE3250"/>
    <w:rsid w:val="00DE6028"/>
    <w:rsid w:val="00DE6C85"/>
    <w:rsid w:val="00DE78A3"/>
    <w:rsid w:val="00DF0A6E"/>
    <w:rsid w:val="00DF1A71"/>
    <w:rsid w:val="00DF50FC"/>
    <w:rsid w:val="00DF68C7"/>
    <w:rsid w:val="00DF731A"/>
    <w:rsid w:val="00E02BD7"/>
    <w:rsid w:val="00E06B75"/>
    <w:rsid w:val="00E11332"/>
    <w:rsid w:val="00E11352"/>
    <w:rsid w:val="00E170DC"/>
    <w:rsid w:val="00E17546"/>
    <w:rsid w:val="00E210B5"/>
    <w:rsid w:val="00E261B3"/>
    <w:rsid w:val="00E26818"/>
    <w:rsid w:val="00E27FFC"/>
    <w:rsid w:val="00E30B15"/>
    <w:rsid w:val="00E33237"/>
    <w:rsid w:val="00E40181"/>
    <w:rsid w:val="00E4536A"/>
    <w:rsid w:val="00E54950"/>
    <w:rsid w:val="00E55FB3"/>
    <w:rsid w:val="00E56A01"/>
    <w:rsid w:val="00E629A1"/>
    <w:rsid w:val="00E659F2"/>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DD9"/>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09A6"/>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39CA"/>
    <w:rsid w:val="00F64696"/>
    <w:rsid w:val="00F65AA9"/>
    <w:rsid w:val="00F6768F"/>
    <w:rsid w:val="00F72C2C"/>
    <w:rsid w:val="00F741F2"/>
    <w:rsid w:val="00F76CAB"/>
    <w:rsid w:val="00F772C6"/>
    <w:rsid w:val="00F809DD"/>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6B6FF4"/>
  <w15:docId w15:val="{4A3421A8-C7B1-46DE-94ED-91FE38DB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5"/>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ody">
    <w:name w:val="DHHS body"/>
    <w:qFormat/>
    <w:rsid w:val="000F2963"/>
    <w:pPr>
      <w:spacing w:after="120" w:line="270" w:lineRule="atLeast"/>
    </w:pPr>
    <w:rPr>
      <w:rFonts w:ascii="Arial" w:eastAsia="Times" w:hAnsi="Arial"/>
      <w:lang w:eastAsia="en-US"/>
    </w:rPr>
  </w:style>
  <w:style w:type="paragraph" w:customStyle="1" w:styleId="DHHStabletext6pt">
    <w:name w:val="DHHS table text + 6pt"/>
    <w:basedOn w:val="DHHStabletext"/>
    <w:rsid w:val="000F2963"/>
    <w:pPr>
      <w:spacing w:after="120"/>
    </w:pPr>
  </w:style>
  <w:style w:type="paragraph" w:customStyle="1" w:styleId="DHHSbodynospace">
    <w:name w:val="DHHS body no space"/>
    <w:basedOn w:val="DHHSbody"/>
    <w:uiPriority w:val="1"/>
    <w:rsid w:val="000F2963"/>
    <w:pPr>
      <w:spacing w:after="0"/>
    </w:pPr>
  </w:style>
  <w:style w:type="paragraph" w:customStyle="1" w:styleId="DHHSbullet1">
    <w:name w:val="DHHS bullet 1"/>
    <w:basedOn w:val="DHHSbody"/>
    <w:qFormat/>
    <w:rsid w:val="000F2963"/>
    <w:pPr>
      <w:spacing w:after="40"/>
    </w:pPr>
  </w:style>
  <w:style w:type="paragraph" w:customStyle="1" w:styleId="DHHSTOCheadingfactsheet">
    <w:name w:val="DHHS TOC heading fact sheet"/>
    <w:basedOn w:val="Heading2"/>
    <w:next w:val="DHHSbody"/>
    <w:link w:val="DHHSTOCheadingfactsheetChar"/>
    <w:uiPriority w:val="4"/>
    <w:rsid w:val="000F2963"/>
    <w:pPr>
      <w:spacing w:before="0" w:after="200" w:line="320" w:lineRule="atLeast"/>
      <w:outlineLvl w:val="9"/>
    </w:pPr>
    <w:rPr>
      <w:color w:val="004EA8"/>
      <w:sz w:val="28"/>
    </w:rPr>
  </w:style>
  <w:style w:type="character" w:customStyle="1" w:styleId="DHHSTOCheadingfactsheetChar">
    <w:name w:val="DHHS TOC heading fact sheet Char"/>
    <w:link w:val="DHHSTOCheadingfactsheet"/>
    <w:uiPriority w:val="4"/>
    <w:rsid w:val="000F2963"/>
    <w:rPr>
      <w:rFonts w:ascii="Arial" w:hAnsi="Arial"/>
      <w:b/>
      <w:color w:val="004EA8"/>
      <w:sz w:val="28"/>
      <w:szCs w:val="28"/>
      <w:lang w:eastAsia="en-US"/>
    </w:rPr>
  </w:style>
  <w:style w:type="paragraph" w:customStyle="1" w:styleId="DHHStabletext">
    <w:name w:val="DHHS table text"/>
    <w:uiPriority w:val="3"/>
    <w:qFormat/>
    <w:rsid w:val="000F2963"/>
    <w:pPr>
      <w:spacing w:before="80" w:after="60"/>
    </w:pPr>
    <w:rPr>
      <w:rFonts w:ascii="Arial" w:hAnsi="Arial"/>
      <w:lang w:eastAsia="en-US"/>
    </w:rPr>
  </w:style>
  <w:style w:type="paragraph" w:customStyle="1" w:styleId="DHHStablecaption">
    <w:name w:val="DHHS table caption"/>
    <w:next w:val="DHHSbody"/>
    <w:uiPriority w:val="3"/>
    <w:qFormat/>
    <w:rsid w:val="000F2963"/>
    <w:pPr>
      <w:keepNext/>
      <w:keepLines/>
      <w:spacing w:before="240" w:after="120" w:line="240" w:lineRule="atLeast"/>
    </w:pPr>
    <w:rPr>
      <w:rFonts w:ascii="Arial" w:hAnsi="Arial"/>
      <w:b/>
      <w:lang w:eastAsia="en-US"/>
    </w:rPr>
  </w:style>
  <w:style w:type="paragraph" w:customStyle="1" w:styleId="DHHSmainheading">
    <w:name w:val="DHHS main heading"/>
    <w:uiPriority w:val="8"/>
    <w:rsid w:val="000F2963"/>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0F2963"/>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0F2963"/>
    <w:pPr>
      <w:keepNext/>
      <w:keepLines/>
      <w:spacing w:before="240" w:after="120"/>
    </w:pPr>
    <w:rPr>
      <w:rFonts w:ascii="Arial" w:hAnsi="Arial"/>
      <w:b/>
      <w:lang w:eastAsia="en-US"/>
    </w:rPr>
  </w:style>
  <w:style w:type="paragraph" w:customStyle="1" w:styleId="DHHSbullet2">
    <w:name w:val="DHHS bullet 2"/>
    <w:basedOn w:val="DHHSbody"/>
    <w:uiPriority w:val="2"/>
    <w:qFormat/>
    <w:rsid w:val="000F2963"/>
    <w:pPr>
      <w:spacing w:after="40"/>
    </w:pPr>
  </w:style>
  <w:style w:type="paragraph" w:styleId="NoSpacing">
    <w:name w:val="No Spacing"/>
    <w:link w:val="NoSpacingChar"/>
    <w:uiPriority w:val="1"/>
    <w:qFormat/>
    <w:rsid w:val="000F2963"/>
    <w:rPr>
      <w:rFonts w:ascii="Calibri" w:hAnsi="Calibri"/>
      <w:sz w:val="22"/>
      <w:szCs w:val="22"/>
      <w:lang w:val="en-US" w:eastAsia="en-US"/>
    </w:rPr>
  </w:style>
  <w:style w:type="character" w:customStyle="1" w:styleId="NoSpacingChar">
    <w:name w:val="No Spacing Char"/>
    <w:link w:val="NoSpacing"/>
    <w:uiPriority w:val="1"/>
    <w:rsid w:val="000F2963"/>
    <w:rPr>
      <w:rFonts w:ascii="Calibri" w:hAnsi="Calibri"/>
      <w:sz w:val="22"/>
      <w:szCs w:val="22"/>
      <w:lang w:val="en-US" w:eastAsia="en-US"/>
    </w:rPr>
  </w:style>
  <w:style w:type="paragraph" w:customStyle="1" w:styleId="DHHStablebullet">
    <w:name w:val="DHHS table bullet"/>
    <w:basedOn w:val="DHHStabletext"/>
    <w:uiPriority w:val="3"/>
    <w:qFormat/>
    <w:rsid w:val="000F2963"/>
  </w:style>
  <w:style w:type="paragraph" w:customStyle="1" w:styleId="DHHStablecolhead">
    <w:name w:val="DHHS table col head"/>
    <w:uiPriority w:val="3"/>
    <w:qFormat/>
    <w:rsid w:val="000F2963"/>
    <w:pPr>
      <w:spacing w:before="80" w:after="60"/>
    </w:pPr>
    <w:rPr>
      <w:rFonts w:ascii="Arial" w:hAnsi="Arial"/>
      <w:b/>
      <w:color w:val="004EA8"/>
      <w:lang w:eastAsia="en-US"/>
    </w:rPr>
  </w:style>
  <w:style w:type="paragraph" w:customStyle="1" w:styleId="DHHSbulletindent">
    <w:name w:val="DHHS bullet indent"/>
    <w:basedOn w:val="DHHSbody"/>
    <w:uiPriority w:val="4"/>
    <w:rsid w:val="000F2963"/>
    <w:pPr>
      <w:spacing w:after="40"/>
    </w:pPr>
  </w:style>
  <w:style w:type="paragraph" w:customStyle="1" w:styleId="DHHSbullet1lastline">
    <w:name w:val="DHHS bullet 1 last line"/>
    <w:basedOn w:val="DHHSbullet1"/>
    <w:qFormat/>
    <w:rsid w:val="000F2963"/>
    <w:pPr>
      <w:numPr>
        <w:ilvl w:val="1"/>
      </w:numPr>
      <w:spacing w:after="120"/>
    </w:pPr>
  </w:style>
  <w:style w:type="paragraph" w:customStyle="1" w:styleId="DHHSbullet2lastline">
    <w:name w:val="DHHS bullet 2 last line"/>
    <w:basedOn w:val="DHHSbullet2"/>
    <w:uiPriority w:val="2"/>
    <w:qFormat/>
    <w:rsid w:val="000F2963"/>
    <w:pPr>
      <w:numPr>
        <w:ilvl w:val="3"/>
      </w:numPr>
      <w:spacing w:after="120"/>
    </w:pPr>
  </w:style>
  <w:style w:type="paragraph" w:customStyle="1" w:styleId="DHHSmainsubheading">
    <w:name w:val="DHHS main subheading"/>
    <w:uiPriority w:val="8"/>
    <w:rsid w:val="000F2963"/>
    <w:rPr>
      <w:rFonts w:ascii="Arial" w:hAnsi="Arial"/>
      <w:color w:val="FFFFFF"/>
      <w:sz w:val="28"/>
      <w:szCs w:val="24"/>
      <w:lang w:eastAsia="en-US"/>
    </w:rPr>
  </w:style>
  <w:style w:type="paragraph" w:styleId="ListParagraph">
    <w:name w:val="List Paragraph"/>
    <w:basedOn w:val="Normal"/>
    <w:uiPriority w:val="34"/>
    <w:qFormat/>
    <w:rsid w:val="000F2963"/>
    <w:pPr>
      <w:spacing w:after="200" w:line="276" w:lineRule="auto"/>
      <w:ind w:left="720"/>
      <w:contextualSpacing/>
    </w:pPr>
    <w:rPr>
      <w:rFonts w:asciiTheme="minorHAnsi" w:eastAsiaTheme="minorHAnsi" w:hAnsiTheme="minorHAnsi" w:cstheme="minorBidi"/>
      <w:sz w:val="22"/>
      <w:szCs w:val="22"/>
    </w:rPr>
  </w:style>
  <w:style w:type="numbering" w:customStyle="1" w:styleId="ZZNumbers">
    <w:name w:val="ZZ Numbers"/>
    <w:rsid w:val="000F2963"/>
    <w:pPr>
      <w:numPr>
        <w:numId w:val="40"/>
      </w:numPr>
    </w:pPr>
  </w:style>
  <w:style w:type="paragraph" w:customStyle="1" w:styleId="DHHSbulletindentlastline">
    <w:name w:val="DHHS bullet indent last line"/>
    <w:basedOn w:val="DHHSbody"/>
    <w:uiPriority w:val="4"/>
    <w:rsid w:val="000F2963"/>
  </w:style>
  <w:style w:type="paragraph" w:customStyle="1" w:styleId="DHHSnumberdigit">
    <w:name w:val="DHHS number digit"/>
    <w:basedOn w:val="DHHSbody"/>
    <w:uiPriority w:val="2"/>
    <w:rsid w:val="000F2963"/>
    <w:pPr>
      <w:numPr>
        <w:numId w:val="40"/>
      </w:numPr>
    </w:pPr>
  </w:style>
  <w:style w:type="paragraph" w:customStyle="1" w:styleId="DHHSnumberloweralphaindent">
    <w:name w:val="DHHS number lower alpha indent"/>
    <w:basedOn w:val="DHHSbody"/>
    <w:uiPriority w:val="3"/>
    <w:rsid w:val="000F2963"/>
    <w:pPr>
      <w:numPr>
        <w:ilvl w:val="3"/>
        <w:numId w:val="40"/>
      </w:numPr>
    </w:pPr>
  </w:style>
  <w:style w:type="paragraph" w:customStyle="1" w:styleId="DHHSnumberdigitindent">
    <w:name w:val="DHHS number digit indent"/>
    <w:basedOn w:val="DHHSnumberloweralphaindent"/>
    <w:uiPriority w:val="3"/>
    <w:rsid w:val="000F2963"/>
    <w:pPr>
      <w:numPr>
        <w:ilvl w:val="1"/>
      </w:numPr>
    </w:pPr>
  </w:style>
  <w:style w:type="paragraph" w:customStyle="1" w:styleId="DHHSnumberloweralpha">
    <w:name w:val="DHHS number lower alpha"/>
    <w:basedOn w:val="DHHSbody"/>
    <w:uiPriority w:val="3"/>
    <w:rsid w:val="000F2963"/>
    <w:pPr>
      <w:numPr>
        <w:ilvl w:val="2"/>
        <w:numId w:val="40"/>
      </w:numPr>
    </w:pPr>
  </w:style>
  <w:style w:type="paragraph" w:customStyle="1" w:styleId="DHHSnumberlowerroman">
    <w:name w:val="DHHS number lower roman"/>
    <w:basedOn w:val="DHHSbody"/>
    <w:uiPriority w:val="3"/>
    <w:rsid w:val="000F2963"/>
    <w:pPr>
      <w:numPr>
        <w:ilvl w:val="4"/>
        <w:numId w:val="40"/>
      </w:numPr>
    </w:pPr>
  </w:style>
  <w:style w:type="paragraph" w:customStyle="1" w:styleId="DHHSnumberlowerromanindent">
    <w:name w:val="DHHS number lower roman indent"/>
    <w:basedOn w:val="DHHSbody"/>
    <w:uiPriority w:val="3"/>
    <w:rsid w:val="000F2963"/>
    <w:pPr>
      <w:numPr>
        <w:ilvl w:val="5"/>
        <w:numId w:val="40"/>
      </w:numPr>
    </w:pPr>
  </w:style>
  <w:style w:type="paragraph" w:customStyle="1" w:styleId="DHHSquote">
    <w:name w:val="DHHS quote"/>
    <w:basedOn w:val="DHHSbody"/>
    <w:uiPriority w:val="4"/>
    <w:rsid w:val="000F2963"/>
    <w:pPr>
      <w:ind w:left="397"/>
    </w:pPr>
    <w:rPr>
      <w:szCs w:val="18"/>
    </w:rPr>
  </w:style>
  <w:style w:type="paragraph" w:customStyle="1" w:styleId="DHHStablefigurenote">
    <w:name w:val="DHHS table/figure note"/>
    <w:uiPriority w:val="4"/>
    <w:rsid w:val="000F2963"/>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0F2963"/>
    <w:pPr>
      <w:spacing w:before="240"/>
    </w:pPr>
  </w:style>
  <w:style w:type="paragraph" w:customStyle="1" w:styleId="DHHSfooter">
    <w:name w:val="DHHS footer"/>
    <w:uiPriority w:val="11"/>
    <w:rsid w:val="000F2963"/>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0F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3378805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health.vic.gov.au/about/health-strategies/cancer-care/radio-therapy/statewide-radiotherapy-servic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ancervic.org.au/for-health-professionals/optimal-care-pathwa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health.vic.gov.au/about/publications/researchandreports/recommendations-clinical-indications-vic-gamma-knif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2.health.vic.gov.au/about/publications/researchandreports/recommendations-clinical-indications-vic-mr-linac"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5030</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Statewide Radiotherapy Services Framework 2021</vt:lpstr>
    </vt:vector>
  </TitlesOfParts>
  <Manager/>
  <Company>Victoria State Government, Department of Health</Company>
  <LinksUpToDate>false</LinksUpToDate>
  <CharactersWithSpaces>33635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Radiotherapy Services Framework 2021</dc:title>
  <dc:subject>Statewide Radiotherapy Services Framework 2021</dc:subject>
  <dc:creator>Cancer Support, Treatment and Research unit</dc:creator>
  <cp:keywords>Radiotherapy, cancer, victoria</cp:keywords>
  <dc:description/>
  <cp:revision>2</cp:revision>
  <cp:lastPrinted>2021-06-21T11:09:00Z</cp:lastPrinted>
  <dcterms:created xsi:type="dcterms:W3CDTF">2022-01-26T23:57:00Z</dcterms:created>
  <dcterms:modified xsi:type="dcterms:W3CDTF">2022-01-26T23:57:00Z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2022-01-26T23:57:43Z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