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footerReference w:type="default" r:id="rId10"/>
          <w:footerReference w:type="first" r:id="rId11"/>
          <w:pgSz w:w="23814" w:h="16840" w:orient="landscape" w:code="8"/>
          <w:pgMar w:top="425" w:right="851" w:bottom="1418" w:left="851" w:header="510" w:footer="510" w:gutter="0"/>
          <w:cols w:space="708"/>
          <w:docGrid w:linePitch="360"/>
        </w:sectPr>
      </w:pPr>
    </w:p>
    <w:tbl>
      <w:tblPr>
        <w:tblW w:w="16268" w:type="dxa"/>
        <w:tblLook w:val="04A0" w:firstRow="1" w:lastRow="0" w:firstColumn="1" w:lastColumn="0" w:noHBand="0" w:noVBand="1"/>
      </w:tblPr>
      <w:tblGrid>
        <w:gridCol w:w="16268"/>
      </w:tblGrid>
      <w:tr w:rsidR="003A3438" w:rsidTr="005277A5">
        <w:trPr>
          <w:trHeight w:val="1106"/>
        </w:trPr>
        <w:tc>
          <w:tcPr>
            <w:tcW w:w="16268" w:type="dxa"/>
            <w:shd w:val="clear" w:color="auto" w:fill="auto"/>
            <w:vAlign w:val="bottom"/>
          </w:tcPr>
          <w:p w:rsidR="003A3438" w:rsidRPr="00161AA0" w:rsidRDefault="00C87C2D" w:rsidP="005277A5">
            <w:pPr>
              <w:pStyle w:val="DHHSmainheading"/>
            </w:pPr>
            <w:bookmarkStart w:id="0" w:name="_Toc410762195"/>
            <w:r>
              <w:lastRenderedPageBreak/>
              <w:t>Drugs</w:t>
            </w:r>
            <w:r w:rsidR="00705AA3">
              <w:t xml:space="preserve"> </w:t>
            </w:r>
            <w:r w:rsidR="00A40DC1">
              <w:t>and poisons</w:t>
            </w:r>
            <w:r w:rsidR="006A3A5C">
              <w:t xml:space="preserve"> regulator</w:t>
            </w:r>
            <w:r w:rsidR="00F203D3">
              <w:t xml:space="preserve"> plan on a page</w:t>
            </w:r>
          </w:p>
        </w:tc>
      </w:tr>
      <w:tr w:rsidR="003A3438" w:rsidTr="00F6441D">
        <w:trPr>
          <w:trHeight w:hRule="exact" w:val="794"/>
        </w:trPr>
        <w:tc>
          <w:tcPr>
            <w:tcW w:w="16268" w:type="dxa"/>
            <w:shd w:val="clear" w:color="auto" w:fill="auto"/>
            <w:tcMar>
              <w:top w:w="340" w:type="dxa"/>
              <w:bottom w:w="680" w:type="dxa"/>
            </w:tcMar>
          </w:tcPr>
          <w:p w:rsidR="003A3438" w:rsidRDefault="00C87C2D" w:rsidP="00F203D3">
            <w:pPr>
              <w:pStyle w:val="DHHSmainsubheading"/>
            </w:pPr>
            <w:r>
              <w:t>Drugs</w:t>
            </w:r>
            <w:r w:rsidR="00A40DC1" w:rsidRPr="00A40DC1">
              <w:t xml:space="preserve"> and poisons </w:t>
            </w:r>
            <w:r w:rsidR="00814111">
              <w:t>regulator plan March</w:t>
            </w:r>
            <w:r w:rsidR="00F203D3">
              <w:t xml:space="preserve"> 2018 – June 2019</w:t>
            </w:r>
          </w:p>
        </w:tc>
      </w:tr>
    </w:tbl>
    <w:p w:rsidR="00936D35" w:rsidRDefault="00936D35" w:rsidP="00310351">
      <w:pPr>
        <w:pStyle w:val="DHHSbody"/>
        <w:sectPr w:rsidR="00936D35" w:rsidSect="00EE6B38">
          <w:type w:val="continuous"/>
          <w:pgSz w:w="23814" w:h="16840" w:orient="landscape" w:code="8"/>
          <w:pgMar w:top="851" w:right="851" w:bottom="851" w:left="851" w:header="567" w:footer="510" w:gutter="0"/>
          <w:cols w:space="720"/>
          <w:docGrid w:linePitch="272"/>
        </w:sectPr>
      </w:pPr>
    </w:p>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0"/>
    <w:p w:rsidR="008C3808" w:rsidRPr="00563476" w:rsidRDefault="00852D57" w:rsidP="00F203D3">
      <w:pPr>
        <w:pStyle w:val="DHHSquote"/>
        <w:rPr>
          <w:color w:val="auto"/>
        </w:rPr>
      </w:pPr>
      <w:r w:rsidRPr="00563476">
        <w:rPr>
          <w:color w:val="auto"/>
        </w:rPr>
        <w:lastRenderedPageBreak/>
        <w:t>This document</w:t>
      </w:r>
      <w:r w:rsidR="00C17EFB" w:rsidRPr="00563476">
        <w:rPr>
          <w:color w:val="auto"/>
        </w:rPr>
        <w:t xml:space="preserve"> </w:t>
      </w:r>
      <w:r w:rsidR="00AD4EEF" w:rsidRPr="00563476">
        <w:rPr>
          <w:color w:val="auto"/>
        </w:rPr>
        <w:t xml:space="preserve">summarises the key elements of </w:t>
      </w:r>
      <w:r w:rsidR="00C17EFB" w:rsidRPr="00563476">
        <w:rPr>
          <w:color w:val="auto"/>
        </w:rPr>
        <w:t xml:space="preserve">the </w:t>
      </w:r>
      <w:r w:rsidR="00C87C2D">
        <w:rPr>
          <w:i/>
          <w:color w:val="auto"/>
        </w:rPr>
        <w:t>Drugs</w:t>
      </w:r>
      <w:r w:rsidR="00A40DC1" w:rsidRPr="00563476">
        <w:rPr>
          <w:i/>
          <w:color w:val="auto"/>
        </w:rPr>
        <w:t xml:space="preserve"> and poisons </w:t>
      </w:r>
      <w:r w:rsidR="00C17EFB" w:rsidRPr="00563476">
        <w:rPr>
          <w:i/>
          <w:color w:val="auto"/>
        </w:rPr>
        <w:t>regulator plan</w:t>
      </w:r>
      <w:r w:rsidR="00AD4EEF" w:rsidRPr="00563476">
        <w:rPr>
          <w:color w:val="auto"/>
        </w:rPr>
        <w:t>. The plan</w:t>
      </w:r>
      <w:r w:rsidRPr="00563476">
        <w:rPr>
          <w:color w:val="auto"/>
        </w:rPr>
        <w:t xml:space="preserve"> provides the context the regulator works within and an overview of its regulatory framework and activities. This is supported by the </w:t>
      </w:r>
      <w:r w:rsidRPr="00563476">
        <w:rPr>
          <w:i/>
          <w:color w:val="auto"/>
        </w:rPr>
        <w:t>Better regulatory practice framework: January 2018–June 2019</w:t>
      </w:r>
      <w:r w:rsidR="00C461FB" w:rsidRPr="00563476">
        <w:rPr>
          <w:color w:val="auto"/>
        </w:rPr>
        <w:t>, which provides a process for risk-based and accountable regulatory practice, and improved regulatory performance in the health and human services sector.</w:t>
      </w:r>
      <w:r w:rsidR="00C17EFB" w:rsidRPr="00563476">
        <w:rPr>
          <w:color w:val="auto"/>
        </w:rPr>
        <w:t xml:space="preserve"> The regulator plan and framework are available on </w:t>
      </w:r>
      <w:hyperlink r:id="rId12" w:history="1">
        <w:r w:rsidR="00C17EFB" w:rsidRPr="00C17EFB">
          <w:rPr>
            <w:rStyle w:val="Hyperlink"/>
          </w:rPr>
          <w:t>Regulatory practice framework</w:t>
        </w:r>
      </w:hyperlink>
      <w:r w:rsidR="00C17EFB">
        <w:t xml:space="preserve"> </w:t>
      </w:r>
      <w:r w:rsidR="00C17EFB" w:rsidRPr="00563476">
        <w:rPr>
          <w:color w:val="auto"/>
        </w:rPr>
        <w:t>&lt;https://www.dhhs.vic.gov.au/better-regulatory-practice-framework&gt;.</w:t>
      </w:r>
    </w:p>
    <w:p w:rsidR="00936D35" w:rsidRDefault="00936D35" w:rsidP="00BA5E31">
      <w:pPr>
        <w:pStyle w:val="Heading1"/>
        <w:spacing w:before="0"/>
        <w:sectPr w:rsidR="00936D35" w:rsidSect="00936D35">
          <w:footerReference w:type="default" r:id="rId13"/>
          <w:type w:val="continuous"/>
          <w:pgSz w:w="23814" w:h="16840" w:orient="landscape" w:code="8"/>
          <w:pgMar w:top="1134" w:right="851" w:bottom="1134" w:left="851" w:header="567" w:footer="510" w:gutter="0"/>
          <w:cols w:space="340"/>
          <w:titlePg/>
          <w:docGrid w:linePitch="360"/>
        </w:sectPr>
      </w:pPr>
    </w:p>
    <w:p w:rsidR="006A3A5C" w:rsidRDefault="006A3A5C" w:rsidP="006A3A5C">
      <w:pPr>
        <w:pStyle w:val="Heading1"/>
      </w:pPr>
      <w:r>
        <w:lastRenderedPageBreak/>
        <w:t>Outcome</w:t>
      </w:r>
    </w:p>
    <w:p w:rsidR="006A3A5C" w:rsidRDefault="006A3A5C" w:rsidP="00292B00">
      <w:pPr>
        <w:pStyle w:val="DHHSbody"/>
      </w:pPr>
      <w:r>
        <w:t>Reducing the likelihood of harm to the Victorian public from scheduled medicines and poisons by supporting safe and appropriate access.</w:t>
      </w:r>
    </w:p>
    <w:p w:rsidR="00A40DC1" w:rsidRPr="00A40DC1" w:rsidRDefault="00A40DC1" w:rsidP="00F6441D">
      <w:pPr>
        <w:pStyle w:val="Heading1"/>
      </w:pPr>
      <w:r w:rsidRPr="00A40DC1">
        <w:t xml:space="preserve">Identified </w:t>
      </w:r>
      <w:r>
        <w:t>r</w:t>
      </w:r>
      <w:r w:rsidRPr="00A40DC1">
        <w:t>isks</w:t>
      </w:r>
    </w:p>
    <w:p w:rsidR="00A40DC1" w:rsidRPr="00A40DC1" w:rsidRDefault="00A40DC1" w:rsidP="00C92349">
      <w:pPr>
        <w:pStyle w:val="DHHSbullet1"/>
      </w:pPr>
      <w:r w:rsidRPr="00A40DC1">
        <w:t>Patients seeking multiple prescriptions while prescribers lack real-time information, leading to a risk of misuse and overdose.</w:t>
      </w:r>
    </w:p>
    <w:p w:rsidR="00A40DC1" w:rsidRPr="00A40DC1" w:rsidRDefault="00A40DC1" w:rsidP="00C92349">
      <w:pPr>
        <w:pStyle w:val="DHHSbullet1"/>
      </w:pPr>
      <w:r w:rsidRPr="00A40DC1">
        <w:t>Prescribers and licence and permit holders unlawfully prescribing or supplying scheduled medicines.</w:t>
      </w:r>
    </w:p>
    <w:p w:rsidR="00A40DC1" w:rsidRPr="00A40DC1" w:rsidRDefault="00A40DC1" w:rsidP="00C92349">
      <w:pPr>
        <w:pStyle w:val="DHHSbullet1"/>
      </w:pPr>
      <w:r w:rsidRPr="00A40DC1">
        <w:t>Lack of adequate information and support to assist compliance with the legislation and policy, resulting in access to excessive amounts of scheduled medicines.</w:t>
      </w:r>
    </w:p>
    <w:p w:rsidR="00A40DC1" w:rsidRDefault="00A40DC1" w:rsidP="00C92349">
      <w:pPr>
        <w:pStyle w:val="DHHSbullet1"/>
        <w:rPr>
          <w:bCs/>
        </w:rPr>
      </w:pPr>
      <w:r w:rsidRPr="00A40DC1">
        <w:t xml:space="preserve">Lack of knowledge of requirements for labelling and packaging of medicines, leading to a risk of poisoning. </w:t>
      </w:r>
    </w:p>
    <w:p w:rsidR="00A441D4" w:rsidRDefault="00A441D4" w:rsidP="00A40DC1">
      <w:pPr>
        <w:pStyle w:val="Heading1"/>
      </w:pPr>
      <w:r>
        <w:t>Who we regulate</w:t>
      </w:r>
    </w:p>
    <w:p w:rsidR="00A40DC1" w:rsidRPr="00A40DC1" w:rsidRDefault="00A40DC1" w:rsidP="007E4DA6">
      <w:pPr>
        <w:pStyle w:val="DHHSbody"/>
      </w:pPr>
      <w:r w:rsidRPr="00C92349">
        <w:rPr>
          <w:b/>
        </w:rPr>
        <w:t>Industry, health services and research facilities:</w:t>
      </w:r>
      <w:r w:rsidRPr="00A40DC1">
        <w:t xml:space="preserve"> 1,600 license</w:t>
      </w:r>
      <w:r w:rsidR="00C92349">
        <w:t xml:space="preserve"> </w:t>
      </w:r>
      <w:r w:rsidRPr="00A40DC1">
        <w:t>and permit holders that possess or supply scheduled medicines</w:t>
      </w:r>
      <w:r w:rsidR="00C92349">
        <w:t xml:space="preserve"> </w:t>
      </w:r>
      <w:r w:rsidRPr="00A40DC1">
        <w:t xml:space="preserve">and poisons. </w:t>
      </w:r>
    </w:p>
    <w:p w:rsidR="00A40DC1" w:rsidRDefault="00A40DC1" w:rsidP="007E4DA6">
      <w:pPr>
        <w:pStyle w:val="DHHSbody"/>
        <w:rPr>
          <w:bCs/>
        </w:rPr>
      </w:pPr>
      <w:r w:rsidRPr="00C92349">
        <w:rPr>
          <w:b/>
        </w:rPr>
        <w:t>Medical practitioners:</w:t>
      </w:r>
      <w:r w:rsidRPr="00A40DC1">
        <w:t xml:space="preserve"> 60,000 treatment permit applications assessed each year. </w:t>
      </w:r>
    </w:p>
    <w:p w:rsidR="00A441D4" w:rsidRDefault="00A441D4" w:rsidP="00A40DC1">
      <w:pPr>
        <w:pStyle w:val="Heading1"/>
      </w:pPr>
      <w:r>
        <w:t>Who we work with</w:t>
      </w:r>
    </w:p>
    <w:p w:rsidR="00A40DC1" w:rsidRPr="00C92349" w:rsidRDefault="00A40DC1" w:rsidP="007E4DA6">
      <w:pPr>
        <w:pStyle w:val="DHHSbullet1"/>
        <w:rPr>
          <w:b/>
          <w:lang w:val="en-US"/>
        </w:rPr>
      </w:pPr>
      <w:r w:rsidRPr="00C92349">
        <w:rPr>
          <w:b/>
          <w:lang w:val="en-US"/>
        </w:rPr>
        <w:t xml:space="preserve">Victorian community </w:t>
      </w:r>
    </w:p>
    <w:p w:rsidR="00A40DC1" w:rsidRPr="00A40DC1" w:rsidRDefault="00A40DC1" w:rsidP="007E4DA6">
      <w:pPr>
        <w:pStyle w:val="DHHSbullet1"/>
        <w:rPr>
          <w:lang w:val="en-US"/>
        </w:rPr>
      </w:pPr>
      <w:r w:rsidRPr="00C92349">
        <w:rPr>
          <w:b/>
          <w:lang w:val="en-US"/>
        </w:rPr>
        <w:t>Peak bodies:</w:t>
      </w:r>
      <w:r w:rsidRPr="00A40DC1">
        <w:rPr>
          <w:lang w:val="en-US"/>
        </w:rPr>
        <w:t xml:space="preserve"> Pharmacy Guild, Pharmaceutical Society of Australia, Australian Medical Association, Royal Australian College of General Practitioners</w:t>
      </w:r>
      <w:r w:rsidR="00BA5E31">
        <w:rPr>
          <w:lang w:val="en-US"/>
        </w:rPr>
        <w:t>.</w:t>
      </w:r>
    </w:p>
    <w:p w:rsidR="00A40DC1" w:rsidRPr="00F6441D" w:rsidRDefault="00A40DC1" w:rsidP="007E4DA6">
      <w:pPr>
        <w:pStyle w:val="DHHSbullet1"/>
        <w:rPr>
          <w:lang w:val="en-US"/>
        </w:rPr>
      </w:pPr>
      <w:r w:rsidRPr="00F6441D">
        <w:rPr>
          <w:b/>
          <w:lang w:val="en-US"/>
        </w:rPr>
        <w:t>Intelligence sources:</w:t>
      </w:r>
      <w:r w:rsidRPr="00F6441D">
        <w:rPr>
          <w:lang w:val="en-US"/>
        </w:rPr>
        <w:t xml:space="preserve"> Victoria Police, the Victorian community and </w:t>
      </w:r>
      <w:r w:rsidR="00F6441D" w:rsidRPr="00F6441D">
        <w:rPr>
          <w:lang w:val="en-US"/>
        </w:rPr>
        <w:t>registered p</w:t>
      </w:r>
      <w:r w:rsidRPr="00F6441D">
        <w:rPr>
          <w:lang w:val="en-US"/>
        </w:rPr>
        <w:t>harmacists</w:t>
      </w:r>
      <w:r w:rsidR="00BA5E31" w:rsidRPr="00F6441D">
        <w:rPr>
          <w:lang w:val="en-US"/>
        </w:rPr>
        <w:t>.</w:t>
      </w:r>
    </w:p>
    <w:p w:rsidR="007A0890" w:rsidRDefault="00A40DC1" w:rsidP="00A40DC1">
      <w:pPr>
        <w:pStyle w:val="DHHSbullet1"/>
      </w:pPr>
      <w:r w:rsidRPr="00936D35">
        <w:rPr>
          <w:b/>
          <w:lang w:val="en-US"/>
        </w:rPr>
        <w:t>Co-regulators:</w:t>
      </w:r>
      <w:r w:rsidR="00C92349" w:rsidRPr="00936D35">
        <w:rPr>
          <w:lang w:val="en-US"/>
        </w:rPr>
        <w:t xml:space="preserve"> </w:t>
      </w:r>
      <w:r w:rsidRPr="00936D35">
        <w:rPr>
          <w:lang w:val="en-US"/>
        </w:rPr>
        <w:t>Commonwealth Therapeutic Goods Administration, Australian Health Practitioners Regulation Agency (AHPRA) and the Veterinary Practitioners Registration Board of Victoria</w:t>
      </w:r>
      <w:r w:rsidR="00BA5E31" w:rsidRPr="00936D35">
        <w:rPr>
          <w:lang w:val="en-US"/>
        </w:rPr>
        <w:t>.</w:t>
      </w:r>
    </w:p>
    <w:p w:rsidR="00936D35" w:rsidRDefault="007E4DA6" w:rsidP="004B4D5C">
      <w:pPr>
        <w:pStyle w:val="Heading1"/>
        <w:rPr>
          <w:rFonts w:eastAsia="Times" w:cs="Times New Roman"/>
          <w:b/>
          <w:bCs w:val="0"/>
          <w:color w:val="auto"/>
          <w:kern w:val="0"/>
          <w:sz w:val="24"/>
          <w:szCs w:val="20"/>
        </w:rPr>
      </w:pPr>
      <w:r w:rsidRPr="007E4DA6">
        <w:rPr>
          <w:rFonts w:eastAsia="Times" w:cs="Times New Roman"/>
          <w:b/>
          <w:bCs w:val="0"/>
          <w:i/>
          <w:color w:val="auto"/>
          <w:kern w:val="0"/>
          <w:sz w:val="24"/>
          <w:szCs w:val="20"/>
        </w:rPr>
        <w:lastRenderedPageBreak/>
        <w:t>Drugs and Poisons and Controlled Substances Act 1981</w:t>
      </w:r>
      <w:r>
        <w:rPr>
          <w:rFonts w:eastAsia="Times" w:cs="Times New Roman"/>
          <w:b/>
          <w:bCs w:val="0"/>
          <w:color w:val="auto"/>
          <w:kern w:val="0"/>
          <w:sz w:val="24"/>
          <w:szCs w:val="20"/>
        </w:rPr>
        <w:t>.</w:t>
      </w:r>
    </w:p>
    <w:p w:rsidR="00F6441D" w:rsidRDefault="006A3A5C" w:rsidP="00F6441D">
      <w:pPr>
        <w:pStyle w:val="Heading1"/>
        <w:jc w:val="center"/>
        <w:rPr>
          <w:rFonts w:eastAsia="Times" w:cs="Times New Roman"/>
          <w:b/>
          <w:bCs w:val="0"/>
          <w:color w:val="auto"/>
          <w:kern w:val="0"/>
          <w:sz w:val="24"/>
          <w:szCs w:val="20"/>
        </w:rPr>
      </w:pPr>
      <w:bookmarkStart w:id="1" w:name="_GoBack"/>
      <w:r>
        <w:rPr>
          <w:rFonts w:eastAsia="Times" w:cs="Times New Roman"/>
          <w:b/>
          <w:bCs w:val="0"/>
          <w:noProof/>
          <w:color w:val="auto"/>
          <w:kern w:val="0"/>
          <w:sz w:val="24"/>
          <w:szCs w:val="20"/>
          <w:lang w:eastAsia="en-AU"/>
        </w:rPr>
        <w:drawing>
          <wp:inline distT="0" distB="0" distL="0" distR="0">
            <wp:extent cx="5172765" cy="5202621"/>
            <wp:effectExtent l="0" t="0" r="8890" b="0"/>
            <wp:docPr id="1" name="Picture 1" descr="Descriptive text for this diagram is available at the end of this document under 'Figure text'." title="Regulatory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 and poisons regulatons triangle.png"/>
                    <pic:cNvPicPr/>
                  </pic:nvPicPr>
                  <pic:blipFill>
                    <a:blip r:embed="rId14">
                      <a:extLst>
                        <a:ext uri="{28A0092B-C50C-407E-A947-70E740481C1C}">
                          <a14:useLocalDpi xmlns:a14="http://schemas.microsoft.com/office/drawing/2010/main" val="0"/>
                        </a:ext>
                      </a:extLst>
                    </a:blip>
                    <a:stretch>
                      <a:fillRect/>
                    </a:stretch>
                  </pic:blipFill>
                  <pic:spPr>
                    <a:xfrm>
                      <a:off x="0" y="0"/>
                      <a:ext cx="5193039" cy="5223012"/>
                    </a:xfrm>
                    <a:prstGeom prst="rect">
                      <a:avLst/>
                    </a:prstGeom>
                  </pic:spPr>
                </pic:pic>
              </a:graphicData>
            </a:graphic>
          </wp:inline>
        </w:drawing>
      </w:r>
      <w:bookmarkEnd w:id="1"/>
    </w:p>
    <w:p w:rsidR="00A441D4" w:rsidRDefault="00936D35" w:rsidP="00F6441D">
      <w:pPr>
        <w:pStyle w:val="Heading1"/>
      </w:pPr>
      <w:r>
        <w:rPr>
          <w:rFonts w:eastAsia="Times" w:cs="Times New Roman"/>
          <w:b/>
          <w:bCs w:val="0"/>
          <w:color w:val="auto"/>
          <w:kern w:val="0"/>
          <w:sz w:val="24"/>
          <w:szCs w:val="20"/>
        </w:rPr>
        <w:br w:type="column"/>
      </w:r>
      <w:r w:rsidR="00A441D4" w:rsidRPr="00F6441D">
        <w:lastRenderedPageBreak/>
        <w:t>Contribution</w:t>
      </w:r>
      <w:r w:rsidR="00A441D4">
        <w:t xml:space="preserve"> story</w:t>
      </w:r>
    </w:p>
    <w:tbl>
      <w:tblPr>
        <w:tblStyle w:val="TableGrid"/>
        <w:tblW w:w="6130" w:type="dxa"/>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130"/>
      </w:tblGrid>
      <w:tr w:rsidR="00A441D4" w:rsidRPr="001F2F2D" w:rsidTr="00176DC9">
        <w:trPr>
          <w:trHeight w:val="2191"/>
        </w:trPr>
        <w:tc>
          <w:tcPr>
            <w:tcW w:w="6130" w:type="dxa"/>
            <w:shd w:val="clear" w:color="auto" w:fill="CCE5DB"/>
          </w:tcPr>
          <w:p w:rsidR="00A40DC1" w:rsidRDefault="00A40DC1" w:rsidP="00A40DC1">
            <w:pPr>
              <w:pStyle w:val="DHHStabletext"/>
            </w:pPr>
            <w:r>
              <w:t xml:space="preserve">Over the last decade there has been an exponential increase in the abuse of opioid analgesics and other drugs. An estimated five per cent of Australians have misused pharmaceuticals in the last 12 months. </w:t>
            </w:r>
          </w:p>
          <w:p w:rsidR="006A3A5C" w:rsidRPr="001F2F2D" w:rsidRDefault="00A40DC1" w:rsidP="00C87C2D">
            <w:pPr>
              <w:pStyle w:val="DHHStabletext"/>
            </w:pPr>
            <w:r>
              <w:t xml:space="preserve">The </w:t>
            </w:r>
            <w:r w:rsidR="00C87C2D">
              <w:t>Drugs</w:t>
            </w:r>
            <w:r w:rsidR="00705AA3" w:rsidRPr="00705AA3">
              <w:t xml:space="preserve"> </w:t>
            </w:r>
            <w:r>
              <w:t>and Poisons Regulation Branch aims to reduce the likelihood of this harm by regulating and monitoring key points in the supply chain of medicines and poisons.</w:t>
            </w:r>
          </w:p>
        </w:tc>
      </w:tr>
    </w:tbl>
    <w:p w:rsidR="00A441D4" w:rsidRDefault="00A441D4" w:rsidP="00A441D4">
      <w:pPr>
        <w:pStyle w:val="Heading1"/>
      </w:pPr>
      <w:r>
        <w:t>Measuring our impacts</w:t>
      </w:r>
    </w:p>
    <w:p w:rsidR="00292B00" w:rsidRPr="00176DC9" w:rsidRDefault="00292B00" w:rsidP="00176DC9">
      <w:pPr>
        <w:pStyle w:val="DHHSbody"/>
      </w:pPr>
      <w:r>
        <w:t>Our impact is measured by the following:</w:t>
      </w:r>
    </w:p>
    <w:p w:rsidR="00292B00" w:rsidRPr="006A3A5C" w:rsidRDefault="00292B00" w:rsidP="00176DC9">
      <w:pPr>
        <w:pStyle w:val="DHHSbullet1"/>
      </w:pPr>
      <w:r>
        <w:t>p</w:t>
      </w:r>
      <w:r w:rsidRPr="006A3A5C">
        <w:t>harmacotherapy treatment permits issued within designated timelines (one business day).</w:t>
      </w:r>
    </w:p>
    <w:p w:rsidR="00292B00" w:rsidRPr="006A3A5C" w:rsidRDefault="00292B00" w:rsidP="00176DC9">
      <w:pPr>
        <w:pStyle w:val="DHHSbullet1"/>
      </w:pPr>
      <w:r>
        <w:t>t</w:t>
      </w:r>
      <w:r w:rsidRPr="006A3A5C">
        <w:t>reatment permits to prescribe Schedule 8 medicine assessed within 4 weeks following receipt of an application</w:t>
      </w:r>
    </w:p>
    <w:p w:rsidR="00292B00" w:rsidRPr="006A3A5C" w:rsidRDefault="00292B00" w:rsidP="00176DC9">
      <w:pPr>
        <w:pStyle w:val="DHHSbullet1"/>
      </w:pPr>
      <w:r>
        <w:t>n</w:t>
      </w:r>
      <w:r w:rsidRPr="006A3A5C">
        <w:t>ew licences and permits issued for manufacture, use or supply of medicines and poisons within six weeks following receipt of required information.</w:t>
      </w:r>
    </w:p>
    <w:p w:rsidR="00292B00" w:rsidRPr="006A3A5C" w:rsidRDefault="00292B00" w:rsidP="00176DC9">
      <w:pPr>
        <w:pStyle w:val="DHHSbullet1"/>
      </w:pPr>
      <w:r>
        <w:t>po</w:t>
      </w:r>
      <w:r w:rsidRPr="006A3A5C">
        <w:t>tentially unsafe prescribing of Schedule 8 medicine identified and avoided</w:t>
      </w:r>
    </w:p>
    <w:p w:rsidR="00292B00" w:rsidRPr="006A3A5C" w:rsidRDefault="00292B00" w:rsidP="00176DC9">
      <w:pPr>
        <w:pStyle w:val="DHHSbullet1"/>
      </w:pPr>
      <w:r>
        <w:t>r</w:t>
      </w:r>
      <w:r w:rsidRPr="006A3A5C">
        <w:t>educed average dose of opioids prescribed</w:t>
      </w:r>
    </w:p>
    <w:p w:rsidR="00292B00" w:rsidRPr="006A3A5C" w:rsidRDefault="00292B00" w:rsidP="00176DC9">
      <w:pPr>
        <w:pStyle w:val="DHHSbullet1"/>
      </w:pPr>
      <w:r>
        <w:t>i</w:t>
      </w:r>
      <w:r w:rsidRPr="006A3A5C">
        <w:t>ncreased number of prescription shopping events identified (After establishment of RTPM in 2018-19)</w:t>
      </w:r>
    </w:p>
    <w:p w:rsidR="00292B00" w:rsidRDefault="00292B00" w:rsidP="00176DC9">
      <w:pPr>
        <w:pStyle w:val="DHHSbullet1"/>
      </w:pPr>
      <w:r>
        <w:t>i</w:t>
      </w:r>
      <w:r w:rsidRPr="006A3A5C">
        <w:t>dentified non</w:t>
      </w:r>
      <w:r>
        <w:t>-compliant activities addressed.</w:t>
      </w:r>
    </w:p>
    <w:p w:rsidR="00936D35" w:rsidRDefault="00936D35" w:rsidP="004B4D5C">
      <w:pPr>
        <w:pStyle w:val="Heading1"/>
      </w:pPr>
    </w:p>
    <w:p w:rsidR="00936D35" w:rsidRDefault="00936D35">
      <w:pPr>
        <w:sectPr w:rsidR="00936D35" w:rsidSect="00292B00">
          <w:type w:val="continuous"/>
          <w:pgSz w:w="23814" w:h="16840" w:orient="landscape" w:code="8"/>
          <w:pgMar w:top="1134" w:right="851" w:bottom="1134" w:left="851" w:header="567" w:footer="510" w:gutter="0"/>
          <w:cols w:num="3" w:space="283" w:equalWidth="0">
            <w:col w:w="7229" w:space="425"/>
            <w:col w:w="7938" w:space="709"/>
            <w:col w:w="5811"/>
          </w:cols>
          <w:titlePg/>
          <w:docGrid w:linePitch="360"/>
        </w:sectPr>
      </w:pPr>
    </w:p>
    <w:p w:rsidR="004B4D5C" w:rsidRDefault="004B4D5C"/>
    <w:p w:rsidR="00563476" w:rsidRDefault="00563476" w:rsidP="00563476">
      <w:pPr>
        <w:pStyle w:val="Heading1"/>
      </w:pPr>
      <w:r>
        <w:t xml:space="preserve">Diagram text </w:t>
      </w:r>
    </w:p>
    <w:p w:rsidR="00563476" w:rsidRPr="00733947" w:rsidRDefault="00563476" w:rsidP="00563476">
      <w:pPr>
        <w:keepNext/>
        <w:keepLines/>
        <w:spacing w:before="240" w:after="120"/>
        <w:rPr>
          <w:rFonts w:ascii="Arial" w:hAnsi="Arial"/>
          <w:b/>
        </w:rPr>
      </w:pPr>
      <w:r w:rsidRPr="00733947">
        <w:rPr>
          <w:rFonts w:ascii="Arial" w:hAnsi="Arial"/>
          <w:b/>
        </w:rPr>
        <w:t xml:space="preserve">Regulatory tools </w:t>
      </w:r>
    </w:p>
    <w:p w:rsidR="00B2752E" w:rsidRPr="00563476" w:rsidRDefault="00563476" w:rsidP="00563476">
      <w:pPr>
        <w:pStyle w:val="DHHSquote"/>
      </w:pPr>
      <w:r w:rsidRPr="00563476">
        <w:rPr>
          <w:color w:val="auto"/>
        </w:rPr>
        <w:t xml:space="preserve">This figure is an enforcement pyramid. The figure seeks to demonstrate that the </w:t>
      </w:r>
      <w:r w:rsidR="00B94E1F">
        <w:rPr>
          <w:color w:val="auto"/>
        </w:rPr>
        <w:t xml:space="preserve">Branch </w:t>
      </w:r>
      <w:r w:rsidRPr="00563476">
        <w:rPr>
          <w:color w:val="auto"/>
        </w:rPr>
        <w:t>will use the full range of tools available to it in line with the risks that they are seeking to manage. The enforcement pyramid illustrates a graduated and proportionate enforcement approach. The bottom of the pyramid outlines the lighter touch interventions such as assessment, through to criminal prosecution at the top of the pyramid, where regulated parties deliberately work against intended outcomes and intend to evade compliance obligations</w:t>
      </w:r>
      <w:r w:rsidRPr="00D54E43">
        <w:t>.</w:t>
      </w:r>
      <w:r>
        <w:t xml:space="preserve">  </w:t>
      </w:r>
    </w:p>
    <w:p w:rsidR="00563476" w:rsidRDefault="00563476" w:rsidP="00FF6D9D">
      <w:pPr>
        <w:pStyle w:val="DHHSbody"/>
      </w:pPr>
    </w:p>
    <w:tbl>
      <w:tblPr>
        <w:tblpPr w:leftFromText="180" w:rightFromText="180" w:vertAnchor="page" w:horzAnchor="margin" w:tblpY="3517"/>
        <w:tblW w:w="21967" w:type="dxa"/>
        <w:tblCellMar>
          <w:top w:w="113" w:type="dxa"/>
          <w:bottom w:w="57" w:type="dxa"/>
        </w:tblCellMar>
        <w:tblLook w:val="00A0" w:firstRow="1" w:lastRow="0" w:firstColumn="1" w:lastColumn="0" w:noHBand="0" w:noVBand="0"/>
      </w:tblPr>
      <w:tblGrid>
        <w:gridCol w:w="21967"/>
      </w:tblGrid>
      <w:tr w:rsidR="00563476" w:rsidRPr="002802E3" w:rsidTr="0056347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563476" w:rsidRPr="00605B5B" w:rsidRDefault="00563476" w:rsidP="00563476">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Pr="00860EDB">
              <w:rPr>
                <w:rFonts w:ascii="Arial" w:eastAsia="Times" w:hAnsi="Arial"/>
                <w:sz w:val="24"/>
                <w:szCs w:val="19"/>
              </w:rPr>
              <w:t>1300 364 545</w:t>
            </w:r>
            <w:r w:rsidRPr="00605B5B">
              <w:rPr>
                <w:rFonts w:ascii="Arial" w:eastAsia="Times" w:hAnsi="Arial"/>
                <w:sz w:val="24"/>
                <w:szCs w:val="19"/>
              </w:rPr>
              <w:t xml:space="preserve">, using the National Relay Service 13 36 77 if required, or </w:t>
            </w:r>
            <w:hyperlink r:id="rId15" w:history="1">
              <w:r w:rsidR="00C87C2D" w:rsidRPr="000E0419">
                <w:rPr>
                  <w:rStyle w:val="Hyperlink"/>
                  <w:rFonts w:ascii="Arial" w:eastAsia="Times" w:hAnsi="Arial"/>
                  <w:sz w:val="24"/>
                  <w:szCs w:val="19"/>
                </w:rPr>
                <w:t>email Drugs and Poisons Regulation branch</w:t>
              </w:r>
            </w:hyperlink>
            <w:r w:rsidRPr="00902AC8">
              <w:rPr>
                <w:rFonts w:ascii="Arial" w:eastAsia="Times" w:hAnsi="Arial"/>
                <w:sz w:val="24"/>
                <w:szCs w:val="19"/>
              </w:rPr>
              <w:t xml:space="preserve"> &lt;</w:t>
            </w:r>
            <w:r>
              <w:t xml:space="preserve"> </w:t>
            </w:r>
            <w:r w:rsidRPr="00860EDB">
              <w:rPr>
                <w:rFonts w:ascii="Arial" w:eastAsia="Times" w:hAnsi="Arial"/>
                <w:sz w:val="24"/>
                <w:szCs w:val="19"/>
              </w:rPr>
              <w:t>dpcs@dhhs.vic.gov.au</w:t>
            </w:r>
            <w:r w:rsidRPr="00902AC8">
              <w:rPr>
                <w:rFonts w:ascii="Arial" w:eastAsia="Times" w:hAnsi="Arial"/>
                <w:sz w:val="24"/>
                <w:szCs w:val="19"/>
              </w:rPr>
              <w:t>&gt;.</w:t>
            </w:r>
          </w:p>
          <w:p w:rsidR="00563476" w:rsidRPr="00254F58" w:rsidRDefault="00563476" w:rsidP="00563476">
            <w:pPr>
              <w:pStyle w:val="DHHSbody"/>
            </w:pPr>
            <w:r w:rsidRPr="00254F58">
              <w:t>Authorised and published by the Victorian Governmen</w:t>
            </w:r>
            <w:r>
              <w:t>t, 1 Treasury Place, Melbourne.</w:t>
            </w:r>
          </w:p>
          <w:p w:rsidR="00563476" w:rsidRPr="00254F58" w:rsidRDefault="00563476" w:rsidP="00563476">
            <w:pPr>
              <w:pStyle w:val="DHHSbody"/>
            </w:pPr>
            <w:r w:rsidRPr="00254F58">
              <w:t>© State of Vic</w:t>
            </w:r>
            <w:r>
              <w:t>toria, Department of Health and</w:t>
            </w:r>
            <w:r w:rsidRPr="00254F58">
              <w:t xml:space="preserve"> Human Services</w:t>
            </w:r>
            <w:r>
              <w:t>, March 2018.</w:t>
            </w:r>
          </w:p>
          <w:p w:rsidR="00563476" w:rsidRPr="00254F58" w:rsidRDefault="00563476" w:rsidP="00563476">
            <w:pPr>
              <w:pStyle w:val="DHHSbody"/>
            </w:pPr>
            <w:r w:rsidRPr="00254F58">
              <w:t>ISBN/ISSN</w:t>
            </w:r>
            <w:r w:rsidRPr="00F61A9F">
              <w:rPr>
                <w:color w:val="008950"/>
              </w:rPr>
              <w:t xml:space="preserve"> </w:t>
            </w:r>
            <w:r w:rsidRPr="00860EDB">
              <w:rPr>
                <w:color w:val="000000" w:themeColor="text1"/>
              </w:rPr>
              <w:t>978-1-76069-327-5</w:t>
            </w:r>
            <w:r>
              <w:rPr>
                <w:color w:val="000000" w:themeColor="text1"/>
              </w:rPr>
              <w:t xml:space="preserve"> (online)</w:t>
            </w:r>
          </w:p>
          <w:p w:rsidR="00563476" w:rsidRPr="007B0EA1" w:rsidRDefault="00563476" w:rsidP="00563476">
            <w:pPr>
              <w:pStyle w:val="DHHSbody"/>
              <w:rPr>
                <w:szCs w:val="19"/>
              </w:rPr>
            </w:pPr>
            <w:r w:rsidRPr="00254F58">
              <w:rPr>
                <w:szCs w:val="19"/>
              </w:rPr>
              <w:t xml:space="preserve">Available at </w:t>
            </w:r>
            <w:hyperlink r:id="rId16" w:history="1">
              <w:r w:rsidRPr="007B0EA1">
                <w:rPr>
                  <w:rStyle w:val="Hyperlink"/>
                  <w:szCs w:val="19"/>
                </w:rPr>
                <w:t>Regulatory practice framework</w:t>
              </w:r>
            </w:hyperlink>
            <w:r w:rsidRPr="007B0EA1">
              <w:rPr>
                <w:szCs w:val="19"/>
              </w:rPr>
              <w:t xml:space="preserve"> &lt;https://www.dhhs.vic.gov.au/better-regulatory-practice-framework</w:t>
            </w:r>
            <w:r>
              <w:rPr>
                <w:szCs w:val="19"/>
              </w:rPr>
              <w:t>&gt;</w:t>
            </w:r>
          </w:p>
        </w:tc>
      </w:tr>
    </w:tbl>
    <w:p w:rsidR="006802B3" w:rsidRPr="00906490" w:rsidRDefault="006802B3" w:rsidP="00FF6D9D">
      <w:pPr>
        <w:pStyle w:val="DHHSbody"/>
      </w:pPr>
    </w:p>
    <w:sectPr w:rsidR="006802B3" w:rsidRPr="00906490" w:rsidSect="00936D35">
      <w:type w:val="continuous"/>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8" w:rsidRDefault="00EE6B38">
      <w:r>
        <w:separator/>
      </w:r>
    </w:p>
  </w:endnote>
  <w:endnote w:type="continuationSeparator" w:id="0">
    <w:p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668940D7" wp14:editId="3A8956E4">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D4" w:rsidRPr="00726159" w:rsidRDefault="00936D35" w:rsidP="00726159">
    <w:pPr>
      <w:pStyle w:val="DHHSfooter"/>
      <w:tabs>
        <w:tab w:val="clear" w:pos="15139"/>
        <w:tab w:val="right" w:pos="22113"/>
      </w:tabs>
      <w:rPr>
        <w:color w:val="007B4B"/>
      </w:rPr>
    </w:pPr>
    <w:r w:rsidRPr="00936D35">
      <w:rPr>
        <w:color w:val="007B4B"/>
      </w:rPr>
      <w:t>Drugs and poisons regulator plan on a page: Drugs and poisons regulator plan January 2018 – June 2019</w:t>
    </w:r>
    <w:r w:rsidR="00726159" w:rsidRPr="00BB6F41">
      <w:rPr>
        <w:color w:val="007B4B"/>
      </w:rPr>
      <w:tab/>
    </w:r>
    <w:r w:rsidR="00726159" w:rsidRPr="00BB6F41">
      <w:rPr>
        <w:color w:val="007B4B"/>
      </w:rPr>
      <w:fldChar w:fldCharType="begin"/>
    </w:r>
    <w:r w:rsidR="00726159" w:rsidRPr="00BB6F41">
      <w:rPr>
        <w:color w:val="007B4B"/>
      </w:rPr>
      <w:instrText xml:space="preserve"> PAGE </w:instrText>
    </w:r>
    <w:r w:rsidR="00726159" w:rsidRPr="00BB6F41">
      <w:rPr>
        <w:color w:val="007B4B"/>
      </w:rPr>
      <w:fldChar w:fldCharType="separate"/>
    </w:r>
    <w:r w:rsidR="007D44B5">
      <w:rPr>
        <w:noProof/>
        <w:color w:val="007B4B"/>
      </w:rPr>
      <w:t>2</w:t>
    </w:r>
    <w:r w:rsidR="00726159" w:rsidRPr="00BB6F41">
      <w:rPr>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35" w:rsidRPr="00BB6F41" w:rsidRDefault="00705AA3" w:rsidP="00BB6F41">
    <w:pPr>
      <w:pStyle w:val="DHHSfooter"/>
      <w:tabs>
        <w:tab w:val="clear" w:pos="15139"/>
        <w:tab w:val="right" w:pos="22113"/>
      </w:tabs>
      <w:rPr>
        <w:color w:val="007B4B"/>
      </w:rPr>
    </w:pPr>
    <w:r w:rsidRPr="00705AA3">
      <w:rPr>
        <w:color w:val="007B4B"/>
      </w:rPr>
      <w:t>Medicines</w:t>
    </w:r>
    <w:r w:rsidR="00936D35">
      <w:rPr>
        <w:color w:val="007B4B"/>
      </w:rPr>
      <w:t xml:space="preserve"> and poisons</w:t>
    </w:r>
    <w:r w:rsidR="00936D35" w:rsidRPr="00F03137">
      <w:rPr>
        <w:color w:val="007B4B"/>
      </w:rPr>
      <w:t xml:space="preserve"> </w:t>
    </w:r>
    <w:r w:rsidR="00936D35" w:rsidRPr="00BB6F41">
      <w:rPr>
        <w:color w:val="007B4B"/>
      </w:rPr>
      <w:t xml:space="preserve">regulator plan on a page: </w:t>
    </w:r>
    <w:r w:rsidRPr="00705AA3">
      <w:rPr>
        <w:color w:val="007B4B"/>
      </w:rPr>
      <w:t>Medicines</w:t>
    </w:r>
    <w:r>
      <w:rPr>
        <w:color w:val="007B4B"/>
      </w:rPr>
      <w:t xml:space="preserve"> </w:t>
    </w:r>
    <w:r w:rsidR="00936D35" w:rsidRPr="00C92349">
      <w:rPr>
        <w:color w:val="007B4B"/>
      </w:rPr>
      <w:t xml:space="preserve">and poisons </w:t>
    </w:r>
    <w:r w:rsidR="00936D35" w:rsidRPr="00BB6F41">
      <w:rPr>
        <w:color w:val="007B4B"/>
      </w:rPr>
      <w:t xml:space="preserve">regulator plan </w:t>
    </w:r>
    <w:r w:rsidR="002005ED">
      <w:rPr>
        <w:color w:val="007B4B"/>
      </w:rPr>
      <w:t xml:space="preserve">March </w:t>
    </w:r>
    <w:r w:rsidR="00936D35" w:rsidRPr="00BB6F41">
      <w:rPr>
        <w:color w:val="007B4B"/>
      </w:rPr>
      <w:t>2018 – June 2019</w:t>
    </w:r>
    <w:r w:rsidR="00936D35" w:rsidRPr="00BB6F41">
      <w:rPr>
        <w:color w:val="007B4B"/>
      </w:rPr>
      <w:tab/>
    </w:r>
    <w:r w:rsidR="00936D35" w:rsidRPr="00BB6F41">
      <w:rPr>
        <w:color w:val="007B4B"/>
      </w:rPr>
      <w:fldChar w:fldCharType="begin"/>
    </w:r>
    <w:r w:rsidR="00936D35" w:rsidRPr="00BB6F41">
      <w:rPr>
        <w:color w:val="007B4B"/>
      </w:rPr>
      <w:instrText xml:space="preserve"> PAGE </w:instrText>
    </w:r>
    <w:r w:rsidR="00936D35" w:rsidRPr="00BB6F41">
      <w:rPr>
        <w:color w:val="007B4B"/>
      </w:rPr>
      <w:fldChar w:fldCharType="separate"/>
    </w:r>
    <w:r>
      <w:rPr>
        <w:noProof/>
        <w:color w:val="007B4B"/>
      </w:rPr>
      <w:t>2</w:t>
    </w:r>
    <w:r w:rsidR="00936D35"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8" w:rsidRDefault="00EE6B38" w:rsidP="002862F1">
      <w:pPr>
        <w:spacing w:before="120"/>
      </w:pPr>
      <w:r>
        <w:separator/>
      </w:r>
    </w:p>
  </w:footnote>
  <w:footnote w:type="continuationSeparator" w:id="0">
    <w:p w:rsidR="00EE6B38" w:rsidRDefault="00EE6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3500"/>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52C"/>
    <w:rsid w:val="000E3CC7"/>
    <w:rsid w:val="000E6BD4"/>
    <w:rsid w:val="000F1F1E"/>
    <w:rsid w:val="000F2259"/>
    <w:rsid w:val="001005E4"/>
    <w:rsid w:val="0010392D"/>
    <w:rsid w:val="00104FE3"/>
    <w:rsid w:val="00120BD3"/>
    <w:rsid w:val="00122FEA"/>
    <w:rsid w:val="001232BD"/>
    <w:rsid w:val="00124ED5"/>
    <w:rsid w:val="00143749"/>
    <w:rsid w:val="001447B3"/>
    <w:rsid w:val="0014502A"/>
    <w:rsid w:val="00152073"/>
    <w:rsid w:val="00161939"/>
    <w:rsid w:val="00161AA0"/>
    <w:rsid w:val="00162093"/>
    <w:rsid w:val="001645B1"/>
    <w:rsid w:val="001666C9"/>
    <w:rsid w:val="00176DC9"/>
    <w:rsid w:val="001771DD"/>
    <w:rsid w:val="00177995"/>
    <w:rsid w:val="00177A8C"/>
    <w:rsid w:val="001824B7"/>
    <w:rsid w:val="00186B33"/>
    <w:rsid w:val="00187F13"/>
    <w:rsid w:val="00192F9D"/>
    <w:rsid w:val="00196EB8"/>
    <w:rsid w:val="001979FF"/>
    <w:rsid w:val="00197B17"/>
    <w:rsid w:val="001A3ACE"/>
    <w:rsid w:val="001A4BD9"/>
    <w:rsid w:val="001C2A72"/>
    <w:rsid w:val="001D0B75"/>
    <w:rsid w:val="001D38AE"/>
    <w:rsid w:val="001D3C09"/>
    <w:rsid w:val="001D44E8"/>
    <w:rsid w:val="001D60EC"/>
    <w:rsid w:val="001D773D"/>
    <w:rsid w:val="001E44DF"/>
    <w:rsid w:val="001E68A5"/>
    <w:rsid w:val="001E73EF"/>
    <w:rsid w:val="001F3826"/>
    <w:rsid w:val="001F6E46"/>
    <w:rsid w:val="001F7C91"/>
    <w:rsid w:val="002005ED"/>
    <w:rsid w:val="0020630E"/>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2B00"/>
    <w:rsid w:val="0029597D"/>
    <w:rsid w:val="002962C3"/>
    <w:rsid w:val="002A483C"/>
    <w:rsid w:val="002B1729"/>
    <w:rsid w:val="002B4DD4"/>
    <w:rsid w:val="002B5277"/>
    <w:rsid w:val="002B71EC"/>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0400"/>
    <w:rsid w:val="003B15E6"/>
    <w:rsid w:val="003C2045"/>
    <w:rsid w:val="003C2440"/>
    <w:rsid w:val="003C43A1"/>
    <w:rsid w:val="003C4FC0"/>
    <w:rsid w:val="003C55F4"/>
    <w:rsid w:val="003C7A3F"/>
    <w:rsid w:val="003D36D8"/>
    <w:rsid w:val="003D3E8F"/>
    <w:rsid w:val="003D6475"/>
    <w:rsid w:val="003E2E5F"/>
    <w:rsid w:val="003F0445"/>
    <w:rsid w:val="003F0CF0"/>
    <w:rsid w:val="003F3289"/>
    <w:rsid w:val="00400F53"/>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28D4"/>
    <w:rsid w:val="00483968"/>
    <w:rsid w:val="0048442F"/>
    <w:rsid w:val="00484F86"/>
    <w:rsid w:val="00490746"/>
    <w:rsid w:val="00490852"/>
    <w:rsid w:val="00492D85"/>
    <w:rsid w:val="00492F30"/>
    <w:rsid w:val="004946F4"/>
    <w:rsid w:val="0049487E"/>
    <w:rsid w:val="004A160D"/>
    <w:rsid w:val="004A3E81"/>
    <w:rsid w:val="004A5C62"/>
    <w:rsid w:val="004A707D"/>
    <w:rsid w:val="004B4D5C"/>
    <w:rsid w:val="004C6EEE"/>
    <w:rsid w:val="004C702B"/>
    <w:rsid w:val="004D016B"/>
    <w:rsid w:val="004D1B22"/>
    <w:rsid w:val="004D36F2"/>
    <w:rsid w:val="004E138F"/>
    <w:rsid w:val="004E3D31"/>
    <w:rsid w:val="004E4649"/>
    <w:rsid w:val="004E5C2B"/>
    <w:rsid w:val="004E7DBA"/>
    <w:rsid w:val="004E7E8C"/>
    <w:rsid w:val="004F00DD"/>
    <w:rsid w:val="004F2133"/>
    <w:rsid w:val="004F55F1"/>
    <w:rsid w:val="004F6936"/>
    <w:rsid w:val="005027C0"/>
    <w:rsid w:val="00503DC6"/>
    <w:rsid w:val="00506F5D"/>
    <w:rsid w:val="00510D9E"/>
    <w:rsid w:val="005126D0"/>
    <w:rsid w:val="0051568D"/>
    <w:rsid w:val="00526C15"/>
    <w:rsid w:val="005273B4"/>
    <w:rsid w:val="005277A5"/>
    <w:rsid w:val="00536499"/>
    <w:rsid w:val="00541ADB"/>
    <w:rsid w:val="00543903"/>
    <w:rsid w:val="00547A95"/>
    <w:rsid w:val="00557E03"/>
    <w:rsid w:val="00563476"/>
    <w:rsid w:val="00572031"/>
    <w:rsid w:val="00576E84"/>
    <w:rsid w:val="00582B8C"/>
    <w:rsid w:val="0058757E"/>
    <w:rsid w:val="00596A4B"/>
    <w:rsid w:val="00597507"/>
    <w:rsid w:val="005A3839"/>
    <w:rsid w:val="005B21B6"/>
    <w:rsid w:val="005B3A08"/>
    <w:rsid w:val="005B7A63"/>
    <w:rsid w:val="005C052F"/>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008A"/>
    <w:rsid w:val="006358B4"/>
    <w:rsid w:val="006419AA"/>
    <w:rsid w:val="006447F0"/>
    <w:rsid w:val="00644B7E"/>
    <w:rsid w:val="006454E6"/>
    <w:rsid w:val="00646A68"/>
    <w:rsid w:val="0065092E"/>
    <w:rsid w:val="006557A7"/>
    <w:rsid w:val="00656290"/>
    <w:rsid w:val="006621D7"/>
    <w:rsid w:val="00662B57"/>
    <w:rsid w:val="0066302A"/>
    <w:rsid w:val="00670597"/>
    <w:rsid w:val="006706D0"/>
    <w:rsid w:val="00677574"/>
    <w:rsid w:val="006802B3"/>
    <w:rsid w:val="0068454C"/>
    <w:rsid w:val="00691B62"/>
    <w:rsid w:val="00693D14"/>
    <w:rsid w:val="006A016F"/>
    <w:rsid w:val="006A18C2"/>
    <w:rsid w:val="006A3A5C"/>
    <w:rsid w:val="006B077C"/>
    <w:rsid w:val="006D2A3F"/>
    <w:rsid w:val="006E138B"/>
    <w:rsid w:val="006F1FDC"/>
    <w:rsid w:val="007013EF"/>
    <w:rsid w:val="007034E7"/>
    <w:rsid w:val="00705AA3"/>
    <w:rsid w:val="007216AA"/>
    <w:rsid w:val="00721AB5"/>
    <w:rsid w:val="00721DEF"/>
    <w:rsid w:val="00724A43"/>
    <w:rsid w:val="00726159"/>
    <w:rsid w:val="007346E4"/>
    <w:rsid w:val="00740F22"/>
    <w:rsid w:val="00741F1A"/>
    <w:rsid w:val="007450F8"/>
    <w:rsid w:val="0074696E"/>
    <w:rsid w:val="00750135"/>
    <w:rsid w:val="00752B28"/>
    <w:rsid w:val="00754E36"/>
    <w:rsid w:val="00760D84"/>
    <w:rsid w:val="00763139"/>
    <w:rsid w:val="00770F37"/>
    <w:rsid w:val="00772D5E"/>
    <w:rsid w:val="00776928"/>
    <w:rsid w:val="00782873"/>
    <w:rsid w:val="00786F16"/>
    <w:rsid w:val="00796E20"/>
    <w:rsid w:val="007977A4"/>
    <w:rsid w:val="00797C32"/>
    <w:rsid w:val="007A0890"/>
    <w:rsid w:val="007A21D8"/>
    <w:rsid w:val="007B0914"/>
    <w:rsid w:val="007B0EA1"/>
    <w:rsid w:val="007B1374"/>
    <w:rsid w:val="007B589F"/>
    <w:rsid w:val="007B6186"/>
    <w:rsid w:val="007C14D9"/>
    <w:rsid w:val="007C7301"/>
    <w:rsid w:val="007C7859"/>
    <w:rsid w:val="007D2BDE"/>
    <w:rsid w:val="007D2FB6"/>
    <w:rsid w:val="007D44B5"/>
    <w:rsid w:val="007E0DE2"/>
    <w:rsid w:val="007E4DA6"/>
    <w:rsid w:val="007F31B6"/>
    <w:rsid w:val="007F546C"/>
    <w:rsid w:val="007F665E"/>
    <w:rsid w:val="00800412"/>
    <w:rsid w:val="0080587B"/>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0EDB"/>
    <w:rsid w:val="008633F0"/>
    <w:rsid w:val="0086791C"/>
    <w:rsid w:val="00867D9D"/>
    <w:rsid w:val="00872E0A"/>
    <w:rsid w:val="00875285"/>
    <w:rsid w:val="00884B62"/>
    <w:rsid w:val="0088529C"/>
    <w:rsid w:val="00887903"/>
    <w:rsid w:val="0089270A"/>
    <w:rsid w:val="00893AF6"/>
    <w:rsid w:val="00894BC4"/>
    <w:rsid w:val="008B2EE4"/>
    <w:rsid w:val="008B2F9E"/>
    <w:rsid w:val="008B4D3D"/>
    <w:rsid w:val="008B57C7"/>
    <w:rsid w:val="008C2F92"/>
    <w:rsid w:val="008C3808"/>
    <w:rsid w:val="008C65EB"/>
    <w:rsid w:val="008D2F4B"/>
    <w:rsid w:val="008D4236"/>
    <w:rsid w:val="008D462F"/>
    <w:rsid w:val="008E4376"/>
    <w:rsid w:val="008E7A0A"/>
    <w:rsid w:val="00900719"/>
    <w:rsid w:val="009017AC"/>
    <w:rsid w:val="00905030"/>
    <w:rsid w:val="00906490"/>
    <w:rsid w:val="009111B2"/>
    <w:rsid w:val="00923937"/>
    <w:rsid w:val="00924AE1"/>
    <w:rsid w:val="009269B1"/>
    <w:rsid w:val="0092724D"/>
    <w:rsid w:val="00936D35"/>
    <w:rsid w:val="00937BD9"/>
    <w:rsid w:val="00950E2C"/>
    <w:rsid w:val="00951D50"/>
    <w:rsid w:val="009525EB"/>
    <w:rsid w:val="0095645E"/>
    <w:rsid w:val="00961400"/>
    <w:rsid w:val="00963646"/>
    <w:rsid w:val="0097480A"/>
    <w:rsid w:val="009853E1"/>
    <w:rsid w:val="00986E6B"/>
    <w:rsid w:val="00991769"/>
    <w:rsid w:val="00994386"/>
    <w:rsid w:val="009A13D8"/>
    <w:rsid w:val="009A279E"/>
    <w:rsid w:val="009A614A"/>
    <w:rsid w:val="009B0712"/>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0799"/>
    <w:rsid w:val="00A36213"/>
    <w:rsid w:val="00A40DC1"/>
    <w:rsid w:val="00A441D4"/>
    <w:rsid w:val="00A44882"/>
    <w:rsid w:val="00A54715"/>
    <w:rsid w:val="00A6061C"/>
    <w:rsid w:val="00A62787"/>
    <w:rsid w:val="00A62A86"/>
    <w:rsid w:val="00A62D44"/>
    <w:rsid w:val="00A67263"/>
    <w:rsid w:val="00A7161C"/>
    <w:rsid w:val="00A77AA3"/>
    <w:rsid w:val="00A81792"/>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D4EEF"/>
    <w:rsid w:val="00AE040C"/>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3201"/>
    <w:rsid w:val="00B45141"/>
    <w:rsid w:val="00B5273A"/>
    <w:rsid w:val="00B62B50"/>
    <w:rsid w:val="00B635B7"/>
    <w:rsid w:val="00B63AE8"/>
    <w:rsid w:val="00B65950"/>
    <w:rsid w:val="00B672C0"/>
    <w:rsid w:val="00B75646"/>
    <w:rsid w:val="00B81E28"/>
    <w:rsid w:val="00B90729"/>
    <w:rsid w:val="00B907DA"/>
    <w:rsid w:val="00B94E1F"/>
    <w:rsid w:val="00B950BC"/>
    <w:rsid w:val="00B9714C"/>
    <w:rsid w:val="00BA3F8D"/>
    <w:rsid w:val="00BA4845"/>
    <w:rsid w:val="00BA5E31"/>
    <w:rsid w:val="00BB6F41"/>
    <w:rsid w:val="00BB7A10"/>
    <w:rsid w:val="00BC7D4F"/>
    <w:rsid w:val="00BC7ED7"/>
    <w:rsid w:val="00BD2850"/>
    <w:rsid w:val="00BE1DE0"/>
    <w:rsid w:val="00BE28D2"/>
    <w:rsid w:val="00BF5F6F"/>
    <w:rsid w:val="00BF7F58"/>
    <w:rsid w:val="00C01381"/>
    <w:rsid w:val="00C03B79"/>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863C4"/>
    <w:rsid w:val="00C87C2D"/>
    <w:rsid w:val="00C92349"/>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57A"/>
    <w:rsid w:val="00D07F00"/>
    <w:rsid w:val="00D1790F"/>
    <w:rsid w:val="00D32B8A"/>
    <w:rsid w:val="00D33E72"/>
    <w:rsid w:val="00D35BD6"/>
    <w:rsid w:val="00D361B5"/>
    <w:rsid w:val="00D411A2"/>
    <w:rsid w:val="00D4711A"/>
    <w:rsid w:val="00D50B9C"/>
    <w:rsid w:val="00D52D73"/>
    <w:rsid w:val="00D52E58"/>
    <w:rsid w:val="00D714CC"/>
    <w:rsid w:val="00D75EA7"/>
    <w:rsid w:val="00D7761E"/>
    <w:rsid w:val="00D81F21"/>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6191"/>
    <w:rsid w:val="00E170DC"/>
    <w:rsid w:val="00E21842"/>
    <w:rsid w:val="00E23265"/>
    <w:rsid w:val="00E26818"/>
    <w:rsid w:val="00E27FFC"/>
    <w:rsid w:val="00E30B15"/>
    <w:rsid w:val="00E40181"/>
    <w:rsid w:val="00E43426"/>
    <w:rsid w:val="00E45931"/>
    <w:rsid w:val="00E53A79"/>
    <w:rsid w:val="00E55342"/>
    <w:rsid w:val="00E60233"/>
    <w:rsid w:val="00E629A1"/>
    <w:rsid w:val="00E75CCB"/>
    <w:rsid w:val="00E82C55"/>
    <w:rsid w:val="00E87893"/>
    <w:rsid w:val="00E92AC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3137"/>
    <w:rsid w:val="00F0437A"/>
    <w:rsid w:val="00F11037"/>
    <w:rsid w:val="00F16F1B"/>
    <w:rsid w:val="00F203D3"/>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41D"/>
    <w:rsid w:val="00F64696"/>
    <w:rsid w:val="00F65AA9"/>
    <w:rsid w:val="00F668CA"/>
    <w:rsid w:val="00F6768F"/>
    <w:rsid w:val="00F725AE"/>
    <w:rsid w:val="00F72C2C"/>
    <w:rsid w:val="00F76CAB"/>
    <w:rsid w:val="00F772C6"/>
    <w:rsid w:val="00F85195"/>
    <w:rsid w:val="00F92503"/>
    <w:rsid w:val="00F938BA"/>
    <w:rsid w:val="00F947D2"/>
    <w:rsid w:val="00FA2C46"/>
    <w:rsid w:val="00FA5A22"/>
    <w:rsid w:val="00FA6B67"/>
    <w:rsid w:val="00FB4CDA"/>
    <w:rsid w:val="00FC0F81"/>
    <w:rsid w:val="00FC395C"/>
    <w:rsid w:val="00FD1CEB"/>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4B4D5C"/>
    <w:rPr>
      <w:rFonts w:ascii="Cambria" w:hAnsi="Cambria"/>
      <w:lang w:eastAsia="en-US"/>
    </w:rPr>
  </w:style>
  <w:style w:type="paragraph" w:styleId="Heading1">
    <w:name w:val="heading 1"/>
    <w:next w:val="DHHSbody"/>
    <w:link w:val="Heading1Char"/>
    <w:uiPriority w:val="1"/>
    <w:qFormat/>
    <w:rsid w:val="006A3A5C"/>
    <w:pPr>
      <w:keepNext/>
      <w:keepLines/>
      <w:spacing w:before="200" w:after="12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662B57"/>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6A3A5C"/>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92349"/>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662B57"/>
    <w:pPr>
      <w:spacing w:before="80" w:after="60" w:line="280" w:lineRule="atLeast"/>
    </w:pPr>
    <w:rPr>
      <w:rFonts w:ascii="Arial" w:hAnsi="Arial"/>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7E4DA6"/>
    <w:pPr>
      <w:spacing w:before="80" w:after="60"/>
    </w:pPr>
    <w:rPr>
      <w:rFonts w:ascii="Arial" w:hAnsi="Arial"/>
      <w:b/>
      <w:color w:val="FFFFFF" w:themeColor="background1"/>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unhideWhenUsed/>
    <w:rsid w:val="007A0890"/>
    <w:pPr>
      <w:spacing w:before="100" w:beforeAutospacing="1" w:after="100" w:afterAutospacing="1"/>
    </w:pPr>
    <w:rPr>
      <w:rFonts w:ascii="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4B4D5C"/>
    <w:rPr>
      <w:rFonts w:ascii="Cambria" w:hAnsi="Cambria"/>
      <w:lang w:eastAsia="en-US"/>
    </w:rPr>
  </w:style>
  <w:style w:type="paragraph" w:styleId="Heading1">
    <w:name w:val="heading 1"/>
    <w:next w:val="DHHSbody"/>
    <w:link w:val="Heading1Char"/>
    <w:uiPriority w:val="1"/>
    <w:qFormat/>
    <w:rsid w:val="006A3A5C"/>
    <w:pPr>
      <w:keepNext/>
      <w:keepLines/>
      <w:spacing w:before="200" w:after="12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662B57"/>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6A3A5C"/>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92349"/>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662B57"/>
    <w:pPr>
      <w:spacing w:before="80" w:after="60" w:line="280" w:lineRule="atLeast"/>
    </w:pPr>
    <w:rPr>
      <w:rFonts w:ascii="Arial" w:hAnsi="Arial"/>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7E4DA6"/>
    <w:pPr>
      <w:spacing w:before="80" w:after="60"/>
    </w:pPr>
    <w:rPr>
      <w:rFonts w:ascii="Arial" w:hAnsi="Arial"/>
      <w:b/>
      <w:color w:val="FFFFFF" w:themeColor="background1"/>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unhideWhenUsed/>
    <w:rsid w:val="007A0890"/>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697007081">
      <w:bodyDiv w:val="1"/>
      <w:marLeft w:val="0"/>
      <w:marRight w:val="0"/>
      <w:marTop w:val="0"/>
      <w:marBottom w:val="0"/>
      <w:divBdr>
        <w:top w:val="none" w:sz="0" w:space="0" w:color="auto"/>
        <w:left w:val="none" w:sz="0" w:space="0" w:color="auto"/>
        <w:bottom w:val="none" w:sz="0" w:space="0" w:color="auto"/>
        <w:right w:val="none" w:sz="0" w:space="0" w:color="auto"/>
      </w:divBdr>
    </w:div>
    <w:div w:id="751046323">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hhs.vic.gov.au/better-regulatory-practice-framewor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email%20Drugs%20and%20Poisons%20Regulation%20branch"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D9EF4-992E-4B81-9193-FB5F756D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0</TotalTime>
  <Pages>2</Pages>
  <Words>581</Words>
  <Characters>3922</Characters>
  <Application>Microsoft Office Word</Application>
  <DocSecurity>0</DocSecurity>
  <Lines>95</Lines>
  <Paragraphs>64</Paragraphs>
  <ScaleCrop>false</ScaleCrop>
  <HeadingPairs>
    <vt:vector size="2" baseType="variant">
      <vt:variant>
        <vt:lpstr>Title</vt:lpstr>
      </vt:variant>
      <vt:variant>
        <vt:i4>1</vt:i4>
      </vt:variant>
    </vt:vector>
  </HeadingPairs>
  <TitlesOfParts>
    <vt:vector size="1" baseType="lpstr">
      <vt:lpstr>Drugs and poisons regulator plan on a page: Drugs and poisons regulator plan March 2018 – June 2019</vt:lpstr>
    </vt:vector>
  </TitlesOfParts>
  <Company>Department of Health and Human Services</Company>
  <LinksUpToDate>false</LinksUpToDate>
  <CharactersWithSpaces>4439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and poisons regulator plan on a page: Drugs and poisons regulator plan March 2018 – June 2019</dc:title>
  <dc:subject>regulator plan on a page</dc:subject>
  <dc:creator>Drugs and Poisons Regulation</dc:creator>
  <cp:keywords>drugs and poisons, regulation, Better regulatory practice framework, plan on a page</cp:keywords>
  <cp:revision>2</cp:revision>
  <cp:lastPrinted>2018-10-10T21:13:00Z</cp:lastPrinted>
  <dcterms:created xsi:type="dcterms:W3CDTF">2018-10-12T00:19:00Z</dcterms:created>
  <dcterms:modified xsi:type="dcterms:W3CDTF">2018-10-12T00:19:00Z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