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-63062</wp:posOffset>
            </wp:positionH>
            <wp:positionV relativeFrom="page">
              <wp:posOffset>0</wp:posOffset>
            </wp:positionV>
            <wp:extent cx="15234296" cy="1813034"/>
            <wp:effectExtent l="0" t="0" r="5715" b="0"/>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262727" cy="1816418"/>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footerReference w:type="default" r:id="rId10"/>
          <w:footerReference w:type="first" r:id="rId11"/>
          <w:pgSz w:w="23814" w:h="16840" w:orient="landscape" w:code="8"/>
          <w:pgMar w:top="425" w:right="851" w:bottom="1418" w:left="851" w:header="510" w:footer="510" w:gutter="0"/>
          <w:cols w:space="708"/>
          <w:docGrid w:linePitch="360"/>
        </w:sectPr>
      </w:pPr>
    </w:p>
    <w:tbl>
      <w:tblPr>
        <w:tblW w:w="14283" w:type="dxa"/>
        <w:tblLook w:val="04A0" w:firstRow="1" w:lastRow="0" w:firstColumn="1" w:lastColumn="0" w:noHBand="0" w:noVBand="1"/>
      </w:tblPr>
      <w:tblGrid>
        <w:gridCol w:w="14283"/>
      </w:tblGrid>
      <w:tr w:rsidR="003A3438" w:rsidTr="00A441D4">
        <w:trPr>
          <w:trHeight w:val="1106"/>
        </w:trPr>
        <w:tc>
          <w:tcPr>
            <w:tcW w:w="14283" w:type="dxa"/>
            <w:shd w:val="clear" w:color="auto" w:fill="auto"/>
            <w:vAlign w:val="bottom"/>
          </w:tcPr>
          <w:p w:rsidR="003A3438" w:rsidRPr="00161AA0" w:rsidRDefault="00E17F3F" w:rsidP="0020630E">
            <w:pPr>
              <w:pStyle w:val="DHHSmainheading"/>
            </w:pPr>
            <w:bookmarkStart w:id="0" w:name="_Toc410762195"/>
            <w:r>
              <w:lastRenderedPageBreak/>
              <w:t>Food safety</w:t>
            </w:r>
            <w:r w:rsidR="00852D57" w:rsidRPr="00EB3422">
              <w:t xml:space="preserve"> </w:t>
            </w:r>
            <w:r w:rsidR="00852D57">
              <w:t>r</w:t>
            </w:r>
            <w:r w:rsidR="00EB3422" w:rsidRPr="00EB3422">
              <w:t>egulator</w:t>
            </w:r>
            <w:r w:rsidR="00F203D3">
              <w:t xml:space="preserve"> plan on a page</w:t>
            </w:r>
          </w:p>
        </w:tc>
      </w:tr>
      <w:tr w:rsidR="003A3438" w:rsidTr="00A441D4">
        <w:trPr>
          <w:trHeight w:hRule="exact" w:val="907"/>
        </w:trPr>
        <w:tc>
          <w:tcPr>
            <w:tcW w:w="14283" w:type="dxa"/>
            <w:shd w:val="clear" w:color="auto" w:fill="auto"/>
            <w:tcMar>
              <w:top w:w="340" w:type="dxa"/>
              <w:bottom w:w="680" w:type="dxa"/>
            </w:tcMar>
          </w:tcPr>
          <w:p w:rsidR="003A3438" w:rsidRDefault="00E17F3F" w:rsidP="00F203D3">
            <w:pPr>
              <w:pStyle w:val="DHHSmainsubheading"/>
            </w:pPr>
            <w:r>
              <w:t>Food safety</w:t>
            </w:r>
            <w:r w:rsidR="00A441D4" w:rsidRPr="00A441D4">
              <w:t xml:space="preserve"> </w:t>
            </w:r>
            <w:r w:rsidR="00814111">
              <w:t>regulator plan March</w:t>
            </w:r>
            <w:r w:rsidR="00F203D3">
              <w:t xml:space="preserve"> 2018 – June 2019</w:t>
            </w:r>
          </w:p>
        </w:tc>
      </w:tr>
    </w:tbl>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0"/>
    <w:p w:rsidR="008C3808" w:rsidRDefault="00852D57" w:rsidP="00F203D3">
      <w:pPr>
        <w:pStyle w:val="DHHSquote"/>
      </w:pPr>
      <w:r w:rsidRPr="00F75AF6">
        <w:rPr>
          <w:color w:val="auto"/>
        </w:rPr>
        <w:lastRenderedPageBreak/>
        <w:t>This document</w:t>
      </w:r>
      <w:r w:rsidR="00C17EFB" w:rsidRPr="00F75AF6">
        <w:rPr>
          <w:color w:val="auto"/>
        </w:rPr>
        <w:t xml:space="preserve"> </w:t>
      </w:r>
      <w:r w:rsidR="005C0A58" w:rsidRPr="00F75AF6">
        <w:rPr>
          <w:color w:val="auto"/>
        </w:rPr>
        <w:t xml:space="preserve">summarises the key elements of </w:t>
      </w:r>
      <w:r w:rsidR="00C17EFB" w:rsidRPr="00F75AF6">
        <w:rPr>
          <w:color w:val="auto"/>
        </w:rPr>
        <w:t xml:space="preserve">the </w:t>
      </w:r>
      <w:r w:rsidR="00E17F3F" w:rsidRPr="00F75AF6">
        <w:rPr>
          <w:i/>
          <w:color w:val="auto"/>
        </w:rPr>
        <w:t>Food safety</w:t>
      </w:r>
      <w:r w:rsidR="00A441D4" w:rsidRPr="00F75AF6">
        <w:rPr>
          <w:i/>
          <w:color w:val="auto"/>
        </w:rPr>
        <w:t xml:space="preserve"> </w:t>
      </w:r>
      <w:r w:rsidR="00C17EFB" w:rsidRPr="00F75AF6">
        <w:rPr>
          <w:i/>
          <w:color w:val="auto"/>
        </w:rPr>
        <w:t>regulator plan</w:t>
      </w:r>
      <w:r w:rsidR="005C0A58" w:rsidRPr="00F75AF6">
        <w:rPr>
          <w:color w:val="auto"/>
        </w:rPr>
        <w:t xml:space="preserve">. The plan </w:t>
      </w:r>
      <w:r w:rsidRPr="00F75AF6">
        <w:rPr>
          <w:color w:val="auto"/>
        </w:rPr>
        <w:t xml:space="preserve">provides the context the regulator works within and an overview of its regulatory framework and activities. This is supported by the </w:t>
      </w:r>
      <w:r w:rsidRPr="00F75AF6">
        <w:rPr>
          <w:i/>
          <w:color w:val="auto"/>
        </w:rPr>
        <w:t>Better regulatory practice framework: January 2018–June 2019</w:t>
      </w:r>
      <w:r w:rsidR="00C461FB" w:rsidRPr="00F75AF6">
        <w:rPr>
          <w:color w:val="auto"/>
        </w:rPr>
        <w:t>, which provides a process for risk-based and accountable regulatory practice, and improved regulatory performance in the health and human services sector.</w:t>
      </w:r>
      <w:r w:rsidR="00C17EFB" w:rsidRPr="00F75AF6">
        <w:rPr>
          <w:color w:val="auto"/>
        </w:rPr>
        <w:t xml:space="preserve"> The regulator plan and framework are available on </w:t>
      </w:r>
      <w:hyperlink r:id="rId12" w:history="1">
        <w:r w:rsidR="00C17EFB" w:rsidRPr="00C17EFB">
          <w:rPr>
            <w:rStyle w:val="Hyperlink"/>
          </w:rPr>
          <w:t>Regulatory practice framework</w:t>
        </w:r>
      </w:hyperlink>
      <w:r w:rsidR="00C17EFB">
        <w:t xml:space="preserve"> </w:t>
      </w:r>
      <w:r w:rsidR="00C17EFB" w:rsidRPr="00F75AF6">
        <w:rPr>
          <w:color w:val="auto"/>
        </w:rPr>
        <w:t>&lt;https://www.dhhs.vic.gov.au/better-regulatory-practice-framework&gt;.</w:t>
      </w:r>
    </w:p>
    <w:p w:rsidR="00C47436" w:rsidRPr="00923937" w:rsidRDefault="00C47436" w:rsidP="00F203D3">
      <w:pPr>
        <w:pStyle w:val="DHHSquote"/>
      </w:pPr>
    </w:p>
    <w:p w:rsidR="00C47436" w:rsidRPr="00275FF8" w:rsidRDefault="00C47436" w:rsidP="00275FF8">
      <w:pPr>
        <w:pStyle w:val="Heading1"/>
        <w:sectPr w:rsidR="00C47436" w:rsidRPr="00275FF8" w:rsidSect="00C47436">
          <w:headerReference w:type="default" r:id="rId13"/>
          <w:footerReference w:type="default" r:id="rId14"/>
          <w:type w:val="continuous"/>
          <w:pgSz w:w="23814" w:h="16840" w:orient="landscape" w:code="8"/>
          <w:pgMar w:top="1134" w:right="851" w:bottom="1134" w:left="851" w:header="567" w:footer="510" w:gutter="0"/>
          <w:cols w:space="1446"/>
          <w:titlePg/>
          <w:docGrid w:linePitch="360"/>
        </w:sectPr>
      </w:pPr>
    </w:p>
    <w:p w:rsidR="00E17F3F" w:rsidRDefault="00E17F3F" w:rsidP="00E17F3F">
      <w:pPr>
        <w:pStyle w:val="Heading1"/>
      </w:pPr>
      <w:r>
        <w:lastRenderedPageBreak/>
        <w:t>Outcomes</w:t>
      </w:r>
    </w:p>
    <w:p w:rsidR="00E17F3F" w:rsidRDefault="00E17F3F" w:rsidP="00E17F3F">
      <w:pPr>
        <w:pStyle w:val="DHHSbody"/>
      </w:pPr>
      <w:r>
        <w:t>The Food Safety Unit’s aim is to facilitate the sale of food that is safe and suitable for human consumption, and reduce the likelihood of misleading conduct in connection with the sale of food.</w:t>
      </w:r>
    </w:p>
    <w:p w:rsidR="00E17F3F" w:rsidRDefault="00E17F3F" w:rsidP="00E17F3F">
      <w:pPr>
        <w:pStyle w:val="DHHSbody"/>
      </w:pPr>
      <w:r>
        <w:t xml:space="preserve">The </w:t>
      </w:r>
      <w:r w:rsidR="0075468F">
        <w:t>u</w:t>
      </w:r>
      <w:r>
        <w:t>nit achieves this through:</w:t>
      </w:r>
    </w:p>
    <w:p w:rsidR="00E17F3F" w:rsidRDefault="00E17F3F" w:rsidP="00E17F3F">
      <w:pPr>
        <w:pStyle w:val="DHHSbullet1"/>
      </w:pPr>
      <w:r>
        <w:t>providing timely information and guidance to local government, food safety auditors and authorised analysts</w:t>
      </w:r>
    </w:p>
    <w:p w:rsidR="00E17F3F" w:rsidRDefault="00E17F3F" w:rsidP="00E17F3F">
      <w:pPr>
        <w:pStyle w:val="DHHSbullet1"/>
      </w:pPr>
      <w:r>
        <w:t>development and registration of food safety program templates</w:t>
      </w:r>
    </w:p>
    <w:p w:rsidR="00E17F3F" w:rsidRDefault="00E17F3F" w:rsidP="00E17F3F">
      <w:pPr>
        <w:pStyle w:val="DHHSbullet1"/>
      </w:pPr>
      <w:r>
        <w:t>approval of food safety auditors</w:t>
      </w:r>
    </w:p>
    <w:p w:rsidR="00E17F3F" w:rsidRDefault="00E17F3F" w:rsidP="00E17F3F">
      <w:pPr>
        <w:pStyle w:val="DHHSbullet1"/>
      </w:pPr>
      <w:r>
        <w:t>authorisation of analysts</w:t>
      </w:r>
    </w:p>
    <w:p w:rsidR="00E17F3F" w:rsidRDefault="00E17F3F" w:rsidP="00E17F3F">
      <w:pPr>
        <w:pStyle w:val="DHHSbullet1"/>
      </w:pPr>
      <w:r>
        <w:t>responding to food safety incidents and events in a timely manner.</w:t>
      </w:r>
    </w:p>
    <w:p w:rsidR="00E17F3F" w:rsidRDefault="00E17F3F" w:rsidP="00E17F3F">
      <w:pPr>
        <w:pStyle w:val="Heading1"/>
      </w:pPr>
      <w:r>
        <w:t>Who we regulate</w:t>
      </w:r>
    </w:p>
    <w:p w:rsidR="00E17F3F" w:rsidRDefault="00E17F3F" w:rsidP="00E17F3F">
      <w:pPr>
        <w:pStyle w:val="DHHSbody"/>
      </w:pPr>
      <w:r>
        <w:t xml:space="preserve">The </w:t>
      </w:r>
      <w:r w:rsidRPr="0075468F">
        <w:rPr>
          <w:i/>
        </w:rPr>
        <w:t>Food Act 1984</w:t>
      </w:r>
      <w:r>
        <w:t xml:space="preserve"> applies to most food businesses in Victoria including manufacturers, retailers, cafés and restaurants, as well as facilities that serve food such as hospitals and aged care facilities. </w:t>
      </w:r>
    </w:p>
    <w:p w:rsidR="00E17F3F" w:rsidRDefault="00E17F3F" w:rsidP="00E17F3F">
      <w:pPr>
        <w:pStyle w:val="Heading1"/>
      </w:pPr>
      <w:r>
        <w:t>Who we work with</w:t>
      </w:r>
    </w:p>
    <w:p w:rsidR="00B8456E" w:rsidRPr="00B8456E" w:rsidRDefault="00E17F3F" w:rsidP="00B8456E">
      <w:pPr>
        <w:pStyle w:val="DHHSbody"/>
      </w:pPr>
      <w:r w:rsidRPr="00B8456E">
        <w:t xml:space="preserve">The Food Safety Unit works with several co-regulators such as the Department of Economic Development, Jobs, Transport and Resources, </w:t>
      </w:r>
      <w:proofErr w:type="spellStart"/>
      <w:r w:rsidRPr="00B8456E">
        <w:t>PrimeSafe</w:t>
      </w:r>
      <w:proofErr w:type="spellEnd"/>
      <w:r w:rsidRPr="00B8456E">
        <w:t xml:space="preserve">, Dairy Food Safety Victoria, and Victoria’s 79 local governments. In Victoria, local governments are responsible for registration, compliance monitoring and enforcement activities for food businesses under the </w:t>
      </w:r>
      <w:r w:rsidR="00B8456E">
        <w:br/>
        <w:t>Food Act</w:t>
      </w:r>
      <w:r w:rsidRPr="00B8456E">
        <w:t xml:space="preserve">. </w:t>
      </w:r>
    </w:p>
    <w:p w:rsidR="0075468F" w:rsidRDefault="0075468F" w:rsidP="00BC5426">
      <w:pPr>
        <w:pStyle w:val="DHHSbody"/>
        <w:jc w:val="center"/>
        <w:rPr>
          <w:b/>
          <w:sz w:val="24"/>
          <w:szCs w:val="24"/>
        </w:rPr>
      </w:pPr>
      <w:r>
        <w:br w:type="column"/>
      </w:r>
      <w:r w:rsidRPr="00527942">
        <w:rPr>
          <w:b/>
          <w:i/>
          <w:sz w:val="24"/>
          <w:szCs w:val="24"/>
        </w:rPr>
        <w:lastRenderedPageBreak/>
        <w:t>Food Act 1984</w:t>
      </w:r>
    </w:p>
    <w:p w:rsidR="00527942" w:rsidRDefault="0075468F" w:rsidP="00527942">
      <w:pPr>
        <w:pStyle w:val="DHHSbody"/>
      </w:pPr>
      <w:bookmarkStart w:id="1" w:name="_GoBack"/>
      <w:r>
        <w:rPr>
          <w:noProof/>
          <w:lang w:eastAsia="en-AU"/>
        </w:rPr>
        <w:drawing>
          <wp:inline distT="0" distB="0" distL="0" distR="0">
            <wp:extent cx="5769940" cy="5467350"/>
            <wp:effectExtent l="0" t="0" r="2540" b="0"/>
            <wp:docPr id="4" name="Picture 4" descr="Descriptive text for this diagram is available at the end of this document under 'Figure text'." title="Regulator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 safety triangle.png"/>
                    <pic:cNvPicPr/>
                  </pic:nvPicPr>
                  <pic:blipFill>
                    <a:blip r:embed="rId15">
                      <a:extLst>
                        <a:ext uri="{28A0092B-C50C-407E-A947-70E740481C1C}">
                          <a14:useLocalDpi xmlns:a14="http://schemas.microsoft.com/office/drawing/2010/main" val="0"/>
                        </a:ext>
                      </a:extLst>
                    </a:blip>
                    <a:stretch>
                      <a:fillRect/>
                    </a:stretch>
                  </pic:blipFill>
                  <pic:spPr>
                    <a:xfrm>
                      <a:off x="0" y="0"/>
                      <a:ext cx="5770883" cy="5468243"/>
                    </a:xfrm>
                    <a:prstGeom prst="rect">
                      <a:avLst/>
                    </a:prstGeom>
                  </pic:spPr>
                </pic:pic>
              </a:graphicData>
            </a:graphic>
          </wp:inline>
        </w:drawing>
      </w:r>
      <w:bookmarkEnd w:id="1"/>
    </w:p>
    <w:p w:rsidR="00A441D4" w:rsidRPr="0075468F" w:rsidRDefault="00527942" w:rsidP="0075468F">
      <w:pPr>
        <w:pStyle w:val="Heading1"/>
        <w:rPr>
          <w:b/>
          <w:sz w:val="24"/>
          <w:szCs w:val="24"/>
        </w:rPr>
      </w:pPr>
      <w:r>
        <w:br w:type="column"/>
      </w:r>
      <w:r w:rsidR="00A441D4">
        <w:lastRenderedPageBreak/>
        <w:t>Contribution story</w:t>
      </w:r>
    </w:p>
    <w:tbl>
      <w:tblPr>
        <w:tblStyle w:val="TableGrid"/>
        <w:tblW w:w="59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5959"/>
      </w:tblGrid>
      <w:tr w:rsidR="00A441D4" w:rsidRPr="001F2F2D" w:rsidTr="00527942">
        <w:trPr>
          <w:trHeight w:val="3765"/>
        </w:trPr>
        <w:tc>
          <w:tcPr>
            <w:tcW w:w="5959" w:type="dxa"/>
            <w:shd w:val="clear" w:color="auto" w:fill="CCE5DB"/>
            <w:tcMar>
              <w:top w:w="113" w:type="dxa"/>
              <w:left w:w="113" w:type="dxa"/>
              <w:bottom w:w="113" w:type="dxa"/>
              <w:right w:w="113" w:type="dxa"/>
            </w:tcMar>
          </w:tcPr>
          <w:p w:rsidR="00E17F3F" w:rsidRDefault="00E17F3F" w:rsidP="00E17F3F">
            <w:pPr>
              <w:pStyle w:val="DHHStabletext"/>
            </w:pPr>
            <w:r>
              <w:t xml:space="preserve">The Food Safety Unit understand that public health risks are present within different food businesses. Therefore timely information and guidance provided to key stakeholders is of paramount importance. The </w:t>
            </w:r>
            <w:r w:rsidR="0075468F">
              <w:t>u</w:t>
            </w:r>
            <w:r>
              <w:t xml:space="preserve">nit provides guidance and tools such as the Food Safety Unit developed and registered food safety program templates to help facilitate communication of new and emerging food safety issues to local government and food businesses. </w:t>
            </w:r>
          </w:p>
          <w:p w:rsidR="00A441D4" w:rsidRPr="001F2F2D" w:rsidRDefault="00E17F3F" w:rsidP="00E17F3F">
            <w:pPr>
              <w:pStyle w:val="DHHStabletext"/>
            </w:pPr>
            <w:r>
              <w:t>The Food Safety Unit works to reduce the burden of disease associated with the sale of food, however this contribution is part of a broader system of influencers such as local government and other co-regulators</w:t>
            </w:r>
          </w:p>
        </w:tc>
      </w:tr>
    </w:tbl>
    <w:p w:rsidR="00A441D4" w:rsidRDefault="00A441D4" w:rsidP="00A441D4">
      <w:pPr>
        <w:pStyle w:val="Heading1"/>
      </w:pPr>
      <w:r>
        <w:t>Measuring our impacts</w:t>
      </w:r>
    </w:p>
    <w:p w:rsidR="00E17F3F" w:rsidRDefault="00E17F3F" w:rsidP="00E17F3F">
      <w:pPr>
        <w:pStyle w:val="DHHSbody"/>
      </w:pPr>
      <w:r>
        <w:t>The Food Safety Unit monitors how it contributes to reducing public health risks associated with the sale of food by reporting on a number of indicators. These include:</w:t>
      </w:r>
    </w:p>
    <w:p w:rsidR="00E17F3F" w:rsidRDefault="0075468F" w:rsidP="00E17F3F">
      <w:pPr>
        <w:pStyle w:val="DHHSbullet1"/>
      </w:pPr>
      <w:r>
        <w:t>i</w:t>
      </w:r>
      <w:r w:rsidR="00E17F3F">
        <w:t>mproved knowledge and satisfaction of attendees to Food Safety Unit workshops, presentations and forums</w:t>
      </w:r>
    </w:p>
    <w:p w:rsidR="00E17F3F" w:rsidRDefault="0075468F" w:rsidP="00E17F3F">
      <w:pPr>
        <w:pStyle w:val="DHHSbullet1"/>
      </w:pPr>
      <w:r>
        <w:t>m</w:t>
      </w:r>
      <w:r w:rsidR="00E17F3F">
        <w:t>onitoring the percentage of phone calls made to the Food Safety Unit hotline answered satisfactorily</w:t>
      </w:r>
    </w:p>
    <w:p w:rsidR="00E17F3F" w:rsidRDefault="0075468F" w:rsidP="00E17F3F">
      <w:pPr>
        <w:pStyle w:val="DHHSbullet1"/>
      </w:pPr>
      <w:r>
        <w:t>p</w:t>
      </w:r>
      <w:r w:rsidR="00E17F3F">
        <w:t>ercentage of approved auditors audited annually</w:t>
      </w:r>
    </w:p>
    <w:p w:rsidR="00A441D4" w:rsidRDefault="0075468F" w:rsidP="00E17F3F">
      <w:pPr>
        <w:pStyle w:val="DHHSbullet1"/>
      </w:pPr>
      <w:r>
        <w:t>p</w:t>
      </w:r>
      <w:r w:rsidR="00E17F3F">
        <w:t>ercentage of food safety program template registration applications actioned within five business days</w:t>
      </w:r>
    </w:p>
    <w:p w:rsidR="00BB6F41" w:rsidRDefault="00BB6F41" w:rsidP="00C47436">
      <w:pPr>
        <w:pStyle w:val="DHHSbody"/>
        <w:sectPr w:rsidR="00BB6F41" w:rsidSect="00527942">
          <w:footerReference w:type="default" r:id="rId16"/>
          <w:type w:val="continuous"/>
          <w:pgSz w:w="23814" w:h="16840" w:orient="landscape" w:code="8"/>
          <w:pgMar w:top="1134" w:right="567" w:bottom="1134" w:left="851" w:header="567" w:footer="510" w:gutter="0"/>
          <w:cols w:num="3" w:space="425" w:equalWidth="0">
            <w:col w:w="6521" w:space="425"/>
            <w:col w:w="8904" w:space="425"/>
            <w:col w:w="6121"/>
          </w:cols>
          <w:titlePg/>
          <w:docGrid w:linePitch="360"/>
        </w:sectPr>
      </w:pPr>
    </w:p>
    <w:p w:rsidR="00F75AF6" w:rsidRDefault="00F75AF6" w:rsidP="00F75AF6">
      <w:pPr>
        <w:keepNext/>
        <w:keepLines/>
        <w:pageBreakBefore/>
        <w:spacing w:after="440" w:line="440" w:lineRule="atLeast"/>
        <w:outlineLvl w:val="0"/>
        <w:rPr>
          <w:rFonts w:ascii="Arial" w:hAnsi="Arial"/>
          <w:bCs/>
          <w:color w:val="007B4B"/>
          <w:sz w:val="44"/>
          <w:szCs w:val="44"/>
        </w:rPr>
      </w:pPr>
      <w:r w:rsidRPr="00733947">
        <w:rPr>
          <w:rFonts w:ascii="Arial" w:hAnsi="Arial"/>
          <w:bCs/>
          <w:color w:val="007B4B"/>
          <w:sz w:val="44"/>
          <w:szCs w:val="44"/>
        </w:rPr>
        <w:lastRenderedPageBreak/>
        <w:t xml:space="preserve">Diagram text </w:t>
      </w:r>
    </w:p>
    <w:p w:rsidR="00F75AF6" w:rsidRPr="00733947" w:rsidRDefault="00F75AF6" w:rsidP="00F75AF6">
      <w:pPr>
        <w:keepNext/>
        <w:keepLines/>
        <w:spacing w:before="240" w:after="120"/>
        <w:rPr>
          <w:rFonts w:ascii="Arial" w:hAnsi="Arial"/>
          <w:b/>
        </w:rPr>
      </w:pPr>
      <w:r w:rsidRPr="00733947">
        <w:rPr>
          <w:rFonts w:ascii="Arial" w:hAnsi="Arial"/>
          <w:b/>
        </w:rPr>
        <w:t xml:space="preserve">Regulatory tools </w:t>
      </w:r>
    </w:p>
    <w:p w:rsidR="00F75AF6" w:rsidRPr="003072C6" w:rsidRDefault="00F75AF6" w:rsidP="00F75AF6">
      <w:pPr>
        <w:pStyle w:val="DHHSbody"/>
      </w:pPr>
      <w:r w:rsidRPr="00D54E43">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w:t>
      </w:r>
      <w:r>
        <w:t>guidance and support</w:t>
      </w:r>
      <w:r w:rsidRPr="00D54E43">
        <w:t xml:space="preserve"> to regulated parties, through to prosecution at the top of the pyramid, where regulated parties deliberately work against intended outcomes and intend to evade compliance obligations.</w:t>
      </w:r>
      <w:r w:rsidRPr="00B730F5">
        <w:t xml:space="preserve"> </w:t>
      </w:r>
    </w:p>
    <w:p w:rsidR="00B75ADF" w:rsidRPr="00EC5EF6" w:rsidRDefault="00B75ADF" w:rsidP="00EC5EF6">
      <w:pPr>
        <w:pStyle w:val="DHHSbody"/>
      </w:pPr>
    </w:p>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E17F3F" w:rsidRPr="00605B5B" w:rsidRDefault="00254F58" w:rsidP="00E17F3F">
            <w:pPr>
              <w:pStyle w:val="DHHSaccessibilitypara"/>
            </w:pPr>
            <w:r w:rsidRPr="0020630E">
              <w:t>To receive this publication in an accessible format phone</w:t>
            </w:r>
            <w:r w:rsidR="007B0EA1" w:rsidRPr="0020630E">
              <w:t xml:space="preserve"> 1300 767 469</w:t>
            </w:r>
            <w:r w:rsidRPr="0020630E">
              <w:t xml:space="preserve">, using the National Relay Service 13 36 77 if required, or </w:t>
            </w:r>
            <w:hyperlink r:id="rId17" w:history="1">
              <w:r w:rsidR="00E17F3F" w:rsidRPr="004E7BEF">
                <w:rPr>
                  <w:rStyle w:val="Hyperlink"/>
                </w:rPr>
                <w:t xml:space="preserve">email </w:t>
              </w:r>
              <w:r w:rsidR="00E17F3F">
                <w:rPr>
                  <w:rStyle w:val="Hyperlink"/>
                </w:rPr>
                <w:t>Food Safety Unit</w:t>
              </w:r>
            </w:hyperlink>
            <w:r w:rsidR="00E17F3F">
              <w:t xml:space="preserve"> </w:t>
            </w:r>
            <w:hyperlink r:id="rId18" w:history="1">
              <w:r w:rsidR="003C5524" w:rsidRPr="00B754B5">
                <w:rPr>
                  <w:rStyle w:val="Hyperlink"/>
                </w:rPr>
                <w:t>foodsafety@dhhs.vic.gov.au</w:t>
              </w:r>
            </w:hyperlink>
            <w:r w:rsidR="003C5524">
              <w:t xml:space="preserve">, or call </w:t>
            </w:r>
            <w:r w:rsidR="003C5524" w:rsidRPr="003C5524">
              <w:t>1300 364 352</w:t>
            </w:r>
            <w:r w:rsidR="003C5524">
              <w: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AB672E">
              <w:t>March</w:t>
            </w:r>
            <w:r w:rsidR="00A101F4">
              <w:t xml:space="preserve"> 2018</w:t>
            </w:r>
            <w:r w:rsidR="00F61A9F">
              <w:t>.</w:t>
            </w:r>
          </w:p>
          <w:p w:rsidR="00254F58" w:rsidRPr="00254F58" w:rsidRDefault="00254F58" w:rsidP="00254F58">
            <w:pPr>
              <w:pStyle w:val="DHHSbody"/>
            </w:pPr>
            <w:r w:rsidRPr="00254F58">
              <w:t>ISBN/ISSN</w:t>
            </w:r>
            <w:r w:rsidRPr="003C5524">
              <w:t xml:space="preserve"> </w:t>
            </w:r>
            <w:r w:rsidR="003C5524" w:rsidRPr="003C5524">
              <w:t>978-1-76069-329-9 (online)</w:t>
            </w:r>
          </w:p>
          <w:p w:rsidR="002802E3" w:rsidRPr="007B0EA1" w:rsidRDefault="00254F58" w:rsidP="00254F58">
            <w:pPr>
              <w:pStyle w:val="DHHSbody"/>
              <w:rPr>
                <w:szCs w:val="19"/>
              </w:rPr>
            </w:pPr>
            <w:r w:rsidRPr="00254F58">
              <w:rPr>
                <w:szCs w:val="19"/>
              </w:rPr>
              <w:t xml:space="preserve">Available at </w:t>
            </w:r>
            <w:hyperlink r:id="rId19"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rsidR="00B2752E" w:rsidRPr="00906490" w:rsidRDefault="00B2752E" w:rsidP="00FF6D9D">
      <w:pPr>
        <w:pStyle w:val="DHHSbody"/>
      </w:pPr>
    </w:p>
    <w:sectPr w:rsidR="00B2752E" w:rsidRPr="00906490" w:rsidSect="00BB6F41">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38" w:rsidRDefault="00EE6B38">
      <w:r>
        <w:separator/>
      </w:r>
    </w:p>
  </w:endnote>
  <w:endnote w:type="continuationSeparator" w:id="0">
    <w:p w:rsidR="00EE6B38" w:rsidRDefault="00E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500B49CB" wp14:editId="5C1ADBE4">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D4" w:rsidRPr="00275FF8" w:rsidRDefault="00275FF8" w:rsidP="00275FF8">
    <w:pPr>
      <w:pStyle w:val="DHHSfooter"/>
      <w:tabs>
        <w:tab w:val="clear" w:pos="15139"/>
        <w:tab w:val="right" w:pos="22113"/>
      </w:tabs>
      <w:rPr>
        <w:color w:val="007B4B"/>
      </w:rPr>
    </w:pPr>
    <w:r>
      <w:rPr>
        <w:color w:val="007B4B"/>
      </w:rPr>
      <w:t>Food</w:t>
    </w:r>
    <w:r w:rsidRPr="00BB6F41">
      <w:rPr>
        <w:color w:val="007B4B"/>
      </w:rPr>
      <w:t xml:space="preserve"> safety regulator plan on a page: </w:t>
    </w:r>
    <w:r>
      <w:rPr>
        <w:color w:val="007B4B"/>
      </w:rPr>
      <w:t>Food</w:t>
    </w:r>
    <w:r w:rsidRPr="00BB6F41">
      <w:rPr>
        <w:color w:val="007B4B"/>
      </w:rPr>
      <w:t xml:space="preserve"> safety regulator plan </w:t>
    </w:r>
    <w:r w:rsidR="003C5524">
      <w:rPr>
        <w:color w:val="007B4B"/>
      </w:rPr>
      <w:t>March</w:t>
    </w:r>
    <w:r w:rsidRPr="00BB6F41">
      <w:rPr>
        <w:color w:val="007B4B"/>
      </w:rPr>
      <w:t xml:space="preserve">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sidR="00BE556F">
      <w:rPr>
        <w:noProof/>
        <w:color w:val="007B4B"/>
      </w:rPr>
      <w:t>2</w:t>
    </w:r>
    <w:r w:rsidRPr="00BB6F41">
      <w:rPr>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BB6F41" w:rsidRDefault="00BB6F41" w:rsidP="00BB6F41">
    <w:pPr>
      <w:pStyle w:val="DHHSfooter"/>
      <w:tabs>
        <w:tab w:val="clear" w:pos="15139"/>
        <w:tab w:val="right" w:pos="22113"/>
      </w:tabs>
      <w:rPr>
        <w:color w:val="007B4B"/>
      </w:rPr>
    </w:pPr>
    <w:r w:rsidRPr="00BB6F41">
      <w:rPr>
        <w:color w:val="007B4B"/>
      </w:rPr>
      <w:t>Radiation safety regulator plan on a page: Radiation safety regulator plan January 2018 – June 2019</w:t>
    </w:r>
    <w:r w:rsidR="009D70A4" w:rsidRPr="00BB6F41">
      <w:rPr>
        <w:color w:val="007B4B"/>
      </w:rPr>
      <w:tab/>
    </w:r>
    <w:r w:rsidR="009D70A4" w:rsidRPr="00BB6F41">
      <w:rPr>
        <w:color w:val="007B4B"/>
      </w:rPr>
      <w:fldChar w:fldCharType="begin"/>
    </w:r>
    <w:r w:rsidR="009D70A4" w:rsidRPr="00BB6F41">
      <w:rPr>
        <w:color w:val="007B4B"/>
      </w:rPr>
      <w:instrText xml:space="preserve"> PAGE </w:instrText>
    </w:r>
    <w:r w:rsidR="009D70A4" w:rsidRPr="00BB6F41">
      <w:rPr>
        <w:color w:val="007B4B"/>
      </w:rPr>
      <w:fldChar w:fldCharType="separate"/>
    </w:r>
    <w:r>
      <w:rPr>
        <w:noProof/>
        <w:color w:val="007B4B"/>
      </w:rPr>
      <w:t>2</w:t>
    </w:r>
    <w:r w:rsidR="009D70A4" w:rsidRPr="00BB6F41">
      <w:rPr>
        <w:color w:val="007B4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F41" w:rsidRPr="00BB6F41" w:rsidRDefault="00DA252C" w:rsidP="00BB6F41">
    <w:pPr>
      <w:pStyle w:val="DHHSfooter"/>
      <w:tabs>
        <w:tab w:val="clear" w:pos="15139"/>
        <w:tab w:val="right" w:pos="22113"/>
      </w:tabs>
      <w:rPr>
        <w:color w:val="007B4B"/>
      </w:rPr>
    </w:pPr>
    <w:r>
      <w:rPr>
        <w:color w:val="007B4B"/>
      </w:rPr>
      <w:t>Food</w:t>
    </w:r>
    <w:r w:rsidR="00BB6F41" w:rsidRPr="00BB6F41">
      <w:rPr>
        <w:color w:val="007B4B"/>
      </w:rPr>
      <w:t xml:space="preserve"> safety regulator plan on a page: </w:t>
    </w:r>
    <w:r>
      <w:rPr>
        <w:color w:val="007B4B"/>
      </w:rPr>
      <w:t>Food</w:t>
    </w:r>
    <w:r w:rsidR="00BB6F41" w:rsidRPr="00BB6F41">
      <w:rPr>
        <w:color w:val="007B4B"/>
      </w:rPr>
      <w:t xml:space="preserve"> safety regulator plan </w:t>
    </w:r>
    <w:r w:rsidR="003C5524">
      <w:rPr>
        <w:color w:val="007B4B"/>
      </w:rPr>
      <w:t xml:space="preserve">March </w:t>
    </w:r>
    <w:r w:rsidR="00BB6F41" w:rsidRPr="00BB6F41">
      <w:rPr>
        <w:color w:val="007B4B"/>
      </w:rPr>
      <w:t>2018 – June 2019</w:t>
    </w:r>
    <w:r w:rsidR="00BB6F41" w:rsidRPr="00BB6F41">
      <w:rPr>
        <w:color w:val="007B4B"/>
      </w:rPr>
      <w:tab/>
    </w:r>
    <w:r w:rsidR="00BB6F41" w:rsidRPr="00BB6F41">
      <w:rPr>
        <w:color w:val="007B4B"/>
      </w:rPr>
      <w:fldChar w:fldCharType="begin"/>
    </w:r>
    <w:r w:rsidR="00BB6F41" w:rsidRPr="00BB6F41">
      <w:rPr>
        <w:color w:val="007B4B"/>
      </w:rPr>
      <w:instrText xml:space="preserve"> PAGE </w:instrText>
    </w:r>
    <w:r w:rsidR="00BB6F41" w:rsidRPr="00BB6F41">
      <w:rPr>
        <w:color w:val="007B4B"/>
      </w:rPr>
      <w:fldChar w:fldCharType="separate"/>
    </w:r>
    <w:r w:rsidR="00F75AF6">
      <w:rPr>
        <w:noProof/>
        <w:color w:val="007B4B"/>
      </w:rPr>
      <w:t>3</w:t>
    </w:r>
    <w:r w:rsidR="00BB6F41" w:rsidRPr="00BB6F41">
      <w:rPr>
        <w:color w:val="007B4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38" w:rsidRDefault="00EE6B38" w:rsidP="002862F1">
      <w:pPr>
        <w:spacing w:before="120"/>
      </w:pPr>
      <w:r>
        <w:separator/>
      </w:r>
    </w:p>
  </w:footnote>
  <w:footnote w:type="continuationSeparator" w:id="0">
    <w:p w:rsidR="00EE6B38" w:rsidRDefault="00EE6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8D2F4B" w:rsidRDefault="009D70A4" w:rsidP="008D2F4B">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72B6"/>
    <w:rsid w:val="0001021B"/>
    <w:rsid w:val="00011D89"/>
    <w:rsid w:val="00024D89"/>
    <w:rsid w:val="00033D81"/>
    <w:rsid w:val="00041BF0"/>
    <w:rsid w:val="0004326C"/>
    <w:rsid w:val="0004536B"/>
    <w:rsid w:val="00046B68"/>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05E4"/>
    <w:rsid w:val="0010392D"/>
    <w:rsid w:val="00104FE3"/>
    <w:rsid w:val="00120BD3"/>
    <w:rsid w:val="00122FEA"/>
    <w:rsid w:val="001232BD"/>
    <w:rsid w:val="00124ED5"/>
    <w:rsid w:val="00143749"/>
    <w:rsid w:val="001447B3"/>
    <w:rsid w:val="0014502A"/>
    <w:rsid w:val="00152073"/>
    <w:rsid w:val="00161939"/>
    <w:rsid w:val="00161AA0"/>
    <w:rsid w:val="00162093"/>
    <w:rsid w:val="001645B1"/>
    <w:rsid w:val="001666C9"/>
    <w:rsid w:val="001771DD"/>
    <w:rsid w:val="00177995"/>
    <w:rsid w:val="00177A8C"/>
    <w:rsid w:val="00186B33"/>
    <w:rsid w:val="00187F13"/>
    <w:rsid w:val="00192F9D"/>
    <w:rsid w:val="00196EB8"/>
    <w:rsid w:val="001979FF"/>
    <w:rsid w:val="00197B17"/>
    <w:rsid w:val="001A3ACE"/>
    <w:rsid w:val="001B6BB8"/>
    <w:rsid w:val="001C2A72"/>
    <w:rsid w:val="001D0B75"/>
    <w:rsid w:val="001D38AE"/>
    <w:rsid w:val="001D3C09"/>
    <w:rsid w:val="001D44E8"/>
    <w:rsid w:val="001D60EC"/>
    <w:rsid w:val="001D773D"/>
    <w:rsid w:val="001E44DF"/>
    <w:rsid w:val="001E68A5"/>
    <w:rsid w:val="001E73EF"/>
    <w:rsid w:val="001F3826"/>
    <w:rsid w:val="001F6E46"/>
    <w:rsid w:val="001F7C91"/>
    <w:rsid w:val="0020630E"/>
    <w:rsid w:val="00206463"/>
    <w:rsid w:val="00206F2F"/>
    <w:rsid w:val="0021053D"/>
    <w:rsid w:val="00210A92"/>
    <w:rsid w:val="002131E2"/>
    <w:rsid w:val="00216C03"/>
    <w:rsid w:val="002206B2"/>
    <w:rsid w:val="00220C04"/>
    <w:rsid w:val="0022701F"/>
    <w:rsid w:val="002333F5"/>
    <w:rsid w:val="002432E1"/>
    <w:rsid w:val="00244DBA"/>
    <w:rsid w:val="00246C5E"/>
    <w:rsid w:val="00251343"/>
    <w:rsid w:val="00254F58"/>
    <w:rsid w:val="00257984"/>
    <w:rsid w:val="002620BC"/>
    <w:rsid w:val="00262802"/>
    <w:rsid w:val="00263A90"/>
    <w:rsid w:val="0026408B"/>
    <w:rsid w:val="00267C3E"/>
    <w:rsid w:val="002709BB"/>
    <w:rsid w:val="00275FF8"/>
    <w:rsid w:val="002763B3"/>
    <w:rsid w:val="002802E3"/>
    <w:rsid w:val="0028213D"/>
    <w:rsid w:val="002862F1"/>
    <w:rsid w:val="00291373"/>
    <w:rsid w:val="0029597D"/>
    <w:rsid w:val="002962C3"/>
    <w:rsid w:val="002A483C"/>
    <w:rsid w:val="002B1729"/>
    <w:rsid w:val="002B4DD4"/>
    <w:rsid w:val="002B5277"/>
    <w:rsid w:val="002B77C1"/>
    <w:rsid w:val="002C2728"/>
    <w:rsid w:val="002D5006"/>
    <w:rsid w:val="002E01D0"/>
    <w:rsid w:val="002E161D"/>
    <w:rsid w:val="002E6C95"/>
    <w:rsid w:val="002E7C36"/>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406C6"/>
    <w:rsid w:val="003418CC"/>
    <w:rsid w:val="00344EBE"/>
    <w:rsid w:val="003459BD"/>
    <w:rsid w:val="00350D38"/>
    <w:rsid w:val="0036022F"/>
    <w:rsid w:val="003613F9"/>
    <w:rsid w:val="0037290E"/>
    <w:rsid w:val="003744CF"/>
    <w:rsid w:val="00374717"/>
    <w:rsid w:val="0037676C"/>
    <w:rsid w:val="00380BA4"/>
    <w:rsid w:val="003829E5"/>
    <w:rsid w:val="003956CC"/>
    <w:rsid w:val="00395C9A"/>
    <w:rsid w:val="003A3438"/>
    <w:rsid w:val="003A6B67"/>
    <w:rsid w:val="003B15E6"/>
    <w:rsid w:val="003C2045"/>
    <w:rsid w:val="003C2440"/>
    <w:rsid w:val="003C43A1"/>
    <w:rsid w:val="003C4FC0"/>
    <w:rsid w:val="003C5524"/>
    <w:rsid w:val="003C55F4"/>
    <w:rsid w:val="003C7A3F"/>
    <w:rsid w:val="003D3E8F"/>
    <w:rsid w:val="003D6475"/>
    <w:rsid w:val="003E2E5F"/>
    <w:rsid w:val="003F0445"/>
    <w:rsid w:val="003F0CF0"/>
    <w:rsid w:val="003F3289"/>
    <w:rsid w:val="00401FCF"/>
    <w:rsid w:val="00406285"/>
    <w:rsid w:val="00406D62"/>
    <w:rsid w:val="004148F9"/>
    <w:rsid w:val="0042084E"/>
    <w:rsid w:val="0042175D"/>
    <w:rsid w:val="00421EEF"/>
    <w:rsid w:val="00424D65"/>
    <w:rsid w:val="00425CC4"/>
    <w:rsid w:val="00433D66"/>
    <w:rsid w:val="00435ABF"/>
    <w:rsid w:val="004367B3"/>
    <w:rsid w:val="00442C6C"/>
    <w:rsid w:val="00443CBE"/>
    <w:rsid w:val="00443E8A"/>
    <w:rsid w:val="004441BC"/>
    <w:rsid w:val="0045230A"/>
    <w:rsid w:val="00457337"/>
    <w:rsid w:val="0047372D"/>
    <w:rsid w:val="004743DD"/>
    <w:rsid w:val="00474CEA"/>
    <w:rsid w:val="00483968"/>
    <w:rsid w:val="0048442F"/>
    <w:rsid w:val="00484F86"/>
    <w:rsid w:val="00490746"/>
    <w:rsid w:val="00490852"/>
    <w:rsid w:val="00492D85"/>
    <w:rsid w:val="00492F30"/>
    <w:rsid w:val="004946F4"/>
    <w:rsid w:val="0049487E"/>
    <w:rsid w:val="004A160D"/>
    <w:rsid w:val="004A3E81"/>
    <w:rsid w:val="004A5C62"/>
    <w:rsid w:val="004A707D"/>
    <w:rsid w:val="004C6EEE"/>
    <w:rsid w:val="004C702B"/>
    <w:rsid w:val="004D016B"/>
    <w:rsid w:val="004D1B22"/>
    <w:rsid w:val="004D36F2"/>
    <w:rsid w:val="004E138F"/>
    <w:rsid w:val="004E3D31"/>
    <w:rsid w:val="004E4649"/>
    <w:rsid w:val="004E5C2B"/>
    <w:rsid w:val="004E7DBA"/>
    <w:rsid w:val="004E7E8C"/>
    <w:rsid w:val="004F00DD"/>
    <w:rsid w:val="004F2133"/>
    <w:rsid w:val="004F55F1"/>
    <w:rsid w:val="004F6936"/>
    <w:rsid w:val="005027C0"/>
    <w:rsid w:val="00503DC6"/>
    <w:rsid w:val="00506F5D"/>
    <w:rsid w:val="005126D0"/>
    <w:rsid w:val="0051568D"/>
    <w:rsid w:val="00526C15"/>
    <w:rsid w:val="005273B4"/>
    <w:rsid w:val="00527942"/>
    <w:rsid w:val="00536499"/>
    <w:rsid w:val="00541ADB"/>
    <w:rsid w:val="00543903"/>
    <w:rsid w:val="00547A95"/>
    <w:rsid w:val="00557E03"/>
    <w:rsid w:val="00572031"/>
    <w:rsid w:val="00576E84"/>
    <w:rsid w:val="00582B8C"/>
    <w:rsid w:val="0058757E"/>
    <w:rsid w:val="00596A4B"/>
    <w:rsid w:val="00597507"/>
    <w:rsid w:val="005B21B6"/>
    <w:rsid w:val="005B3A08"/>
    <w:rsid w:val="005B7A63"/>
    <w:rsid w:val="005C0955"/>
    <w:rsid w:val="005C0A58"/>
    <w:rsid w:val="005C49DA"/>
    <w:rsid w:val="005C50F3"/>
    <w:rsid w:val="005C5D91"/>
    <w:rsid w:val="005C77D1"/>
    <w:rsid w:val="005D07B8"/>
    <w:rsid w:val="005D5EF2"/>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58B4"/>
    <w:rsid w:val="006419AA"/>
    <w:rsid w:val="006447F0"/>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016F"/>
    <w:rsid w:val="006A18C2"/>
    <w:rsid w:val="006B077C"/>
    <w:rsid w:val="006D2A3F"/>
    <w:rsid w:val="006E138B"/>
    <w:rsid w:val="006F1FDC"/>
    <w:rsid w:val="007013EF"/>
    <w:rsid w:val="007034E7"/>
    <w:rsid w:val="007216AA"/>
    <w:rsid w:val="00721AB5"/>
    <w:rsid w:val="00721DEF"/>
    <w:rsid w:val="00724A43"/>
    <w:rsid w:val="007346E4"/>
    <w:rsid w:val="00740F22"/>
    <w:rsid w:val="00741F1A"/>
    <w:rsid w:val="007450F8"/>
    <w:rsid w:val="0074696E"/>
    <w:rsid w:val="00750135"/>
    <w:rsid w:val="00752B28"/>
    <w:rsid w:val="0075468F"/>
    <w:rsid w:val="00754E36"/>
    <w:rsid w:val="00760D84"/>
    <w:rsid w:val="00763139"/>
    <w:rsid w:val="00770F37"/>
    <w:rsid w:val="00772D5E"/>
    <w:rsid w:val="00776928"/>
    <w:rsid w:val="00786F16"/>
    <w:rsid w:val="00796E20"/>
    <w:rsid w:val="00797C32"/>
    <w:rsid w:val="007A21D8"/>
    <w:rsid w:val="007B0914"/>
    <w:rsid w:val="007B0EA1"/>
    <w:rsid w:val="007B1374"/>
    <w:rsid w:val="007B589F"/>
    <w:rsid w:val="007B6186"/>
    <w:rsid w:val="007C14D9"/>
    <w:rsid w:val="007C32F4"/>
    <w:rsid w:val="007C7301"/>
    <w:rsid w:val="007C7859"/>
    <w:rsid w:val="007D2BDE"/>
    <w:rsid w:val="007D2FB6"/>
    <w:rsid w:val="007E0DE2"/>
    <w:rsid w:val="007F31B6"/>
    <w:rsid w:val="007F546C"/>
    <w:rsid w:val="007F665E"/>
    <w:rsid w:val="00800412"/>
    <w:rsid w:val="0080587B"/>
    <w:rsid w:val="00806468"/>
    <w:rsid w:val="00814111"/>
    <w:rsid w:val="008155F0"/>
    <w:rsid w:val="00816735"/>
    <w:rsid w:val="00820141"/>
    <w:rsid w:val="008204A8"/>
    <w:rsid w:val="00820E0C"/>
    <w:rsid w:val="008338A2"/>
    <w:rsid w:val="00840DF3"/>
    <w:rsid w:val="0084417C"/>
    <w:rsid w:val="00852D57"/>
    <w:rsid w:val="00853EE4"/>
    <w:rsid w:val="00855535"/>
    <w:rsid w:val="00856385"/>
    <w:rsid w:val="008633F0"/>
    <w:rsid w:val="0086791C"/>
    <w:rsid w:val="00867D9D"/>
    <w:rsid w:val="00872E0A"/>
    <w:rsid w:val="00875285"/>
    <w:rsid w:val="00884B62"/>
    <w:rsid w:val="0088529C"/>
    <w:rsid w:val="00887903"/>
    <w:rsid w:val="0089270A"/>
    <w:rsid w:val="00893AF6"/>
    <w:rsid w:val="00894BC4"/>
    <w:rsid w:val="008B2EE4"/>
    <w:rsid w:val="008B2F9E"/>
    <w:rsid w:val="008B4D3D"/>
    <w:rsid w:val="008B57C7"/>
    <w:rsid w:val="008C2F92"/>
    <w:rsid w:val="008C3808"/>
    <w:rsid w:val="008C65EB"/>
    <w:rsid w:val="008D2F4B"/>
    <w:rsid w:val="008D4236"/>
    <w:rsid w:val="008D462F"/>
    <w:rsid w:val="008E231B"/>
    <w:rsid w:val="008E4376"/>
    <w:rsid w:val="008E7A0A"/>
    <w:rsid w:val="00900719"/>
    <w:rsid w:val="009017AC"/>
    <w:rsid w:val="00905030"/>
    <w:rsid w:val="00906490"/>
    <w:rsid w:val="009111B2"/>
    <w:rsid w:val="0092128F"/>
    <w:rsid w:val="00923937"/>
    <w:rsid w:val="00924AE1"/>
    <w:rsid w:val="009269B1"/>
    <w:rsid w:val="0092724D"/>
    <w:rsid w:val="00937BD9"/>
    <w:rsid w:val="00950E2C"/>
    <w:rsid w:val="00951D50"/>
    <w:rsid w:val="009525EB"/>
    <w:rsid w:val="0095645E"/>
    <w:rsid w:val="00961400"/>
    <w:rsid w:val="00963646"/>
    <w:rsid w:val="009853E1"/>
    <w:rsid w:val="00986E6B"/>
    <w:rsid w:val="00991769"/>
    <w:rsid w:val="00994386"/>
    <w:rsid w:val="009A13D8"/>
    <w:rsid w:val="009A1C29"/>
    <w:rsid w:val="009A279E"/>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22229"/>
    <w:rsid w:val="00A36213"/>
    <w:rsid w:val="00A441D4"/>
    <w:rsid w:val="00A44882"/>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5141"/>
    <w:rsid w:val="00B5273A"/>
    <w:rsid w:val="00B62B50"/>
    <w:rsid w:val="00B635B7"/>
    <w:rsid w:val="00B63AE8"/>
    <w:rsid w:val="00B65950"/>
    <w:rsid w:val="00B672C0"/>
    <w:rsid w:val="00B75646"/>
    <w:rsid w:val="00B75ADF"/>
    <w:rsid w:val="00B81E28"/>
    <w:rsid w:val="00B8456E"/>
    <w:rsid w:val="00B90729"/>
    <w:rsid w:val="00B907DA"/>
    <w:rsid w:val="00B950BC"/>
    <w:rsid w:val="00B9714C"/>
    <w:rsid w:val="00BA3F8D"/>
    <w:rsid w:val="00BA4845"/>
    <w:rsid w:val="00BB6F41"/>
    <w:rsid w:val="00BB7A10"/>
    <w:rsid w:val="00BC5426"/>
    <w:rsid w:val="00BC7D4F"/>
    <w:rsid w:val="00BC7ED7"/>
    <w:rsid w:val="00BD2850"/>
    <w:rsid w:val="00BE1DE0"/>
    <w:rsid w:val="00BE28D2"/>
    <w:rsid w:val="00BE556F"/>
    <w:rsid w:val="00BF5F6F"/>
    <w:rsid w:val="00BF7F58"/>
    <w:rsid w:val="00C01381"/>
    <w:rsid w:val="00C079B8"/>
    <w:rsid w:val="00C123EA"/>
    <w:rsid w:val="00C125E4"/>
    <w:rsid w:val="00C12A49"/>
    <w:rsid w:val="00C133EE"/>
    <w:rsid w:val="00C17EFB"/>
    <w:rsid w:val="00C23DB1"/>
    <w:rsid w:val="00C27DE9"/>
    <w:rsid w:val="00C33388"/>
    <w:rsid w:val="00C4173A"/>
    <w:rsid w:val="00C461FB"/>
    <w:rsid w:val="00C47436"/>
    <w:rsid w:val="00C47C8F"/>
    <w:rsid w:val="00C602FF"/>
    <w:rsid w:val="00C61174"/>
    <w:rsid w:val="00C6148F"/>
    <w:rsid w:val="00C62F7A"/>
    <w:rsid w:val="00C63B9C"/>
    <w:rsid w:val="00C6682F"/>
    <w:rsid w:val="00C7275E"/>
    <w:rsid w:val="00C74C5D"/>
    <w:rsid w:val="00C863C4"/>
    <w:rsid w:val="00C93C3E"/>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F00"/>
    <w:rsid w:val="00D1790F"/>
    <w:rsid w:val="00D3048B"/>
    <w:rsid w:val="00D32B8A"/>
    <w:rsid w:val="00D33E72"/>
    <w:rsid w:val="00D35BD6"/>
    <w:rsid w:val="00D361B5"/>
    <w:rsid w:val="00D411A2"/>
    <w:rsid w:val="00D50B9C"/>
    <w:rsid w:val="00D52D73"/>
    <w:rsid w:val="00D52E58"/>
    <w:rsid w:val="00D714CC"/>
    <w:rsid w:val="00D75EA7"/>
    <w:rsid w:val="00D81F21"/>
    <w:rsid w:val="00D95470"/>
    <w:rsid w:val="00DA252C"/>
    <w:rsid w:val="00DA2619"/>
    <w:rsid w:val="00DA4239"/>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14388"/>
    <w:rsid w:val="00E170DC"/>
    <w:rsid w:val="00E17F3F"/>
    <w:rsid w:val="00E21842"/>
    <w:rsid w:val="00E23265"/>
    <w:rsid w:val="00E26818"/>
    <w:rsid w:val="00E27FFC"/>
    <w:rsid w:val="00E30B15"/>
    <w:rsid w:val="00E40181"/>
    <w:rsid w:val="00E43426"/>
    <w:rsid w:val="00E45931"/>
    <w:rsid w:val="00E53A79"/>
    <w:rsid w:val="00E629A1"/>
    <w:rsid w:val="00E82C55"/>
    <w:rsid w:val="00E87893"/>
    <w:rsid w:val="00E92AC3"/>
    <w:rsid w:val="00EB00E0"/>
    <w:rsid w:val="00EB3422"/>
    <w:rsid w:val="00EC059F"/>
    <w:rsid w:val="00EC1F24"/>
    <w:rsid w:val="00EC22F6"/>
    <w:rsid w:val="00EC4749"/>
    <w:rsid w:val="00EC5EF6"/>
    <w:rsid w:val="00ED5B9B"/>
    <w:rsid w:val="00ED6BAD"/>
    <w:rsid w:val="00ED7447"/>
    <w:rsid w:val="00ED79F1"/>
    <w:rsid w:val="00EE1488"/>
    <w:rsid w:val="00EE4D5D"/>
    <w:rsid w:val="00EE5131"/>
    <w:rsid w:val="00EE6B38"/>
    <w:rsid w:val="00EF109B"/>
    <w:rsid w:val="00EF36AF"/>
    <w:rsid w:val="00F00F9C"/>
    <w:rsid w:val="00F02ABA"/>
    <w:rsid w:val="00F0437A"/>
    <w:rsid w:val="00F11037"/>
    <w:rsid w:val="00F16F1B"/>
    <w:rsid w:val="00F203D3"/>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5AF6"/>
    <w:rsid w:val="00F76CAB"/>
    <w:rsid w:val="00F772C6"/>
    <w:rsid w:val="00F85195"/>
    <w:rsid w:val="00F92503"/>
    <w:rsid w:val="00F938BA"/>
    <w:rsid w:val="00F947D2"/>
    <w:rsid w:val="00FA2C46"/>
    <w:rsid w:val="00FA6B67"/>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F75AF6"/>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527942"/>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27942"/>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527942"/>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basedOn w:val="DefaultParagraphFont"/>
    <w:link w:val="DHHSbody"/>
    <w:uiPriority w:val="99"/>
    <w:rsid w:val="00F75AF6"/>
    <w:rPr>
      <w:rFonts w:ascii="Arial" w:eastAsia="Times"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F75AF6"/>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527942"/>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27942"/>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527942"/>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basedOn w:val="DefaultParagraphFont"/>
    <w:link w:val="DHHSbody"/>
    <w:uiPriority w:val="99"/>
    <w:rsid w:val="00F75AF6"/>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foodsafety@dhhs.vic.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yperlink" Target="mailto:foodsafety@dhhs.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www.dhhs.vic.gov.au/better-regulatory-practice-framewor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C50-DD3B-40D3-88E3-D23375FD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1</TotalTime>
  <Pages>2</Pages>
  <Words>597</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Food safety regulator plan on a page: Food safety regulator plan March 2018 – June 2019</vt:lpstr>
    </vt:vector>
  </TitlesOfParts>
  <Company>Department of Health and Human Services</Company>
  <LinksUpToDate>false</LinksUpToDate>
  <CharactersWithSpaces>4406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regulator plan on a page: Food safety regulator plan March 2018 – June 2019</dc:title>
  <dc:subject>Food safety regulator plan on a page</dc:subject>
  <dc:creator>Food Safety Unit</dc:creator>
  <cp:keywords>Food safety, regulation, Better regulatory practice framework, plan on a page</cp:keywords>
  <cp:revision>2</cp:revision>
  <cp:lastPrinted>2018-02-28T00:08:00Z</cp:lastPrinted>
  <dcterms:created xsi:type="dcterms:W3CDTF">2018-04-26T05:29:00Z</dcterms:created>
  <dcterms:modified xsi:type="dcterms:W3CDTF">2018-04-26T05:29:00Z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