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5385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7A48CDA" wp14:editId="5EBC5B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8BEE8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FEE79B2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DA0767C" w14:textId="674D71DE" w:rsidR="003B5733" w:rsidRPr="003B5733" w:rsidRDefault="00FB74E2" w:rsidP="003B5733">
            <w:pPr>
              <w:pStyle w:val="Documenttitle"/>
            </w:pPr>
            <w:r>
              <w:t>Mental Health Bulletin 60</w:t>
            </w:r>
          </w:p>
        </w:tc>
      </w:tr>
      <w:tr w:rsidR="003B5733" w14:paraId="2B8DBC98" w14:textId="77777777" w:rsidTr="00B07FF7">
        <w:tc>
          <w:tcPr>
            <w:tcW w:w="10348" w:type="dxa"/>
          </w:tcPr>
          <w:p w14:paraId="4ABF64E0" w14:textId="7B6621B3" w:rsidR="003B5733" w:rsidRPr="00A1389F" w:rsidRDefault="00FB74E2" w:rsidP="005F44C0">
            <w:pPr>
              <w:pStyle w:val="Documentsubtitle"/>
            </w:pPr>
            <w:r>
              <w:t>Prevention and Recovery Care (PARC) Services</w:t>
            </w:r>
          </w:p>
        </w:tc>
      </w:tr>
      <w:tr w:rsidR="003B5733" w14:paraId="57B3CFE2" w14:textId="77777777" w:rsidTr="00B07FF7">
        <w:tc>
          <w:tcPr>
            <w:tcW w:w="10348" w:type="dxa"/>
          </w:tcPr>
          <w:p w14:paraId="7788D72D" w14:textId="77777777" w:rsidR="003B5733" w:rsidRPr="001E5058" w:rsidRDefault="00D92F9D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FB74E2">
              <w:t>OFFICIAL</w:t>
            </w:r>
            <w:r>
              <w:fldChar w:fldCharType="end"/>
            </w:r>
          </w:p>
        </w:tc>
      </w:tr>
    </w:tbl>
    <w:p w14:paraId="3904F2CB" w14:textId="11FFFF84" w:rsidR="007173CA" w:rsidRDefault="007173CA" w:rsidP="00D079AA">
      <w:pPr>
        <w:pStyle w:val="Body"/>
      </w:pPr>
    </w:p>
    <w:p w14:paraId="0DE33668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136A4D9" w14:textId="77777777" w:rsidR="00FB74E2" w:rsidRDefault="00FB74E2" w:rsidP="00FB74E2">
      <w:pPr>
        <w:pStyle w:val="Body"/>
      </w:pPr>
      <w:r>
        <w:t xml:space="preserve">This Bulletin provides further advice following the Program Management Circular, </w:t>
      </w:r>
      <w:r w:rsidRPr="00B80B79">
        <w:rPr>
          <w:i/>
          <w:iCs/>
        </w:rPr>
        <w:t>Subcentre Maintenance in CMI/ODS</w:t>
      </w:r>
      <w:r>
        <w:t xml:space="preserve"> dated July 2015, regarding the PARC subcentre set up in CMI/ODS.</w:t>
      </w:r>
    </w:p>
    <w:p w14:paraId="1F4DD4EC" w14:textId="77777777" w:rsidR="00855920" w:rsidRPr="00200176" w:rsidRDefault="00855920" w:rsidP="00855920">
      <w:pPr>
        <w:pStyle w:val="Body"/>
      </w:pPr>
    </w:p>
    <w:p w14:paraId="20A80BEE" w14:textId="77777777" w:rsidR="00FB74E2" w:rsidRPr="00F278A4" w:rsidRDefault="00FB74E2" w:rsidP="00FB74E2">
      <w:pPr>
        <w:pStyle w:val="Heading2"/>
      </w:pPr>
      <w:r>
        <w:t>Background</w:t>
      </w:r>
    </w:p>
    <w:p w14:paraId="6867CDEB" w14:textId="77777777" w:rsidR="00FB74E2" w:rsidRDefault="00FB74E2" w:rsidP="00FB74E2">
      <w:pPr>
        <w:rPr>
          <w:rFonts w:cs="Arial"/>
        </w:rPr>
      </w:pPr>
      <w:bookmarkStart w:id="0" w:name="_Toc63347079"/>
      <w:r>
        <w:rPr>
          <w:rFonts w:cs="Arial"/>
        </w:rPr>
        <w:t>PARC services are sub-acute, short term supported residential services with a recovery focus for people experiencing a mental health problem, but who do not need (or no longer require) a hospital admission.  PARC services treat people experiencing a severe and acute mental health episode, providing a mix of clinical and psychosocial support.</w:t>
      </w:r>
    </w:p>
    <w:p w14:paraId="71538CAE" w14:textId="77777777" w:rsidR="00FB74E2" w:rsidRDefault="00FB74E2" w:rsidP="00FB74E2">
      <w:pPr>
        <w:rPr>
          <w:rFonts w:cs="Arial"/>
        </w:rPr>
      </w:pPr>
      <w:r>
        <w:rPr>
          <w:rFonts w:cs="Arial"/>
        </w:rPr>
        <w:t>They aim to avoid acute inpatient admissions or allow a person to be discharged sooner from an inpatient unit by providing clinical treatment and short-term residential support. PARC services provide a step up from a person’s home or a step down from an acute inpatient unit.</w:t>
      </w:r>
    </w:p>
    <w:bookmarkEnd w:id="0"/>
    <w:p w14:paraId="2120EF16" w14:textId="520B321D" w:rsidR="00200176" w:rsidRDefault="00200176" w:rsidP="00200176">
      <w:pPr>
        <w:pStyle w:val="Body"/>
      </w:pPr>
    </w:p>
    <w:p w14:paraId="208657A9" w14:textId="77777777" w:rsidR="00FB74E2" w:rsidRPr="00B57329" w:rsidRDefault="00FB74E2" w:rsidP="00FB74E2">
      <w:pPr>
        <w:pStyle w:val="Heading2"/>
      </w:pPr>
      <w:r>
        <w:t>CMI/ODS data reporting</w:t>
      </w:r>
    </w:p>
    <w:p w14:paraId="5CDDAA69" w14:textId="77777777" w:rsidR="00FB74E2" w:rsidRDefault="00FB74E2" w:rsidP="00FB74E2">
      <w:pPr>
        <w:pStyle w:val="Heading3"/>
        <w:rPr>
          <w:lang w:eastAsia="en-AU"/>
        </w:rPr>
      </w:pPr>
      <w:r>
        <w:rPr>
          <w:lang w:eastAsia="en-AU"/>
        </w:rPr>
        <w:t>Subcentre Maintenance</w:t>
      </w:r>
    </w:p>
    <w:p w14:paraId="3EDF6AF1" w14:textId="77777777" w:rsidR="00FB74E2" w:rsidRPr="00A304EA" w:rsidRDefault="00FB74E2" w:rsidP="00FB74E2">
      <w:pPr>
        <w:pStyle w:val="Body"/>
        <w:rPr>
          <w:lang w:eastAsia="en-AU"/>
        </w:rPr>
      </w:pPr>
      <w:r>
        <w:rPr>
          <w:lang w:eastAsia="en-AU"/>
        </w:rPr>
        <w:t>PARC Services are inpatient settings where consumers are admitted and discharged.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985"/>
        <w:gridCol w:w="1701"/>
      </w:tblGrid>
      <w:tr w:rsidR="00FB74E2" w14:paraId="708D4701" w14:textId="77777777" w:rsidTr="0023086A">
        <w:tc>
          <w:tcPr>
            <w:tcW w:w="2689" w:type="dxa"/>
          </w:tcPr>
          <w:p w14:paraId="1C166F80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Subcentre Name</w:t>
            </w:r>
          </w:p>
        </w:tc>
        <w:tc>
          <w:tcPr>
            <w:tcW w:w="1559" w:type="dxa"/>
          </w:tcPr>
          <w:p w14:paraId="23C05413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Subcentre Type</w:t>
            </w:r>
          </w:p>
        </w:tc>
        <w:tc>
          <w:tcPr>
            <w:tcW w:w="1559" w:type="dxa"/>
          </w:tcPr>
          <w:p w14:paraId="246616D3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Ward Type</w:t>
            </w:r>
          </w:p>
        </w:tc>
        <w:tc>
          <w:tcPr>
            <w:tcW w:w="1985" w:type="dxa"/>
          </w:tcPr>
          <w:p w14:paraId="7B865FC9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OM Setting</w:t>
            </w:r>
          </w:p>
        </w:tc>
        <w:tc>
          <w:tcPr>
            <w:tcW w:w="1701" w:type="dxa"/>
          </w:tcPr>
          <w:p w14:paraId="6D1598A1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Caseload</w:t>
            </w:r>
          </w:p>
        </w:tc>
      </w:tr>
      <w:tr w:rsidR="00FB74E2" w14:paraId="7D0F8380" w14:textId="77777777" w:rsidTr="0023086A">
        <w:tc>
          <w:tcPr>
            <w:tcW w:w="2689" w:type="dxa"/>
          </w:tcPr>
          <w:p w14:paraId="76E9EE91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Should contain ‘PARC’ as part of the name but up to the discretion of the Service</w:t>
            </w:r>
          </w:p>
        </w:tc>
        <w:tc>
          <w:tcPr>
            <w:tcW w:w="1559" w:type="dxa"/>
          </w:tcPr>
          <w:p w14:paraId="07721E99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Inpatient</w:t>
            </w:r>
          </w:p>
        </w:tc>
        <w:tc>
          <w:tcPr>
            <w:tcW w:w="1559" w:type="dxa"/>
          </w:tcPr>
          <w:p w14:paraId="400C990A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Residential</w:t>
            </w:r>
          </w:p>
        </w:tc>
        <w:tc>
          <w:tcPr>
            <w:tcW w:w="1985" w:type="dxa"/>
          </w:tcPr>
          <w:p w14:paraId="3E57FD15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Adult Inpatient</w:t>
            </w:r>
          </w:p>
          <w:p w14:paraId="5094F069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CAMHS/CYMHS Inpatient</w:t>
            </w:r>
          </w:p>
        </w:tc>
        <w:tc>
          <w:tcPr>
            <w:tcW w:w="1701" w:type="dxa"/>
          </w:tcPr>
          <w:p w14:paraId="7CD7C78E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Not required</w:t>
            </w:r>
          </w:p>
        </w:tc>
      </w:tr>
    </w:tbl>
    <w:p w14:paraId="5734BB83" w14:textId="77777777" w:rsidR="00FB74E2" w:rsidRDefault="00FB74E2" w:rsidP="00FB74E2">
      <w:pPr>
        <w:pStyle w:val="Body"/>
        <w:rPr>
          <w:lang w:eastAsia="en-AU"/>
        </w:rPr>
      </w:pPr>
    </w:p>
    <w:p w14:paraId="7C4F08AB" w14:textId="77777777" w:rsidR="00FB74E2" w:rsidRDefault="00FB74E2" w:rsidP="00FB74E2">
      <w:pPr>
        <w:pStyle w:val="Heading3"/>
        <w:rPr>
          <w:lang w:eastAsia="en-AU"/>
        </w:rPr>
      </w:pPr>
      <w:r>
        <w:rPr>
          <w:lang w:eastAsia="en-AU"/>
        </w:rPr>
        <w:t>Program Maintenance</w:t>
      </w:r>
    </w:p>
    <w:p w14:paraId="7F0C78BC" w14:textId="77777777" w:rsidR="00FB74E2" w:rsidRDefault="00FB74E2" w:rsidP="00FB74E2">
      <w:pPr>
        <w:pStyle w:val="Bodyafterbullets"/>
        <w:rPr>
          <w:rFonts w:eastAsia="Times New Roman" w:cs="Arial"/>
        </w:rPr>
      </w:pPr>
      <w:r>
        <w:rPr>
          <w:rFonts w:eastAsia="Times New Roman" w:cs="Arial"/>
        </w:rPr>
        <w:t>To ensure consistent and accurate recording of data, it is recommended that services create 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2715"/>
        <w:gridCol w:w="2563"/>
        <w:gridCol w:w="2633"/>
      </w:tblGrid>
      <w:tr w:rsidR="00FB74E2" w14:paraId="2253E8E1" w14:textId="77777777" w:rsidTr="0023086A">
        <w:tc>
          <w:tcPr>
            <w:tcW w:w="2283" w:type="dxa"/>
          </w:tcPr>
          <w:p w14:paraId="1C80C4CD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Program Description</w:t>
            </w:r>
          </w:p>
        </w:tc>
        <w:tc>
          <w:tcPr>
            <w:tcW w:w="2715" w:type="dxa"/>
          </w:tcPr>
          <w:p w14:paraId="130AB3BC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Program Classification</w:t>
            </w:r>
          </w:p>
        </w:tc>
        <w:tc>
          <w:tcPr>
            <w:tcW w:w="2563" w:type="dxa"/>
          </w:tcPr>
          <w:p w14:paraId="1C9DDCCF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Program Type</w:t>
            </w:r>
          </w:p>
        </w:tc>
        <w:tc>
          <w:tcPr>
            <w:tcW w:w="2633" w:type="dxa"/>
          </w:tcPr>
          <w:p w14:paraId="6F2CBCCD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Fund Source</w:t>
            </w:r>
          </w:p>
        </w:tc>
      </w:tr>
      <w:tr w:rsidR="00FB74E2" w14:paraId="34A293EA" w14:textId="77777777" w:rsidTr="0023086A">
        <w:tc>
          <w:tcPr>
            <w:tcW w:w="2283" w:type="dxa"/>
          </w:tcPr>
          <w:p w14:paraId="0819C281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Should contain ‘PARC’ as part of the description</w:t>
            </w:r>
          </w:p>
        </w:tc>
        <w:tc>
          <w:tcPr>
            <w:tcW w:w="2715" w:type="dxa"/>
          </w:tcPr>
          <w:p w14:paraId="5F477C45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Non-acute, general</w:t>
            </w:r>
          </w:p>
        </w:tc>
        <w:tc>
          <w:tcPr>
            <w:tcW w:w="2563" w:type="dxa"/>
          </w:tcPr>
          <w:p w14:paraId="54773FC0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E42 PARC, Adult</w:t>
            </w:r>
          </w:p>
          <w:p w14:paraId="7DD59D09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E41 PARC, Youth</w:t>
            </w:r>
          </w:p>
        </w:tc>
        <w:tc>
          <w:tcPr>
            <w:tcW w:w="2633" w:type="dxa"/>
          </w:tcPr>
          <w:p w14:paraId="06F65EE1" w14:textId="77777777" w:rsidR="00FB74E2" w:rsidRDefault="00FB74E2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15057 Prevention and Recovery Care - PARC</w:t>
            </w:r>
          </w:p>
        </w:tc>
      </w:tr>
    </w:tbl>
    <w:p w14:paraId="5C1137FF" w14:textId="77777777" w:rsidR="00FB74E2" w:rsidRPr="00A744F0" w:rsidRDefault="00FB74E2" w:rsidP="00FB74E2">
      <w:pPr>
        <w:pStyle w:val="Bodyafterbullets"/>
        <w:rPr>
          <w:rFonts w:eastAsia="Times New Roman" w:cs="Arial"/>
        </w:rPr>
      </w:pPr>
    </w:p>
    <w:p w14:paraId="1B9E1020" w14:textId="77777777" w:rsidR="00FB74E2" w:rsidRDefault="00FB74E2" w:rsidP="00FB74E2">
      <w:pPr>
        <w:pStyle w:val="DHHSbody"/>
        <w:jc w:val="both"/>
        <w:rPr>
          <w:rFonts w:eastAsia="MS Gothic"/>
          <w:bCs/>
          <w:color w:val="53565A"/>
          <w:sz w:val="27"/>
          <w:szCs w:val="26"/>
        </w:rPr>
      </w:pPr>
      <w:r>
        <w:rPr>
          <w:sz w:val="22"/>
          <w:szCs w:val="22"/>
          <w:shd w:val="clear" w:color="auto" w:fill="FFFFFF"/>
        </w:rPr>
        <w:lastRenderedPageBreak/>
        <w:t>Outcome measurement reporting reflects the subcentre as age-based and type grouping.  It is important the subcentre and OM settings are aligned, for example, PARC adult aligns with the adult measures collection for inpatients.</w:t>
      </w:r>
    </w:p>
    <w:p w14:paraId="5A7846E2" w14:textId="77777777" w:rsidR="00FB74E2" w:rsidRDefault="00FB74E2" w:rsidP="00646794">
      <w:pPr>
        <w:pStyle w:val="Quotetext"/>
        <w:ind w:left="0"/>
      </w:pPr>
    </w:p>
    <w:p w14:paraId="5344318E" w14:textId="77777777" w:rsidR="00FB74E2" w:rsidRPr="00AA4D16" w:rsidRDefault="00FB74E2" w:rsidP="00FB74E2">
      <w:pPr>
        <w:pStyle w:val="Heading3"/>
        <w:rPr>
          <w:color w:val="1F497D" w:themeColor="text2"/>
        </w:rPr>
      </w:pPr>
      <w:r w:rsidRPr="00AA4D16">
        <w:rPr>
          <w:color w:val="1F497D" w:themeColor="text2"/>
        </w:rPr>
        <w:t>For More Information</w:t>
      </w:r>
    </w:p>
    <w:p w14:paraId="7A2DEC2D" w14:textId="77777777" w:rsidR="00FB74E2" w:rsidRPr="00C46BF7" w:rsidRDefault="00FB74E2" w:rsidP="00FB74E2">
      <w:pPr>
        <w:pStyle w:val="Heading1"/>
        <w:spacing w:before="0" w:line="276" w:lineRule="auto"/>
        <w:rPr>
          <w:rFonts w:eastAsia="Times" w:cs="Times New Roman"/>
          <w:bCs w:val="0"/>
          <w:color w:val="auto"/>
          <w:kern w:val="0"/>
          <w:sz w:val="21"/>
          <w:szCs w:val="21"/>
        </w:rPr>
      </w:pPr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br/>
      </w:r>
      <w:hyperlink r:id="rId16" w:history="1">
        <w:r w:rsidRPr="00C46BF7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4ECA6126" w14:textId="77777777" w:rsidR="00FB74E2" w:rsidRPr="00C46BF7" w:rsidRDefault="00FB74E2" w:rsidP="00FB74E2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7" w:history="1">
        <w:r w:rsidRPr="00C46BF7">
          <w:rPr>
            <w:rStyle w:val="Hyperlink"/>
            <w:sz w:val="21"/>
            <w:szCs w:val="21"/>
          </w:rPr>
          <w:t>MHDReporting@dhhs.vic.gov.au</w:t>
        </w:r>
      </w:hyperlink>
    </w:p>
    <w:p w14:paraId="44FDD0BC" w14:textId="77777777" w:rsidR="00FB74E2" w:rsidRDefault="00FB74E2" w:rsidP="00FB74E2">
      <w:pPr>
        <w:pStyle w:val="Quotetext"/>
        <w:ind w:left="0"/>
      </w:pPr>
    </w:p>
    <w:p w14:paraId="583DA5A5" w14:textId="77777777" w:rsidR="00FB74E2" w:rsidRPr="00200176" w:rsidRDefault="00FB74E2" w:rsidP="00FB74E2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B74E2" w14:paraId="6BF21BBA" w14:textId="77777777" w:rsidTr="0023086A">
        <w:tc>
          <w:tcPr>
            <w:tcW w:w="10194" w:type="dxa"/>
          </w:tcPr>
          <w:p w14:paraId="5008939E" w14:textId="77777777" w:rsidR="00FB74E2" w:rsidRPr="00BA5EAE" w:rsidRDefault="00FB74E2" w:rsidP="0023086A">
            <w:pPr>
              <w:pStyle w:val="DHHSaccessibilitypara"/>
            </w:pPr>
            <w:r w:rsidRPr="00BA5EAE">
              <w:t xml:space="preserve">To receive this publication in an accessible format email </w:t>
            </w:r>
            <w:hyperlink r:id="rId18" w:history="1">
              <w:r w:rsidRPr="00BA5EAE">
                <w:rPr>
                  <w:rStyle w:val="Hyperlink"/>
                </w:rPr>
                <w:t>MHDReporting@dhhs.vic.gov.au</w:t>
              </w:r>
            </w:hyperlink>
          </w:p>
          <w:p w14:paraId="7413E4B8" w14:textId="77777777" w:rsidR="00FB74E2" w:rsidRPr="00BA5EAE" w:rsidRDefault="00FB74E2" w:rsidP="0023086A">
            <w:pPr>
              <w:pStyle w:val="DHHSbody"/>
            </w:pPr>
            <w:r w:rsidRPr="00BA5EAE">
              <w:t>Authorised and published by the Victorian Government, 1 Treasury Place, Melbourne.</w:t>
            </w:r>
          </w:p>
          <w:p w14:paraId="3A3A5C42" w14:textId="77777777" w:rsidR="00FB74E2" w:rsidRDefault="00FB74E2" w:rsidP="0023086A">
            <w:pPr>
              <w:pStyle w:val="Imprint"/>
            </w:pPr>
            <w:r w:rsidRPr="00BA5EAE">
              <w:t>© State of Victoria, Department of Health</w:t>
            </w:r>
            <w:r>
              <w:t>, March 2022</w:t>
            </w:r>
            <w:r w:rsidRPr="00BA5EAE">
              <w:t>.</w:t>
            </w:r>
          </w:p>
        </w:tc>
      </w:tr>
    </w:tbl>
    <w:p w14:paraId="421EA0E9" w14:textId="77777777" w:rsidR="00FB74E2" w:rsidRDefault="00FB74E2" w:rsidP="00FB74E2">
      <w:pPr>
        <w:pStyle w:val="Body"/>
      </w:pPr>
    </w:p>
    <w:p w14:paraId="128E7075" w14:textId="77777777" w:rsidR="00FB74E2" w:rsidRPr="00200176" w:rsidRDefault="00FB74E2" w:rsidP="00200176">
      <w:pPr>
        <w:pStyle w:val="Body"/>
      </w:pPr>
    </w:p>
    <w:p w14:paraId="6CECE89C" w14:textId="77777777" w:rsidR="00162CA9" w:rsidRDefault="00162CA9" w:rsidP="00162CA9">
      <w:pPr>
        <w:pStyle w:val="Body"/>
      </w:pPr>
    </w:p>
    <w:sectPr w:rsidR="00162CA9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1053" w14:textId="77777777" w:rsidR="00FB74E2" w:rsidRDefault="00FB74E2">
      <w:r>
        <w:separator/>
      </w:r>
    </w:p>
  </w:endnote>
  <w:endnote w:type="continuationSeparator" w:id="0">
    <w:p w14:paraId="05A75528" w14:textId="77777777" w:rsidR="00FB74E2" w:rsidRDefault="00FB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B512" w14:textId="77777777" w:rsidR="00D92F9D" w:rsidRDefault="00D92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E7EE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65B398C" wp14:editId="64BB8FD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A8A1F19" wp14:editId="6FD7BC7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7D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1F1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097D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F87B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426574B9" wp14:editId="493BBB3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C678D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574B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26C678D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519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38B11CB" wp14:editId="59364B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2CF04F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11CB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62CF04F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C4AF" w14:textId="77777777" w:rsidR="00FB74E2" w:rsidRDefault="00FB74E2" w:rsidP="002862F1">
      <w:pPr>
        <w:spacing w:before="120"/>
      </w:pPr>
      <w:r>
        <w:separator/>
      </w:r>
    </w:p>
  </w:footnote>
  <w:footnote w:type="continuationSeparator" w:id="0">
    <w:p w14:paraId="6E5000C9" w14:textId="77777777" w:rsidR="00FB74E2" w:rsidRDefault="00FB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379B" w14:textId="77777777" w:rsidR="00D92F9D" w:rsidRDefault="00D92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B70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5D6D" w14:textId="77777777" w:rsidR="00D92F9D" w:rsidRDefault="00D92F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5252" w14:textId="6E8BE3B4" w:rsidR="00E261B3" w:rsidRPr="0051568D" w:rsidRDefault="00FB74E2" w:rsidP="0011701A">
    <w:pPr>
      <w:pStyle w:val="Header"/>
    </w:pPr>
    <w:r>
      <w:t>Mental Health Bulletin 60 – Prevention and Recovery Care (PARC) Services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E2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40A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794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78B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395"/>
    <w:rsid w:val="008C6D51"/>
    <w:rsid w:val="008D2846"/>
    <w:rsid w:val="008D4236"/>
    <w:rsid w:val="008D462F"/>
    <w:rsid w:val="008D6DCF"/>
    <w:rsid w:val="008E2BC6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2F9D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8C6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543D"/>
    <w:rsid w:val="00FB6481"/>
    <w:rsid w:val="00FB6D36"/>
    <w:rsid w:val="00FB74E2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FA86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DHHSbodyChar">
    <w:name w:val="DHHS body Char"/>
    <w:link w:val="DHHSbody"/>
    <w:locked/>
    <w:rsid w:val="00FB74E2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FB74E2"/>
    <w:pPr>
      <w:spacing w:after="120" w:line="270" w:lineRule="atLeast"/>
    </w:pPr>
    <w:rPr>
      <w:rFonts w:ascii="Arial" w:eastAsia="Times" w:hAnsi="Arial"/>
    </w:rPr>
  </w:style>
  <w:style w:type="paragraph" w:customStyle="1" w:styleId="DHHSaccessibilitypara">
    <w:name w:val="DHHS accessibility para"/>
    <w:uiPriority w:val="8"/>
    <w:rsid w:val="00FB74E2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file:///C:\Users\vkri0102\AppData\Local\Temp\notes288A47\MHDReporting@dhhs.vic.gov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HDReporting@dhhs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.vic.gov.au/research-and-reporting/bulletins-and-program-management-circulars-pm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Bulletin 60</vt:lpstr>
    </vt:vector>
  </TitlesOfParts>
  <Manager/>
  <Company/>
  <LinksUpToDate>false</LinksUpToDate>
  <CharactersWithSpaces>2830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60</dc:title>
  <dc:subject>Prevention and Recovery Care (PARC) Services</dc:subject>
  <dc:creator/>
  <cp:keywords>PARC, prevention and recovery</cp:keywords>
  <dc:description/>
  <cp:lastModifiedBy/>
  <cp:revision>1</cp:revision>
  <dcterms:created xsi:type="dcterms:W3CDTF">2022-03-17T04:01:00Z</dcterms:created>
  <dcterms:modified xsi:type="dcterms:W3CDTF">2022-03-17T04:01:00Z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2022-03-17T04:01:25Z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850e49d7-c4f7-40b9-92a1-a5d6c30e4304</vt:lpwstr>
  </property>
  <property fmtid="{D5CDD505-2E9C-101B-9397-08002B2CF9AE}" pid="8" name="MSIP_Label_43e64453-338c-4f93-8a4d-0039a0a41f2a_ContentBits">
    <vt:lpwstr>2</vt:lpwstr>
  </property>
</Properties>
</file>