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5350"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375203" wp14:editId="4552207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D5E22FD"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2476F3" w14:paraId="35943220" w14:textId="77777777" w:rsidTr="00B07FF7">
        <w:trPr>
          <w:trHeight w:val="622"/>
        </w:trPr>
        <w:tc>
          <w:tcPr>
            <w:tcW w:w="10348" w:type="dxa"/>
            <w:tcMar>
              <w:top w:w="1531" w:type="dxa"/>
              <w:left w:w="0" w:type="dxa"/>
              <w:right w:w="0" w:type="dxa"/>
            </w:tcMar>
          </w:tcPr>
          <w:p w14:paraId="79FA3C4A" w14:textId="77777777" w:rsidR="002476F3" w:rsidRDefault="002476F3" w:rsidP="002476F3">
            <w:pPr>
              <w:pStyle w:val="Documenttitle"/>
              <w:rPr>
                <w:sz w:val="44"/>
              </w:rPr>
            </w:pPr>
            <w:r>
              <w:rPr>
                <w:sz w:val="44"/>
              </w:rPr>
              <w:t xml:space="preserve">Mental Health </w:t>
            </w:r>
            <w:r w:rsidRPr="00C3050E">
              <w:rPr>
                <w:sz w:val="44"/>
              </w:rPr>
              <w:t xml:space="preserve">Bulletin 61 </w:t>
            </w:r>
          </w:p>
          <w:p w14:paraId="7F713892" w14:textId="47B15AEE" w:rsidR="002476F3" w:rsidRPr="003B5733" w:rsidRDefault="002476F3" w:rsidP="002476F3">
            <w:pPr>
              <w:pStyle w:val="Documenttitle"/>
            </w:pPr>
            <w:r w:rsidRPr="00C3050E">
              <w:rPr>
                <w:sz w:val="44"/>
              </w:rPr>
              <w:t>Suicide Prevention: Hospital Outreach Post-suicidal Engagement (HOPE) Initiative</w:t>
            </w:r>
          </w:p>
        </w:tc>
      </w:tr>
      <w:tr w:rsidR="003B5733" w14:paraId="5498F8F1" w14:textId="77777777" w:rsidTr="00B07FF7">
        <w:tc>
          <w:tcPr>
            <w:tcW w:w="10348" w:type="dxa"/>
          </w:tcPr>
          <w:p w14:paraId="1153BD7C" w14:textId="0FE7EF4D" w:rsidR="003B5733" w:rsidRPr="00A1389F" w:rsidRDefault="003B5733" w:rsidP="005F44C0">
            <w:pPr>
              <w:pStyle w:val="Documentsubtitle"/>
            </w:pPr>
          </w:p>
        </w:tc>
      </w:tr>
      <w:tr w:rsidR="003B5733" w14:paraId="226F1043" w14:textId="77777777" w:rsidTr="00B07FF7">
        <w:tc>
          <w:tcPr>
            <w:tcW w:w="10348" w:type="dxa"/>
          </w:tcPr>
          <w:p w14:paraId="0B93068D" w14:textId="77777777" w:rsidR="003B5733" w:rsidRPr="001E5058" w:rsidRDefault="00CE365C" w:rsidP="001E5058">
            <w:pPr>
              <w:pStyle w:val="Bannermarking"/>
            </w:pPr>
            <w:r>
              <w:fldChar w:fldCharType="begin"/>
            </w:r>
            <w:r>
              <w:instrText xml:space="preserve"> FILLIN  "Type the protective marking" \d OFFICIAL \o  \* MERGEFORMAT </w:instrText>
            </w:r>
            <w:r>
              <w:fldChar w:fldCharType="separate"/>
            </w:r>
            <w:r w:rsidR="002476F3">
              <w:t>OFFICIAL</w:t>
            </w:r>
            <w:r>
              <w:fldChar w:fldCharType="end"/>
            </w:r>
          </w:p>
        </w:tc>
      </w:tr>
    </w:tbl>
    <w:p w14:paraId="525F3637" w14:textId="77777777" w:rsidR="002476F3" w:rsidRPr="002476F3" w:rsidRDefault="002476F3" w:rsidP="002476F3">
      <w:pPr>
        <w:pStyle w:val="Heading2"/>
        <w:rPr>
          <w:color w:val="365F91" w:themeColor="accent1" w:themeShade="BF"/>
        </w:rPr>
      </w:pPr>
      <w:r w:rsidRPr="002476F3">
        <w:rPr>
          <w:color w:val="365F91" w:themeColor="accent1" w:themeShade="BF"/>
        </w:rPr>
        <w:t>Note</w:t>
      </w:r>
    </w:p>
    <w:p w14:paraId="136AF463" w14:textId="29AFCEFF" w:rsidR="002476F3" w:rsidRDefault="002476F3" w:rsidP="002476F3">
      <w:pPr>
        <w:pStyle w:val="Body"/>
      </w:pPr>
      <w:r>
        <w:t>Please note that Bulletin 34 issued in November 2019 has been superseded by this issue</w:t>
      </w:r>
    </w:p>
    <w:p w14:paraId="0575E62D" w14:textId="17D24312" w:rsidR="002476F3" w:rsidRPr="00B519CD" w:rsidRDefault="002476F3" w:rsidP="007173CA">
      <w:pPr>
        <w:pStyle w:val="Body"/>
        <w:sectPr w:rsidR="002476F3" w:rsidRPr="00B519CD" w:rsidSect="00E62622">
          <w:headerReference w:type="default" r:id="rId15"/>
          <w:type w:val="continuous"/>
          <w:pgSz w:w="11906" w:h="16838" w:code="9"/>
          <w:pgMar w:top="1418" w:right="851" w:bottom="1418" w:left="851" w:header="851" w:footer="851" w:gutter="0"/>
          <w:cols w:space="340"/>
          <w:titlePg/>
          <w:docGrid w:linePitch="360"/>
        </w:sectPr>
      </w:pPr>
    </w:p>
    <w:p w14:paraId="170BF869" w14:textId="77777777" w:rsidR="00F32368" w:rsidRPr="00F32368" w:rsidRDefault="00F32368" w:rsidP="00F32368">
      <w:pPr>
        <w:pStyle w:val="Body"/>
      </w:pPr>
      <w:bookmarkStart w:id="0" w:name="_Hlk41913885"/>
    </w:p>
    <w:bookmarkEnd w:id="0"/>
    <w:p w14:paraId="219287B5" w14:textId="77777777" w:rsidR="002476F3" w:rsidRPr="002476F3" w:rsidRDefault="002476F3" w:rsidP="002476F3">
      <w:pPr>
        <w:pStyle w:val="Heading2"/>
        <w:rPr>
          <w:color w:val="365F91" w:themeColor="accent1" w:themeShade="BF"/>
        </w:rPr>
      </w:pPr>
      <w:r w:rsidRPr="002476F3">
        <w:rPr>
          <w:color w:val="365F91" w:themeColor="accent1" w:themeShade="BF"/>
        </w:rPr>
        <w:t>Purpose</w:t>
      </w:r>
    </w:p>
    <w:p w14:paraId="0D6CEF64" w14:textId="77777777" w:rsidR="002476F3" w:rsidRPr="00E02F32" w:rsidRDefault="002476F3" w:rsidP="002476F3">
      <w:pPr>
        <w:pStyle w:val="Heading1"/>
        <w:spacing w:before="0" w:after="0" w:line="276" w:lineRule="auto"/>
        <w:rPr>
          <w:rFonts w:eastAsia="Times"/>
          <w:b/>
          <w:bCs w:val="0"/>
          <w:color w:val="auto"/>
          <w:sz w:val="20"/>
          <w:szCs w:val="20"/>
        </w:rPr>
      </w:pPr>
      <w:bookmarkStart w:id="1" w:name="_Toc256778633"/>
      <w:r w:rsidRPr="00E02F32">
        <w:rPr>
          <w:rFonts w:eastAsia="Times"/>
          <w:bCs w:val="0"/>
          <w:color w:val="auto"/>
          <w:sz w:val="20"/>
          <w:szCs w:val="20"/>
        </w:rPr>
        <w:t>To provide guidance for the reporting of data to the CMI/ODS for the suicide prevention program</w:t>
      </w:r>
      <w:r w:rsidRPr="00E02F32">
        <w:rPr>
          <w:rFonts w:eastAsia="Times"/>
          <w:b/>
          <w:bCs w:val="0"/>
          <w:color w:val="auto"/>
          <w:sz w:val="20"/>
          <w:szCs w:val="20"/>
        </w:rPr>
        <w:t xml:space="preserve"> -</w:t>
      </w:r>
      <w:r w:rsidRPr="00E02F32">
        <w:rPr>
          <w:color w:val="auto"/>
        </w:rPr>
        <w:t xml:space="preserve"> </w:t>
      </w:r>
      <w:r w:rsidRPr="00E02F32">
        <w:rPr>
          <w:color w:val="auto"/>
          <w:sz w:val="20"/>
          <w:szCs w:val="20"/>
        </w:rPr>
        <w:t xml:space="preserve">Hospital Outreach Post-suicidal Engagement (HOPE) Initiative. </w:t>
      </w:r>
      <w:r w:rsidRPr="00E02F32">
        <w:rPr>
          <w:rFonts w:eastAsia="Times"/>
          <w:bCs w:val="0"/>
          <w:color w:val="auto"/>
          <w:sz w:val="20"/>
          <w:szCs w:val="20"/>
        </w:rPr>
        <w:t xml:space="preserve">This includes advice on registration requirements for those accessing the service. </w:t>
      </w:r>
    </w:p>
    <w:p w14:paraId="2728917E" w14:textId="77777777" w:rsidR="002476F3" w:rsidRPr="002476F3" w:rsidRDefault="002476F3" w:rsidP="002476F3">
      <w:pPr>
        <w:pStyle w:val="Heading2"/>
        <w:rPr>
          <w:color w:val="365F91" w:themeColor="accent1" w:themeShade="BF"/>
        </w:rPr>
      </w:pPr>
      <w:r w:rsidRPr="002476F3">
        <w:rPr>
          <w:color w:val="365F91" w:themeColor="accent1" w:themeShade="BF"/>
        </w:rPr>
        <w:t>Overview</w:t>
      </w:r>
    </w:p>
    <w:p w14:paraId="5A625129" w14:textId="77777777" w:rsidR="002476F3" w:rsidRDefault="002476F3" w:rsidP="002476F3">
      <w:pPr>
        <w:pStyle w:val="DHHSbody"/>
        <w:spacing w:after="360"/>
      </w:pPr>
      <w:r w:rsidRPr="00673FCE">
        <w:t>The HOPE Initiative provides tailored, holistic support to people post a suicide attempt with the aim of supporting the person and their carers and families to identify and build the protective factors that reduce the risk of suicide and/or repeated intentional self-harm.</w:t>
      </w:r>
      <w:r>
        <w:t xml:space="preserve"> </w:t>
      </w:r>
    </w:p>
    <w:p w14:paraId="08D06931" w14:textId="77777777" w:rsidR="002476F3" w:rsidRDefault="002476F3" w:rsidP="002476F3">
      <w:pPr>
        <w:pStyle w:val="DHHSbody"/>
      </w:pPr>
      <w:r>
        <w:t xml:space="preserve">The initiative has now been implemented in 21 Area Mental Health Services.  The following regional health services are also providing outreach to subregional areas: </w:t>
      </w:r>
    </w:p>
    <w:p w14:paraId="3E60215E" w14:textId="77777777" w:rsidR="002476F3" w:rsidRPr="00EC638D" w:rsidRDefault="002476F3" w:rsidP="002476F3">
      <w:pPr>
        <w:pStyle w:val="ListParagraph"/>
        <w:numPr>
          <w:ilvl w:val="0"/>
          <w:numId w:val="40"/>
        </w:numPr>
        <w:rPr>
          <w:rFonts w:ascii="Arial" w:eastAsia="Times New Roman" w:hAnsi="Arial" w:cs="Arial"/>
          <w:sz w:val="20"/>
          <w:lang w:eastAsia="en-US"/>
        </w:rPr>
      </w:pPr>
      <w:r w:rsidRPr="00EC638D">
        <w:rPr>
          <w:rFonts w:ascii="Arial" w:eastAsia="Times New Roman" w:hAnsi="Arial" w:cs="Arial"/>
          <w:sz w:val="20"/>
          <w:lang w:eastAsia="en-US"/>
        </w:rPr>
        <w:t>Bendigo Hospital (Bendigo Health)</w:t>
      </w:r>
      <w:r>
        <w:rPr>
          <w:rFonts w:ascii="Arial" w:eastAsia="Times New Roman" w:hAnsi="Arial" w:cs="Arial"/>
          <w:sz w:val="20"/>
          <w:lang w:eastAsia="en-US"/>
        </w:rPr>
        <w:t xml:space="preserve"> outreach to Swan Hill and Echuca – all three should be registered</w:t>
      </w:r>
      <w:r w:rsidRPr="00EC638D">
        <w:rPr>
          <w:rFonts w:ascii="Arial" w:eastAsia="Times New Roman" w:hAnsi="Arial" w:cs="Arial"/>
          <w:sz w:val="20"/>
          <w:lang w:eastAsia="en-US"/>
        </w:rPr>
        <w:t xml:space="preserve"> </w:t>
      </w:r>
      <w:r>
        <w:rPr>
          <w:rFonts w:ascii="Arial" w:eastAsia="Times New Roman" w:hAnsi="Arial" w:cs="Arial"/>
          <w:sz w:val="20"/>
          <w:lang w:eastAsia="en-US"/>
        </w:rPr>
        <w:t>when implemented</w:t>
      </w:r>
    </w:p>
    <w:p w14:paraId="08ECDF34" w14:textId="77777777" w:rsidR="002476F3" w:rsidRPr="00EC638D" w:rsidRDefault="002476F3" w:rsidP="002476F3">
      <w:pPr>
        <w:pStyle w:val="ListParagraph"/>
        <w:numPr>
          <w:ilvl w:val="0"/>
          <w:numId w:val="40"/>
        </w:numPr>
        <w:rPr>
          <w:rFonts w:ascii="Arial" w:eastAsia="Times New Roman" w:hAnsi="Arial" w:cs="Arial"/>
          <w:sz w:val="20"/>
          <w:lang w:eastAsia="en-US"/>
        </w:rPr>
      </w:pPr>
      <w:r w:rsidRPr="00EC638D">
        <w:rPr>
          <w:rFonts w:ascii="Arial" w:eastAsia="Times New Roman" w:hAnsi="Arial" w:cs="Arial"/>
          <w:sz w:val="20"/>
          <w:lang w:eastAsia="en-US"/>
        </w:rPr>
        <w:t>Ballarat Health Service</w:t>
      </w:r>
      <w:r>
        <w:rPr>
          <w:rFonts w:ascii="Arial" w:eastAsia="Times New Roman" w:hAnsi="Arial" w:cs="Arial"/>
          <w:sz w:val="20"/>
          <w:lang w:eastAsia="en-US"/>
        </w:rPr>
        <w:t xml:space="preserve"> </w:t>
      </w:r>
      <w:r w:rsidRPr="00EC638D">
        <w:rPr>
          <w:rFonts w:ascii="Arial" w:eastAsia="Times New Roman" w:hAnsi="Arial" w:cs="Arial"/>
          <w:sz w:val="20"/>
          <w:lang w:eastAsia="en-US"/>
        </w:rPr>
        <w:t xml:space="preserve">with outreach to Horsham – both should be registered </w:t>
      </w:r>
    </w:p>
    <w:p w14:paraId="023B8F62" w14:textId="77777777" w:rsidR="002476F3" w:rsidRDefault="002476F3" w:rsidP="002476F3">
      <w:pPr>
        <w:pStyle w:val="ListParagraph"/>
        <w:numPr>
          <w:ilvl w:val="0"/>
          <w:numId w:val="40"/>
        </w:numPr>
        <w:rPr>
          <w:rFonts w:ascii="Arial" w:eastAsia="Times New Roman" w:hAnsi="Arial" w:cs="Arial"/>
          <w:sz w:val="20"/>
          <w:lang w:eastAsia="en-US"/>
        </w:rPr>
      </w:pPr>
      <w:r w:rsidRPr="00EC638D">
        <w:rPr>
          <w:rFonts w:ascii="Arial" w:eastAsia="Times New Roman" w:hAnsi="Arial" w:cs="Arial"/>
          <w:sz w:val="20"/>
          <w:lang w:eastAsia="en-US"/>
        </w:rPr>
        <w:t>Latrobe Regional Hospital</w:t>
      </w:r>
      <w:r>
        <w:rPr>
          <w:rFonts w:ascii="Arial" w:eastAsia="Times New Roman" w:hAnsi="Arial" w:cs="Arial"/>
          <w:sz w:val="20"/>
          <w:lang w:eastAsia="en-US"/>
        </w:rPr>
        <w:t xml:space="preserve"> outreach to Bairnsdale, Sale, Warragul and Bass Coast – all five should be registered</w:t>
      </w:r>
    </w:p>
    <w:p w14:paraId="41F84CA3" w14:textId="6709D9EF" w:rsidR="002476F3" w:rsidRDefault="002476F3" w:rsidP="002476F3">
      <w:pPr>
        <w:pStyle w:val="ListParagraph"/>
        <w:numPr>
          <w:ilvl w:val="0"/>
          <w:numId w:val="40"/>
        </w:numPr>
        <w:rPr>
          <w:rFonts w:ascii="Arial" w:eastAsia="Times New Roman" w:hAnsi="Arial" w:cs="Arial"/>
          <w:sz w:val="20"/>
          <w:lang w:eastAsia="en-US"/>
        </w:rPr>
      </w:pPr>
      <w:r>
        <w:rPr>
          <w:rFonts w:ascii="Arial" w:eastAsia="Times New Roman" w:hAnsi="Arial" w:cs="Arial"/>
          <w:sz w:val="20"/>
          <w:lang w:eastAsia="en-US"/>
        </w:rPr>
        <w:t>Southwest Health Care (Warrnambool) outreach to Hamilton – both should be registered</w:t>
      </w:r>
    </w:p>
    <w:p w14:paraId="7FFA91DE" w14:textId="46CB9F8D" w:rsidR="00551F24" w:rsidRPr="00EC638D" w:rsidRDefault="00551F24" w:rsidP="002476F3">
      <w:pPr>
        <w:pStyle w:val="ListParagraph"/>
        <w:numPr>
          <w:ilvl w:val="0"/>
          <w:numId w:val="40"/>
        </w:numPr>
        <w:rPr>
          <w:rFonts w:ascii="Arial" w:eastAsia="Times New Roman" w:hAnsi="Arial" w:cs="Arial"/>
          <w:sz w:val="20"/>
          <w:lang w:eastAsia="en-US"/>
        </w:rPr>
      </w:pPr>
      <w:r>
        <w:rPr>
          <w:rFonts w:ascii="Arial" w:eastAsia="Times New Roman" w:hAnsi="Arial" w:cs="Arial"/>
          <w:sz w:val="20"/>
          <w:lang w:eastAsia="en-US"/>
        </w:rPr>
        <w:t>Albury Wodonga Health – both Wodonga and Wangaratta sites should be registered</w:t>
      </w:r>
    </w:p>
    <w:p w14:paraId="6DA0DF3B" w14:textId="77777777" w:rsidR="002476F3" w:rsidRDefault="002476F3" w:rsidP="002476F3">
      <w:pPr>
        <w:rPr>
          <w:rFonts w:ascii="Arial" w:hAnsi="Arial" w:cs="Arial"/>
          <w:sz w:val="20"/>
          <w:lang w:eastAsia="en-US"/>
        </w:rPr>
      </w:pPr>
    </w:p>
    <w:p w14:paraId="4FA0DF5B" w14:textId="77777777" w:rsidR="002476F3" w:rsidRPr="00AA4D16" w:rsidRDefault="002476F3" w:rsidP="002476F3">
      <w:pPr>
        <w:rPr>
          <w:rFonts w:ascii="Arial" w:hAnsi="Arial" w:cs="Arial"/>
          <w:sz w:val="20"/>
          <w:lang w:eastAsia="en-US"/>
        </w:rPr>
      </w:pPr>
      <w:r>
        <w:rPr>
          <w:rFonts w:ascii="Arial" w:hAnsi="Arial" w:cs="Arial"/>
          <w:sz w:val="20"/>
          <w:lang w:eastAsia="en-US"/>
        </w:rPr>
        <w:t>The HOPE initiative is now being implemented in child and adolescent services at Orygen, Alfred Health, Monash Children’s Hospital and Royal Children’s Hospital.</w:t>
      </w:r>
    </w:p>
    <w:p w14:paraId="69A588E3" w14:textId="77777777" w:rsidR="002476F3" w:rsidRPr="007240EE" w:rsidRDefault="002476F3" w:rsidP="002476F3">
      <w:pPr>
        <w:pStyle w:val="DHHSbody"/>
        <w:spacing w:after="0"/>
      </w:pPr>
    </w:p>
    <w:bookmarkEnd w:id="1"/>
    <w:p w14:paraId="0E815CB6" w14:textId="77777777" w:rsidR="002476F3" w:rsidRPr="002476F3" w:rsidRDefault="002476F3" w:rsidP="002476F3">
      <w:pPr>
        <w:pStyle w:val="Heading2"/>
        <w:rPr>
          <w:color w:val="365F91" w:themeColor="accent1" w:themeShade="BF"/>
        </w:rPr>
      </w:pPr>
      <w:r w:rsidRPr="002476F3">
        <w:rPr>
          <w:color w:val="365F91" w:themeColor="accent1" w:themeShade="BF"/>
        </w:rPr>
        <w:t>Client Registration</w:t>
      </w:r>
    </w:p>
    <w:p w14:paraId="13CE6958" w14:textId="77777777" w:rsidR="002476F3" w:rsidRDefault="002476F3" w:rsidP="002476F3">
      <w:pPr>
        <w:pStyle w:val="DHHSbody"/>
        <w:spacing w:after="360"/>
      </w:pPr>
      <w:r>
        <w:t xml:space="preserve">DHS rules from July 1, 2021 state that the registration for consumers on the CMI/ODS is to be done when a public mental health service has a face to face consultation with a consumer. It is expected that </w:t>
      </w:r>
      <w:r w:rsidRPr="00E739CA">
        <w:t xml:space="preserve">all </w:t>
      </w:r>
      <w:r>
        <w:t>consumer</w:t>
      </w:r>
      <w:r w:rsidRPr="00E739CA">
        <w:t>s accessing the suicide prevention: HOPE Initiative</w:t>
      </w:r>
      <w:r>
        <w:t xml:space="preserve"> will be considered as being through the initial assessment phase and should therefore be registered to the system. </w:t>
      </w:r>
    </w:p>
    <w:p w14:paraId="70AC036C" w14:textId="77777777" w:rsidR="002476F3" w:rsidRPr="002476F3" w:rsidRDefault="002476F3" w:rsidP="002476F3">
      <w:pPr>
        <w:pStyle w:val="Heading2"/>
        <w:rPr>
          <w:color w:val="365F91" w:themeColor="accent1" w:themeShade="BF"/>
        </w:rPr>
      </w:pPr>
      <w:r w:rsidRPr="002476F3">
        <w:rPr>
          <w:color w:val="365F91" w:themeColor="accent1" w:themeShade="BF"/>
        </w:rPr>
        <w:lastRenderedPageBreak/>
        <w:t>Subcentre Setup</w:t>
      </w:r>
    </w:p>
    <w:p w14:paraId="120C37C1" w14:textId="77777777" w:rsidR="002476F3" w:rsidRPr="006C4760" w:rsidRDefault="002476F3" w:rsidP="002476F3">
      <w:pPr>
        <w:pStyle w:val="DHHSbody"/>
        <w:spacing w:after="480"/>
      </w:pPr>
      <w:r>
        <w:t>Suicide prevention: HOPE Initiative must be attached to a community subcentre which is collecting outcome measures and should be split according to age to ensure the correct outcome measures are collected. This can be a new or existing subcentre, provided it meets these criteria.</w:t>
      </w:r>
    </w:p>
    <w:p w14:paraId="79C3A1C7" w14:textId="77777777" w:rsidR="002476F3" w:rsidRPr="002476F3" w:rsidRDefault="002476F3" w:rsidP="002476F3">
      <w:pPr>
        <w:pStyle w:val="Heading2"/>
        <w:rPr>
          <w:color w:val="365F91" w:themeColor="accent1" w:themeShade="BF"/>
        </w:rPr>
      </w:pPr>
      <w:r w:rsidRPr="002476F3">
        <w:rPr>
          <w:color w:val="365F91" w:themeColor="accent1" w:themeShade="BF"/>
        </w:rPr>
        <w:t>Program Setup</w:t>
      </w:r>
    </w:p>
    <w:p w14:paraId="6122581C" w14:textId="77777777" w:rsidR="002476F3" w:rsidRDefault="002476F3" w:rsidP="002476F3">
      <w:pPr>
        <w:pStyle w:val="DHHSbody"/>
      </w:pPr>
      <w:bookmarkStart w:id="2" w:name="_Toc410717546"/>
      <w:bookmarkStart w:id="3" w:name="_Toc440566510"/>
      <w:r w:rsidRPr="00BA5EAE">
        <w:t xml:space="preserve">To ensure consistent and accurate recording of data, </w:t>
      </w:r>
      <w:r>
        <w:t xml:space="preserve">it is recommended that </w:t>
      </w:r>
      <w:r w:rsidRPr="00BA5EAE">
        <w:t>services create and use the following program setup:</w:t>
      </w:r>
    </w:p>
    <w:tbl>
      <w:tblPr>
        <w:tblStyle w:val="TableGrid"/>
        <w:tblW w:w="9897" w:type="dxa"/>
        <w:tblLayout w:type="fixed"/>
        <w:tblLook w:val="04A0" w:firstRow="1" w:lastRow="0" w:firstColumn="1" w:lastColumn="0" w:noHBand="0" w:noVBand="1"/>
      </w:tblPr>
      <w:tblGrid>
        <w:gridCol w:w="1276"/>
        <w:gridCol w:w="1559"/>
        <w:gridCol w:w="1560"/>
        <w:gridCol w:w="1275"/>
        <w:gridCol w:w="1134"/>
        <w:gridCol w:w="993"/>
        <w:gridCol w:w="992"/>
        <w:gridCol w:w="1108"/>
      </w:tblGrid>
      <w:tr w:rsidR="002476F3" w14:paraId="42DE0BC2" w14:textId="77777777" w:rsidTr="0023086A">
        <w:trPr>
          <w:trHeight w:val="357"/>
        </w:trPr>
        <w:tc>
          <w:tcPr>
            <w:tcW w:w="9897" w:type="dxa"/>
            <w:gridSpan w:val="8"/>
            <w:tcBorders>
              <w:bottom w:val="single" w:sz="4" w:space="0" w:color="auto"/>
            </w:tcBorders>
            <w:shd w:val="clear" w:color="auto" w:fill="DBE5F1" w:themeFill="accent1" w:themeFillTint="33"/>
          </w:tcPr>
          <w:p w14:paraId="7D9B1E15" w14:textId="77777777" w:rsidR="002476F3" w:rsidRDefault="002476F3" w:rsidP="0023086A">
            <w:pPr>
              <w:pStyle w:val="DHHSbody"/>
              <w:rPr>
                <w:b/>
              </w:rPr>
            </w:pPr>
            <w:r>
              <w:rPr>
                <w:b/>
              </w:rPr>
              <w:t>Suicide Prevention: HOPE Initiative</w:t>
            </w:r>
          </w:p>
        </w:tc>
      </w:tr>
      <w:tr w:rsidR="002476F3" w:rsidRPr="00E06221" w14:paraId="0AA1E302" w14:textId="77777777" w:rsidTr="0023086A">
        <w:trPr>
          <w:trHeight w:val="591"/>
        </w:trPr>
        <w:tc>
          <w:tcPr>
            <w:tcW w:w="1276" w:type="dxa"/>
            <w:tcBorders>
              <w:bottom w:val="single" w:sz="4" w:space="0" w:color="auto"/>
              <w:right w:val="single" w:sz="4" w:space="0" w:color="auto"/>
            </w:tcBorders>
            <w:shd w:val="clear" w:color="auto" w:fill="DBE5F1" w:themeFill="accent1" w:themeFillTint="33"/>
          </w:tcPr>
          <w:p w14:paraId="5B75DC54" w14:textId="77777777" w:rsidR="002476F3" w:rsidRPr="00AA4D16" w:rsidRDefault="002476F3" w:rsidP="0023086A">
            <w:pPr>
              <w:pStyle w:val="DHHSbody"/>
              <w:rPr>
                <w:b/>
                <w:sz w:val="18"/>
                <w:szCs w:val="18"/>
              </w:rPr>
            </w:pPr>
            <w:r>
              <w:rPr>
                <w:b/>
                <w:sz w:val="18"/>
                <w:szCs w:val="18"/>
              </w:rPr>
              <w:t>Subcentre</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53926DF6" w14:textId="77777777" w:rsidR="002476F3" w:rsidRPr="00AA4D16" w:rsidRDefault="002476F3" w:rsidP="0023086A">
            <w:pPr>
              <w:pStyle w:val="DHHSbody"/>
              <w:rPr>
                <w:b/>
                <w:sz w:val="18"/>
                <w:szCs w:val="18"/>
              </w:rPr>
            </w:pPr>
            <w:r w:rsidRPr="00AA4D16">
              <w:rPr>
                <w:b/>
                <w:sz w:val="18"/>
                <w:szCs w:val="18"/>
              </w:rPr>
              <w:t>Classification</w:t>
            </w:r>
          </w:p>
        </w:tc>
        <w:tc>
          <w:tcPr>
            <w:tcW w:w="1560" w:type="dxa"/>
            <w:tcBorders>
              <w:left w:val="single" w:sz="4" w:space="0" w:color="auto"/>
              <w:bottom w:val="single" w:sz="4" w:space="0" w:color="auto"/>
              <w:right w:val="single" w:sz="4" w:space="0" w:color="auto"/>
            </w:tcBorders>
            <w:shd w:val="clear" w:color="auto" w:fill="DBE5F1" w:themeFill="accent1" w:themeFillTint="33"/>
          </w:tcPr>
          <w:p w14:paraId="33916257" w14:textId="77777777" w:rsidR="002476F3" w:rsidRPr="00AA4D16" w:rsidRDefault="002476F3" w:rsidP="0023086A">
            <w:pPr>
              <w:pStyle w:val="DHHSbody"/>
              <w:rPr>
                <w:b/>
                <w:sz w:val="18"/>
                <w:szCs w:val="18"/>
              </w:rPr>
            </w:pPr>
            <w:r w:rsidRPr="00AA4D16">
              <w:rPr>
                <w:b/>
                <w:sz w:val="18"/>
                <w:szCs w:val="18"/>
              </w:rPr>
              <w:t>Program Type</w:t>
            </w:r>
          </w:p>
        </w:tc>
        <w:tc>
          <w:tcPr>
            <w:tcW w:w="1275" w:type="dxa"/>
            <w:tcBorders>
              <w:left w:val="single" w:sz="4" w:space="0" w:color="auto"/>
              <w:bottom w:val="single" w:sz="4" w:space="0" w:color="auto"/>
              <w:right w:val="single" w:sz="4" w:space="0" w:color="auto"/>
            </w:tcBorders>
            <w:shd w:val="clear" w:color="auto" w:fill="DBE5F1" w:themeFill="accent1" w:themeFillTint="33"/>
          </w:tcPr>
          <w:p w14:paraId="6B7673A0" w14:textId="77777777" w:rsidR="002476F3" w:rsidRPr="00AA4D16" w:rsidRDefault="002476F3" w:rsidP="0023086A">
            <w:pPr>
              <w:pStyle w:val="DHHSbody"/>
              <w:rPr>
                <w:b/>
                <w:sz w:val="18"/>
                <w:szCs w:val="18"/>
              </w:rPr>
            </w:pPr>
            <w:r w:rsidRPr="00AA4D16">
              <w:rPr>
                <w:b/>
                <w:sz w:val="18"/>
                <w:szCs w:val="18"/>
              </w:rPr>
              <w:t>Target Population</w:t>
            </w:r>
          </w:p>
        </w:tc>
        <w:tc>
          <w:tcPr>
            <w:tcW w:w="1134" w:type="dxa"/>
            <w:tcBorders>
              <w:left w:val="single" w:sz="4" w:space="0" w:color="auto"/>
              <w:bottom w:val="single" w:sz="4" w:space="0" w:color="auto"/>
              <w:right w:val="single" w:sz="4" w:space="0" w:color="auto"/>
            </w:tcBorders>
            <w:shd w:val="clear" w:color="auto" w:fill="DBE5F1" w:themeFill="accent1" w:themeFillTint="33"/>
          </w:tcPr>
          <w:p w14:paraId="3A3EC107" w14:textId="77777777" w:rsidR="002476F3" w:rsidRPr="00AA4D16" w:rsidRDefault="002476F3" w:rsidP="0023086A">
            <w:pPr>
              <w:pStyle w:val="DHHSbody"/>
              <w:rPr>
                <w:b/>
                <w:sz w:val="18"/>
                <w:szCs w:val="18"/>
              </w:rPr>
            </w:pPr>
            <w:r w:rsidRPr="00AA4D16">
              <w:rPr>
                <w:b/>
                <w:sz w:val="18"/>
                <w:szCs w:val="18"/>
              </w:rPr>
              <w:t>Fund Source</w:t>
            </w:r>
          </w:p>
        </w:tc>
        <w:tc>
          <w:tcPr>
            <w:tcW w:w="993" w:type="dxa"/>
            <w:tcBorders>
              <w:left w:val="single" w:sz="4" w:space="0" w:color="auto"/>
              <w:bottom w:val="single" w:sz="4" w:space="0" w:color="auto"/>
              <w:right w:val="single" w:sz="4" w:space="0" w:color="auto"/>
            </w:tcBorders>
            <w:shd w:val="clear" w:color="auto" w:fill="DBE5F1" w:themeFill="accent1" w:themeFillTint="33"/>
          </w:tcPr>
          <w:p w14:paraId="148005C8" w14:textId="77777777" w:rsidR="002476F3" w:rsidRPr="00AA4D16" w:rsidRDefault="002476F3" w:rsidP="0023086A">
            <w:pPr>
              <w:pStyle w:val="DHHSbody"/>
              <w:rPr>
                <w:b/>
                <w:sz w:val="18"/>
                <w:szCs w:val="18"/>
              </w:rPr>
            </w:pPr>
            <w:r w:rsidRPr="00AA4D16">
              <w:rPr>
                <w:b/>
                <w:sz w:val="18"/>
                <w:szCs w:val="18"/>
              </w:rPr>
              <w:t>AMHS</w:t>
            </w:r>
          </w:p>
        </w:tc>
        <w:tc>
          <w:tcPr>
            <w:tcW w:w="992" w:type="dxa"/>
            <w:tcBorders>
              <w:left w:val="single" w:sz="4" w:space="0" w:color="auto"/>
              <w:bottom w:val="single" w:sz="4" w:space="0" w:color="auto"/>
            </w:tcBorders>
            <w:shd w:val="clear" w:color="auto" w:fill="DBE5F1" w:themeFill="accent1" w:themeFillTint="33"/>
          </w:tcPr>
          <w:p w14:paraId="0E6A9423" w14:textId="77777777" w:rsidR="002476F3" w:rsidRPr="00AA4D16" w:rsidRDefault="002476F3" w:rsidP="0023086A">
            <w:pPr>
              <w:pStyle w:val="DHHSbody"/>
              <w:rPr>
                <w:b/>
                <w:sz w:val="18"/>
                <w:szCs w:val="18"/>
              </w:rPr>
            </w:pPr>
            <w:r w:rsidRPr="00AA4D16">
              <w:rPr>
                <w:b/>
                <w:sz w:val="18"/>
                <w:szCs w:val="18"/>
              </w:rPr>
              <w:t>Start Date</w:t>
            </w:r>
          </w:p>
        </w:tc>
        <w:tc>
          <w:tcPr>
            <w:tcW w:w="1108" w:type="dxa"/>
            <w:tcBorders>
              <w:left w:val="single" w:sz="4" w:space="0" w:color="auto"/>
              <w:bottom w:val="single" w:sz="4" w:space="0" w:color="auto"/>
            </w:tcBorders>
            <w:shd w:val="clear" w:color="auto" w:fill="DBE5F1" w:themeFill="accent1" w:themeFillTint="33"/>
          </w:tcPr>
          <w:p w14:paraId="29C1CB52" w14:textId="77777777" w:rsidR="002476F3" w:rsidRPr="00AA4D16" w:rsidRDefault="002476F3" w:rsidP="0023086A">
            <w:pPr>
              <w:pStyle w:val="DHHSbody"/>
              <w:rPr>
                <w:b/>
                <w:sz w:val="18"/>
                <w:szCs w:val="18"/>
              </w:rPr>
            </w:pPr>
            <w:r w:rsidRPr="00AA4D16">
              <w:rPr>
                <w:b/>
                <w:sz w:val="18"/>
                <w:szCs w:val="18"/>
              </w:rPr>
              <w:t>Outcome Measures</w:t>
            </w:r>
          </w:p>
        </w:tc>
      </w:tr>
      <w:tr w:rsidR="002476F3" w14:paraId="7B720F3E" w14:textId="77777777" w:rsidTr="0023086A">
        <w:trPr>
          <w:trHeight w:val="1348"/>
        </w:trPr>
        <w:tc>
          <w:tcPr>
            <w:tcW w:w="1276" w:type="dxa"/>
            <w:tcBorders>
              <w:bottom w:val="single" w:sz="4" w:space="0" w:color="auto"/>
            </w:tcBorders>
          </w:tcPr>
          <w:p w14:paraId="7F8E6B83" w14:textId="77777777" w:rsidR="002476F3" w:rsidRPr="00AA4D16" w:rsidRDefault="002476F3" w:rsidP="0023086A">
            <w:pPr>
              <w:pStyle w:val="DHHSbody"/>
              <w:rPr>
                <w:sz w:val="18"/>
                <w:szCs w:val="18"/>
              </w:rPr>
            </w:pPr>
            <w:r w:rsidRPr="00AA4D16">
              <w:rPr>
                <w:sz w:val="18"/>
                <w:szCs w:val="18"/>
              </w:rPr>
              <w:t>At service discretion but must contain ‘HOPE’ in description</w:t>
            </w:r>
          </w:p>
        </w:tc>
        <w:tc>
          <w:tcPr>
            <w:tcW w:w="1559" w:type="dxa"/>
            <w:tcBorders>
              <w:bottom w:val="single" w:sz="4" w:space="0" w:color="auto"/>
            </w:tcBorders>
          </w:tcPr>
          <w:p w14:paraId="15BF6BBD" w14:textId="77777777" w:rsidR="002476F3" w:rsidRPr="00AA4D16" w:rsidRDefault="002476F3" w:rsidP="0023086A">
            <w:pPr>
              <w:pStyle w:val="DHHSbody"/>
              <w:rPr>
                <w:sz w:val="18"/>
                <w:szCs w:val="18"/>
              </w:rPr>
            </w:pPr>
            <w:r w:rsidRPr="00AA4D16">
              <w:rPr>
                <w:rFonts w:eastAsia="Calibri" w:cs="Arial"/>
                <w:color w:val="000000"/>
                <w:sz w:val="18"/>
                <w:szCs w:val="18"/>
              </w:rPr>
              <w:t>Community</w:t>
            </w:r>
          </w:p>
        </w:tc>
        <w:tc>
          <w:tcPr>
            <w:tcW w:w="1560" w:type="dxa"/>
            <w:tcBorders>
              <w:bottom w:val="single" w:sz="4" w:space="0" w:color="auto"/>
            </w:tcBorders>
          </w:tcPr>
          <w:p w14:paraId="6B9501E8" w14:textId="77777777" w:rsidR="002476F3" w:rsidRPr="00AA4D16" w:rsidRDefault="002476F3" w:rsidP="0023086A">
            <w:pPr>
              <w:pStyle w:val="DHHSbody"/>
              <w:rPr>
                <w:rFonts w:eastAsia="Calibri" w:cs="Arial"/>
                <w:color w:val="000000"/>
                <w:sz w:val="18"/>
                <w:szCs w:val="18"/>
              </w:rPr>
            </w:pPr>
            <w:r w:rsidRPr="00AA4D16">
              <w:rPr>
                <w:rFonts w:eastAsia="Calibri" w:cs="Arial"/>
                <w:color w:val="000000"/>
                <w:sz w:val="18"/>
                <w:szCs w:val="18"/>
              </w:rPr>
              <w:t>Comm, HOPE – Child &amp; Youth</w:t>
            </w:r>
          </w:p>
          <w:p w14:paraId="4E770FBA" w14:textId="77777777" w:rsidR="002476F3" w:rsidRPr="00AA4D16" w:rsidRDefault="002476F3" w:rsidP="0023086A">
            <w:pPr>
              <w:pStyle w:val="DHHSbody"/>
              <w:rPr>
                <w:sz w:val="18"/>
                <w:szCs w:val="18"/>
              </w:rPr>
            </w:pPr>
            <w:r w:rsidRPr="00AA4D16">
              <w:rPr>
                <w:rFonts w:eastAsia="Calibri" w:cs="Arial"/>
                <w:color w:val="000000"/>
                <w:sz w:val="18"/>
                <w:szCs w:val="18"/>
              </w:rPr>
              <w:t xml:space="preserve">Comm, HOPE - Adult </w:t>
            </w:r>
          </w:p>
        </w:tc>
        <w:tc>
          <w:tcPr>
            <w:tcW w:w="1275" w:type="dxa"/>
            <w:tcBorders>
              <w:bottom w:val="single" w:sz="4" w:space="0" w:color="auto"/>
            </w:tcBorders>
          </w:tcPr>
          <w:p w14:paraId="48A32285" w14:textId="77777777" w:rsidR="002476F3" w:rsidRPr="00AA4D16" w:rsidRDefault="002476F3" w:rsidP="0023086A">
            <w:pPr>
              <w:pStyle w:val="DHHSbody"/>
              <w:rPr>
                <w:sz w:val="18"/>
                <w:szCs w:val="18"/>
              </w:rPr>
            </w:pPr>
            <w:r w:rsidRPr="00AA4D16">
              <w:rPr>
                <w:rFonts w:eastAsia="Calibri" w:cs="Arial"/>
                <w:color w:val="000000"/>
                <w:sz w:val="18"/>
                <w:szCs w:val="18"/>
              </w:rPr>
              <w:t>Suicide Prevention</w:t>
            </w:r>
          </w:p>
        </w:tc>
        <w:tc>
          <w:tcPr>
            <w:tcW w:w="1134" w:type="dxa"/>
            <w:tcBorders>
              <w:bottom w:val="single" w:sz="4" w:space="0" w:color="auto"/>
            </w:tcBorders>
          </w:tcPr>
          <w:p w14:paraId="35701AE3" w14:textId="77777777" w:rsidR="002476F3" w:rsidRPr="00AA4D16" w:rsidRDefault="002476F3" w:rsidP="0023086A">
            <w:pPr>
              <w:pStyle w:val="DHHSbody"/>
              <w:rPr>
                <w:sz w:val="18"/>
                <w:szCs w:val="18"/>
              </w:rPr>
            </w:pPr>
            <w:r w:rsidRPr="00AA4D16">
              <w:rPr>
                <w:sz w:val="18"/>
                <w:szCs w:val="18"/>
              </w:rPr>
              <w:t>Suicide Prevention</w:t>
            </w:r>
          </w:p>
        </w:tc>
        <w:tc>
          <w:tcPr>
            <w:tcW w:w="993" w:type="dxa"/>
            <w:tcBorders>
              <w:bottom w:val="single" w:sz="4" w:space="0" w:color="auto"/>
            </w:tcBorders>
          </w:tcPr>
          <w:p w14:paraId="28C456C0" w14:textId="77777777" w:rsidR="002476F3" w:rsidRPr="00AA4D16" w:rsidRDefault="002476F3" w:rsidP="0023086A">
            <w:pPr>
              <w:pStyle w:val="DHHSbody"/>
              <w:rPr>
                <w:sz w:val="18"/>
                <w:szCs w:val="18"/>
              </w:rPr>
            </w:pPr>
            <w:r w:rsidRPr="00AA4D16">
              <w:rPr>
                <w:sz w:val="18"/>
                <w:szCs w:val="18"/>
              </w:rPr>
              <w:t>(Local Service)</w:t>
            </w:r>
          </w:p>
        </w:tc>
        <w:tc>
          <w:tcPr>
            <w:tcW w:w="992" w:type="dxa"/>
            <w:tcBorders>
              <w:bottom w:val="single" w:sz="4" w:space="0" w:color="auto"/>
            </w:tcBorders>
          </w:tcPr>
          <w:p w14:paraId="0F40C6E4" w14:textId="77777777" w:rsidR="002476F3" w:rsidRPr="00AA4D16" w:rsidRDefault="002476F3" w:rsidP="0023086A">
            <w:pPr>
              <w:pStyle w:val="DHHSbody"/>
              <w:rPr>
                <w:sz w:val="18"/>
                <w:szCs w:val="18"/>
              </w:rPr>
            </w:pPr>
            <w:r w:rsidRPr="00AA4D16">
              <w:rPr>
                <w:sz w:val="18"/>
                <w:szCs w:val="18"/>
              </w:rPr>
              <w:t>When program commenced at service</w:t>
            </w:r>
          </w:p>
        </w:tc>
        <w:tc>
          <w:tcPr>
            <w:tcW w:w="1108" w:type="dxa"/>
            <w:tcBorders>
              <w:bottom w:val="single" w:sz="4" w:space="0" w:color="auto"/>
            </w:tcBorders>
          </w:tcPr>
          <w:p w14:paraId="431AC2B7" w14:textId="77777777" w:rsidR="002476F3" w:rsidRDefault="002476F3" w:rsidP="0023086A">
            <w:pPr>
              <w:pStyle w:val="DHHSbody"/>
              <w:jc w:val="center"/>
              <w:rPr>
                <w:sz w:val="18"/>
                <w:szCs w:val="18"/>
              </w:rPr>
            </w:pPr>
            <w:r>
              <w:rPr>
                <w:sz w:val="18"/>
                <w:szCs w:val="18"/>
              </w:rPr>
              <w:t>Yes</w:t>
            </w:r>
          </w:p>
          <w:p w14:paraId="74ACAE8F" w14:textId="77777777" w:rsidR="002476F3" w:rsidRDefault="002476F3" w:rsidP="0023086A">
            <w:pPr>
              <w:pStyle w:val="DHHSbody"/>
              <w:jc w:val="center"/>
              <w:rPr>
                <w:sz w:val="18"/>
                <w:szCs w:val="18"/>
              </w:rPr>
            </w:pPr>
          </w:p>
          <w:p w14:paraId="1FB19A1D" w14:textId="77777777" w:rsidR="002476F3" w:rsidRPr="00AA4D16" w:rsidRDefault="002476F3" w:rsidP="0023086A">
            <w:pPr>
              <w:pStyle w:val="DHHSbody"/>
              <w:jc w:val="center"/>
              <w:rPr>
                <w:sz w:val="18"/>
                <w:szCs w:val="18"/>
              </w:rPr>
            </w:pPr>
            <w:r>
              <w:rPr>
                <w:sz w:val="18"/>
                <w:szCs w:val="18"/>
              </w:rPr>
              <w:t>Yes</w:t>
            </w:r>
          </w:p>
        </w:tc>
      </w:tr>
    </w:tbl>
    <w:p w14:paraId="61BFAD04" w14:textId="77777777" w:rsidR="002476F3" w:rsidRDefault="002476F3" w:rsidP="002476F3">
      <w:pPr>
        <w:pStyle w:val="Heading4"/>
      </w:pPr>
    </w:p>
    <w:p w14:paraId="115D5716" w14:textId="77777777" w:rsidR="002476F3" w:rsidRPr="002476F3" w:rsidRDefault="002476F3" w:rsidP="002476F3">
      <w:pPr>
        <w:pStyle w:val="Heading2"/>
        <w:rPr>
          <w:color w:val="365F91" w:themeColor="accent1" w:themeShade="BF"/>
        </w:rPr>
      </w:pPr>
      <w:r w:rsidRPr="002476F3">
        <w:rPr>
          <w:color w:val="365F91" w:themeColor="accent1" w:themeShade="BF"/>
        </w:rPr>
        <w:t>Program Type</w:t>
      </w:r>
    </w:p>
    <w:p w14:paraId="44E2984C" w14:textId="77777777" w:rsidR="002476F3" w:rsidRDefault="002476F3" w:rsidP="002476F3">
      <w:pPr>
        <w:pStyle w:val="DHHSbody"/>
        <w:spacing w:after="360"/>
      </w:pPr>
      <w:r>
        <w:t xml:space="preserve">In the previous Bulletin 34 issued in November 2019 (superseded by this Bulletin update), it was stated that there was no prescriptive Program Type, however, for ease of reporting it is recommended that, where possible, you use the above Program Type when setting up your HOPE subcentre/program.  There is a requirement that the program type selected is applicable to the age category receiving the service. If a service is providing care to clients across CYMHS, Adult and Aged settings, then multiple programs with differing program types are required. </w:t>
      </w:r>
    </w:p>
    <w:bookmarkEnd w:id="2"/>
    <w:bookmarkEnd w:id="3"/>
    <w:p w14:paraId="43F96304" w14:textId="77777777" w:rsidR="002476F3" w:rsidRDefault="002476F3" w:rsidP="002476F3">
      <w:pPr>
        <w:pStyle w:val="DHHSbody"/>
        <w:spacing w:after="480"/>
      </w:pPr>
      <w:r>
        <w:t xml:space="preserve">More information on CMI/ODS client registration can be found at the following location: </w:t>
      </w:r>
      <w:hyperlink r:id="rId16" w:history="1">
        <w:r w:rsidRPr="002C65C9">
          <w:rPr>
            <w:rStyle w:val="Hyperlink"/>
          </w:rPr>
          <w:t>https://www.health.vic.gov.au/research-and-reporting/bulletins-and-program-management-circulars-pmc</w:t>
        </w:r>
      </w:hyperlink>
    </w:p>
    <w:p w14:paraId="51586E43" w14:textId="77777777" w:rsidR="002476F3" w:rsidRPr="00551F24" w:rsidRDefault="002476F3" w:rsidP="00551F24">
      <w:pPr>
        <w:pStyle w:val="Heading2"/>
        <w:rPr>
          <w:color w:val="365F91" w:themeColor="accent1" w:themeShade="BF"/>
        </w:rPr>
      </w:pPr>
      <w:r w:rsidRPr="00551F24">
        <w:rPr>
          <w:color w:val="365F91" w:themeColor="accent1" w:themeShade="BF"/>
        </w:rPr>
        <w:t>For More Information</w:t>
      </w:r>
    </w:p>
    <w:p w14:paraId="488AEA10" w14:textId="77777777" w:rsidR="002476F3" w:rsidRPr="006C4760" w:rsidRDefault="002476F3" w:rsidP="002476F3">
      <w:pPr>
        <w:pStyle w:val="Heading1"/>
        <w:spacing w:before="0" w:line="276" w:lineRule="auto"/>
        <w:rPr>
          <w:rFonts w:eastAsia="Times" w:cs="Times New Roman"/>
          <w:bCs w:val="0"/>
          <w:color w:val="auto"/>
          <w:kern w:val="0"/>
          <w:sz w:val="20"/>
          <w:szCs w:val="20"/>
        </w:rPr>
      </w:pPr>
      <w:r w:rsidRPr="006C4760">
        <w:rPr>
          <w:rFonts w:eastAsia="Times" w:cs="Times New Roman"/>
          <w:bCs w:val="0"/>
          <w:color w:val="auto"/>
          <w:kern w:val="0"/>
          <w:sz w:val="20"/>
          <w:szCs w:val="20"/>
        </w:rPr>
        <w:t>Further information about the correct use of CMI/ODS can be found on the Victorian Government’s website.</w:t>
      </w:r>
      <w:r>
        <w:rPr>
          <w:rFonts w:eastAsia="Times" w:cs="Times New Roman"/>
          <w:bCs w:val="0"/>
          <w:color w:val="auto"/>
          <w:kern w:val="0"/>
          <w:sz w:val="20"/>
          <w:szCs w:val="20"/>
        </w:rPr>
        <w:t xml:space="preserve"> </w:t>
      </w:r>
      <w:r w:rsidRPr="006C4760">
        <w:rPr>
          <w:rFonts w:eastAsia="Times" w:cs="Times New Roman"/>
          <w:bCs w:val="0"/>
          <w:color w:val="auto"/>
          <w:kern w:val="0"/>
          <w:sz w:val="20"/>
          <w:szCs w:val="20"/>
        </w:rPr>
        <w:t xml:space="preserve"> In particular, see the sections on; Registration of Clients, CMI/ODS Service Contacts and Subcentre/Program Maintenance. </w:t>
      </w:r>
      <w:r w:rsidRPr="006C4760">
        <w:rPr>
          <w:rFonts w:eastAsia="Times" w:cs="Times New Roman"/>
          <w:bCs w:val="0"/>
          <w:color w:val="auto"/>
          <w:kern w:val="0"/>
          <w:sz w:val="20"/>
          <w:szCs w:val="20"/>
        </w:rPr>
        <w:br/>
      </w:r>
      <w:hyperlink r:id="rId17" w:history="1">
        <w:r w:rsidRPr="00343A8A">
          <w:rPr>
            <w:rStyle w:val="Hyperlink"/>
            <w:sz w:val="20"/>
            <w:szCs w:val="20"/>
          </w:rPr>
          <w:t>https://www.health.vic.gov.au/research-and-reporting/bulletins-and-program-management-circulars-pmc</w:t>
        </w:r>
      </w:hyperlink>
    </w:p>
    <w:p w14:paraId="14424CF8" w14:textId="77777777" w:rsidR="002476F3" w:rsidRDefault="002476F3" w:rsidP="002476F3">
      <w:pPr>
        <w:pStyle w:val="Heading1"/>
        <w:spacing w:before="0" w:line="276" w:lineRule="auto"/>
        <w:rPr>
          <w:rStyle w:val="Hyperlink"/>
          <w:sz w:val="20"/>
          <w:szCs w:val="20"/>
        </w:rPr>
      </w:pPr>
      <w:r w:rsidRPr="006C4760">
        <w:rPr>
          <w:rFonts w:eastAsia="Times" w:cs="Times New Roman"/>
          <w:bCs w:val="0"/>
          <w:color w:val="auto"/>
          <w:kern w:val="0"/>
          <w:sz w:val="20"/>
          <w:szCs w:val="20"/>
        </w:rPr>
        <w:t xml:space="preserve">For any queries </w:t>
      </w:r>
      <w:r>
        <w:rPr>
          <w:rFonts w:eastAsia="Times" w:cs="Times New Roman"/>
          <w:bCs w:val="0"/>
          <w:color w:val="auto"/>
          <w:kern w:val="0"/>
          <w:sz w:val="20"/>
          <w:szCs w:val="20"/>
        </w:rPr>
        <w:t xml:space="preserve">relating to data reporting or program setup </w:t>
      </w:r>
      <w:r w:rsidRPr="006C4760">
        <w:rPr>
          <w:rFonts w:eastAsia="Times" w:cs="Times New Roman"/>
          <w:bCs w:val="0"/>
          <w:color w:val="auto"/>
          <w:kern w:val="0"/>
          <w:sz w:val="20"/>
          <w:szCs w:val="20"/>
        </w:rPr>
        <w:t xml:space="preserve">please email: </w:t>
      </w:r>
      <w:hyperlink r:id="rId18" w:history="1">
        <w:r w:rsidRPr="006C4760">
          <w:rPr>
            <w:rStyle w:val="Hyperlink"/>
            <w:sz w:val="20"/>
            <w:szCs w:val="20"/>
          </w:rPr>
          <w:t>MHDReporting@dhhs.vic.gov.au</w:t>
        </w:r>
      </w:hyperlink>
    </w:p>
    <w:p w14:paraId="4E8F81D0" w14:textId="77777777" w:rsidR="002476F3" w:rsidRPr="006C4760" w:rsidRDefault="002476F3" w:rsidP="002476F3">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2476F3" w:rsidRPr="002802E3" w14:paraId="01BFB75C" w14:textId="77777777" w:rsidTr="0023086A">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273D97B" w14:textId="77777777" w:rsidR="002476F3" w:rsidRPr="00BA5EAE" w:rsidRDefault="002476F3" w:rsidP="0023086A">
            <w:pPr>
              <w:pStyle w:val="DHHSaccessibilitypara"/>
            </w:pPr>
            <w:r w:rsidRPr="00BA5EAE">
              <w:t xml:space="preserve">To receive this publication in an accessible format email </w:t>
            </w:r>
            <w:hyperlink r:id="rId19" w:history="1">
              <w:r w:rsidRPr="00BA5EAE">
                <w:rPr>
                  <w:rStyle w:val="Hyperlink"/>
                </w:rPr>
                <w:t>MHDReporting@dhhs.vic.gov.au</w:t>
              </w:r>
            </w:hyperlink>
          </w:p>
          <w:p w14:paraId="616B4A7A" w14:textId="77777777" w:rsidR="002476F3" w:rsidRPr="00BA5EAE" w:rsidRDefault="002476F3" w:rsidP="0023086A">
            <w:pPr>
              <w:pStyle w:val="DHHSbody"/>
            </w:pPr>
            <w:r w:rsidRPr="00BA5EAE">
              <w:t>Authorised and published by the Victorian Government, 1 Treasury Place, Melbourne.</w:t>
            </w:r>
          </w:p>
          <w:p w14:paraId="6C1521D4" w14:textId="44BBF877" w:rsidR="002476F3" w:rsidRPr="00BA5EAE" w:rsidRDefault="002476F3" w:rsidP="0023086A">
            <w:pPr>
              <w:pStyle w:val="DHHSbody"/>
            </w:pPr>
            <w:r w:rsidRPr="00BA5EAE">
              <w:t xml:space="preserve">© State of Victoria, Department of Health </w:t>
            </w:r>
            <w:r>
              <w:t>March 2022</w:t>
            </w:r>
            <w:r w:rsidRPr="00BA5EAE">
              <w:t>.</w:t>
            </w:r>
          </w:p>
        </w:tc>
      </w:tr>
    </w:tbl>
    <w:p w14:paraId="28B91A6B"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006E" w14:textId="77777777" w:rsidR="002476F3" w:rsidRDefault="002476F3">
      <w:r>
        <w:separator/>
      </w:r>
    </w:p>
  </w:endnote>
  <w:endnote w:type="continuationSeparator" w:id="0">
    <w:p w14:paraId="68DBC43B" w14:textId="77777777" w:rsidR="002476F3" w:rsidRDefault="0024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D426" w14:textId="77777777" w:rsidR="00CE365C" w:rsidRDefault="00CE3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B4C8"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6003636" wp14:editId="712C6CF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05E08AA" wp14:editId="427F4B2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34042"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5E08A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F734042"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0995"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874135B" wp14:editId="081756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17764"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74135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C117764"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2E5F"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25517C5" wp14:editId="157D825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E7D9F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5517C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49E7D9F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A0DE" w14:textId="77777777" w:rsidR="002476F3" w:rsidRDefault="002476F3" w:rsidP="002862F1">
      <w:pPr>
        <w:spacing w:before="120"/>
      </w:pPr>
      <w:r>
        <w:separator/>
      </w:r>
    </w:p>
  </w:footnote>
  <w:footnote w:type="continuationSeparator" w:id="0">
    <w:p w14:paraId="4469F91B" w14:textId="77777777" w:rsidR="002476F3" w:rsidRDefault="0024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C166" w14:textId="77777777" w:rsidR="00CE365C" w:rsidRDefault="00CE3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3C04"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2EB8" w14:textId="77777777" w:rsidR="00CE365C" w:rsidRDefault="00CE36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5A71" w14:textId="04157A4F" w:rsidR="00E261B3" w:rsidRPr="0051568D" w:rsidRDefault="002476F3" w:rsidP="0011701A">
    <w:pPr>
      <w:pStyle w:val="Header"/>
    </w:pPr>
    <w:r w:rsidRPr="002476F3">
      <w:rPr>
        <w:rFonts w:ascii="Arial" w:hAnsi="Arial"/>
      </w:rPr>
      <w:t>Mental Health Bulletin 61 Suicide Prevention:  Hospital Outreach Post-suicidal Engagement (HOPE)</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3E0C6D"/>
    <w:multiLevelType w:val="hybridMultilevel"/>
    <w:tmpl w:val="D2E64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F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6F3"/>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1F24"/>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2BFC"/>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365C"/>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6C5"/>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387"/>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67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3"/>
    <w:rPr>
      <w:sz w:val="24"/>
      <w:szCs w:val="24"/>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2476F3"/>
    <w:pPr>
      <w:spacing w:after="120" w:line="270" w:lineRule="atLeast"/>
    </w:pPr>
    <w:rPr>
      <w:rFonts w:ascii="Arial" w:eastAsia="Times" w:hAnsi="Arial"/>
      <w:lang w:eastAsia="en-US"/>
    </w:rPr>
  </w:style>
  <w:style w:type="paragraph" w:customStyle="1" w:styleId="DHHSaccessibilitypara">
    <w:name w:val="DHHS accessibility para"/>
    <w:uiPriority w:val="8"/>
    <w:rsid w:val="002476F3"/>
    <w:pPr>
      <w:spacing w:after="200" w:line="300" w:lineRule="atLeast"/>
    </w:pPr>
    <w:rPr>
      <w:rFonts w:ascii="Arial" w:eastAsia="Times" w:hAnsi="Arial"/>
      <w:sz w:val="24"/>
      <w:szCs w:val="19"/>
      <w:lang w:eastAsia="en-US"/>
    </w:rPr>
  </w:style>
  <w:style w:type="paragraph" w:styleId="ListParagraph">
    <w:name w:val="List Paragraph"/>
    <w:basedOn w:val="Normal"/>
    <w:uiPriority w:val="34"/>
    <w:qFormat/>
    <w:rsid w:val="002476F3"/>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HDReporting@dhhs.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research-and-reporting/bulletins-and-program-management-circulars-pmc" TargetMode="External"/><Relationship Id="rId2" Type="http://schemas.openxmlformats.org/officeDocument/2006/relationships/numbering" Target="numbering.xml"/><Relationship Id="rId16" Type="http://schemas.openxmlformats.org/officeDocument/2006/relationships/hyperlink" Target="https://www.health.vic.gov.au/research-and-reporting/bulletins-and-program-management-circulars-pmc"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file:///C:\Users\vkri0102\AppData\Local\Temp\notes288A47\MHDReporting@dhhs.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Mental Health Bulletin 61</vt:lpstr>
    </vt:vector>
  </TitlesOfParts>
  <Manager/>
  <Company/>
  <LinksUpToDate>false</LinksUpToDate>
  <CharactersWithSpaces>4647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Bulletin 61</dc:title>
  <dc:subject>Suicide Prevention - Hospital Outreach Post-suicidal Engagement (HOPE)</dc:subject>
  <dc:creator/>
  <cp:keywords>Bulletin 61, HOPE, Post suicide</cp:keywords>
  <dc:description/>
  <cp:lastModifiedBy/>
  <cp:revision>1</cp:revision>
  <dcterms:created xsi:type="dcterms:W3CDTF">2022-03-17T03:48:00Z</dcterms:created>
  <dcterms:modified xsi:type="dcterms:W3CDTF">2022-03-17T03:48:00Z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2022-03-17T03:48:28Z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370e395c-1939-4c85-abbd-73b1dfba4b61</vt:lpwstr>
  </property>
  <property fmtid="{D5CDD505-2E9C-101B-9397-08002B2CF9AE}" pid="8" name="MSIP_Label_43e64453-338c-4f93-8a4d-0039a0a41f2a_ContentBits">
    <vt:lpwstr>2</vt:lpwstr>
  </property>
</Properties>
</file>