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5A9D" w14:textId="057AE9FA" w:rsidR="00A62D44" w:rsidRPr="004C6EEE" w:rsidRDefault="00356314"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1" wp14:anchorId="4495DD90" wp14:editId="4461B581">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86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866"/>
      </w:tblGrid>
      <w:tr w:rsidR="003B5733" w14:paraId="2676F64E" w14:textId="77777777" w:rsidTr="007916CC">
        <w:trPr>
          <w:trHeight w:val="495"/>
        </w:trPr>
        <w:tc>
          <w:tcPr>
            <w:tcW w:w="10866" w:type="dxa"/>
            <w:tcMar>
              <w:top w:w="1531" w:type="dxa"/>
              <w:left w:w="0" w:type="dxa"/>
              <w:right w:w="0" w:type="dxa"/>
            </w:tcMar>
          </w:tcPr>
          <w:p w14:paraId="4426FAF9" w14:textId="28F53BD5" w:rsidR="003B5733" w:rsidRPr="000903F2" w:rsidRDefault="003214F4" w:rsidP="003B5733">
            <w:pPr>
              <w:pStyle w:val="Documenttitle"/>
              <w:rPr>
                <w:sz w:val="44"/>
                <w:szCs w:val="44"/>
              </w:rPr>
            </w:pPr>
            <w:r w:rsidRPr="000903F2">
              <w:rPr>
                <w:sz w:val="44"/>
                <w:szCs w:val="44"/>
              </w:rPr>
              <w:t xml:space="preserve">Information Sharing </w:t>
            </w:r>
            <w:r>
              <w:rPr>
                <w:sz w:val="44"/>
                <w:szCs w:val="44"/>
              </w:rPr>
              <w:t xml:space="preserve">Schemes and the </w:t>
            </w:r>
            <w:r w:rsidR="00B04FA8" w:rsidRPr="000903F2">
              <w:rPr>
                <w:sz w:val="44"/>
                <w:szCs w:val="44"/>
              </w:rPr>
              <w:t>Famil</w:t>
            </w:r>
            <w:r w:rsidR="000903F2" w:rsidRPr="000903F2">
              <w:rPr>
                <w:sz w:val="44"/>
                <w:szCs w:val="44"/>
              </w:rPr>
              <w:t xml:space="preserve">y Violence Multi-Agency Risk Assessment and Management Framework (MARAM) </w:t>
            </w:r>
          </w:p>
        </w:tc>
      </w:tr>
      <w:tr w:rsidR="003B5733" w14:paraId="2437A94B" w14:textId="77777777" w:rsidTr="007916CC">
        <w:trPr>
          <w:trHeight w:val="348"/>
        </w:trPr>
        <w:tc>
          <w:tcPr>
            <w:tcW w:w="10866" w:type="dxa"/>
          </w:tcPr>
          <w:p w14:paraId="47E75EC5" w14:textId="48A2A550" w:rsidR="003B5733" w:rsidRDefault="0098663D" w:rsidP="0036186A">
            <w:pPr>
              <w:pStyle w:val="Documentsubtitle"/>
            </w:pPr>
            <w:r>
              <w:t>Acronyms Glossary</w:t>
            </w:r>
          </w:p>
          <w:p w14:paraId="22ACB758" w14:textId="77777777" w:rsidR="00AC5C0C" w:rsidRDefault="00AC5C0C" w:rsidP="0036186A">
            <w:pPr>
              <w:pStyle w:val="Documentsubtitl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9443"/>
            </w:tblGrid>
            <w:tr w:rsidR="007916CC" w:rsidRPr="00AC5C0C" w14:paraId="4018AD5F" w14:textId="77777777" w:rsidTr="007916CC">
              <w:tc>
                <w:tcPr>
                  <w:tcW w:w="1271" w:type="dxa"/>
                </w:tcPr>
                <w:p w14:paraId="21223021"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t>AFVP</w:t>
                  </w:r>
                </w:p>
              </w:tc>
              <w:tc>
                <w:tcPr>
                  <w:tcW w:w="9443" w:type="dxa"/>
                </w:tcPr>
                <w:p w14:paraId="1FFCCB87" w14:textId="6730CC04" w:rsidR="007916CC" w:rsidRPr="00AC5C0C" w:rsidRDefault="007916CC" w:rsidP="00AC5C0C">
                  <w:pPr>
                    <w:pStyle w:val="Documentsubtitle"/>
                    <w:spacing w:line="276" w:lineRule="auto"/>
                    <w:rPr>
                      <w:rFonts w:cs="Arial"/>
                      <w:color w:val="auto"/>
                      <w:sz w:val="21"/>
                      <w:szCs w:val="21"/>
                    </w:rPr>
                  </w:pPr>
                  <w:r w:rsidRPr="007916CC">
                    <w:rPr>
                      <w:rFonts w:cs="Arial"/>
                      <w:b/>
                      <w:bCs/>
                      <w:color w:val="auto"/>
                      <w:sz w:val="21"/>
                      <w:szCs w:val="21"/>
                    </w:rPr>
                    <w:t>Adolescent Family Violence Program</w:t>
                  </w:r>
                  <w:r w:rsidRPr="00AC5C0C">
                    <w:rPr>
                      <w:rFonts w:cs="Arial"/>
                      <w:color w:val="auto"/>
                      <w:sz w:val="21"/>
                      <w:szCs w:val="21"/>
                    </w:rPr>
                    <w:t xml:space="preserve"> p</w:t>
                  </w:r>
                  <w:r w:rsidRPr="00AC5C0C">
                    <w:rPr>
                      <w:rFonts w:cs="Arial"/>
                      <w:color w:val="auto"/>
                      <w:sz w:val="21"/>
                      <w:szCs w:val="21"/>
                    </w:rPr>
                    <w:t>rovides family-based case management to young people using violence in the family to reduce violence and increase the safety of family members. The program is targeted at young people aged 12 to 17 years and their families. It is funded by the Victorian</w:t>
                  </w:r>
                  <w:r>
                    <w:rPr>
                      <w:rFonts w:cs="Arial"/>
                      <w:color w:val="auto"/>
                      <w:sz w:val="21"/>
                      <w:szCs w:val="21"/>
                    </w:rPr>
                    <w:t xml:space="preserve"> </w:t>
                  </w:r>
                  <w:r w:rsidRPr="00AC5C0C">
                    <w:rPr>
                      <w:rFonts w:cs="Arial"/>
                      <w:color w:val="auto"/>
                      <w:sz w:val="21"/>
                      <w:szCs w:val="21"/>
                    </w:rPr>
                    <w:t>Government in three areas (Ballarat, Barwon and the Mornington Peninsula).</w:t>
                  </w:r>
                </w:p>
              </w:tc>
            </w:tr>
            <w:tr w:rsidR="007916CC" w:rsidRPr="00AC5C0C" w14:paraId="183EE6CC" w14:textId="77777777" w:rsidTr="007916CC">
              <w:tc>
                <w:tcPr>
                  <w:tcW w:w="1271" w:type="dxa"/>
                </w:tcPr>
                <w:p w14:paraId="0DBFD940"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t>CALD</w:t>
                  </w:r>
                </w:p>
              </w:tc>
              <w:tc>
                <w:tcPr>
                  <w:tcW w:w="9443" w:type="dxa"/>
                </w:tcPr>
                <w:p w14:paraId="13FE2785" w14:textId="572FD089" w:rsidR="007916CC" w:rsidRPr="00AC5C0C" w:rsidRDefault="007916CC" w:rsidP="00AC5C0C">
                  <w:pPr>
                    <w:pStyle w:val="Documentsubtitle"/>
                    <w:spacing w:line="276" w:lineRule="auto"/>
                    <w:rPr>
                      <w:rFonts w:cs="Arial"/>
                      <w:color w:val="auto"/>
                      <w:sz w:val="21"/>
                      <w:szCs w:val="21"/>
                    </w:rPr>
                  </w:pPr>
                  <w:r w:rsidRPr="007916CC">
                    <w:rPr>
                      <w:rFonts w:cs="Arial"/>
                      <w:b/>
                      <w:bCs/>
                      <w:color w:val="auto"/>
                      <w:sz w:val="21"/>
                      <w:szCs w:val="21"/>
                    </w:rPr>
                    <w:t xml:space="preserve">Culturally </w:t>
                  </w:r>
                  <w:r w:rsidRPr="007916CC">
                    <w:rPr>
                      <w:rFonts w:cs="Arial"/>
                      <w:b/>
                      <w:bCs/>
                      <w:color w:val="auto"/>
                      <w:sz w:val="21"/>
                      <w:szCs w:val="21"/>
                    </w:rPr>
                    <w:t>A</w:t>
                  </w:r>
                  <w:r w:rsidRPr="007916CC">
                    <w:rPr>
                      <w:rFonts w:cs="Arial"/>
                      <w:b/>
                      <w:bCs/>
                      <w:color w:val="auto"/>
                      <w:sz w:val="21"/>
                      <w:szCs w:val="21"/>
                    </w:rPr>
                    <w:t xml:space="preserve">nd </w:t>
                  </w:r>
                  <w:r w:rsidRPr="007916CC">
                    <w:rPr>
                      <w:rFonts w:cs="Arial"/>
                      <w:b/>
                      <w:bCs/>
                      <w:color w:val="auto"/>
                      <w:sz w:val="21"/>
                      <w:szCs w:val="21"/>
                    </w:rPr>
                    <w:t>L</w:t>
                  </w:r>
                  <w:r w:rsidRPr="007916CC">
                    <w:rPr>
                      <w:rFonts w:cs="Arial"/>
                      <w:b/>
                      <w:bCs/>
                      <w:color w:val="auto"/>
                      <w:sz w:val="21"/>
                      <w:szCs w:val="21"/>
                    </w:rPr>
                    <w:t xml:space="preserve">inguistically </w:t>
                  </w:r>
                  <w:r w:rsidRPr="007916CC">
                    <w:rPr>
                      <w:rFonts w:cs="Arial"/>
                      <w:b/>
                      <w:bCs/>
                      <w:color w:val="auto"/>
                      <w:sz w:val="21"/>
                      <w:szCs w:val="21"/>
                    </w:rPr>
                    <w:t>D</w:t>
                  </w:r>
                  <w:r w:rsidRPr="007916CC">
                    <w:rPr>
                      <w:rFonts w:cs="Arial"/>
                      <w:b/>
                      <w:bCs/>
                      <w:color w:val="auto"/>
                      <w:sz w:val="21"/>
                      <w:szCs w:val="21"/>
                    </w:rPr>
                    <w:t>iverse</w:t>
                  </w:r>
                  <w:r w:rsidRPr="00AC5C0C">
                    <w:rPr>
                      <w:rFonts w:cs="Arial"/>
                      <w:color w:val="auto"/>
                      <w:sz w:val="21"/>
                      <w:szCs w:val="21"/>
                    </w:rPr>
                    <w:t xml:space="preserve">, </w:t>
                  </w:r>
                  <w:r w:rsidRPr="00AC5C0C">
                    <w:rPr>
                      <w:rFonts w:cs="Arial"/>
                      <w:color w:val="auto"/>
                      <w:sz w:val="21"/>
                      <w:szCs w:val="21"/>
                    </w:rPr>
                    <w:t>is used to reflect the diversity of the Victorian population that has resulted from migration. The Victorian Government is committed to delivering services that meet the diverse needs of people from multicultural communities, including people with refugee or asylum-seeking backgrounds.</w:t>
                  </w:r>
                </w:p>
              </w:tc>
            </w:tr>
            <w:tr w:rsidR="007916CC" w:rsidRPr="00AC5C0C" w14:paraId="32E31A8C" w14:textId="77777777" w:rsidTr="007916CC">
              <w:tc>
                <w:tcPr>
                  <w:tcW w:w="1271" w:type="dxa"/>
                </w:tcPr>
                <w:p w14:paraId="4028CC8B"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t>CASAs</w:t>
                  </w:r>
                </w:p>
              </w:tc>
              <w:tc>
                <w:tcPr>
                  <w:tcW w:w="9443" w:type="dxa"/>
                </w:tcPr>
                <w:p w14:paraId="272789ED" w14:textId="5AD06A56" w:rsidR="007916CC" w:rsidRPr="00AC5C0C" w:rsidRDefault="007916CC" w:rsidP="00AC5C0C">
                  <w:pPr>
                    <w:pStyle w:val="Documentsubtitle"/>
                    <w:spacing w:line="276" w:lineRule="auto"/>
                    <w:rPr>
                      <w:rFonts w:cs="Arial"/>
                      <w:color w:val="auto"/>
                      <w:sz w:val="21"/>
                      <w:szCs w:val="21"/>
                    </w:rPr>
                  </w:pPr>
                  <w:r w:rsidRPr="007916CC">
                    <w:rPr>
                      <w:rFonts w:cs="Arial"/>
                      <w:b/>
                      <w:bCs/>
                      <w:color w:val="auto"/>
                      <w:sz w:val="21"/>
                      <w:szCs w:val="21"/>
                    </w:rPr>
                    <w:t>Centres Against Sexual Assault (CASAs)</w:t>
                  </w:r>
                  <w:r w:rsidRPr="00AC5C0C">
                    <w:rPr>
                      <w:rFonts w:cs="Arial"/>
                      <w:color w:val="auto"/>
                      <w:sz w:val="21"/>
                      <w:szCs w:val="21"/>
                    </w:rPr>
                    <w:t xml:space="preserve">. </w:t>
                  </w:r>
                  <w:r w:rsidRPr="00AC5C0C">
                    <w:rPr>
                      <w:rFonts w:cs="Arial"/>
                      <w:color w:val="auto"/>
                      <w:sz w:val="21"/>
                      <w:szCs w:val="21"/>
                    </w:rPr>
                    <w:t>There are 15 CASAs across Victoria. CASAs offer free, confidential 24-hour emergency or crisis care for victim-survivors of sexual assault. This includes crisis counselling support and access to medical care and legal services, as well as counselling support for adults who were abused in their childhood. The Victorian Sexual Assault Crisis Line provides the after-hours service.</w:t>
                  </w:r>
                  <w:r>
                    <w:rPr>
                      <w:rFonts w:cs="Arial"/>
                      <w:color w:val="auto"/>
                      <w:sz w:val="21"/>
                      <w:szCs w:val="21"/>
                    </w:rPr>
                    <w:t xml:space="preserve"> </w:t>
                  </w:r>
                  <w:r w:rsidRPr="00AC5C0C">
                    <w:rPr>
                      <w:rFonts w:cs="Arial"/>
                      <w:color w:val="auto"/>
                      <w:sz w:val="21"/>
                      <w:szCs w:val="21"/>
                    </w:rPr>
                    <w:t>All CASAs have access to at least one Crisis Care Unit, which may be located in a multidisciplinary centre, hospital or a community-based agency.</w:t>
                  </w:r>
                </w:p>
              </w:tc>
            </w:tr>
            <w:tr w:rsidR="007916CC" w:rsidRPr="00AC5C0C" w14:paraId="62555393" w14:textId="77777777" w:rsidTr="007916CC">
              <w:tc>
                <w:tcPr>
                  <w:tcW w:w="1271" w:type="dxa"/>
                </w:tcPr>
                <w:p w14:paraId="4D7E3158"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t>Child  FIRST</w:t>
                  </w:r>
                </w:p>
              </w:tc>
              <w:tc>
                <w:tcPr>
                  <w:tcW w:w="9443" w:type="dxa"/>
                </w:tcPr>
                <w:p w14:paraId="7D37D78E" w14:textId="77777777" w:rsidR="007916CC" w:rsidRPr="00AC5C0C" w:rsidRDefault="007916CC" w:rsidP="00AC5C0C">
                  <w:pPr>
                    <w:pStyle w:val="Documentsubtitle"/>
                    <w:spacing w:line="276" w:lineRule="auto"/>
                    <w:rPr>
                      <w:rFonts w:cs="Arial"/>
                      <w:color w:val="auto"/>
                      <w:sz w:val="21"/>
                      <w:szCs w:val="21"/>
                    </w:rPr>
                  </w:pPr>
                  <w:r w:rsidRPr="007916CC">
                    <w:rPr>
                      <w:rFonts w:cs="Arial"/>
                      <w:b/>
                      <w:bCs/>
                      <w:color w:val="auto"/>
                      <w:sz w:val="21"/>
                      <w:szCs w:val="21"/>
                    </w:rPr>
                    <w:t>Child and Family Information Referral and Support Teams</w:t>
                  </w:r>
                  <w:r w:rsidRPr="00AC5C0C">
                    <w:rPr>
                      <w:rFonts w:cs="Arial"/>
                      <w:color w:val="auto"/>
                      <w:sz w:val="21"/>
                      <w:szCs w:val="21"/>
                    </w:rPr>
                    <w:t xml:space="preserve"> (Child FIRST) provide a central referral point to a range of community-based family services within subregional catchments. Child FIRST organisations have statutory obligations under the Children, Youth and Families Act 2005 (Vic).</w:t>
                  </w:r>
                </w:p>
              </w:tc>
            </w:tr>
            <w:tr w:rsidR="007916CC" w:rsidRPr="00AC5C0C" w14:paraId="2F843373" w14:textId="77777777" w:rsidTr="007916CC">
              <w:tc>
                <w:tcPr>
                  <w:tcW w:w="1271" w:type="dxa"/>
                </w:tcPr>
                <w:p w14:paraId="7E742B4E"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t>CIP</w:t>
                  </w:r>
                </w:p>
              </w:tc>
              <w:tc>
                <w:tcPr>
                  <w:tcW w:w="9443" w:type="dxa"/>
                </w:tcPr>
                <w:p w14:paraId="3E006089" w14:textId="080C326A" w:rsidR="007916CC" w:rsidRPr="00AC5C0C" w:rsidRDefault="007916CC" w:rsidP="00AC5C0C">
                  <w:pPr>
                    <w:pStyle w:val="Documentsubtitle"/>
                    <w:spacing w:line="276" w:lineRule="auto"/>
                    <w:rPr>
                      <w:rFonts w:cs="Arial"/>
                      <w:color w:val="auto"/>
                      <w:sz w:val="21"/>
                      <w:szCs w:val="21"/>
                    </w:rPr>
                  </w:pPr>
                  <w:r w:rsidRPr="007916CC">
                    <w:rPr>
                      <w:rFonts w:cs="Arial"/>
                      <w:b/>
                      <w:bCs/>
                      <w:color w:val="auto"/>
                      <w:sz w:val="21"/>
                      <w:szCs w:val="21"/>
                    </w:rPr>
                    <w:t>Central Information Point</w:t>
                  </w:r>
                  <w:r w:rsidRPr="00AC5C0C">
                    <w:rPr>
                      <w:rFonts w:cs="Arial"/>
                      <w:color w:val="auto"/>
                      <w:sz w:val="21"/>
                      <w:szCs w:val="21"/>
                    </w:rPr>
                    <w:t xml:space="preserve"> p</w:t>
                  </w:r>
                  <w:r w:rsidRPr="00AC5C0C">
                    <w:rPr>
                      <w:rFonts w:cs="Arial"/>
                      <w:color w:val="auto"/>
                      <w:sz w:val="21"/>
                      <w:szCs w:val="21"/>
                    </w:rPr>
                    <w:t>rovides timely information to support effective risk assessment and management of perpetrators of family violence. Enabled by the Family Violence Information Sharing Scheme, it brings together representatives from Court Services Victoria, Victoria</w:t>
                  </w:r>
                  <w:r>
                    <w:rPr>
                      <w:rFonts w:cs="Arial"/>
                      <w:color w:val="auto"/>
                      <w:sz w:val="21"/>
                      <w:szCs w:val="21"/>
                    </w:rPr>
                    <w:t xml:space="preserve"> </w:t>
                  </w:r>
                  <w:r w:rsidRPr="00AC5C0C">
                    <w:rPr>
                      <w:rFonts w:cs="Arial"/>
                      <w:color w:val="auto"/>
                      <w:sz w:val="21"/>
                      <w:szCs w:val="21"/>
                    </w:rPr>
                    <w:t>Police, Corrections Victoria and the former Department of Health and Human Services to consolidate critical information about perpetrators of family violence into a single report. Reports can currently be requested by The Orange Door network and some Risk Assessment and Management Panels.</w:t>
                  </w:r>
                </w:p>
              </w:tc>
            </w:tr>
            <w:tr w:rsidR="007916CC" w:rsidRPr="00AC5C0C" w14:paraId="0B412D54" w14:textId="77777777" w:rsidTr="007916CC">
              <w:tc>
                <w:tcPr>
                  <w:tcW w:w="1271" w:type="dxa"/>
                </w:tcPr>
                <w:p w14:paraId="7DB687C8"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t>CISS</w:t>
                  </w:r>
                </w:p>
              </w:tc>
              <w:tc>
                <w:tcPr>
                  <w:tcW w:w="9443" w:type="dxa"/>
                </w:tcPr>
                <w:p w14:paraId="5E840F05" w14:textId="77777777" w:rsidR="007916CC" w:rsidRPr="00AC5C0C" w:rsidRDefault="007916CC" w:rsidP="00AC5C0C">
                  <w:pPr>
                    <w:pStyle w:val="Documentsubtitle"/>
                    <w:spacing w:line="276" w:lineRule="auto"/>
                    <w:rPr>
                      <w:rFonts w:cs="Arial"/>
                      <w:color w:val="auto"/>
                      <w:sz w:val="21"/>
                      <w:szCs w:val="21"/>
                    </w:rPr>
                  </w:pPr>
                  <w:r w:rsidRPr="007916CC">
                    <w:rPr>
                      <w:rFonts w:cs="Arial"/>
                      <w:b/>
                      <w:bCs/>
                      <w:color w:val="auto"/>
                      <w:sz w:val="21"/>
                      <w:szCs w:val="21"/>
                    </w:rPr>
                    <w:t>Child Information Sharing Scheme</w:t>
                  </w:r>
                  <w:r w:rsidRPr="00AC5C0C">
                    <w:rPr>
                      <w:rFonts w:cs="Arial"/>
                      <w:color w:val="auto"/>
                      <w:sz w:val="21"/>
                      <w:szCs w:val="21"/>
                    </w:rPr>
                    <w:t xml:space="preserve">, established in legislation, the scheme provides for sharing of information among authorised organisations to support child wellbeing or safety, including within (but not limited to) family violence contexts. </w:t>
                  </w:r>
                </w:p>
              </w:tc>
            </w:tr>
            <w:tr w:rsidR="007916CC" w:rsidRPr="00AC5C0C" w14:paraId="4CC65349" w14:textId="77777777" w:rsidTr="007916CC">
              <w:tc>
                <w:tcPr>
                  <w:tcW w:w="1271" w:type="dxa"/>
                </w:tcPr>
                <w:p w14:paraId="5E74A251"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t>CWSA</w:t>
                  </w:r>
                </w:p>
              </w:tc>
              <w:tc>
                <w:tcPr>
                  <w:tcW w:w="9443" w:type="dxa"/>
                </w:tcPr>
                <w:p w14:paraId="3B83DD1C"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t xml:space="preserve">The </w:t>
                  </w:r>
                  <w:r w:rsidRPr="007916CC">
                    <w:rPr>
                      <w:rFonts w:cs="Arial"/>
                      <w:b/>
                      <w:bCs/>
                      <w:color w:val="auto"/>
                      <w:sz w:val="21"/>
                      <w:szCs w:val="21"/>
                    </w:rPr>
                    <w:t>Child Wellbeing and Safety Act</w:t>
                  </w:r>
                  <w:r w:rsidRPr="00AC5C0C">
                    <w:rPr>
                      <w:rFonts w:cs="Arial"/>
                      <w:color w:val="auto"/>
                      <w:sz w:val="21"/>
                      <w:szCs w:val="21"/>
                    </w:rPr>
                    <w:t xml:space="preserve"> 2005 (Vic) outlines ‘principles for children’ to guide the development and provision of services for children. These include an expectation that service providers ‘acknowledge and be respectful of the child’s individual identity, circumstances and cultural identity and be responsive to the particular needs of the child’. </w:t>
                  </w:r>
                </w:p>
              </w:tc>
            </w:tr>
            <w:tr w:rsidR="007916CC" w:rsidRPr="00AC5C0C" w14:paraId="32150825" w14:textId="77777777" w:rsidTr="007916CC">
              <w:tc>
                <w:tcPr>
                  <w:tcW w:w="1271" w:type="dxa"/>
                </w:tcPr>
                <w:p w14:paraId="6F7608BC"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lastRenderedPageBreak/>
                    <w:t>CYFA</w:t>
                  </w:r>
                </w:p>
              </w:tc>
              <w:tc>
                <w:tcPr>
                  <w:tcW w:w="9443" w:type="dxa"/>
                </w:tcPr>
                <w:p w14:paraId="1E39FFBF"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t xml:space="preserve">The </w:t>
                  </w:r>
                  <w:r w:rsidRPr="007916CC">
                    <w:rPr>
                      <w:rFonts w:cs="Arial"/>
                      <w:b/>
                      <w:bCs/>
                      <w:color w:val="auto"/>
                      <w:sz w:val="21"/>
                      <w:szCs w:val="21"/>
                    </w:rPr>
                    <w:t>Children, Youth and Families Act</w:t>
                  </w:r>
                  <w:r w:rsidRPr="00AC5C0C">
                    <w:rPr>
                      <w:rFonts w:cs="Arial"/>
                      <w:color w:val="auto"/>
                      <w:sz w:val="21"/>
                      <w:szCs w:val="21"/>
                    </w:rPr>
                    <w:t xml:space="preserve"> 2005 (Vic) guides the actions of community services and the state in the best interests of vulnerable children.</w:t>
                  </w:r>
                </w:p>
              </w:tc>
            </w:tr>
            <w:tr w:rsidR="007916CC" w:rsidRPr="00AC5C0C" w14:paraId="568E2277" w14:textId="77777777" w:rsidTr="007916CC">
              <w:tc>
                <w:tcPr>
                  <w:tcW w:w="1271" w:type="dxa"/>
                </w:tcPr>
                <w:p w14:paraId="6BE65166"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t>FOI Act</w:t>
                  </w:r>
                </w:p>
              </w:tc>
              <w:tc>
                <w:tcPr>
                  <w:tcW w:w="9443" w:type="dxa"/>
                </w:tcPr>
                <w:p w14:paraId="7DCDADB6" w14:textId="77777777" w:rsidR="007916CC" w:rsidRPr="00AC5C0C" w:rsidRDefault="007916CC" w:rsidP="00AC5C0C">
                  <w:pPr>
                    <w:pStyle w:val="Documentsubtitle"/>
                    <w:spacing w:line="276" w:lineRule="auto"/>
                    <w:rPr>
                      <w:rFonts w:cs="Arial"/>
                      <w:color w:val="auto"/>
                      <w:sz w:val="21"/>
                      <w:szCs w:val="21"/>
                    </w:rPr>
                  </w:pPr>
                  <w:r w:rsidRPr="007916CC">
                    <w:rPr>
                      <w:rFonts w:cs="Arial"/>
                      <w:b/>
                      <w:bCs/>
                      <w:color w:val="auto"/>
                      <w:sz w:val="21"/>
                      <w:szCs w:val="21"/>
                    </w:rPr>
                    <w:t>Freedom of Information</w:t>
                  </w:r>
                  <w:r w:rsidRPr="00AC5C0C">
                    <w:rPr>
                      <w:rFonts w:cs="Arial"/>
                      <w:color w:val="auto"/>
                      <w:sz w:val="21"/>
                      <w:szCs w:val="21"/>
                    </w:rPr>
                    <w:t xml:space="preserve"> Act  1982</w:t>
                  </w:r>
                </w:p>
              </w:tc>
            </w:tr>
            <w:tr w:rsidR="007916CC" w:rsidRPr="00AC5C0C" w14:paraId="30CD7A9C" w14:textId="77777777" w:rsidTr="007916CC">
              <w:tc>
                <w:tcPr>
                  <w:tcW w:w="1271" w:type="dxa"/>
                </w:tcPr>
                <w:p w14:paraId="25CD191B"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t>FSV</w:t>
                  </w:r>
                </w:p>
              </w:tc>
              <w:tc>
                <w:tcPr>
                  <w:tcW w:w="9443" w:type="dxa"/>
                </w:tcPr>
                <w:p w14:paraId="4848ED89" w14:textId="77777777" w:rsidR="007916CC" w:rsidRPr="00AC5C0C" w:rsidRDefault="007916CC" w:rsidP="00AC5C0C">
                  <w:pPr>
                    <w:pStyle w:val="Documentsubtitle"/>
                    <w:spacing w:line="276" w:lineRule="auto"/>
                    <w:rPr>
                      <w:rFonts w:cs="Arial"/>
                      <w:color w:val="auto"/>
                      <w:sz w:val="21"/>
                      <w:szCs w:val="21"/>
                    </w:rPr>
                  </w:pPr>
                  <w:r w:rsidRPr="007916CC">
                    <w:rPr>
                      <w:rFonts w:cs="Arial"/>
                      <w:b/>
                      <w:bCs/>
                      <w:color w:val="auto"/>
                      <w:sz w:val="21"/>
                      <w:szCs w:val="21"/>
                    </w:rPr>
                    <w:t>Family Safety Victoria</w:t>
                  </w:r>
                  <w:r w:rsidRPr="00AC5C0C">
                    <w:rPr>
                      <w:rFonts w:cs="Arial"/>
                      <w:color w:val="auto"/>
                      <w:sz w:val="21"/>
                      <w:szCs w:val="21"/>
                    </w:rPr>
                    <w:t xml:space="preserve">, an administration office of the Department of Families, Fairness  and Housing (comprising some portfolio responsibilities of the former Department of Health and Human Services) with dedicated responsibility for delivering key elements of the family violence reform. This includes the Family Violence Information Sharing Scheme, The Orange Door network and the Family Violence Multi-Agency Risk Assessment and Management reforms. </w:t>
                  </w:r>
                </w:p>
              </w:tc>
            </w:tr>
            <w:tr w:rsidR="007916CC" w:rsidRPr="00AC5C0C" w14:paraId="308E80A6" w14:textId="77777777" w:rsidTr="007916CC">
              <w:tc>
                <w:tcPr>
                  <w:tcW w:w="1271" w:type="dxa"/>
                </w:tcPr>
                <w:p w14:paraId="55E58458"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t>FVIO</w:t>
                  </w:r>
                </w:p>
              </w:tc>
              <w:tc>
                <w:tcPr>
                  <w:tcW w:w="9443" w:type="dxa"/>
                </w:tcPr>
                <w:p w14:paraId="6112FD5B" w14:textId="77777777" w:rsidR="007916CC" w:rsidRPr="00AC5C0C" w:rsidRDefault="007916CC" w:rsidP="00AC5C0C">
                  <w:pPr>
                    <w:pStyle w:val="Documentsubtitle"/>
                    <w:spacing w:line="276" w:lineRule="auto"/>
                    <w:rPr>
                      <w:rFonts w:cs="Arial"/>
                      <w:color w:val="auto"/>
                      <w:sz w:val="21"/>
                      <w:szCs w:val="21"/>
                    </w:rPr>
                  </w:pPr>
                  <w:r w:rsidRPr="007916CC">
                    <w:rPr>
                      <w:rFonts w:cs="Arial"/>
                      <w:b/>
                      <w:bCs/>
                      <w:color w:val="auto"/>
                      <w:sz w:val="21"/>
                      <w:szCs w:val="21"/>
                    </w:rPr>
                    <w:t>Family Violence Intervention Order</w:t>
                  </w:r>
                  <w:r w:rsidRPr="00AC5C0C">
                    <w:rPr>
                      <w:rFonts w:cs="Arial"/>
                      <w:color w:val="auto"/>
                      <w:sz w:val="21"/>
                      <w:szCs w:val="21"/>
                    </w:rPr>
                    <w:t>, a court-issued order to protect people from further family violence</w:t>
                  </w:r>
                </w:p>
              </w:tc>
            </w:tr>
            <w:tr w:rsidR="007916CC" w:rsidRPr="00AC5C0C" w14:paraId="668EC17A" w14:textId="77777777" w:rsidTr="007916CC">
              <w:tc>
                <w:tcPr>
                  <w:tcW w:w="1271" w:type="dxa"/>
                </w:tcPr>
                <w:p w14:paraId="65EA2C0E"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t>FVISS</w:t>
                  </w:r>
                </w:p>
              </w:tc>
              <w:tc>
                <w:tcPr>
                  <w:tcW w:w="9443" w:type="dxa"/>
                </w:tcPr>
                <w:p w14:paraId="63A9076D" w14:textId="77777777" w:rsidR="007916CC" w:rsidRPr="00AC5C0C" w:rsidRDefault="007916CC" w:rsidP="00AC5C0C">
                  <w:pPr>
                    <w:pStyle w:val="Documentsubtitle"/>
                    <w:spacing w:line="276" w:lineRule="auto"/>
                    <w:rPr>
                      <w:rFonts w:cs="Arial"/>
                      <w:color w:val="auto"/>
                      <w:sz w:val="21"/>
                      <w:szCs w:val="21"/>
                    </w:rPr>
                  </w:pPr>
                  <w:r w:rsidRPr="007916CC">
                    <w:rPr>
                      <w:rFonts w:cs="Arial"/>
                      <w:b/>
                      <w:bCs/>
                      <w:color w:val="auto"/>
                      <w:sz w:val="21"/>
                      <w:szCs w:val="21"/>
                    </w:rPr>
                    <w:t>Family Violence Information Sharing Scheme</w:t>
                  </w:r>
                  <w:r w:rsidRPr="00AC5C0C">
                    <w:rPr>
                      <w:rFonts w:cs="Arial"/>
                      <w:color w:val="auto"/>
                      <w:sz w:val="21"/>
                      <w:szCs w:val="21"/>
                    </w:rPr>
                    <w:t>, established in legislation, the scheme enables sharing of information between authorised organisations to support the assessment and management of family violence risk</w:t>
                  </w:r>
                </w:p>
              </w:tc>
            </w:tr>
            <w:tr w:rsidR="007916CC" w:rsidRPr="00AC5C0C" w14:paraId="78F3D2D8" w14:textId="77777777" w:rsidTr="007916CC">
              <w:tc>
                <w:tcPr>
                  <w:tcW w:w="1271" w:type="dxa"/>
                </w:tcPr>
                <w:p w14:paraId="0DA16035"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t>FVIU</w:t>
                  </w:r>
                </w:p>
              </w:tc>
              <w:tc>
                <w:tcPr>
                  <w:tcW w:w="9443" w:type="dxa"/>
                </w:tcPr>
                <w:p w14:paraId="02F4808A" w14:textId="77777777" w:rsidR="007916CC" w:rsidRPr="00AC5C0C" w:rsidRDefault="007916CC" w:rsidP="00AC5C0C">
                  <w:pPr>
                    <w:pStyle w:val="Documentsubtitle"/>
                    <w:spacing w:line="276" w:lineRule="auto"/>
                    <w:rPr>
                      <w:rFonts w:cs="Arial"/>
                      <w:color w:val="auto"/>
                      <w:sz w:val="21"/>
                      <w:szCs w:val="21"/>
                    </w:rPr>
                  </w:pPr>
                  <w:r w:rsidRPr="007916CC">
                    <w:rPr>
                      <w:rFonts w:cs="Arial"/>
                      <w:b/>
                      <w:bCs/>
                      <w:color w:val="auto"/>
                      <w:sz w:val="21"/>
                      <w:szCs w:val="21"/>
                    </w:rPr>
                    <w:t>Family Violence Investigation Units</w:t>
                  </w:r>
                  <w:r w:rsidRPr="00AC5C0C">
                    <w:rPr>
                      <w:rFonts w:cs="Arial"/>
                      <w:color w:val="auto"/>
                      <w:sz w:val="21"/>
                      <w:szCs w:val="21"/>
                    </w:rPr>
                    <w:t>,  e</w:t>
                  </w:r>
                  <w:r w:rsidRPr="00AC5C0C">
                    <w:rPr>
                      <w:rFonts w:cs="Arial"/>
                      <w:color w:val="auto"/>
                      <w:sz w:val="21"/>
                      <w:szCs w:val="21"/>
                    </w:rPr>
                    <w:t>stablished in each police division, the 31 units investigate serious family violence matters and support general duties police and other specialist units on appropriate risk management interventions to increase safety for adult and child victims.</w:t>
                  </w:r>
                </w:p>
              </w:tc>
            </w:tr>
            <w:tr w:rsidR="007916CC" w:rsidRPr="00AC5C0C" w14:paraId="787F43FF" w14:textId="77777777" w:rsidTr="007916CC">
              <w:tc>
                <w:tcPr>
                  <w:tcW w:w="1271" w:type="dxa"/>
                </w:tcPr>
                <w:p w14:paraId="3CECA8D3"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t>FVPA</w:t>
                  </w:r>
                </w:p>
              </w:tc>
              <w:tc>
                <w:tcPr>
                  <w:tcW w:w="9443" w:type="dxa"/>
                </w:tcPr>
                <w:p w14:paraId="5E1576E6" w14:textId="77777777" w:rsidR="007916CC" w:rsidRPr="00AC5C0C" w:rsidRDefault="007916CC" w:rsidP="00AC5C0C">
                  <w:pPr>
                    <w:pStyle w:val="Documentsubtitle"/>
                    <w:spacing w:line="276" w:lineRule="auto"/>
                    <w:rPr>
                      <w:rFonts w:cs="Arial"/>
                      <w:color w:val="auto"/>
                      <w:sz w:val="21"/>
                      <w:szCs w:val="21"/>
                    </w:rPr>
                  </w:pPr>
                  <w:r w:rsidRPr="007916CC">
                    <w:rPr>
                      <w:rFonts w:cs="Arial"/>
                      <w:b/>
                      <w:bCs/>
                      <w:color w:val="auto"/>
                      <w:sz w:val="21"/>
                      <w:szCs w:val="21"/>
                    </w:rPr>
                    <w:t>The Family Violence Protection Act</w:t>
                  </w:r>
                  <w:r w:rsidRPr="00AC5C0C">
                    <w:rPr>
                      <w:rFonts w:cs="Arial"/>
                      <w:color w:val="auto"/>
                      <w:sz w:val="21"/>
                      <w:szCs w:val="21"/>
                    </w:rPr>
                    <w:t xml:space="preserve"> 2008, </w:t>
                  </w:r>
                </w:p>
              </w:tc>
            </w:tr>
            <w:tr w:rsidR="007916CC" w:rsidRPr="00AC5C0C" w14:paraId="64EC1834" w14:textId="77777777" w:rsidTr="007916CC">
              <w:tc>
                <w:tcPr>
                  <w:tcW w:w="1271" w:type="dxa"/>
                </w:tcPr>
                <w:p w14:paraId="456083CC"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t>FVPP</w:t>
                  </w:r>
                </w:p>
              </w:tc>
              <w:tc>
                <w:tcPr>
                  <w:tcW w:w="9443" w:type="dxa"/>
                </w:tcPr>
                <w:p w14:paraId="22AD142F" w14:textId="77777777" w:rsidR="007916CC" w:rsidRPr="00AC5C0C" w:rsidRDefault="007916CC" w:rsidP="00AC5C0C">
                  <w:pPr>
                    <w:pStyle w:val="Documentsubtitle"/>
                    <w:spacing w:line="276" w:lineRule="auto"/>
                    <w:rPr>
                      <w:rFonts w:cs="Arial"/>
                      <w:color w:val="auto"/>
                      <w:sz w:val="21"/>
                      <w:szCs w:val="21"/>
                    </w:rPr>
                  </w:pPr>
                  <w:r w:rsidRPr="007916CC">
                    <w:rPr>
                      <w:rFonts w:cs="Arial"/>
                      <w:b/>
                      <w:bCs/>
                      <w:color w:val="auto"/>
                      <w:sz w:val="21"/>
                      <w:szCs w:val="21"/>
                    </w:rPr>
                    <w:t>Family Violence Principal</w:t>
                  </w:r>
                  <w:r w:rsidRPr="007916CC">
                    <w:rPr>
                      <w:rFonts w:cs="Arial"/>
                      <w:b/>
                      <w:bCs/>
                      <w:color w:val="auto"/>
                      <w:sz w:val="21"/>
                      <w:szCs w:val="21"/>
                    </w:rPr>
                    <w:t xml:space="preserve"> </w:t>
                  </w:r>
                  <w:r w:rsidRPr="007916CC">
                    <w:rPr>
                      <w:rFonts w:cs="Arial"/>
                      <w:b/>
                      <w:bCs/>
                      <w:color w:val="auto"/>
                      <w:sz w:val="21"/>
                      <w:szCs w:val="21"/>
                    </w:rPr>
                    <w:t>Practitioner</w:t>
                  </w:r>
                  <w:r w:rsidRPr="00AC5C0C">
                    <w:rPr>
                      <w:rFonts w:cs="Arial"/>
                      <w:color w:val="auto"/>
                      <w:sz w:val="21"/>
                      <w:szCs w:val="21"/>
                    </w:rPr>
                    <w:t>, p</w:t>
                  </w:r>
                  <w:r w:rsidRPr="00AC5C0C">
                    <w:rPr>
                      <w:rFonts w:cs="Arial"/>
                      <w:color w:val="auto"/>
                      <w:sz w:val="21"/>
                      <w:szCs w:val="21"/>
                    </w:rPr>
                    <w:t>ositions established in the former Department of Health and Human Services, the Department of Education and Training and the Department of Justice and Community Safety to develop family violence practice and knowledge and provide leadership</w:t>
                  </w:r>
                  <w:r w:rsidRPr="00AC5C0C">
                    <w:rPr>
                      <w:rFonts w:cs="Arial"/>
                      <w:color w:val="auto"/>
                      <w:sz w:val="21"/>
                      <w:szCs w:val="21"/>
                    </w:rPr>
                    <w:t xml:space="preserve"> </w:t>
                  </w:r>
                  <w:r w:rsidRPr="00AC5C0C">
                    <w:rPr>
                      <w:rFonts w:cs="Arial"/>
                      <w:color w:val="auto"/>
                      <w:sz w:val="21"/>
                      <w:szCs w:val="21"/>
                    </w:rPr>
                    <w:t>across their departments. The positions support implementation of key initiatives such as the Information Sharing Scheme and the Family Violence Multi-Agency Risk Assessment and Management Framework.</w:t>
                  </w:r>
                </w:p>
              </w:tc>
            </w:tr>
            <w:tr w:rsidR="007916CC" w:rsidRPr="00AC5C0C" w14:paraId="2024FAF5" w14:textId="77777777" w:rsidTr="007916CC">
              <w:tc>
                <w:tcPr>
                  <w:tcW w:w="1271" w:type="dxa"/>
                </w:tcPr>
                <w:p w14:paraId="50696785"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t>FVRIC</w:t>
                  </w:r>
                </w:p>
              </w:tc>
              <w:tc>
                <w:tcPr>
                  <w:tcW w:w="9443" w:type="dxa"/>
                </w:tcPr>
                <w:p w14:paraId="76B530FB" w14:textId="77777777" w:rsidR="007916CC" w:rsidRPr="00AC5C0C" w:rsidRDefault="007916CC" w:rsidP="00AC5C0C">
                  <w:pPr>
                    <w:pStyle w:val="Documentsubtitle"/>
                    <w:spacing w:line="276" w:lineRule="auto"/>
                    <w:rPr>
                      <w:rFonts w:cs="Arial"/>
                      <w:color w:val="auto"/>
                      <w:sz w:val="21"/>
                      <w:szCs w:val="21"/>
                    </w:rPr>
                  </w:pPr>
                  <w:r w:rsidRPr="007916CC">
                    <w:rPr>
                      <w:rFonts w:cs="Arial"/>
                      <w:b/>
                      <w:bCs/>
                      <w:color w:val="auto"/>
                      <w:sz w:val="21"/>
                      <w:szCs w:val="21"/>
                    </w:rPr>
                    <w:t>Family Violence Reform Interdepartmental Committee</w:t>
                  </w:r>
                  <w:r w:rsidRPr="00AC5C0C">
                    <w:rPr>
                      <w:rFonts w:cs="Arial"/>
                      <w:color w:val="auto"/>
                      <w:sz w:val="21"/>
                      <w:szCs w:val="21"/>
                    </w:rPr>
                    <w:t>, t</w:t>
                  </w:r>
                  <w:r w:rsidRPr="00AC5C0C">
                    <w:rPr>
                      <w:rFonts w:cs="Arial"/>
                      <w:color w:val="auto"/>
                      <w:sz w:val="21"/>
                      <w:szCs w:val="21"/>
                    </w:rPr>
                    <w:t>he committee responsible for leading cross-government engagement and providing oversight and governance for the implementation and delivery of family violence reform.</w:t>
                  </w:r>
                  <w:r w:rsidRPr="00AC5C0C">
                    <w:rPr>
                      <w:rFonts w:cs="Arial"/>
                      <w:color w:val="auto"/>
                      <w:sz w:val="21"/>
                      <w:szCs w:val="21"/>
                    </w:rPr>
                    <w:t xml:space="preserve"> </w:t>
                  </w:r>
                  <w:r w:rsidRPr="00AC5C0C">
                    <w:rPr>
                      <w:rFonts w:cs="Arial"/>
                      <w:color w:val="auto"/>
                      <w:sz w:val="21"/>
                      <w:szCs w:val="21"/>
                    </w:rPr>
                    <w:t>Representatives include the reform’s key implementing agencies.</w:t>
                  </w:r>
                </w:p>
              </w:tc>
            </w:tr>
            <w:tr w:rsidR="007916CC" w:rsidRPr="00AC5C0C" w14:paraId="58E62E8B" w14:textId="77777777" w:rsidTr="007916CC">
              <w:tc>
                <w:tcPr>
                  <w:tcW w:w="1271" w:type="dxa"/>
                </w:tcPr>
                <w:p w14:paraId="45BC4087"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t>ISE</w:t>
                  </w:r>
                </w:p>
              </w:tc>
              <w:tc>
                <w:tcPr>
                  <w:tcW w:w="9443" w:type="dxa"/>
                </w:tcPr>
                <w:p w14:paraId="6204455F" w14:textId="77777777" w:rsidR="007916CC" w:rsidRPr="00AC5C0C" w:rsidRDefault="007916CC" w:rsidP="00AC5C0C">
                  <w:pPr>
                    <w:pStyle w:val="Documentsubtitle"/>
                    <w:spacing w:line="276" w:lineRule="auto"/>
                    <w:rPr>
                      <w:rFonts w:cs="Arial"/>
                      <w:color w:val="auto"/>
                      <w:sz w:val="21"/>
                      <w:szCs w:val="21"/>
                    </w:rPr>
                  </w:pPr>
                  <w:r w:rsidRPr="007916CC">
                    <w:rPr>
                      <w:rFonts w:cs="Arial"/>
                      <w:b/>
                      <w:bCs/>
                      <w:color w:val="auto"/>
                      <w:sz w:val="21"/>
                      <w:szCs w:val="21"/>
                    </w:rPr>
                    <w:t>Information Sharing Entity</w:t>
                  </w:r>
                  <w:r w:rsidRPr="00AC5C0C">
                    <w:rPr>
                      <w:rFonts w:cs="Arial"/>
                      <w:color w:val="auto"/>
                      <w:sz w:val="21"/>
                      <w:szCs w:val="21"/>
                    </w:rPr>
                    <w:t>, as defined by the Family Violence Protection Act to be a person or body prescribed, or a class of person or body prescribed, to be an information sharing entity.</w:t>
                  </w:r>
                </w:p>
              </w:tc>
            </w:tr>
            <w:tr w:rsidR="007916CC" w:rsidRPr="00AC5C0C" w14:paraId="453663D3" w14:textId="77777777" w:rsidTr="007916CC">
              <w:tc>
                <w:tcPr>
                  <w:tcW w:w="1271" w:type="dxa"/>
                </w:tcPr>
                <w:p w14:paraId="11946CF4"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t>LGBTIQ</w:t>
                  </w:r>
                </w:p>
              </w:tc>
              <w:tc>
                <w:tcPr>
                  <w:tcW w:w="9443" w:type="dxa"/>
                </w:tcPr>
                <w:p w14:paraId="06249A0C"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t xml:space="preserve">An inclusive initialism that refers to </w:t>
                  </w:r>
                  <w:r w:rsidRPr="007916CC">
                    <w:rPr>
                      <w:rFonts w:cs="Arial"/>
                      <w:b/>
                      <w:bCs/>
                      <w:color w:val="auto"/>
                      <w:sz w:val="21"/>
                      <w:szCs w:val="21"/>
                    </w:rPr>
                    <w:t>lesbian, gay, bisexual, transgender, intersex and queer</w:t>
                  </w:r>
                  <w:r w:rsidRPr="00AC5C0C">
                    <w:rPr>
                      <w:rFonts w:cs="Arial"/>
                      <w:color w:val="auto"/>
                      <w:sz w:val="21"/>
                      <w:szCs w:val="21"/>
                    </w:rPr>
                    <w:t xml:space="preserve"> people.</w:t>
                  </w:r>
                </w:p>
              </w:tc>
            </w:tr>
            <w:tr w:rsidR="007916CC" w:rsidRPr="00AC5C0C" w14:paraId="2BD00EDD" w14:textId="77777777" w:rsidTr="007916CC">
              <w:tc>
                <w:tcPr>
                  <w:tcW w:w="1271" w:type="dxa"/>
                </w:tcPr>
                <w:p w14:paraId="52A06899"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t>MARAM</w:t>
                  </w:r>
                </w:p>
              </w:tc>
              <w:tc>
                <w:tcPr>
                  <w:tcW w:w="9443" w:type="dxa"/>
                </w:tcPr>
                <w:p w14:paraId="6ED99257"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t xml:space="preserve">The Family Violence </w:t>
                  </w:r>
                  <w:r w:rsidRPr="007916CC">
                    <w:rPr>
                      <w:rFonts w:cs="Arial"/>
                      <w:b/>
                      <w:bCs/>
                      <w:color w:val="auto"/>
                      <w:sz w:val="21"/>
                      <w:szCs w:val="21"/>
                    </w:rPr>
                    <w:t>Multi-Agency Risk Assessment and Management</w:t>
                  </w:r>
                  <w:r w:rsidRPr="00AC5C0C">
                    <w:rPr>
                      <w:rFonts w:cs="Arial"/>
                      <w:color w:val="auto"/>
                      <w:sz w:val="21"/>
                      <w:szCs w:val="21"/>
                    </w:rPr>
                    <w:t xml:space="preserve"> Framework, the redeveloped Common Risk Assessment Framework or “CRAF”. The MARAM Framework is supported by operational practice guidance and risk identification, screening and assessment tools. </w:t>
                  </w:r>
                </w:p>
              </w:tc>
            </w:tr>
            <w:tr w:rsidR="007916CC" w:rsidRPr="00AC5C0C" w14:paraId="5CEE1326" w14:textId="77777777" w:rsidTr="007916CC">
              <w:tc>
                <w:tcPr>
                  <w:tcW w:w="1271" w:type="dxa"/>
                </w:tcPr>
                <w:p w14:paraId="67D7067B"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t>RAE</w:t>
                  </w:r>
                </w:p>
              </w:tc>
              <w:tc>
                <w:tcPr>
                  <w:tcW w:w="9443" w:type="dxa"/>
                </w:tcPr>
                <w:p w14:paraId="3F20807D" w14:textId="77777777" w:rsidR="007916CC" w:rsidRPr="00AC5C0C" w:rsidRDefault="007916CC" w:rsidP="00AC5C0C">
                  <w:pPr>
                    <w:pStyle w:val="Documentsubtitle"/>
                    <w:spacing w:line="276" w:lineRule="auto"/>
                    <w:rPr>
                      <w:rFonts w:cs="Arial"/>
                      <w:color w:val="auto"/>
                      <w:sz w:val="21"/>
                      <w:szCs w:val="21"/>
                    </w:rPr>
                  </w:pPr>
                  <w:r w:rsidRPr="007916CC">
                    <w:rPr>
                      <w:rFonts w:cs="Arial"/>
                      <w:b/>
                      <w:bCs/>
                      <w:color w:val="auto"/>
                      <w:sz w:val="21"/>
                      <w:szCs w:val="21"/>
                    </w:rPr>
                    <w:t>Risk Assessment Entity</w:t>
                  </w:r>
                  <w:r w:rsidRPr="00AC5C0C">
                    <w:rPr>
                      <w:rFonts w:cs="Arial"/>
                      <w:color w:val="auto"/>
                      <w:sz w:val="21"/>
                      <w:szCs w:val="21"/>
                    </w:rPr>
                    <w:t xml:space="preserve"> is an information sharing entity prescribed to be a risk assessment entity. Risk assessment entities can request and receive voluntary disclosures from information sharing entities for a family violence assessment purpose. </w:t>
                  </w:r>
                </w:p>
              </w:tc>
            </w:tr>
            <w:tr w:rsidR="007916CC" w:rsidRPr="00AC5C0C" w14:paraId="4ED4E02C" w14:textId="77777777" w:rsidTr="007916CC">
              <w:tc>
                <w:tcPr>
                  <w:tcW w:w="1271" w:type="dxa"/>
                </w:tcPr>
                <w:p w14:paraId="34618D8B"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t>SFVA</w:t>
                  </w:r>
                </w:p>
              </w:tc>
              <w:tc>
                <w:tcPr>
                  <w:tcW w:w="9443" w:type="dxa"/>
                </w:tcPr>
                <w:p w14:paraId="1D7FE730" w14:textId="77777777" w:rsidR="007916CC" w:rsidRPr="00AC5C0C" w:rsidRDefault="007916CC" w:rsidP="00AC5C0C">
                  <w:pPr>
                    <w:pStyle w:val="Documentsubtitle"/>
                    <w:spacing w:line="276" w:lineRule="auto"/>
                    <w:rPr>
                      <w:rFonts w:cs="Arial"/>
                      <w:color w:val="auto"/>
                      <w:sz w:val="21"/>
                      <w:szCs w:val="21"/>
                    </w:rPr>
                  </w:pPr>
                  <w:r w:rsidRPr="007916CC">
                    <w:rPr>
                      <w:rFonts w:cs="Arial"/>
                      <w:b/>
                      <w:bCs/>
                      <w:color w:val="auto"/>
                      <w:sz w:val="21"/>
                      <w:szCs w:val="21"/>
                    </w:rPr>
                    <w:t>Specialist Family Violence Advisors</w:t>
                  </w:r>
                  <w:r w:rsidRPr="00AC5C0C">
                    <w:rPr>
                      <w:rFonts w:cs="Arial"/>
                      <w:color w:val="auto"/>
                      <w:sz w:val="21"/>
                      <w:szCs w:val="21"/>
                    </w:rPr>
                    <w:t>, e</w:t>
                  </w:r>
                  <w:r w:rsidRPr="00AC5C0C">
                    <w:rPr>
                      <w:rFonts w:cs="Arial"/>
                      <w:color w:val="auto"/>
                      <w:sz w:val="21"/>
                      <w:szCs w:val="21"/>
                    </w:rPr>
                    <w:t>stablished in each of the 17 Department of Health (formerly Department of Health and Human Services) areas, these roles are intended to increase access to specialist family violence skills as well as supporting the development of local capability and resources across mental health, alcohol and other drug and family violence services across Victoria.</w:t>
                  </w:r>
                </w:p>
              </w:tc>
            </w:tr>
            <w:tr w:rsidR="007916CC" w:rsidRPr="00AC5C0C" w14:paraId="4452172C" w14:textId="77777777" w:rsidTr="007916CC">
              <w:tc>
                <w:tcPr>
                  <w:tcW w:w="1271" w:type="dxa"/>
                </w:tcPr>
                <w:p w14:paraId="57A8D99D"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t>SFVC</w:t>
                  </w:r>
                </w:p>
              </w:tc>
              <w:tc>
                <w:tcPr>
                  <w:tcW w:w="9443" w:type="dxa"/>
                </w:tcPr>
                <w:p w14:paraId="03B14FE1" w14:textId="77777777" w:rsidR="007916CC" w:rsidRPr="00AC5C0C" w:rsidRDefault="007916CC" w:rsidP="00AC5C0C">
                  <w:pPr>
                    <w:pStyle w:val="Documentsubtitle"/>
                    <w:spacing w:line="276" w:lineRule="auto"/>
                    <w:rPr>
                      <w:rFonts w:cs="Arial"/>
                      <w:color w:val="auto"/>
                      <w:sz w:val="21"/>
                      <w:szCs w:val="21"/>
                    </w:rPr>
                  </w:pPr>
                  <w:r w:rsidRPr="007916CC">
                    <w:rPr>
                      <w:rFonts w:cs="Arial"/>
                      <w:b/>
                      <w:bCs/>
                      <w:color w:val="auto"/>
                      <w:sz w:val="21"/>
                      <w:szCs w:val="21"/>
                    </w:rPr>
                    <w:t>Specialist Family Violence Courts</w:t>
                  </w:r>
                  <w:r w:rsidRPr="00AC5C0C">
                    <w:rPr>
                      <w:rFonts w:cs="Arial"/>
                      <w:color w:val="auto"/>
                      <w:sz w:val="21"/>
                      <w:szCs w:val="21"/>
                    </w:rPr>
                    <w:t>, s</w:t>
                  </w:r>
                  <w:r w:rsidRPr="00AC5C0C">
                    <w:rPr>
                      <w:rFonts w:cs="Arial"/>
                      <w:color w:val="auto"/>
                      <w:sz w:val="21"/>
                      <w:szCs w:val="21"/>
                    </w:rPr>
                    <w:t xml:space="preserve">pecialist courts that provide enhanced safety features including separate entrances for victim survivors and remote hearing facilities. Specialist Family </w:t>
                  </w:r>
                  <w:r w:rsidRPr="00AC5C0C">
                    <w:rPr>
                      <w:rFonts w:cs="Arial"/>
                      <w:color w:val="auto"/>
                      <w:sz w:val="21"/>
                      <w:szCs w:val="21"/>
                    </w:rPr>
                    <w:lastRenderedPageBreak/>
                    <w:t>Violence Courts are staffed by specially trained magistrates and court staff, partner agencies and other court-based services to deliver a coordinated response. Magistrates at Specialist Family Violence Courts have powers to mandate counselling orders for perpetrators.</w:t>
                  </w:r>
                </w:p>
              </w:tc>
            </w:tr>
            <w:tr w:rsidR="007916CC" w:rsidRPr="00AC5C0C" w14:paraId="18B2579E" w14:textId="77777777" w:rsidTr="007916CC">
              <w:tc>
                <w:tcPr>
                  <w:tcW w:w="1271" w:type="dxa"/>
                </w:tcPr>
                <w:p w14:paraId="1C4FC1D0"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lastRenderedPageBreak/>
                    <w:t>The Hubs</w:t>
                  </w:r>
                </w:p>
              </w:tc>
              <w:tc>
                <w:tcPr>
                  <w:tcW w:w="9443" w:type="dxa"/>
                </w:tcPr>
                <w:p w14:paraId="3ACAFF56" w14:textId="77777777" w:rsidR="007916CC" w:rsidRPr="00AC5C0C" w:rsidRDefault="007916CC" w:rsidP="00AC5C0C">
                  <w:pPr>
                    <w:pStyle w:val="Documentsubtitle"/>
                    <w:spacing w:line="276" w:lineRule="auto"/>
                    <w:rPr>
                      <w:rFonts w:cs="Arial"/>
                      <w:color w:val="auto"/>
                      <w:sz w:val="21"/>
                      <w:szCs w:val="21"/>
                    </w:rPr>
                  </w:pPr>
                  <w:r w:rsidRPr="007916CC">
                    <w:rPr>
                      <w:rFonts w:cs="Arial"/>
                      <w:b/>
                      <w:bCs/>
                      <w:color w:val="auto"/>
                      <w:sz w:val="21"/>
                      <w:szCs w:val="21"/>
                    </w:rPr>
                    <w:t>Support and Safety Hubs</w:t>
                  </w:r>
                  <w:r w:rsidRPr="00AC5C0C">
                    <w:rPr>
                      <w:rFonts w:cs="Arial"/>
                      <w:color w:val="auto"/>
                      <w:sz w:val="21"/>
                      <w:szCs w:val="21"/>
                    </w:rPr>
                    <w:t xml:space="preserve">, </w:t>
                  </w:r>
                  <w:r w:rsidRPr="00AC5C0C">
                    <w:rPr>
                      <w:rFonts w:cs="Arial"/>
                      <w:color w:val="auto"/>
                      <w:sz w:val="21"/>
                      <w:szCs w:val="21"/>
                    </w:rPr>
                    <w:t>A network of local access points across Victoria recommended by the Royal Commission into Family Violence to better support victim survivors in accessing services. The public branding of the Support and Safety Hubs is The Orange Door</w:t>
                  </w:r>
                </w:p>
              </w:tc>
            </w:tr>
            <w:tr w:rsidR="007916CC" w:rsidRPr="00AC5C0C" w14:paraId="65591D19" w14:textId="77777777" w:rsidTr="007916CC">
              <w:tc>
                <w:tcPr>
                  <w:tcW w:w="1271" w:type="dxa"/>
                </w:tcPr>
                <w:p w14:paraId="0CD805EB" w14:textId="77777777" w:rsidR="007916CC" w:rsidRPr="00AC5C0C" w:rsidRDefault="007916CC" w:rsidP="00AC5C0C">
                  <w:pPr>
                    <w:pStyle w:val="Documentsubtitle"/>
                    <w:spacing w:line="276" w:lineRule="auto"/>
                    <w:rPr>
                      <w:rFonts w:cs="Arial"/>
                      <w:color w:val="auto"/>
                      <w:sz w:val="21"/>
                      <w:szCs w:val="21"/>
                    </w:rPr>
                  </w:pPr>
                  <w:r w:rsidRPr="00AC5C0C">
                    <w:rPr>
                      <w:rFonts w:cs="Arial"/>
                      <w:color w:val="auto"/>
                      <w:sz w:val="21"/>
                      <w:szCs w:val="21"/>
                    </w:rPr>
                    <w:t>VSAC</w:t>
                  </w:r>
                </w:p>
              </w:tc>
              <w:tc>
                <w:tcPr>
                  <w:tcW w:w="9443" w:type="dxa"/>
                </w:tcPr>
                <w:p w14:paraId="5667C0B7" w14:textId="77777777" w:rsidR="007916CC" w:rsidRPr="00AC5C0C" w:rsidRDefault="007916CC" w:rsidP="00AC5C0C">
                  <w:pPr>
                    <w:pStyle w:val="Documentsubtitle"/>
                    <w:spacing w:line="276" w:lineRule="auto"/>
                    <w:rPr>
                      <w:rFonts w:cs="Arial"/>
                      <w:color w:val="auto"/>
                      <w:sz w:val="21"/>
                      <w:szCs w:val="21"/>
                    </w:rPr>
                  </w:pPr>
                  <w:r w:rsidRPr="007916CC">
                    <w:rPr>
                      <w:rFonts w:cs="Arial"/>
                      <w:b/>
                      <w:bCs/>
                      <w:color w:val="auto"/>
                      <w:sz w:val="21"/>
                      <w:szCs w:val="21"/>
                    </w:rPr>
                    <w:t>Victim Survivors’ Advisory Council</w:t>
                  </w:r>
                  <w:r w:rsidRPr="00AC5C0C">
                    <w:rPr>
                      <w:rFonts w:cs="Arial"/>
                      <w:color w:val="auto"/>
                      <w:sz w:val="21"/>
                      <w:szCs w:val="21"/>
                    </w:rPr>
                    <w:t>, f</w:t>
                  </w:r>
                  <w:r w:rsidRPr="00AC5C0C">
                    <w:rPr>
                      <w:rFonts w:cs="Arial"/>
                      <w:color w:val="auto"/>
                      <w:sz w:val="21"/>
                      <w:szCs w:val="21"/>
                    </w:rPr>
                    <w:t>ormed in July 2016, the council was established to include people with lived experience of family violence in the service design of the family violence reform.</w:t>
                  </w:r>
                </w:p>
              </w:tc>
            </w:tr>
          </w:tbl>
          <w:p w14:paraId="3CD3CBA1" w14:textId="5F2CCA2F" w:rsidR="0098663D" w:rsidRPr="0095234E" w:rsidRDefault="0098663D" w:rsidP="0036186A">
            <w:pPr>
              <w:pStyle w:val="Documentsubtitle"/>
            </w:pPr>
          </w:p>
        </w:tc>
      </w:tr>
    </w:tbl>
    <w:p w14:paraId="08EBB2C4" w14:textId="79E37621" w:rsidR="00C0222D" w:rsidRPr="00C0222D" w:rsidRDefault="00C0222D" w:rsidP="00C0222D">
      <w:pPr>
        <w:pStyle w:val="Heading1"/>
        <w:rPr>
          <w:rFonts w:eastAsia="Times" w:cs="Times New Roman"/>
          <w:color w:val="auto"/>
          <w:kern w:val="0"/>
          <w:sz w:val="20"/>
          <w:szCs w:val="20"/>
        </w:rPr>
      </w:pPr>
      <w:bookmarkStart w:id="0" w:name="_Toc66711982"/>
      <w:bookmarkStart w:id="1" w:name="_Toc94793597"/>
      <w:r>
        <w:lastRenderedPageBreak/>
        <w:t>Further information</w:t>
      </w:r>
      <w:bookmarkEnd w:id="1"/>
    </w:p>
    <w:p w14:paraId="1E819B24" w14:textId="20882667" w:rsidR="003F7DDA" w:rsidRDefault="003F7DDA" w:rsidP="00344084">
      <w:pPr>
        <w:pStyle w:val="Body"/>
      </w:pPr>
      <w:r>
        <w:rPr>
          <w:rStyle w:val="normaltextrun"/>
          <w:rFonts w:cs="Arial"/>
          <w:shd w:val="clear" w:color="auto" w:fill="FFFFFF"/>
          <w:lang w:val="en-US"/>
        </w:rPr>
        <w:t>For further information about training and resources available to support health workforces implement these reforms, please email: </w:t>
      </w:r>
      <w:hyperlink r:id="rId15" w:tgtFrame="_blank" w:history="1">
        <w:r w:rsidRPr="00C0222D">
          <w:rPr>
            <w:rStyle w:val="normaltextrun"/>
            <w:rFonts w:cs="Arial"/>
            <w:color w:val="0000FF"/>
            <w:shd w:val="clear" w:color="auto" w:fill="FFFFFF"/>
            <w:lang w:val="en-US"/>
          </w:rPr>
          <w:t>infosharing@health.vic.gov.au</w:t>
        </w:r>
      </w:hyperlink>
      <w:r>
        <w:rPr>
          <w:rStyle w:val="normaltextrun"/>
          <w:rFonts w:cs="Arial"/>
          <w:shd w:val="clear" w:color="auto" w:fill="FFFFFF"/>
          <w:lang w:val="en-US"/>
        </w:rPr>
        <w:t> </w:t>
      </w:r>
    </w:p>
    <w:p w14:paraId="0CDD7E1E" w14:textId="6D2982D3" w:rsidR="000509AD" w:rsidRDefault="005B64E5" w:rsidP="00344084">
      <w:pPr>
        <w:pStyle w:val="Body"/>
      </w:pPr>
      <w:r>
        <w:t xml:space="preserve">Resources to assist organisations and workers implement MARAM and upskill in family violence knowledge and practice are available on the </w:t>
      </w:r>
      <w:hyperlink r:id="rId16" w:history="1">
        <w:r w:rsidRPr="00B346F0">
          <w:rPr>
            <w:rStyle w:val="Hyperlink"/>
          </w:rPr>
          <w:t>Vic Gov MARAM website</w:t>
        </w:r>
      </w:hyperlink>
      <w:r>
        <w:t xml:space="preserve"> &lt;</w:t>
      </w:r>
      <w:r w:rsidRPr="00B346F0">
        <w:t>https://www.vic.gov.au/maram-practice-guides-and-resources</w:t>
      </w:r>
      <w:r>
        <w:t xml:space="preserve">&gt;. </w:t>
      </w:r>
    </w:p>
    <w:p w14:paraId="439EB997" w14:textId="0865D5EB" w:rsidR="00780EEF" w:rsidRDefault="00780EEF" w:rsidP="00344084">
      <w:pPr>
        <w:pStyle w:val="Body"/>
      </w:pPr>
      <w:r w:rsidRPr="00EC76C4">
        <w:t>An Organisation</w:t>
      </w:r>
      <w:r>
        <w:t>al</w:t>
      </w:r>
      <w:r w:rsidRPr="00EC76C4">
        <w:t xml:space="preserve"> Embedding guide and supporting resources </w:t>
      </w:r>
      <w:r>
        <w:t>are</w:t>
      </w:r>
      <w:r w:rsidRPr="00EC76C4">
        <w:t xml:space="preserve"> available on the</w:t>
      </w:r>
      <w:r>
        <w:rPr>
          <w:color w:val="4F81BD" w:themeColor="accent1"/>
        </w:rPr>
        <w:t xml:space="preserve"> </w:t>
      </w:r>
      <w:hyperlink r:id="rId17" w:history="1">
        <w:r w:rsidRPr="0014778E">
          <w:rPr>
            <w:rStyle w:val="Hyperlink"/>
          </w:rPr>
          <w:t>VicGov website</w:t>
        </w:r>
      </w:hyperlink>
      <w:r>
        <w:rPr>
          <w:color w:val="4F81BD" w:themeColor="accent1"/>
        </w:rPr>
        <w:t xml:space="preserve"> </w:t>
      </w:r>
      <w:r w:rsidRPr="00EC76C4">
        <w:t>&lt;</w:t>
      </w:r>
      <w:hyperlink r:id="rId18" w:history="1">
        <w:r w:rsidR="00DE471F" w:rsidRPr="00DE471F">
          <w:rPr>
            <w:rStyle w:val="Hyperlink"/>
          </w:rPr>
          <w:t>https://www.vic.gov.au/maram-practice-guides-and-resources</w:t>
        </w:r>
      </w:hyperlink>
      <w:r w:rsidRPr="00EC76C4">
        <w:t>&gt; under Organisational focussed resources.</w:t>
      </w:r>
      <w:r w:rsidR="002451AD">
        <w:t xml:space="preserve"> </w:t>
      </w:r>
    </w:p>
    <w:p w14:paraId="72DA6829" w14:textId="1FBD71DF" w:rsidR="001A6B7B" w:rsidRPr="006241B9" w:rsidRDefault="007916CC" w:rsidP="00344084">
      <w:pPr>
        <w:pStyle w:val="Body"/>
        <w:rPr>
          <w:b/>
          <w:bCs/>
        </w:rPr>
      </w:pPr>
      <w:hyperlink r:id="rId19" w:history="1">
        <w:r w:rsidR="001A6B7B" w:rsidRPr="00CF306F">
          <w:rPr>
            <w:rStyle w:val="Hyperlink"/>
          </w:rPr>
          <w:t>Ministerial Guidelines</w:t>
        </w:r>
      </w:hyperlink>
      <w:r w:rsidR="001A6B7B">
        <w:t xml:space="preserve"> have been developed on both information sharing schemes to </w:t>
      </w:r>
      <w:r w:rsidR="00425C03">
        <w:t xml:space="preserve">provide direction to </w:t>
      </w:r>
      <w:r w:rsidR="00CF306F">
        <w:t>ISEs o</w:t>
      </w:r>
      <w:r w:rsidR="00CF306F">
        <w:rPr>
          <w:color w:val="011A3C"/>
          <w:shd w:val="clear" w:color="auto" w:fill="FFFFFF"/>
        </w:rPr>
        <w:t>n how to apply Part 5A in sharing information with other ISEs in relation to assessing or managing risk of family violence and includes guidance and resources to ensure that information is shared appropriately and responsibly &lt;</w:t>
      </w:r>
      <w:r w:rsidR="000A35C6" w:rsidRPr="000A35C6">
        <w:t xml:space="preserve"> </w:t>
      </w:r>
      <w:hyperlink r:id="rId20" w:history="1">
        <w:r w:rsidR="000A35C6" w:rsidRPr="00A23945">
          <w:rPr>
            <w:rStyle w:val="Hyperlink"/>
            <w:rFonts w:cs="Arial"/>
            <w:shd w:val="clear" w:color="auto" w:fill="FFFFFF"/>
          </w:rPr>
          <w:t>https://www.vic.gov.au/guides-templates-tools-for-information-sharing</w:t>
        </w:r>
      </w:hyperlink>
      <w:r w:rsidR="000A35C6">
        <w:rPr>
          <w:color w:val="011A3C"/>
          <w:shd w:val="clear" w:color="auto" w:fill="FFFFFF"/>
        </w:rPr>
        <w:t xml:space="preserve">&gt;.  </w:t>
      </w:r>
    </w:p>
    <w:p w14:paraId="487F4BFD" w14:textId="5D041DCE" w:rsidR="00B24E77" w:rsidRDefault="00B24E77" w:rsidP="00344084">
      <w:pPr>
        <w:pStyle w:val="Body"/>
      </w:pPr>
      <w:r w:rsidRPr="006875C2">
        <w:rPr>
          <w:lang w:val="en"/>
        </w:rPr>
        <w:t xml:space="preserve">All </w:t>
      </w:r>
      <w:r w:rsidR="00C0222D" w:rsidRPr="006875C2">
        <w:rPr>
          <w:lang w:val="en"/>
        </w:rPr>
        <w:t>organi</w:t>
      </w:r>
      <w:r w:rsidR="00C0222D">
        <w:rPr>
          <w:lang w:val="en"/>
        </w:rPr>
        <w:t>s</w:t>
      </w:r>
      <w:r w:rsidR="00C0222D" w:rsidRPr="006875C2">
        <w:rPr>
          <w:lang w:val="en"/>
        </w:rPr>
        <w:t>ations</w:t>
      </w:r>
      <w:r w:rsidRPr="006875C2">
        <w:rPr>
          <w:lang w:val="en"/>
        </w:rPr>
        <w:t xml:space="preserve"> and services prescribed as ISEs can access the online ISE list. </w:t>
      </w:r>
      <w:r w:rsidRPr="006875C2">
        <w:t xml:space="preserve">Access the list via the </w:t>
      </w:r>
      <w:hyperlink r:id="rId21" w:history="1">
        <w:r w:rsidRPr="006875C2">
          <w:rPr>
            <w:rStyle w:val="Hyperlink"/>
          </w:rPr>
          <w:t>VicGov website</w:t>
        </w:r>
      </w:hyperlink>
      <w:r w:rsidRPr="006875C2">
        <w:t xml:space="preserve"> &lt;https://iselist.www.vic.gov.au/ise/list&gt;.</w:t>
      </w:r>
    </w:p>
    <w:bookmarkEnd w:id="0"/>
    <w:p w14:paraId="3C312644" w14:textId="36686C1D" w:rsidR="00162CA9" w:rsidRDefault="00CA5D9B" w:rsidP="00344084">
      <w:pPr>
        <w:pStyle w:val="Body"/>
      </w:pPr>
      <w:r>
        <w:t xml:space="preserve">Further information </w:t>
      </w:r>
      <w:r w:rsidR="00687FFA">
        <w:t xml:space="preserve">or enquiries </w:t>
      </w:r>
      <w:r w:rsidR="00E05811">
        <w:t>c</w:t>
      </w:r>
      <w:r w:rsidR="00C67136">
        <w:t>ontact</w:t>
      </w:r>
      <w:r w:rsidR="00EA1BC0">
        <w:t xml:space="preserve">: </w:t>
      </w:r>
      <w:hyperlink r:id="rId22" w:history="1">
        <w:r w:rsidR="00EA1BC0" w:rsidRPr="00982E9B">
          <w:rPr>
            <w:rStyle w:val="Hyperlink"/>
          </w:rPr>
          <w:t>infosharing@health.vic.gov.au</w:t>
        </w:r>
      </w:hyperlink>
      <w:r w:rsidR="00EA1BC0">
        <w:t xml:space="preserve"> </w:t>
      </w:r>
      <w:r w:rsidR="002E0275">
        <w:t xml:space="preserve"> </w:t>
      </w:r>
      <w:r w:rsidR="002E0275">
        <w:br/>
      </w:r>
    </w:p>
    <w:sectPr w:rsidR="00162CA9" w:rsidSect="00E62622">
      <w:footerReference w:type="defaul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B05B9" w14:textId="77777777" w:rsidR="00B90633" w:rsidRDefault="00B90633">
      <w:r>
        <w:separator/>
      </w:r>
    </w:p>
  </w:endnote>
  <w:endnote w:type="continuationSeparator" w:id="0">
    <w:p w14:paraId="363E97CC" w14:textId="77777777" w:rsidR="00B90633" w:rsidRDefault="00B90633">
      <w:r>
        <w:continuationSeparator/>
      </w:r>
    </w:p>
  </w:endnote>
  <w:endnote w:type="continuationNotice" w:id="1">
    <w:p w14:paraId="5DC9D45E" w14:textId="77777777" w:rsidR="00B90633" w:rsidRDefault="00B90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DEE5" w14:textId="77777777" w:rsidR="00E261B3" w:rsidRPr="00F65AA9" w:rsidRDefault="0072251A" w:rsidP="00F84FA0">
    <w:pPr>
      <w:pStyle w:val="Footer"/>
    </w:pPr>
    <w:r>
      <w:rPr>
        <w:noProof/>
        <w:lang w:eastAsia="en-AU"/>
      </w:rPr>
      <w:drawing>
        <wp:anchor distT="0" distB="0" distL="114300" distR="114300" simplePos="0" relativeHeight="251658244" behindDoc="1" locked="1" layoutInCell="1" allowOverlap="1" wp14:anchorId="5E0B5CCC" wp14:editId="74F3ECC7">
          <wp:simplePos x="542260" y="9324753"/>
          <wp:positionH relativeFrom="page">
            <wp:align>left</wp:align>
          </wp:positionH>
          <wp:positionV relativeFrom="page">
            <wp:align>bottom</wp:align>
          </wp:positionV>
          <wp:extent cx="7560000" cy="964800"/>
          <wp:effectExtent l="0" t="0" r="3175" b="6985"/>
          <wp:wrapNone/>
          <wp:docPr id="4" name="Picture 4"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4CCF72FF" wp14:editId="4D7B7F45">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C81A7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CF72FF"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5AC81A7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E235C" w14:textId="77777777" w:rsidR="00E261B3" w:rsidRDefault="00E261B3">
    <w:pPr>
      <w:pStyle w:val="Footer"/>
    </w:pPr>
    <w:r>
      <w:rPr>
        <w:noProof/>
      </w:rPr>
      <mc:AlternateContent>
        <mc:Choice Requires="wps">
          <w:drawing>
            <wp:anchor distT="0" distB="0" distL="114300" distR="114300" simplePos="1" relativeHeight="251658243" behindDoc="0" locked="0" layoutInCell="0" allowOverlap="1" wp14:anchorId="15CE63B8" wp14:editId="29D441AB">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D2B0A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CE63B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13D2B0A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B927" w14:textId="3B6D57B6" w:rsidR="00373890" w:rsidRPr="00F65AA9" w:rsidRDefault="0086351A" w:rsidP="00F84FA0">
    <w:pPr>
      <w:pStyle w:val="Footer"/>
    </w:pPr>
    <w:r>
      <w:rPr>
        <w:noProof/>
      </w:rPr>
      <mc:AlternateContent>
        <mc:Choice Requires="wps">
          <w:drawing>
            <wp:anchor distT="0" distB="0" distL="114300" distR="114300" simplePos="0" relativeHeight="251658242" behindDoc="0" locked="0" layoutInCell="0" allowOverlap="1" wp14:anchorId="6CCAB735" wp14:editId="46E5DBA4">
              <wp:simplePos x="0" y="0"/>
              <wp:positionH relativeFrom="page">
                <wp:posOffset>0</wp:posOffset>
              </wp:positionH>
              <wp:positionV relativeFrom="page">
                <wp:posOffset>10189210</wp:posOffset>
              </wp:positionV>
              <wp:extent cx="7560310" cy="311785"/>
              <wp:effectExtent l="0" t="0" r="0" b="12065"/>
              <wp:wrapNone/>
              <wp:docPr id="3" name="MSIPCM46d542dc871bcd06a374b8c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39A03F" w14:textId="67B12604" w:rsidR="0086351A" w:rsidRPr="0086351A" w:rsidRDefault="0086351A" w:rsidP="0086351A">
                          <w:pPr>
                            <w:spacing w:after="0"/>
                            <w:jc w:val="center"/>
                            <w:rPr>
                              <w:rFonts w:ascii="Arial Black" w:hAnsi="Arial Black"/>
                              <w:color w:val="000000"/>
                              <w:sz w:val="20"/>
                            </w:rPr>
                          </w:pPr>
                          <w:r w:rsidRPr="0086351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CAB735" id="_x0000_t202" coordsize="21600,21600" o:spt="202" path="m,l,21600r21600,l21600,xe">
              <v:stroke joinstyle="miter"/>
              <v:path gradientshapeok="t" o:connecttype="rect"/>
            </v:shapetype>
            <v:shape id="MSIPCM46d542dc871bcd06a374b8c8"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cISsAIAAEwFAAAOAAAAZHJzL2Uyb0RvYy54bWysVEtv2zAMvg/YfxB02Gmr7cR5NKtTZCmy&#10;FkjbAOnQsyLLsQFbVCWldjbsv4+S7bTrdhp2kUh+FN/UxWVTleRZaFOATGh0FlIiJIe0kPuEfntY&#10;fZpSYiyTKStBioQehaGX8/fvLmo1EwPIoUyFJmhEmlmtEppbq2ZBYHguKmbOQAmJYAa6YhZZvQ9S&#10;zWq0XpXBIAzHQQ06VRq4MAalVy1I595+lglu77PMCEvKhGJs1p/anzt3BvMLNttrpvKCd2Gwf4ii&#10;YoVEpydTV8wyctDFH6aqgmswkNkzDlUAWVZw4XPAbKLwTTbbnCnhc8HiGHUqk/l/Zvnd80aTIk3o&#10;kBLJKmzR7fZms7yNx+koHqR8Ool2PA3HbDiJd1OO7UyF4VjBHx+eDmA/XzOTLyEVLTc7D+PJaDoc&#10;Rx87WBT73HbgNMYB6YDHIrV5Jx+dj07yTcm4qITs37QqKwArdEt3Bm5kKprOQHttdFExffxNa4sT&#10;gKPZ6Q26tw+gOkl4crwWWe8ThT/dZNTKzLBAW4Ulss0XaHDCe7lBoWt4k+nK3dhKgjjO2PE0V6Kx&#10;hKNwMhqHwwghjtgwiibTkTMTvLxW2tivAiriiIRqjNqPE3teG9uq9irOmYRVUZZ+dktJ6oSOh6PQ&#10;PzghaLyU6MPl0MbqKNvsGt/tQZ/HDtIjpqehXQ2j+KrAGNbM2A3TuAsYNu63vccjKwF9QUdRkoP+&#10;/je508cRRZSSGncroebpwLSgpLyROLznURy7ZfQMEvq1dNdL5aFaAq5thD+I4p50urbsyUxD9Yjr&#10;v3DeEGKSo8+E7npyaZFDAL8PLhYLT+PaKWbXcqu4M+2q6Sr70DwyrbryW2zcHfTbx2ZvutDqtn1Y&#10;HCxkhW+Rq29bza7suLK+yd334v6E17zXevkE57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CR9whKwAgAATAUAAA4A&#10;AAAAAAAAAAAAAAAALgIAAGRycy9lMm9Eb2MueG1sUEsBAi0AFAAGAAgAAAAhAEgNXprfAAAACwEA&#10;AA8AAAAAAAAAAAAAAAAACgUAAGRycy9kb3ducmV2LnhtbFBLBQYAAAAABAAEAPMAAAAWBgAAAAA=&#10;" o:allowincell="f" filled="f" stroked="f" strokeweight=".5pt">
              <v:textbox inset=",0,,0">
                <w:txbxContent>
                  <w:p w14:paraId="4739A03F" w14:textId="67B12604" w:rsidR="0086351A" w:rsidRPr="0086351A" w:rsidRDefault="0086351A" w:rsidP="0086351A">
                    <w:pPr>
                      <w:spacing w:after="0"/>
                      <w:jc w:val="center"/>
                      <w:rPr>
                        <w:rFonts w:ascii="Arial Black" w:hAnsi="Arial Black"/>
                        <w:color w:val="000000"/>
                        <w:sz w:val="20"/>
                      </w:rPr>
                    </w:pPr>
                    <w:r w:rsidRPr="0086351A">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1" behindDoc="0" locked="0" layoutInCell="0" allowOverlap="1" wp14:anchorId="4EE7FCF6" wp14:editId="34E039EB">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FB494A"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EE7FCF6"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hLsQIAAEwFAAAOAAAAZHJzL2Uyb0RvYy54bWysVE1v2zAMvQ/YfxB02Gmr7TofTlanyFJk&#10;LZC2AdKhZ0WWYwO2qEpK42zYfx8l22nX7TTsYlMk9Ug+krq4bOqKPAttSpApjc5CSoTkkJVyl9Jv&#10;D8tPCSXGMpmxCqRI6VEYejl7/+7ioKbiHAqoMqEJgkgzPaiUFtaqaRAYXoiamTNQQqIxB10zi0e9&#10;CzLNDoheV8F5GI6CA+hMaeDCGNRetUY68/h5Lri9z3MjLKlSirlZ/9X+u3XfYHbBpjvNVFHyLg32&#10;D1nUrJQY9AR1xSwje13+AVWXXIOB3J5xqAPI85ILXwNWE4VvqtkUTAlfC5Jj1Ikm8/9g+d3zWpMy&#10;S+mYEslqbNHt5ma9uM0H43gQjzKWJMkEiRbZcDRIBHKYCcORwR8fnvZgP18zUywgE+1pOgkH42ES&#10;j6KPnVmUu8J2xmSAA9IZHsvMFp1+OBme9OuKcVEL2d9pXZYAVuhW7gBuZCaaDqD9rXVZM338zWuD&#10;E4Cj2fnF3d0HUJ0mPAVeibyPicqfbjIOykyRoI1CimzzBRqc8F5vUOka3uS6dn9sJUE78nM8zZVo&#10;LOGoHA9HYRyhiaMtjqJxMnQwwcttpY39KqAmTkipxqz9OLHnlbGta+/igklYllXlZ7eS5JDSUTwM&#10;/YWTBcEriTFcDW2uTrLNtvHdjvs6tpAdsTwN7WoYxZcl5rBixq6Zxl3AtHG/7T1+8gowFnQSJQXo&#10;73/TO38cUbRScsDdSql52jMtKKluJA7vJBoMENb6Awr6tXbba+W+XgCubYQviOJedL626sVcQ/2I&#10;6z930dDEJMeYKd324sLiCQ34fHAxn3sZ104xu5IbxR20Y9Mx+9A8Mq06+i027g767WPTN11ofds+&#10;zPcW8tK3yPHbstnRjivrm9w9L+5NeH32Xi+P4OwX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5pchLsQIAAEwFAAAO&#10;AAAAAAAAAAAAAAAAAC4CAABkcnMvZTJvRG9jLnhtbFBLAQItABQABgAIAAAAIQBIDV6a3wAAAAsB&#10;AAAPAAAAAAAAAAAAAAAAAAsFAABkcnMvZG93bnJldi54bWxQSwUGAAAAAAQABADzAAAAFwYAAAAA&#10;" o:allowincell="f" filled="f" stroked="f" strokeweight=".5pt">
              <v:textbox inset=",0,,0">
                <w:txbxContent>
                  <w:p w14:paraId="20FB494A"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DDC95" w14:textId="77777777" w:rsidR="00B90633" w:rsidRDefault="00B90633" w:rsidP="002862F1">
      <w:pPr>
        <w:spacing w:before="120"/>
      </w:pPr>
      <w:r>
        <w:separator/>
      </w:r>
    </w:p>
  </w:footnote>
  <w:footnote w:type="continuationSeparator" w:id="0">
    <w:p w14:paraId="3E4DBCAE" w14:textId="77777777" w:rsidR="00B90633" w:rsidRDefault="00B90633">
      <w:r>
        <w:continuationSeparator/>
      </w:r>
    </w:p>
  </w:footnote>
  <w:footnote w:type="continuationNotice" w:id="1">
    <w:p w14:paraId="527A764A" w14:textId="77777777" w:rsidR="00B90633" w:rsidRDefault="00B906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FDD0" w14:textId="22DDCE7C" w:rsidR="00DF2C5B" w:rsidRPr="0051568D" w:rsidRDefault="00DF2C5B" w:rsidP="00DF2C5B">
    <w:pPr>
      <w:pStyle w:val="Header"/>
    </w:pPr>
    <w:r>
      <w:t xml:space="preserve">Factsheet on MARAM eLearn courses </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Pr>
        <w:b w:val="0"/>
        <w:bCs/>
      </w:rPr>
      <w:t>2</w:t>
    </w:r>
    <w:r w:rsidRPr="007E1227">
      <w:rPr>
        <w:b w:val="0"/>
        <w:bCs/>
      </w:rPr>
      <w:fldChar w:fldCharType="end"/>
    </w:r>
  </w:p>
  <w:p w14:paraId="5F42ADE9"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DCD35A0"/>
    <w:multiLevelType w:val="hybridMultilevel"/>
    <w:tmpl w:val="0950B94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2CE1DC7"/>
    <w:multiLevelType w:val="hybridMultilevel"/>
    <w:tmpl w:val="97365D3E"/>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32214EE1"/>
    <w:multiLevelType w:val="hybridMultilevel"/>
    <w:tmpl w:val="CA6296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A685CB3"/>
    <w:multiLevelType w:val="hybridMultilevel"/>
    <w:tmpl w:val="EE8AB1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576729C"/>
    <w:multiLevelType w:val="hybridMultilevel"/>
    <w:tmpl w:val="480662E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A9D6F89"/>
    <w:multiLevelType w:val="hybridMultilevel"/>
    <w:tmpl w:val="68505A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F93451D"/>
    <w:multiLevelType w:val="hybridMultilevel"/>
    <w:tmpl w:val="65420C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5"/>
  </w:num>
  <w:num w:numId="2">
    <w:abstractNumId w:val="9"/>
  </w:num>
  <w:num w:numId="3">
    <w:abstractNumId w:val="8"/>
  </w:num>
  <w:num w:numId="4">
    <w:abstractNumId w:val="12"/>
  </w:num>
  <w:num w:numId="5">
    <w:abstractNumId w:val="6"/>
  </w:num>
  <w:num w:numId="6">
    <w:abstractNumId w:val="0"/>
  </w:num>
  <w:num w:numId="7">
    <w:abstractNumId w:val="2"/>
  </w:num>
  <w:num w:numId="8">
    <w:abstractNumId w:val="1"/>
  </w:num>
  <w:num w:numId="9">
    <w:abstractNumId w:val="7"/>
  </w:num>
  <w:num w:numId="10">
    <w:abstractNumId w:val="11"/>
  </w:num>
  <w:num w:numId="11">
    <w:abstractNumId w:val="4"/>
  </w:num>
  <w:num w:numId="12">
    <w:abstractNumId w:val="10"/>
  </w:num>
  <w:num w:numId="1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A8"/>
    <w:rsid w:val="00000719"/>
    <w:rsid w:val="000024B3"/>
    <w:rsid w:val="00002910"/>
    <w:rsid w:val="00003403"/>
    <w:rsid w:val="000035E8"/>
    <w:rsid w:val="00003CAA"/>
    <w:rsid w:val="00005347"/>
    <w:rsid w:val="0000630B"/>
    <w:rsid w:val="000066BE"/>
    <w:rsid w:val="000072B6"/>
    <w:rsid w:val="0001021B"/>
    <w:rsid w:val="00011D89"/>
    <w:rsid w:val="000154FD"/>
    <w:rsid w:val="00016FBF"/>
    <w:rsid w:val="00022271"/>
    <w:rsid w:val="000235E8"/>
    <w:rsid w:val="00024D89"/>
    <w:rsid w:val="000250B6"/>
    <w:rsid w:val="00027061"/>
    <w:rsid w:val="00033D81"/>
    <w:rsid w:val="00037366"/>
    <w:rsid w:val="000375AF"/>
    <w:rsid w:val="00041BF0"/>
    <w:rsid w:val="00042A4D"/>
    <w:rsid w:val="00042C8A"/>
    <w:rsid w:val="0004536B"/>
    <w:rsid w:val="00046B68"/>
    <w:rsid w:val="000509AD"/>
    <w:rsid w:val="000527DD"/>
    <w:rsid w:val="000578B2"/>
    <w:rsid w:val="00060959"/>
    <w:rsid w:val="00060C8F"/>
    <w:rsid w:val="0006298A"/>
    <w:rsid w:val="000663CD"/>
    <w:rsid w:val="00066BA9"/>
    <w:rsid w:val="000733FE"/>
    <w:rsid w:val="00074219"/>
    <w:rsid w:val="00074ED5"/>
    <w:rsid w:val="000832C3"/>
    <w:rsid w:val="000835C6"/>
    <w:rsid w:val="0008508E"/>
    <w:rsid w:val="00087951"/>
    <w:rsid w:val="000903F2"/>
    <w:rsid w:val="0009113B"/>
    <w:rsid w:val="00091751"/>
    <w:rsid w:val="00093402"/>
    <w:rsid w:val="00094DA3"/>
    <w:rsid w:val="00096CD1"/>
    <w:rsid w:val="000A012C"/>
    <w:rsid w:val="000A0EB9"/>
    <w:rsid w:val="000A186C"/>
    <w:rsid w:val="000A1EA4"/>
    <w:rsid w:val="000A2476"/>
    <w:rsid w:val="000A35C6"/>
    <w:rsid w:val="000A51E1"/>
    <w:rsid w:val="000A641A"/>
    <w:rsid w:val="000A7938"/>
    <w:rsid w:val="000B3EDB"/>
    <w:rsid w:val="000B543D"/>
    <w:rsid w:val="000B55F9"/>
    <w:rsid w:val="000B5BF7"/>
    <w:rsid w:val="000B6BC8"/>
    <w:rsid w:val="000B7A7F"/>
    <w:rsid w:val="000C0303"/>
    <w:rsid w:val="000C42EA"/>
    <w:rsid w:val="000C4546"/>
    <w:rsid w:val="000D1242"/>
    <w:rsid w:val="000E0970"/>
    <w:rsid w:val="000E1910"/>
    <w:rsid w:val="000E3CC7"/>
    <w:rsid w:val="000E4EA9"/>
    <w:rsid w:val="000E511D"/>
    <w:rsid w:val="000E6BD4"/>
    <w:rsid w:val="000E6D6D"/>
    <w:rsid w:val="000F0BB9"/>
    <w:rsid w:val="000F1F1E"/>
    <w:rsid w:val="000F2259"/>
    <w:rsid w:val="000F2DDA"/>
    <w:rsid w:val="000F48F8"/>
    <w:rsid w:val="000F5213"/>
    <w:rsid w:val="00101001"/>
    <w:rsid w:val="00101A90"/>
    <w:rsid w:val="00103276"/>
    <w:rsid w:val="0010392D"/>
    <w:rsid w:val="0010447F"/>
    <w:rsid w:val="00104FE3"/>
    <w:rsid w:val="0010714F"/>
    <w:rsid w:val="001120C5"/>
    <w:rsid w:val="00114420"/>
    <w:rsid w:val="0011701A"/>
    <w:rsid w:val="00120BD3"/>
    <w:rsid w:val="00122452"/>
    <w:rsid w:val="00122FEA"/>
    <w:rsid w:val="001232BD"/>
    <w:rsid w:val="0012347E"/>
    <w:rsid w:val="00124ED5"/>
    <w:rsid w:val="00124F73"/>
    <w:rsid w:val="001276FA"/>
    <w:rsid w:val="001311BE"/>
    <w:rsid w:val="00131CD9"/>
    <w:rsid w:val="0014255B"/>
    <w:rsid w:val="001447B3"/>
    <w:rsid w:val="00152073"/>
    <w:rsid w:val="00154E2D"/>
    <w:rsid w:val="00156598"/>
    <w:rsid w:val="00161939"/>
    <w:rsid w:val="00161AA0"/>
    <w:rsid w:val="00161D2E"/>
    <w:rsid w:val="00161F3E"/>
    <w:rsid w:val="00162093"/>
    <w:rsid w:val="00162CA9"/>
    <w:rsid w:val="00165459"/>
    <w:rsid w:val="00165A57"/>
    <w:rsid w:val="001700D1"/>
    <w:rsid w:val="001712C2"/>
    <w:rsid w:val="00172BAF"/>
    <w:rsid w:val="001771DD"/>
    <w:rsid w:val="00177995"/>
    <w:rsid w:val="00177A8C"/>
    <w:rsid w:val="0018252A"/>
    <w:rsid w:val="001856A3"/>
    <w:rsid w:val="00186B33"/>
    <w:rsid w:val="00192F9D"/>
    <w:rsid w:val="00195A95"/>
    <w:rsid w:val="00196EB8"/>
    <w:rsid w:val="00196EFB"/>
    <w:rsid w:val="001979FF"/>
    <w:rsid w:val="00197B17"/>
    <w:rsid w:val="001A1950"/>
    <w:rsid w:val="001A1C54"/>
    <w:rsid w:val="001A3ACE"/>
    <w:rsid w:val="001A6B7B"/>
    <w:rsid w:val="001B058F"/>
    <w:rsid w:val="001B738B"/>
    <w:rsid w:val="001C09DB"/>
    <w:rsid w:val="001C277E"/>
    <w:rsid w:val="001C2A72"/>
    <w:rsid w:val="001C31B7"/>
    <w:rsid w:val="001D0B75"/>
    <w:rsid w:val="001D39A5"/>
    <w:rsid w:val="001D3C09"/>
    <w:rsid w:val="001D44E8"/>
    <w:rsid w:val="001D5D56"/>
    <w:rsid w:val="001D60EC"/>
    <w:rsid w:val="001D6F59"/>
    <w:rsid w:val="001E03DD"/>
    <w:rsid w:val="001E0C5D"/>
    <w:rsid w:val="001E2A36"/>
    <w:rsid w:val="001E44DF"/>
    <w:rsid w:val="001E5058"/>
    <w:rsid w:val="001E68A5"/>
    <w:rsid w:val="001E6BB0"/>
    <w:rsid w:val="001E7282"/>
    <w:rsid w:val="001F0832"/>
    <w:rsid w:val="001F3826"/>
    <w:rsid w:val="001F5E86"/>
    <w:rsid w:val="001F6E46"/>
    <w:rsid w:val="001F7186"/>
    <w:rsid w:val="001F7C91"/>
    <w:rsid w:val="00200176"/>
    <w:rsid w:val="00200D8A"/>
    <w:rsid w:val="002033B7"/>
    <w:rsid w:val="00206463"/>
    <w:rsid w:val="00206F2F"/>
    <w:rsid w:val="0021053D"/>
    <w:rsid w:val="00210A92"/>
    <w:rsid w:val="00216C03"/>
    <w:rsid w:val="00220C04"/>
    <w:rsid w:val="00221392"/>
    <w:rsid w:val="0022278D"/>
    <w:rsid w:val="0022701F"/>
    <w:rsid w:val="00227C68"/>
    <w:rsid w:val="002333F5"/>
    <w:rsid w:val="00233724"/>
    <w:rsid w:val="00235BAB"/>
    <w:rsid w:val="002365B4"/>
    <w:rsid w:val="00237644"/>
    <w:rsid w:val="002405C9"/>
    <w:rsid w:val="002432E1"/>
    <w:rsid w:val="002451AD"/>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3BBE"/>
    <w:rsid w:val="0029597D"/>
    <w:rsid w:val="002962C3"/>
    <w:rsid w:val="0029752B"/>
    <w:rsid w:val="002A0A9C"/>
    <w:rsid w:val="002A0CAA"/>
    <w:rsid w:val="002A483C"/>
    <w:rsid w:val="002B0C7C"/>
    <w:rsid w:val="002B1729"/>
    <w:rsid w:val="002B36C7"/>
    <w:rsid w:val="002B4DD4"/>
    <w:rsid w:val="002B5277"/>
    <w:rsid w:val="002B5375"/>
    <w:rsid w:val="002B77C1"/>
    <w:rsid w:val="002C0ED7"/>
    <w:rsid w:val="002C2728"/>
    <w:rsid w:val="002C2B44"/>
    <w:rsid w:val="002D1E0D"/>
    <w:rsid w:val="002D5006"/>
    <w:rsid w:val="002E01D0"/>
    <w:rsid w:val="002E0275"/>
    <w:rsid w:val="002E161D"/>
    <w:rsid w:val="002E3100"/>
    <w:rsid w:val="002E6C95"/>
    <w:rsid w:val="002E7C36"/>
    <w:rsid w:val="002F0107"/>
    <w:rsid w:val="002F3D32"/>
    <w:rsid w:val="002F5F31"/>
    <w:rsid w:val="002F5F46"/>
    <w:rsid w:val="00300A73"/>
    <w:rsid w:val="00302216"/>
    <w:rsid w:val="00303E53"/>
    <w:rsid w:val="0030428D"/>
    <w:rsid w:val="00305CC1"/>
    <w:rsid w:val="00306E5F"/>
    <w:rsid w:val="00307E14"/>
    <w:rsid w:val="00312B82"/>
    <w:rsid w:val="00314054"/>
    <w:rsid w:val="00315BD8"/>
    <w:rsid w:val="00316F27"/>
    <w:rsid w:val="003214F1"/>
    <w:rsid w:val="003214F4"/>
    <w:rsid w:val="00322E4B"/>
    <w:rsid w:val="00326D33"/>
    <w:rsid w:val="00327870"/>
    <w:rsid w:val="003311F7"/>
    <w:rsid w:val="0033259D"/>
    <w:rsid w:val="003333D2"/>
    <w:rsid w:val="003345BC"/>
    <w:rsid w:val="003406C6"/>
    <w:rsid w:val="003418CC"/>
    <w:rsid w:val="00344084"/>
    <w:rsid w:val="003459BD"/>
    <w:rsid w:val="00347ECC"/>
    <w:rsid w:val="00350D38"/>
    <w:rsid w:val="00351B36"/>
    <w:rsid w:val="00354D4B"/>
    <w:rsid w:val="00356314"/>
    <w:rsid w:val="00357B4E"/>
    <w:rsid w:val="0036186A"/>
    <w:rsid w:val="003672C9"/>
    <w:rsid w:val="00370636"/>
    <w:rsid w:val="003716FD"/>
    <w:rsid w:val="0037204B"/>
    <w:rsid w:val="00373890"/>
    <w:rsid w:val="003744CF"/>
    <w:rsid w:val="00374717"/>
    <w:rsid w:val="0037676C"/>
    <w:rsid w:val="003767AA"/>
    <w:rsid w:val="00381043"/>
    <w:rsid w:val="003829E5"/>
    <w:rsid w:val="00383015"/>
    <w:rsid w:val="00386109"/>
    <w:rsid w:val="0038676E"/>
    <w:rsid w:val="00386944"/>
    <w:rsid w:val="00387225"/>
    <w:rsid w:val="003914FB"/>
    <w:rsid w:val="003956CC"/>
    <w:rsid w:val="00395C9A"/>
    <w:rsid w:val="003975A1"/>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3F6D6F"/>
    <w:rsid w:val="003F7DDA"/>
    <w:rsid w:val="004013C7"/>
    <w:rsid w:val="00401FCF"/>
    <w:rsid w:val="0040248F"/>
    <w:rsid w:val="00406285"/>
    <w:rsid w:val="004112C6"/>
    <w:rsid w:val="004114E4"/>
    <w:rsid w:val="0041223B"/>
    <w:rsid w:val="004148F9"/>
    <w:rsid w:val="00414D4A"/>
    <w:rsid w:val="0042084E"/>
    <w:rsid w:val="00421EEF"/>
    <w:rsid w:val="00424D65"/>
    <w:rsid w:val="00425C03"/>
    <w:rsid w:val="00442C6C"/>
    <w:rsid w:val="00443CBE"/>
    <w:rsid w:val="00443E8A"/>
    <w:rsid w:val="004441BC"/>
    <w:rsid w:val="004468B4"/>
    <w:rsid w:val="0045230A"/>
    <w:rsid w:val="00454AD0"/>
    <w:rsid w:val="00457337"/>
    <w:rsid w:val="00462E3D"/>
    <w:rsid w:val="00466E79"/>
    <w:rsid w:val="00470D7D"/>
    <w:rsid w:val="004717A7"/>
    <w:rsid w:val="00472065"/>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7BCF"/>
    <w:rsid w:val="004C3E02"/>
    <w:rsid w:val="004C5541"/>
    <w:rsid w:val="004C6EEE"/>
    <w:rsid w:val="004C702B"/>
    <w:rsid w:val="004C7ABD"/>
    <w:rsid w:val="004D0033"/>
    <w:rsid w:val="004D016B"/>
    <w:rsid w:val="004D1B22"/>
    <w:rsid w:val="004D23CC"/>
    <w:rsid w:val="004D24D1"/>
    <w:rsid w:val="004D36F2"/>
    <w:rsid w:val="004E1106"/>
    <w:rsid w:val="004E138F"/>
    <w:rsid w:val="004E1D8B"/>
    <w:rsid w:val="004E3BF5"/>
    <w:rsid w:val="004E4649"/>
    <w:rsid w:val="004E5C2B"/>
    <w:rsid w:val="004F00DD"/>
    <w:rsid w:val="004F2133"/>
    <w:rsid w:val="004F5398"/>
    <w:rsid w:val="004F55F1"/>
    <w:rsid w:val="004F6936"/>
    <w:rsid w:val="00503DC6"/>
    <w:rsid w:val="00506F5D"/>
    <w:rsid w:val="00510126"/>
    <w:rsid w:val="00510AD8"/>
    <w:rsid w:val="00510C37"/>
    <w:rsid w:val="005126D0"/>
    <w:rsid w:val="00514F59"/>
    <w:rsid w:val="0051568D"/>
    <w:rsid w:val="00526AC7"/>
    <w:rsid w:val="00526C15"/>
    <w:rsid w:val="00536395"/>
    <w:rsid w:val="00536499"/>
    <w:rsid w:val="00540D02"/>
    <w:rsid w:val="005414BA"/>
    <w:rsid w:val="00543903"/>
    <w:rsid w:val="00543F11"/>
    <w:rsid w:val="00546305"/>
    <w:rsid w:val="00547A95"/>
    <w:rsid w:val="0055119B"/>
    <w:rsid w:val="005548B5"/>
    <w:rsid w:val="00555572"/>
    <w:rsid w:val="00572031"/>
    <w:rsid w:val="00572282"/>
    <w:rsid w:val="00573CE3"/>
    <w:rsid w:val="00574FBF"/>
    <w:rsid w:val="00576E84"/>
    <w:rsid w:val="00580394"/>
    <w:rsid w:val="005809CD"/>
    <w:rsid w:val="00582B8C"/>
    <w:rsid w:val="00585E6B"/>
    <w:rsid w:val="0058757E"/>
    <w:rsid w:val="00593548"/>
    <w:rsid w:val="00595807"/>
    <w:rsid w:val="00596A4B"/>
    <w:rsid w:val="00597507"/>
    <w:rsid w:val="005A479D"/>
    <w:rsid w:val="005A5513"/>
    <w:rsid w:val="005B0B81"/>
    <w:rsid w:val="005B1C6D"/>
    <w:rsid w:val="005B21B6"/>
    <w:rsid w:val="005B3A08"/>
    <w:rsid w:val="005B64E5"/>
    <w:rsid w:val="005B70AA"/>
    <w:rsid w:val="005B7A63"/>
    <w:rsid w:val="005C0955"/>
    <w:rsid w:val="005C32DF"/>
    <w:rsid w:val="005C49DA"/>
    <w:rsid w:val="005C50F3"/>
    <w:rsid w:val="005C54B5"/>
    <w:rsid w:val="005C5D80"/>
    <w:rsid w:val="005C5D91"/>
    <w:rsid w:val="005C69D6"/>
    <w:rsid w:val="005D07B8"/>
    <w:rsid w:val="005D3C1A"/>
    <w:rsid w:val="005D3D27"/>
    <w:rsid w:val="005D504F"/>
    <w:rsid w:val="005D6597"/>
    <w:rsid w:val="005E14E7"/>
    <w:rsid w:val="005E26A3"/>
    <w:rsid w:val="005E2ECB"/>
    <w:rsid w:val="005E34F3"/>
    <w:rsid w:val="005E447E"/>
    <w:rsid w:val="005E4FD1"/>
    <w:rsid w:val="005F0775"/>
    <w:rsid w:val="005F0CF5"/>
    <w:rsid w:val="005F21EB"/>
    <w:rsid w:val="00605908"/>
    <w:rsid w:val="00610D7C"/>
    <w:rsid w:val="00613414"/>
    <w:rsid w:val="00615FF3"/>
    <w:rsid w:val="00620154"/>
    <w:rsid w:val="0062408D"/>
    <w:rsid w:val="006240CC"/>
    <w:rsid w:val="006241B9"/>
    <w:rsid w:val="00624940"/>
    <w:rsid w:val="006254F8"/>
    <w:rsid w:val="00627DA7"/>
    <w:rsid w:val="00630DA4"/>
    <w:rsid w:val="00632597"/>
    <w:rsid w:val="00633E66"/>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77737"/>
    <w:rsid w:val="0068454C"/>
    <w:rsid w:val="00687FFA"/>
    <w:rsid w:val="00691B62"/>
    <w:rsid w:val="006933B5"/>
    <w:rsid w:val="00693D14"/>
    <w:rsid w:val="00696F27"/>
    <w:rsid w:val="006A18C2"/>
    <w:rsid w:val="006A3383"/>
    <w:rsid w:val="006B077C"/>
    <w:rsid w:val="006B6803"/>
    <w:rsid w:val="006D0F16"/>
    <w:rsid w:val="006D2A3F"/>
    <w:rsid w:val="006D2FBC"/>
    <w:rsid w:val="006D79ED"/>
    <w:rsid w:val="006E0541"/>
    <w:rsid w:val="006E138B"/>
    <w:rsid w:val="006E3644"/>
    <w:rsid w:val="006E71F0"/>
    <w:rsid w:val="006F0330"/>
    <w:rsid w:val="006F1FDC"/>
    <w:rsid w:val="006F3A88"/>
    <w:rsid w:val="006F63F6"/>
    <w:rsid w:val="006F681D"/>
    <w:rsid w:val="006F6B8C"/>
    <w:rsid w:val="007013EF"/>
    <w:rsid w:val="00701DC4"/>
    <w:rsid w:val="0070213D"/>
    <w:rsid w:val="00704FC5"/>
    <w:rsid w:val="007055BD"/>
    <w:rsid w:val="007154E6"/>
    <w:rsid w:val="007173CA"/>
    <w:rsid w:val="007216AA"/>
    <w:rsid w:val="00721AB5"/>
    <w:rsid w:val="00721CFB"/>
    <w:rsid w:val="00721DEF"/>
    <w:rsid w:val="0072251A"/>
    <w:rsid w:val="00724A43"/>
    <w:rsid w:val="007273AC"/>
    <w:rsid w:val="00731AD4"/>
    <w:rsid w:val="0073421C"/>
    <w:rsid w:val="007346E4"/>
    <w:rsid w:val="00734FCA"/>
    <w:rsid w:val="0073582E"/>
    <w:rsid w:val="00740F22"/>
    <w:rsid w:val="00741CF0"/>
    <w:rsid w:val="00741F1A"/>
    <w:rsid w:val="007447DA"/>
    <w:rsid w:val="00745031"/>
    <w:rsid w:val="007450F8"/>
    <w:rsid w:val="007462D6"/>
    <w:rsid w:val="0074696E"/>
    <w:rsid w:val="00750135"/>
    <w:rsid w:val="00750EC2"/>
    <w:rsid w:val="00752B28"/>
    <w:rsid w:val="007541A9"/>
    <w:rsid w:val="00754E36"/>
    <w:rsid w:val="00762AF4"/>
    <w:rsid w:val="00763139"/>
    <w:rsid w:val="00770F37"/>
    <w:rsid w:val="007711A0"/>
    <w:rsid w:val="00772D38"/>
    <w:rsid w:val="00772D5E"/>
    <w:rsid w:val="0077463E"/>
    <w:rsid w:val="00776928"/>
    <w:rsid w:val="00776AFF"/>
    <w:rsid w:val="00776E0F"/>
    <w:rsid w:val="007774B1"/>
    <w:rsid w:val="00777BE1"/>
    <w:rsid w:val="007807E3"/>
    <w:rsid w:val="00780EEF"/>
    <w:rsid w:val="007833D8"/>
    <w:rsid w:val="00785677"/>
    <w:rsid w:val="00786B24"/>
    <w:rsid w:val="00786F16"/>
    <w:rsid w:val="007916CC"/>
    <w:rsid w:val="00791BD7"/>
    <w:rsid w:val="007933F7"/>
    <w:rsid w:val="00796847"/>
    <w:rsid w:val="00796E20"/>
    <w:rsid w:val="00797C32"/>
    <w:rsid w:val="007A11E8"/>
    <w:rsid w:val="007A35AC"/>
    <w:rsid w:val="007B0914"/>
    <w:rsid w:val="007B1374"/>
    <w:rsid w:val="007B32E5"/>
    <w:rsid w:val="007B3DB9"/>
    <w:rsid w:val="007B4FDC"/>
    <w:rsid w:val="007B589F"/>
    <w:rsid w:val="007B6186"/>
    <w:rsid w:val="007B73BC"/>
    <w:rsid w:val="007C1838"/>
    <w:rsid w:val="007C20B9"/>
    <w:rsid w:val="007C64FA"/>
    <w:rsid w:val="007C71DE"/>
    <w:rsid w:val="007C7301"/>
    <w:rsid w:val="007C7859"/>
    <w:rsid w:val="007C7F28"/>
    <w:rsid w:val="007D1466"/>
    <w:rsid w:val="007D2BDE"/>
    <w:rsid w:val="007D2FB6"/>
    <w:rsid w:val="007D49EB"/>
    <w:rsid w:val="007D5E1C"/>
    <w:rsid w:val="007E0DE2"/>
    <w:rsid w:val="007E1227"/>
    <w:rsid w:val="007E3B98"/>
    <w:rsid w:val="007E417A"/>
    <w:rsid w:val="007E75B2"/>
    <w:rsid w:val="007F31B6"/>
    <w:rsid w:val="007F546C"/>
    <w:rsid w:val="007F625F"/>
    <w:rsid w:val="007F665E"/>
    <w:rsid w:val="00800412"/>
    <w:rsid w:val="0080356B"/>
    <w:rsid w:val="0080406B"/>
    <w:rsid w:val="0080587B"/>
    <w:rsid w:val="00806087"/>
    <w:rsid w:val="00806468"/>
    <w:rsid w:val="00810351"/>
    <w:rsid w:val="008119CA"/>
    <w:rsid w:val="008130C4"/>
    <w:rsid w:val="008155F0"/>
    <w:rsid w:val="0081653C"/>
    <w:rsid w:val="00816735"/>
    <w:rsid w:val="00820141"/>
    <w:rsid w:val="00820E0C"/>
    <w:rsid w:val="008213F0"/>
    <w:rsid w:val="00823275"/>
    <w:rsid w:val="0082366F"/>
    <w:rsid w:val="00827148"/>
    <w:rsid w:val="00832DBC"/>
    <w:rsid w:val="008338A2"/>
    <w:rsid w:val="00835FAF"/>
    <w:rsid w:val="00836F09"/>
    <w:rsid w:val="00837696"/>
    <w:rsid w:val="00840463"/>
    <w:rsid w:val="00841AA9"/>
    <w:rsid w:val="00846A17"/>
    <w:rsid w:val="008474FE"/>
    <w:rsid w:val="00853EE4"/>
    <w:rsid w:val="00855535"/>
    <w:rsid w:val="00855920"/>
    <w:rsid w:val="00856251"/>
    <w:rsid w:val="00857C5A"/>
    <w:rsid w:val="00861C32"/>
    <w:rsid w:val="0086255E"/>
    <w:rsid w:val="008633F0"/>
    <w:rsid w:val="0086351A"/>
    <w:rsid w:val="0086626F"/>
    <w:rsid w:val="00867D9D"/>
    <w:rsid w:val="00872556"/>
    <w:rsid w:val="00872E0A"/>
    <w:rsid w:val="00873594"/>
    <w:rsid w:val="00875285"/>
    <w:rsid w:val="00884B62"/>
    <w:rsid w:val="0088529C"/>
    <w:rsid w:val="00885FD8"/>
    <w:rsid w:val="00887903"/>
    <w:rsid w:val="0089270A"/>
    <w:rsid w:val="00893AF6"/>
    <w:rsid w:val="00894BC4"/>
    <w:rsid w:val="0089690C"/>
    <w:rsid w:val="008A28A8"/>
    <w:rsid w:val="008A5044"/>
    <w:rsid w:val="008A5B32"/>
    <w:rsid w:val="008A6127"/>
    <w:rsid w:val="008B2EE4"/>
    <w:rsid w:val="008B4D3D"/>
    <w:rsid w:val="008B57C7"/>
    <w:rsid w:val="008B6483"/>
    <w:rsid w:val="008C2F92"/>
    <w:rsid w:val="008C3697"/>
    <w:rsid w:val="008C5557"/>
    <w:rsid w:val="008C589D"/>
    <w:rsid w:val="008C6D51"/>
    <w:rsid w:val="008D0302"/>
    <w:rsid w:val="008D2846"/>
    <w:rsid w:val="008D4236"/>
    <w:rsid w:val="008D462F"/>
    <w:rsid w:val="008D6DCF"/>
    <w:rsid w:val="008E3DE9"/>
    <w:rsid w:val="008E4376"/>
    <w:rsid w:val="008E4E83"/>
    <w:rsid w:val="008E7A0A"/>
    <w:rsid w:val="008E7B49"/>
    <w:rsid w:val="008F59F6"/>
    <w:rsid w:val="00900719"/>
    <w:rsid w:val="009017AC"/>
    <w:rsid w:val="00902A9A"/>
    <w:rsid w:val="00903775"/>
    <w:rsid w:val="00904A1C"/>
    <w:rsid w:val="00905030"/>
    <w:rsid w:val="00906490"/>
    <w:rsid w:val="009111B2"/>
    <w:rsid w:val="009151F5"/>
    <w:rsid w:val="009220CA"/>
    <w:rsid w:val="00924AE1"/>
    <w:rsid w:val="009269B1"/>
    <w:rsid w:val="0092724D"/>
    <w:rsid w:val="009272B3"/>
    <w:rsid w:val="009315BE"/>
    <w:rsid w:val="0093338F"/>
    <w:rsid w:val="00936B68"/>
    <w:rsid w:val="00937BD9"/>
    <w:rsid w:val="00947DAE"/>
    <w:rsid w:val="00950E2C"/>
    <w:rsid w:val="00951D50"/>
    <w:rsid w:val="0095234E"/>
    <w:rsid w:val="009525EB"/>
    <w:rsid w:val="0095470B"/>
    <w:rsid w:val="00954874"/>
    <w:rsid w:val="0095615A"/>
    <w:rsid w:val="00961400"/>
    <w:rsid w:val="00963646"/>
    <w:rsid w:val="00965A69"/>
    <w:rsid w:val="0096632D"/>
    <w:rsid w:val="009718C7"/>
    <w:rsid w:val="0097559F"/>
    <w:rsid w:val="0097761E"/>
    <w:rsid w:val="00982454"/>
    <w:rsid w:val="00982CF0"/>
    <w:rsid w:val="009853E1"/>
    <w:rsid w:val="009863E6"/>
    <w:rsid w:val="0098663D"/>
    <w:rsid w:val="00986E6B"/>
    <w:rsid w:val="00987197"/>
    <w:rsid w:val="00990032"/>
    <w:rsid w:val="00990B19"/>
    <w:rsid w:val="0099153B"/>
    <w:rsid w:val="00991769"/>
    <w:rsid w:val="0099232C"/>
    <w:rsid w:val="00992986"/>
    <w:rsid w:val="00994386"/>
    <w:rsid w:val="009A13D8"/>
    <w:rsid w:val="009A279E"/>
    <w:rsid w:val="009A3015"/>
    <w:rsid w:val="009A3490"/>
    <w:rsid w:val="009B0A6F"/>
    <w:rsid w:val="009B0A94"/>
    <w:rsid w:val="009B2AE8"/>
    <w:rsid w:val="009B4788"/>
    <w:rsid w:val="009B59E9"/>
    <w:rsid w:val="009B70AA"/>
    <w:rsid w:val="009C1B1A"/>
    <w:rsid w:val="009C5E77"/>
    <w:rsid w:val="009C7A7E"/>
    <w:rsid w:val="009D02E8"/>
    <w:rsid w:val="009D4B69"/>
    <w:rsid w:val="009D51D0"/>
    <w:rsid w:val="009D70A4"/>
    <w:rsid w:val="009D7B14"/>
    <w:rsid w:val="009E08D1"/>
    <w:rsid w:val="009E1B95"/>
    <w:rsid w:val="009E496F"/>
    <w:rsid w:val="009E4B0D"/>
    <w:rsid w:val="009E5250"/>
    <w:rsid w:val="009E7F92"/>
    <w:rsid w:val="009F02A3"/>
    <w:rsid w:val="009F27BA"/>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16DD3"/>
    <w:rsid w:val="00A22229"/>
    <w:rsid w:val="00A24442"/>
    <w:rsid w:val="00A330BB"/>
    <w:rsid w:val="00A431B1"/>
    <w:rsid w:val="00A4344F"/>
    <w:rsid w:val="00A43CFE"/>
    <w:rsid w:val="00A44882"/>
    <w:rsid w:val="00A45125"/>
    <w:rsid w:val="00A46AE2"/>
    <w:rsid w:val="00A54715"/>
    <w:rsid w:val="00A54846"/>
    <w:rsid w:val="00A6061C"/>
    <w:rsid w:val="00A62D44"/>
    <w:rsid w:val="00A659A4"/>
    <w:rsid w:val="00A67263"/>
    <w:rsid w:val="00A7161C"/>
    <w:rsid w:val="00A73F86"/>
    <w:rsid w:val="00A77AA3"/>
    <w:rsid w:val="00A81539"/>
    <w:rsid w:val="00A8236D"/>
    <w:rsid w:val="00A824D0"/>
    <w:rsid w:val="00A854EB"/>
    <w:rsid w:val="00A872E5"/>
    <w:rsid w:val="00A91320"/>
    <w:rsid w:val="00A91406"/>
    <w:rsid w:val="00A96E65"/>
    <w:rsid w:val="00A97C72"/>
    <w:rsid w:val="00AA268E"/>
    <w:rsid w:val="00AA310B"/>
    <w:rsid w:val="00AA63D4"/>
    <w:rsid w:val="00AB06E8"/>
    <w:rsid w:val="00AB1CD3"/>
    <w:rsid w:val="00AB352F"/>
    <w:rsid w:val="00AB6DCD"/>
    <w:rsid w:val="00AC274B"/>
    <w:rsid w:val="00AC4764"/>
    <w:rsid w:val="00AC549D"/>
    <w:rsid w:val="00AC5C0C"/>
    <w:rsid w:val="00AC6D36"/>
    <w:rsid w:val="00AD0CBA"/>
    <w:rsid w:val="00AD177A"/>
    <w:rsid w:val="00AD26E2"/>
    <w:rsid w:val="00AD58B2"/>
    <w:rsid w:val="00AD784C"/>
    <w:rsid w:val="00AE126A"/>
    <w:rsid w:val="00AE1BAE"/>
    <w:rsid w:val="00AE3005"/>
    <w:rsid w:val="00AE3338"/>
    <w:rsid w:val="00AE3BD5"/>
    <w:rsid w:val="00AE59A0"/>
    <w:rsid w:val="00AF0C57"/>
    <w:rsid w:val="00AF26F3"/>
    <w:rsid w:val="00AF5F04"/>
    <w:rsid w:val="00B00672"/>
    <w:rsid w:val="00B017B8"/>
    <w:rsid w:val="00B01B4D"/>
    <w:rsid w:val="00B04FA8"/>
    <w:rsid w:val="00B06571"/>
    <w:rsid w:val="00B068BA"/>
    <w:rsid w:val="00B07FF7"/>
    <w:rsid w:val="00B13851"/>
    <w:rsid w:val="00B13B1C"/>
    <w:rsid w:val="00B14780"/>
    <w:rsid w:val="00B21F90"/>
    <w:rsid w:val="00B22291"/>
    <w:rsid w:val="00B23F9A"/>
    <w:rsid w:val="00B2417B"/>
    <w:rsid w:val="00B24E6F"/>
    <w:rsid w:val="00B24E77"/>
    <w:rsid w:val="00B26CB5"/>
    <w:rsid w:val="00B2752E"/>
    <w:rsid w:val="00B307CC"/>
    <w:rsid w:val="00B326B7"/>
    <w:rsid w:val="00B3588E"/>
    <w:rsid w:val="00B36B10"/>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3AF4"/>
    <w:rsid w:val="00B90633"/>
    <w:rsid w:val="00B90729"/>
    <w:rsid w:val="00B907DA"/>
    <w:rsid w:val="00B934C7"/>
    <w:rsid w:val="00B94CD5"/>
    <w:rsid w:val="00B950BC"/>
    <w:rsid w:val="00B9714C"/>
    <w:rsid w:val="00BA29AD"/>
    <w:rsid w:val="00BA33CF"/>
    <w:rsid w:val="00BA3F8D"/>
    <w:rsid w:val="00BB2E5A"/>
    <w:rsid w:val="00BB7A10"/>
    <w:rsid w:val="00BC2EAE"/>
    <w:rsid w:val="00BC30E0"/>
    <w:rsid w:val="00BC3589"/>
    <w:rsid w:val="00BC3E8F"/>
    <w:rsid w:val="00BC60BE"/>
    <w:rsid w:val="00BC7468"/>
    <w:rsid w:val="00BC7D4F"/>
    <w:rsid w:val="00BC7ED7"/>
    <w:rsid w:val="00BD2850"/>
    <w:rsid w:val="00BD63BE"/>
    <w:rsid w:val="00BE28D2"/>
    <w:rsid w:val="00BE4A64"/>
    <w:rsid w:val="00BE5E43"/>
    <w:rsid w:val="00BF30B2"/>
    <w:rsid w:val="00BF557D"/>
    <w:rsid w:val="00BF7E3C"/>
    <w:rsid w:val="00BF7F58"/>
    <w:rsid w:val="00C00445"/>
    <w:rsid w:val="00C01381"/>
    <w:rsid w:val="00C01AB1"/>
    <w:rsid w:val="00C0222D"/>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4214F"/>
    <w:rsid w:val="00C50DED"/>
    <w:rsid w:val="00C51F0A"/>
    <w:rsid w:val="00C53318"/>
    <w:rsid w:val="00C55A61"/>
    <w:rsid w:val="00C602FF"/>
    <w:rsid w:val="00C60D7C"/>
    <w:rsid w:val="00C61174"/>
    <w:rsid w:val="00C6148F"/>
    <w:rsid w:val="00C621B1"/>
    <w:rsid w:val="00C62F7A"/>
    <w:rsid w:val="00C63B9C"/>
    <w:rsid w:val="00C6604E"/>
    <w:rsid w:val="00C6682F"/>
    <w:rsid w:val="00C67136"/>
    <w:rsid w:val="00C67BF4"/>
    <w:rsid w:val="00C7275E"/>
    <w:rsid w:val="00C74C5D"/>
    <w:rsid w:val="00C863C4"/>
    <w:rsid w:val="00C8746D"/>
    <w:rsid w:val="00C874DD"/>
    <w:rsid w:val="00C920EA"/>
    <w:rsid w:val="00C93C3E"/>
    <w:rsid w:val="00CA12E3"/>
    <w:rsid w:val="00CA1476"/>
    <w:rsid w:val="00CA5D9B"/>
    <w:rsid w:val="00CA6611"/>
    <w:rsid w:val="00CA6AE6"/>
    <w:rsid w:val="00CA782F"/>
    <w:rsid w:val="00CB187B"/>
    <w:rsid w:val="00CB2835"/>
    <w:rsid w:val="00CB3285"/>
    <w:rsid w:val="00CB4500"/>
    <w:rsid w:val="00CB7800"/>
    <w:rsid w:val="00CC0C72"/>
    <w:rsid w:val="00CC2BFD"/>
    <w:rsid w:val="00CC49E9"/>
    <w:rsid w:val="00CC61F3"/>
    <w:rsid w:val="00CD3476"/>
    <w:rsid w:val="00CD64DF"/>
    <w:rsid w:val="00CE225F"/>
    <w:rsid w:val="00CE339F"/>
    <w:rsid w:val="00CE76A5"/>
    <w:rsid w:val="00CF2F50"/>
    <w:rsid w:val="00CF306F"/>
    <w:rsid w:val="00CF6198"/>
    <w:rsid w:val="00D02919"/>
    <w:rsid w:val="00D03645"/>
    <w:rsid w:val="00D04C61"/>
    <w:rsid w:val="00D05B8D"/>
    <w:rsid w:val="00D065A2"/>
    <w:rsid w:val="00D079AA"/>
    <w:rsid w:val="00D07F00"/>
    <w:rsid w:val="00D1130F"/>
    <w:rsid w:val="00D149A2"/>
    <w:rsid w:val="00D17B72"/>
    <w:rsid w:val="00D2757E"/>
    <w:rsid w:val="00D3185C"/>
    <w:rsid w:val="00D3205F"/>
    <w:rsid w:val="00D3318E"/>
    <w:rsid w:val="00D33E72"/>
    <w:rsid w:val="00D35BD6"/>
    <w:rsid w:val="00D361B5"/>
    <w:rsid w:val="00D405AC"/>
    <w:rsid w:val="00D40D86"/>
    <w:rsid w:val="00D411A2"/>
    <w:rsid w:val="00D4606D"/>
    <w:rsid w:val="00D46C92"/>
    <w:rsid w:val="00D47F16"/>
    <w:rsid w:val="00D50B9C"/>
    <w:rsid w:val="00D527F2"/>
    <w:rsid w:val="00D52D73"/>
    <w:rsid w:val="00D52E58"/>
    <w:rsid w:val="00D56B20"/>
    <w:rsid w:val="00D578B3"/>
    <w:rsid w:val="00D618F4"/>
    <w:rsid w:val="00D714CC"/>
    <w:rsid w:val="00D74D38"/>
    <w:rsid w:val="00D75EA7"/>
    <w:rsid w:val="00D81ADF"/>
    <w:rsid w:val="00D81F21"/>
    <w:rsid w:val="00D81FDF"/>
    <w:rsid w:val="00D82149"/>
    <w:rsid w:val="00D825B5"/>
    <w:rsid w:val="00D864F2"/>
    <w:rsid w:val="00D92F95"/>
    <w:rsid w:val="00D943F8"/>
    <w:rsid w:val="00D95470"/>
    <w:rsid w:val="00D96B55"/>
    <w:rsid w:val="00D97600"/>
    <w:rsid w:val="00DA2619"/>
    <w:rsid w:val="00DA4239"/>
    <w:rsid w:val="00DA65DE"/>
    <w:rsid w:val="00DA6AE4"/>
    <w:rsid w:val="00DA6D20"/>
    <w:rsid w:val="00DA77DC"/>
    <w:rsid w:val="00DB034F"/>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D7251"/>
    <w:rsid w:val="00DE2D04"/>
    <w:rsid w:val="00DE3250"/>
    <w:rsid w:val="00DE451A"/>
    <w:rsid w:val="00DE471F"/>
    <w:rsid w:val="00DE6028"/>
    <w:rsid w:val="00DE78A3"/>
    <w:rsid w:val="00DF1A71"/>
    <w:rsid w:val="00DF2C5B"/>
    <w:rsid w:val="00DF50FC"/>
    <w:rsid w:val="00DF68C7"/>
    <w:rsid w:val="00DF72D2"/>
    <w:rsid w:val="00DF731A"/>
    <w:rsid w:val="00E05811"/>
    <w:rsid w:val="00E06B75"/>
    <w:rsid w:val="00E11332"/>
    <w:rsid w:val="00E11352"/>
    <w:rsid w:val="00E13578"/>
    <w:rsid w:val="00E137FA"/>
    <w:rsid w:val="00E170DC"/>
    <w:rsid w:val="00E17546"/>
    <w:rsid w:val="00E210B5"/>
    <w:rsid w:val="00E261B3"/>
    <w:rsid w:val="00E26818"/>
    <w:rsid w:val="00E27FFC"/>
    <w:rsid w:val="00E30B15"/>
    <w:rsid w:val="00E33237"/>
    <w:rsid w:val="00E40181"/>
    <w:rsid w:val="00E44923"/>
    <w:rsid w:val="00E44B54"/>
    <w:rsid w:val="00E54950"/>
    <w:rsid w:val="00E56A01"/>
    <w:rsid w:val="00E62622"/>
    <w:rsid w:val="00E629A1"/>
    <w:rsid w:val="00E6794C"/>
    <w:rsid w:val="00E71591"/>
    <w:rsid w:val="00E71CEB"/>
    <w:rsid w:val="00E7474F"/>
    <w:rsid w:val="00E76F9A"/>
    <w:rsid w:val="00E772E3"/>
    <w:rsid w:val="00E80DE3"/>
    <w:rsid w:val="00E82C55"/>
    <w:rsid w:val="00E8787E"/>
    <w:rsid w:val="00E91A80"/>
    <w:rsid w:val="00E92AC3"/>
    <w:rsid w:val="00EA1306"/>
    <w:rsid w:val="00EA1360"/>
    <w:rsid w:val="00EA1BC0"/>
    <w:rsid w:val="00EA2F6A"/>
    <w:rsid w:val="00EA3661"/>
    <w:rsid w:val="00EA4EA3"/>
    <w:rsid w:val="00EB00E0"/>
    <w:rsid w:val="00EB459C"/>
    <w:rsid w:val="00EB53AF"/>
    <w:rsid w:val="00EC059F"/>
    <w:rsid w:val="00EC1F24"/>
    <w:rsid w:val="00EC22F6"/>
    <w:rsid w:val="00EC40D5"/>
    <w:rsid w:val="00EC48EA"/>
    <w:rsid w:val="00ED27D9"/>
    <w:rsid w:val="00ED5B9B"/>
    <w:rsid w:val="00ED6BAD"/>
    <w:rsid w:val="00ED7447"/>
    <w:rsid w:val="00EE00D6"/>
    <w:rsid w:val="00EE11E7"/>
    <w:rsid w:val="00EE1488"/>
    <w:rsid w:val="00EE29AD"/>
    <w:rsid w:val="00EE3E24"/>
    <w:rsid w:val="00EE4B8B"/>
    <w:rsid w:val="00EE4D5D"/>
    <w:rsid w:val="00EE5131"/>
    <w:rsid w:val="00EF109B"/>
    <w:rsid w:val="00EF201C"/>
    <w:rsid w:val="00EF2376"/>
    <w:rsid w:val="00EF2B80"/>
    <w:rsid w:val="00EF3503"/>
    <w:rsid w:val="00EF36AF"/>
    <w:rsid w:val="00EF3BFA"/>
    <w:rsid w:val="00EF59A3"/>
    <w:rsid w:val="00EF6675"/>
    <w:rsid w:val="00F00F9C"/>
    <w:rsid w:val="00F01CB2"/>
    <w:rsid w:val="00F01E5F"/>
    <w:rsid w:val="00F024F3"/>
    <w:rsid w:val="00F02ABA"/>
    <w:rsid w:val="00F0437A"/>
    <w:rsid w:val="00F06A3D"/>
    <w:rsid w:val="00F101B8"/>
    <w:rsid w:val="00F11037"/>
    <w:rsid w:val="00F12C11"/>
    <w:rsid w:val="00F13B2A"/>
    <w:rsid w:val="00F16F1B"/>
    <w:rsid w:val="00F250A9"/>
    <w:rsid w:val="00F25568"/>
    <w:rsid w:val="00F25FB1"/>
    <w:rsid w:val="00F267AF"/>
    <w:rsid w:val="00F30FF4"/>
    <w:rsid w:val="00F3122E"/>
    <w:rsid w:val="00F32368"/>
    <w:rsid w:val="00F331AD"/>
    <w:rsid w:val="00F343BC"/>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2E76"/>
    <w:rsid w:val="00F64003"/>
    <w:rsid w:val="00F64696"/>
    <w:rsid w:val="00F65AA9"/>
    <w:rsid w:val="00F6768F"/>
    <w:rsid w:val="00F677C4"/>
    <w:rsid w:val="00F72C2C"/>
    <w:rsid w:val="00F76CAB"/>
    <w:rsid w:val="00F772C6"/>
    <w:rsid w:val="00F815B5"/>
    <w:rsid w:val="00F84FA0"/>
    <w:rsid w:val="00F85195"/>
    <w:rsid w:val="00F868E3"/>
    <w:rsid w:val="00F938BA"/>
    <w:rsid w:val="00F939F4"/>
    <w:rsid w:val="00F97919"/>
    <w:rsid w:val="00FA2408"/>
    <w:rsid w:val="00FA2C46"/>
    <w:rsid w:val="00FA3525"/>
    <w:rsid w:val="00FA518F"/>
    <w:rsid w:val="00FA5A53"/>
    <w:rsid w:val="00FA615F"/>
    <w:rsid w:val="00FB2551"/>
    <w:rsid w:val="00FB4769"/>
    <w:rsid w:val="00FB4CDA"/>
    <w:rsid w:val="00FB6481"/>
    <w:rsid w:val="00FB6D36"/>
    <w:rsid w:val="00FC0965"/>
    <w:rsid w:val="00FC0F81"/>
    <w:rsid w:val="00FC252F"/>
    <w:rsid w:val="00FC395C"/>
    <w:rsid w:val="00FC558A"/>
    <w:rsid w:val="00FC5E8E"/>
    <w:rsid w:val="00FD3766"/>
    <w:rsid w:val="00FD47C4"/>
    <w:rsid w:val="00FD722A"/>
    <w:rsid w:val="00FE0B5D"/>
    <w:rsid w:val="00FE2DCF"/>
    <w:rsid w:val="00FE3FA7"/>
    <w:rsid w:val="00FF2A4E"/>
    <w:rsid w:val="00FF2FCE"/>
    <w:rsid w:val="00FF4162"/>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235C5AC"/>
  <w15:docId w15:val="{D5AF0E2A-8E3D-4D28-8187-608A7E4E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WOVGbody">
    <w:name w:val="WOVG body"/>
    <w:qFormat/>
    <w:rsid w:val="009B4788"/>
    <w:pPr>
      <w:spacing w:after="120" w:line="270" w:lineRule="atLeast"/>
    </w:pPr>
    <w:rPr>
      <w:rFonts w:ascii="Arial" w:eastAsia="Times" w:hAnsi="Arial"/>
      <w:lang w:eastAsia="en-US"/>
    </w:rPr>
  </w:style>
  <w:style w:type="paragraph" w:customStyle="1" w:styleId="WOVGbullet1">
    <w:name w:val="WOVG bullet 1"/>
    <w:basedOn w:val="WOVGbody"/>
    <w:qFormat/>
    <w:rsid w:val="009B4788"/>
    <w:pPr>
      <w:tabs>
        <w:tab w:val="num" w:pos="397"/>
      </w:tabs>
      <w:spacing w:after="40"/>
      <w:ind w:left="397" w:hanging="397"/>
    </w:pPr>
  </w:style>
  <w:style w:type="paragraph" w:customStyle="1" w:styleId="WOVGbullet2">
    <w:name w:val="WOVG bullet 2"/>
    <w:basedOn w:val="WOVGbody"/>
    <w:uiPriority w:val="2"/>
    <w:qFormat/>
    <w:rsid w:val="009B4788"/>
    <w:pPr>
      <w:tabs>
        <w:tab w:val="num" w:pos="794"/>
      </w:tabs>
      <w:spacing w:after="40"/>
      <w:ind w:left="794" w:hanging="397"/>
    </w:pPr>
  </w:style>
  <w:style w:type="paragraph" w:customStyle="1" w:styleId="WOVGquotebullet1">
    <w:name w:val="WOVG quote bullet 1"/>
    <w:basedOn w:val="Normal"/>
    <w:rsid w:val="009B4788"/>
    <w:pPr>
      <w:spacing w:line="270" w:lineRule="atLeast"/>
      <w:ind w:left="680" w:hanging="283"/>
    </w:pPr>
    <w:rPr>
      <w:rFonts w:eastAsia="Times"/>
      <w:sz w:val="20"/>
      <w:szCs w:val="18"/>
    </w:rPr>
  </w:style>
  <w:style w:type="paragraph" w:customStyle="1" w:styleId="WOVGquotebullet2">
    <w:name w:val="WOVG quote bullet 2"/>
    <w:basedOn w:val="Normal"/>
    <w:rsid w:val="009B4788"/>
    <w:pPr>
      <w:spacing w:line="270" w:lineRule="atLeast"/>
      <w:ind w:left="964" w:hanging="284"/>
    </w:pPr>
    <w:rPr>
      <w:rFonts w:eastAsia="Times"/>
      <w:sz w:val="20"/>
      <w:szCs w:val="18"/>
    </w:rPr>
  </w:style>
  <w:style w:type="paragraph" w:customStyle="1" w:styleId="DHHSbody">
    <w:name w:val="DHHS body"/>
    <w:link w:val="DHHSbodyChar"/>
    <w:qFormat/>
    <w:rsid w:val="00540D02"/>
    <w:pPr>
      <w:spacing w:after="120" w:line="270" w:lineRule="atLeast"/>
    </w:pPr>
    <w:rPr>
      <w:rFonts w:ascii="Arial" w:eastAsia="Times" w:hAnsi="Arial"/>
      <w:lang w:eastAsia="en-US"/>
    </w:rPr>
  </w:style>
  <w:style w:type="character" w:customStyle="1" w:styleId="DHHSbodyChar">
    <w:name w:val="DHHS body Char"/>
    <w:link w:val="DHHSbody"/>
    <w:locked/>
    <w:rsid w:val="00540D02"/>
    <w:rPr>
      <w:rFonts w:ascii="Arial" w:eastAsia="Times" w:hAnsi="Arial"/>
      <w:lang w:eastAsia="en-US"/>
    </w:rPr>
  </w:style>
  <w:style w:type="character" w:customStyle="1" w:styleId="normaltextrun">
    <w:name w:val="normaltextrun"/>
    <w:basedOn w:val="DefaultParagraphFont"/>
    <w:rsid w:val="003F7DDA"/>
  </w:style>
  <w:style w:type="paragraph" w:styleId="ListParagraph">
    <w:name w:val="List Paragraph"/>
    <w:basedOn w:val="Normal"/>
    <w:uiPriority w:val="34"/>
    <w:qFormat/>
    <w:rsid w:val="004E3BF5"/>
    <w:pPr>
      <w:spacing w:after="0" w:line="240" w:lineRule="auto"/>
      <w:ind w:left="720"/>
    </w:pPr>
    <w:rPr>
      <w:rFonts w:ascii="Calibri" w:eastAsiaTheme="minorHAnsi" w:hAnsi="Calibri" w:cs="Calibri"/>
      <w:sz w:val="22"/>
      <w:szCs w:val="22"/>
    </w:rPr>
  </w:style>
  <w:style w:type="paragraph" w:styleId="TOCHeading">
    <w:name w:val="TOC Heading"/>
    <w:basedOn w:val="Heading1"/>
    <w:next w:val="Normal"/>
    <w:uiPriority w:val="39"/>
    <w:unhideWhenUsed/>
    <w:qFormat/>
    <w:rsid w:val="00836F09"/>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19013072">
      <w:bodyDiv w:val="1"/>
      <w:marLeft w:val="0"/>
      <w:marRight w:val="0"/>
      <w:marTop w:val="0"/>
      <w:marBottom w:val="0"/>
      <w:divBdr>
        <w:top w:val="none" w:sz="0" w:space="0" w:color="auto"/>
        <w:left w:val="none" w:sz="0" w:space="0" w:color="auto"/>
        <w:bottom w:val="none" w:sz="0" w:space="0" w:color="auto"/>
        <w:right w:val="none" w:sz="0" w:space="0" w:color="auto"/>
      </w:divBdr>
    </w:div>
    <w:div w:id="82536464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65223725">
      <w:bodyDiv w:val="1"/>
      <w:marLeft w:val="0"/>
      <w:marRight w:val="0"/>
      <w:marTop w:val="0"/>
      <w:marBottom w:val="0"/>
      <w:divBdr>
        <w:top w:val="none" w:sz="0" w:space="0" w:color="auto"/>
        <w:left w:val="none" w:sz="0" w:space="0" w:color="auto"/>
        <w:bottom w:val="none" w:sz="0" w:space="0" w:color="auto"/>
        <w:right w:val="none" w:sz="0" w:space="0" w:color="auto"/>
      </w:divBdr>
    </w:div>
    <w:div w:id="124021378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vic.gov.au/maram-practice-guides-and-resources" TargetMode="External"/><Relationship Id="rId3" Type="http://schemas.openxmlformats.org/officeDocument/2006/relationships/customXml" Target="../customXml/item3.xml"/><Relationship Id="rId21" Type="http://schemas.openxmlformats.org/officeDocument/2006/relationships/hyperlink" Target="https://iselist.www.vic.gov.au/ise/lis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ic.gov.au/maram-practice-guides-and-resourc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ic.gov.au/maram-practice-guides-and-resources" TargetMode="External"/><Relationship Id="rId20" Type="http://schemas.openxmlformats.org/officeDocument/2006/relationships/hyperlink" Target="https://www.vic.gov.au/guides-templates-tools-for-information-sha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fosharing@health.vic.gov.a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vic.gov.au/guides-templates-tools-for-information-sha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infosharing@healt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99335CB28FDB43B3A41DE72908C43B" ma:contentTypeVersion="12" ma:contentTypeDescription="Create a new document." ma:contentTypeScope="" ma:versionID="ec73669f4da69964f238baa236160361">
  <xsd:schema xmlns:xsd="http://www.w3.org/2001/XMLSchema" xmlns:xs="http://www.w3.org/2001/XMLSchema" xmlns:p="http://schemas.microsoft.com/office/2006/metadata/properties" xmlns:ns2="26a321b9-2332-4403-b746-57eec040560b" xmlns:ns3="c4bf4fb5-ca6a-4223-b73b-4cf232540650" targetNamespace="http://schemas.microsoft.com/office/2006/metadata/properties" ma:root="true" ma:fieldsID="896d5d782a6fdd32a121f5d520b75c43" ns2:_="" ns3:_="">
    <xsd:import namespace="26a321b9-2332-4403-b746-57eec040560b"/>
    <xsd:import namespace="c4bf4fb5-ca6a-4223-b73b-4cf2325406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321b9-2332-4403-b746-57eec0405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bf4fb5-ca6a-4223-b73b-4cf23254065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4bf4fb5-ca6a-4223-b73b-4cf232540650">
      <UserInfo>
        <DisplayName>Genevieve L Frisby (Health)</DisplayName>
        <AccountId>465</AccountId>
        <AccountType/>
      </UserInfo>
      <UserInfo>
        <DisplayName>Sue OSullivan (Health)</DisplayName>
        <AccountId>146</AccountId>
        <AccountType/>
      </UserInfo>
      <UserInfo>
        <DisplayName>Penny Robinson (Health)</DisplayName>
        <AccountId>129</AccountId>
        <AccountType/>
      </UserInfo>
      <UserInfo>
        <DisplayName>Ashleigh Bouvet (Health)</DisplayName>
        <AccountId>149</AccountId>
        <AccountType/>
      </UserInfo>
      <UserInfo>
        <DisplayName>Christie Tran (Health)</DisplayName>
        <AccountId>128</AccountId>
        <AccountType/>
      </UserInfo>
    </SharedWithUsers>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F4BEE4EA-4D8A-4097-B9A5-A3D02B0D6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321b9-2332-4403-b746-57eec040560b"/>
    <ds:schemaRef ds:uri="c4bf4fb5-ca6a-4223-b73b-4cf232540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4bf4fb5-ca6a-4223-b73b-4cf232540650"/>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DH orange factsheet</vt:lpstr>
    </vt:vector>
  </TitlesOfParts>
  <Manager/>
  <Company>Victoria State Government, Department of Health</Company>
  <LinksUpToDate>false</LinksUpToDate>
  <CharactersWithSpaces>8971</CharactersWithSpaces>
  <SharedDoc>false</SharedDoc>
  <HyperlinkBase/>
  <HLinks>
    <vt:vector size="120" baseType="variant">
      <vt:variant>
        <vt:i4>5308539</vt:i4>
      </vt:variant>
      <vt:variant>
        <vt:i4>90</vt:i4>
      </vt:variant>
      <vt:variant>
        <vt:i4>0</vt:i4>
      </vt:variant>
      <vt:variant>
        <vt:i4>5</vt:i4>
      </vt:variant>
      <vt:variant>
        <vt:lpwstr>mailto:infosharing@health.vic.gov.au</vt:lpwstr>
      </vt:variant>
      <vt:variant>
        <vt:lpwstr/>
      </vt:variant>
      <vt:variant>
        <vt:i4>4522074</vt:i4>
      </vt:variant>
      <vt:variant>
        <vt:i4>87</vt:i4>
      </vt:variant>
      <vt:variant>
        <vt:i4>0</vt:i4>
      </vt:variant>
      <vt:variant>
        <vt:i4>5</vt:i4>
      </vt:variant>
      <vt:variant>
        <vt:lpwstr>https://iselist.www.vic.gov.au/ise/list/</vt:lpwstr>
      </vt:variant>
      <vt:variant>
        <vt:lpwstr/>
      </vt:variant>
      <vt:variant>
        <vt:i4>196614</vt:i4>
      </vt:variant>
      <vt:variant>
        <vt:i4>84</vt:i4>
      </vt:variant>
      <vt:variant>
        <vt:i4>0</vt:i4>
      </vt:variant>
      <vt:variant>
        <vt:i4>5</vt:i4>
      </vt:variant>
      <vt:variant>
        <vt:lpwstr>https://www.vic.gov.au/guides-templates-tools-for-information-sharing</vt:lpwstr>
      </vt:variant>
      <vt:variant>
        <vt:lpwstr/>
      </vt:variant>
      <vt:variant>
        <vt:i4>196614</vt:i4>
      </vt:variant>
      <vt:variant>
        <vt:i4>81</vt:i4>
      </vt:variant>
      <vt:variant>
        <vt:i4>0</vt:i4>
      </vt:variant>
      <vt:variant>
        <vt:i4>5</vt:i4>
      </vt:variant>
      <vt:variant>
        <vt:lpwstr>https://www.vic.gov.au/guides-templates-tools-for-information-sharing</vt:lpwstr>
      </vt:variant>
      <vt:variant>
        <vt:lpwstr/>
      </vt:variant>
      <vt:variant>
        <vt:i4>6357026</vt:i4>
      </vt:variant>
      <vt:variant>
        <vt:i4>78</vt:i4>
      </vt:variant>
      <vt:variant>
        <vt:i4>0</vt:i4>
      </vt:variant>
      <vt:variant>
        <vt:i4>5</vt:i4>
      </vt:variant>
      <vt:variant>
        <vt:lpwstr>https://www.vic.gov.au/maram-practice-guides-and-resources</vt:lpwstr>
      </vt:variant>
      <vt:variant>
        <vt:lpwstr/>
      </vt:variant>
      <vt:variant>
        <vt:i4>6357026</vt:i4>
      </vt:variant>
      <vt:variant>
        <vt:i4>75</vt:i4>
      </vt:variant>
      <vt:variant>
        <vt:i4>0</vt:i4>
      </vt:variant>
      <vt:variant>
        <vt:i4>5</vt:i4>
      </vt:variant>
      <vt:variant>
        <vt:lpwstr>https://www.vic.gov.au/maram-practice-guides-and-resources</vt:lpwstr>
      </vt:variant>
      <vt:variant>
        <vt:lpwstr/>
      </vt:variant>
      <vt:variant>
        <vt:i4>6357026</vt:i4>
      </vt:variant>
      <vt:variant>
        <vt:i4>72</vt:i4>
      </vt:variant>
      <vt:variant>
        <vt:i4>0</vt:i4>
      </vt:variant>
      <vt:variant>
        <vt:i4>5</vt:i4>
      </vt:variant>
      <vt:variant>
        <vt:lpwstr>https://www.vic.gov.au/maram-practice-guides-and-resources</vt:lpwstr>
      </vt:variant>
      <vt:variant>
        <vt:lpwstr/>
      </vt:variant>
      <vt:variant>
        <vt:i4>5308539</vt:i4>
      </vt:variant>
      <vt:variant>
        <vt:i4>69</vt:i4>
      </vt:variant>
      <vt:variant>
        <vt:i4>0</vt:i4>
      </vt:variant>
      <vt:variant>
        <vt:i4>5</vt:i4>
      </vt:variant>
      <vt:variant>
        <vt:lpwstr>mailto:infosharing@health.vic.gov.au</vt:lpwstr>
      </vt:variant>
      <vt:variant>
        <vt:lpwstr/>
      </vt:variant>
      <vt:variant>
        <vt:i4>6160384</vt:i4>
      </vt:variant>
      <vt:variant>
        <vt:i4>66</vt:i4>
      </vt:variant>
      <vt:variant>
        <vt:i4>0</vt:i4>
      </vt:variant>
      <vt:variant>
        <vt:i4>5</vt:i4>
      </vt:variant>
      <vt:variant>
        <vt:lpwstr>https://elearn.childlink.com.au/</vt:lpwstr>
      </vt:variant>
      <vt:variant>
        <vt:lpwstr/>
      </vt:variant>
      <vt:variant>
        <vt:i4>4325462</vt:i4>
      </vt:variant>
      <vt:variant>
        <vt:i4>63</vt:i4>
      </vt:variant>
      <vt:variant>
        <vt:i4>0</vt:i4>
      </vt:variant>
      <vt:variant>
        <vt:i4>5</vt:i4>
      </vt:variant>
      <vt:variant>
        <vt:lpwstr>https://www.thewomens.org.au/health-professionals/clinical-resources/strengthening-hospitals-response-to-family-violence</vt:lpwstr>
      </vt:variant>
      <vt:variant>
        <vt:lpwstr/>
      </vt:variant>
      <vt:variant>
        <vt:i4>1572916</vt:i4>
      </vt:variant>
      <vt:variant>
        <vt:i4>56</vt:i4>
      </vt:variant>
      <vt:variant>
        <vt:i4>0</vt:i4>
      </vt:variant>
      <vt:variant>
        <vt:i4>5</vt:i4>
      </vt:variant>
      <vt:variant>
        <vt:lpwstr/>
      </vt:variant>
      <vt:variant>
        <vt:lpwstr>_Toc94793597</vt:lpwstr>
      </vt:variant>
      <vt:variant>
        <vt:i4>1638452</vt:i4>
      </vt:variant>
      <vt:variant>
        <vt:i4>50</vt:i4>
      </vt:variant>
      <vt:variant>
        <vt:i4>0</vt:i4>
      </vt:variant>
      <vt:variant>
        <vt:i4>5</vt:i4>
      </vt:variant>
      <vt:variant>
        <vt:lpwstr/>
      </vt:variant>
      <vt:variant>
        <vt:lpwstr>_Toc94793596</vt:lpwstr>
      </vt:variant>
      <vt:variant>
        <vt:i4>1703988</vt:i4>
      </vt:variant>
      <vt:variant>
        <vt:i4>44</vt:i4>
      </vt:variant>
      <vt:variant>
        <vt:i4>0</vt:i4>
      </vt:variant>
      <vt:variant>
        <vt:i4>5</vt:i4>
      </vt:variant>
      <vt:variant>
        <vt:lpwstr/>
      </vt:variant>
      <vt:variant>
        <vt:lpwstr>_Toc94793595</vt:lpwstr>
      </vt:variant>
      <vt:variant>
        <vt:i4>1769524</vt:i4>
      </vt:variant>
      <vt:variant>
        <vt:i4>38</vt:i4>
      </vt:variant>
      <vt:variant>
        <vt:i4>0</vt:i4>
      </vt:variant>
      <vt:variant>
        <vt:i4>5</vt:i4>
      </vt:variant>
      <vt:variant>
        <vt:lpwstr/>
      </vt:variant>
      <vt:variant>
        <vt:lpwstr>_Toc94793594</vt:lpwstr>
      </vt:variant>
      <vt:variant>
        <vt:i4>1835060</vt:i4>
      </vt:variant>
      <vt:variant>
        <vt:i4>32</vt:i4>
      </vt:variant>
      <vt:variant>
        <vt:i4>0</vt:i4>
      </vt:variant>
      <vt:variant>
        <vt:i4>5</vt:i4>
      </vt:variant>
      <vt:variant>
        <vt:lpwstr/>
      </vt:variant>
      <vt:variant>
        <vt:lpwstr>_Toc94793593</vt:lpwstr>
      </vt:variant>
      <vt:variant>
        <vt:i4>1900596</vt:i4>
      </vt:variant>
      <vt:variant>
        <vt:i4>26</vt:i4>
      </vt:variant>
      <vt:variant>
        <vt:i4>0</vt:i4>
      </vt:variant>
      <vt:variant>
        <vt:i4>5</vt:i4>
      </vt:variant>
      <vt:variant>
        <vt:lpwstr/>
      </vt:variant>
      <vt:variant>
        <vt:lpwstr>_Toc94793592</vt:lpwstr>
      </vt:variant>
      <vt:variant>
        <vt:i4>1966132</vt:i4>
      </vt:variant>
      <vt:variant>
        <vt:i4>20</vt:i4>
      </vt:variant>
      <vt:variant>
        <vt:i4>0</vt:i4>
      </vt:variant>
      <vt:variant>
        <vt:i4>5</vt:i4>
      </vt:variant>
      <vt:variant>
        <vt:lpwstr/>
      </vt:variant>
      <vt:variant>
        <vt:lpwstr>_Toc94793591</vt:lpwstr>
      </vt:variant>
      <vt:variant>
        <vt:i4>2031668</vt:i4>
      </vt:variant>
      <vt:variant>
        <vt:i4>14</vt:i4>
      </vt:variant>
      <vt:variant>
        <vt:i4>0</vt:i4>
      </vt:variant>
      <vt:variant>
        <vt:i4>5</vt:i4>
      </vt:variant>
      <vt:variant>
        <vt:lpwstr/>
      </vt:variant>
      <vt:variant>
        <vt:lpwstr>_Toc94793590</vt:lpwstr>
      </vt:variant>
      <vt:variant>
        <vt:i4>1441845</vt:i4>
      </vt:variant>
      <vt:variant>
        <vt:i4>8</vt:i4>
      </vt:variant>
      <vt:variant>
        <vt:i4>0</vt:i4>
      </vt:variant>
      <vt:variant>
        <vt:i4>5</vt:i4>
      </vt:variant>
      <vt:variant>
        <vt:lpwstr/>
      </vt:variant>
      <vt:variant>
        <vt:lpwstr>_Toc94793589</vt:lpwstr>
      </vt:variant>
      <vt:variant>
        <vt:i4>1507381</vt:i4>
      </vt:variant>
      <vt:variant>
        <vt:i4>2</vt:i4>
      </vt:variant>
      <vt:variant>
        <vt:i4>0</vt:i4>
      </vt:variant>
      <vt:variant>
        <vt:i4>5</vt:i4>
      </vt:variant>
      <vt:variant>
        <vt:lpwstr/>
      </vt:variant>
      <vt:variant>
        <vt:lpwstr>_Toc94793588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orange factsheet</dc:title>
  <dc:subject/>
  <dc:creator>christie.tran@health.vic.gov.au</dc:creator>
  <cp:keywords/>
  <dc:description/>
  <cp:lastModifiedBy>Christie Tran (Health)</cp:lastModifiedBy>
  <cp:revision>2</cp:revision>
  <cp:lastPrinted>2022-02-07T03:53:00Z</cp:lastPrinted>
  <dcterms:created xsi:type="dcterms:W3CDTF">2022-02-18T05:45:00Z</dcterms:created>
  <dcterms:modified xsi:type="dcterms:W3CDTF">2022-02-18T05:45:00Z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0x010100D899335CB28FDB43B3A41DE72908C43B</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2022-02-18T05:45:21Z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