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5F" w:rsidRPr="004946F4" w:rsidRDefault="00BB6F41" w:rsidP="00DE6028">
      <w:pPr>
        <w:pStyle w:val="Spacerparatopoffirstpage"/>
      </w:pPr>
      <w:bookmarkStart w:id="0" w:name="_GoBack"/>
      <w:bookmarkEnd w:id="0"/>
      <w:r>
        <w:rPr>
          <w:rFonts w:ascii="Cambria" w:eastAsia="Times New Roman" w:hAnsi="Cambria"/>
          <w:sz w:val="16"/>
          <w:szCs w:val="16"/>
          <w:lang w:eastAsia="en-AU"/>
        </w:rPr>
        <w:drawing>
          <wp:anchor distT="0" distB="0" distL="114300" distR="114300" simplePos="0" relativeHeight="251658240" behindDoc="1" locked="0" layoutInCell="1" allowOverlap="1">
            <wp:simplePos x="0" y="0"/>
            <wp:positionH relativeFrom="page">
              <wp:posOffset>-59377</wp:posOffset>
            </wp:positionH>
            <wp:positionV relativeFrom="page">
              <wp:posOffset>0</wp:posOffset>
            </wp:positionV>
            <wp:extent cx="15271668" cy="1817482"/>
            <wp:effectExtent l="0" t="0" r="6985" b="0"/>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9">
                      <a:extLst>
                        <a:ext uri="{28A0092B-C50C-407E-A947-70E740481C1C}">
                          <a14:useLocalDpi xmlns:a14="http://schemas.microsoft.com/office/drawing/2010/main" val="0"/>
                        </a:ext>
                      </a:extLst>
                    </a:blip>
                    <a:stretch>
                      <a:fillRect/>
                    </a:stretch>
                  </pic:blipFill>
                  <pic:spPr>
                    <a:xfrm>
                      <a:off x="0" y="0"/>
                      <a:ext cx="15301821" cy="1821071"/>
                    </a:xfrm>
                    <a:prstGeom prst="rect">
                      <a:avLst/>
                    </a:prstGeom>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EE6B38">
          <w:footerReference w:type="default" r:id="rId10"/>
          <w:footerReference w:type="first" r:id="rId11"/>
          <w:pgSz w:w="23814" w:h="16840" w:orient="landscape" w:code="8"/>
          <w:pgMar w:top="425" w:right="851" w:bottom="1418" w:left="851" w:header="510" w:footer="510" w:gutter="0"/>
          <w:cols w:space="708"/>
          <w:docGrid w:linePitch="360"/>
        </w:sectPr>
      </w:pPr>
    </w:p>
    <w:tbl>
      <w:tblPr>
        <w:tblW w:w="16268" w:type="dxa"/>
        <w:tblLook w:val="04A0" w:firstRow="1" w:lastRow="0" w:firstColumn="1" w:lastColumn="0" w:noHBand="0" w:noVBand="1"/>
      </w:tblPr>
      <w:tblGrid>
        <w:gridCol w:w="16268"/>
      </w:tblGrid>
      <w:tr w:rsidR="003A3438" w:rsidTr="005277A5">
        <w:trPr>
          <w:trHeight w:val="1106"/>
        </w:trPr>
        <w:tc>
          <w:tcPr>
            <w:tcW w:w="16268" w:type="dxa"/>
            <w:shd w:val="clear" w:color="auto" w:fill="auto"/>
            <w:vAlign w:val="bottom"/>
          </w:tcPr>
          <w:p w:rsidR="003A3438" w:rsidRPr="00161AA0" w:rsidRDefault="00F03137" w:rsidP="005277A5">
            <w:pPr>
              <w:pStyle w:val="DHHSmainheading"/>
            </w:pPr>
            <w:bookmarkStart w:id="1" w:name="_Toc410762195"/>
            <w:r w:rsidRPr="00F03137">
              <w:lastRenderedPageBreak/>
              <w:t xml:space="preserve">Tobacco control </w:t>
            </w:r>
            <w:r w:rsidR="00852D57">
              <w:t>r</w:t>
            </w:r>
            <w:r w:rsidR="00EB3422" w:rsidRPr="00EB3422">
              <w:t>egulator</w:t>
            </w:r>
            <w:r w:rsidR="00F203D3">
              <w:t xml:space="preserve"> plan on a page</w:t>
            </w:r>
          </w:p>
        </w:tc>
      </w:tr>
      <w:tr w:rsidR="003A3438" w:rsidTr="005277A5">
        <w:trPr>
          <w:trHeight w:hRule="exact" w:val="907"/>
        </w:trPr>
        <w:tc>
          <w:tcPr>
            <w:tcW w:w="16268" w:type="dxa"/>
            <w:shd w:val="clear" w:color="auto" w:fill="auto"/>
            <w:tcMar>
              <w:top w:w="340" w:type="dxa"/>
              <w:bottom w:w="680" w:type="dxa"/>
            </w:tcMar>
          </w:tcPr>
          <w:p w:rsidR="003A3438" w:rsidRDefault="00F03137" w:rsidP="00736FF8">
            <w:pPr>
              <w:pStyle w:val="DHHSmainsubheading"/>
            </w:pPr>
            <w:r w:rsidRPr="00F03137">
              <w:t xml:space="preserve">Tobacco control </w:t>
            </w:r>
            <w:r w:rsidR="00814111">
              <w:t>regulator plan March</w:t>
            </w:r>
            <w:r w:rsidR="00F203D3">
              <w:t xml:space="preserve"> 2018–June 2019</w:t>
            </w:r>
          </w:p>
        </w:tc>
      </w:tr>
    </w:tbl>
    <w:p w:rsidR="00E43426" w:rsidRDefault="00E43426" w:rsidP="00310351">
      <w:pPr>
        <w:pStyle w:val="DHHSbody"/>
      </w:pPr>
    </w:p>
    <w:p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1"/>
    <w:p w:rsidR="008C3808" w:rsidRPr="004A4EF1" w:rsidRDefault="00852D57" w:rsidP="006F2BE2">
      <w:pPr>
        <w:pStyle w:val="DHHSquote"/>
      </w:pPr>
      <w:r w:rsidRPr="004A4EF1">
        <w:lastRenderedPageBreak/>
        <w:t>This document</w:t>
      </w:r>
      <w:r w:rsidR="00C17EFB" w:rsidRPr="004A4EF1">
        <w:t xml:space="preserve"> </w:t>
      </w:r>
      <w:r w:rsidR="00F466BA" w:rsidRPr="004A4EF1">
        <w:t>summarises the key elements of</w:t>
      </w:r>
      <w:r w:rsidR="00C17EFB" w:rsidRPr="004A4EF1">
        <w:t xml:space="preserve"> the </w:t>
      </w:r>
      <w:r w:rsidR="00F03137" w:rsidRPr="004A4EF1">
        <w:rPr>
          <w:i/>
        </w:rPr>
        <w:t xml:space="preserve">Tobacco control </w:t>
      </w:r>
      <w:r w:rsidR="00C17EFB" w:rsidRPr="004A4EF1">
        <w:rPr>
          <w:i/>
        </w:rPr>
        <w:t>regulator plan</w:t>
      </w:r>
      <w:r w:rsidR="00F466BA" w:rsidRPr="004A4EF1">
        <w:rPr>
          <w:i/>
        </w:rPr>
        <w:t>.</w:t>
      </w:r>
      <w:r w:rsidR="00F466BA" w:rsidRPr="004A4EF1">
        <w:t xml:space="preserve"> The plan</w:t>
      </w:r>
      <w:r w:rsidRPr="004A4EF1">
        <w:t xml:space="preserve"> provides the context the regulator works within and an overview of its regulatory framework and activities. This is supported by the </w:t>
      </w:r>
      <w:r w:rsidRPr="004A4EF1">
        <w:rPr>
          <w:i/>
        </w:rPr>
        <w:t>Better regulatory practice framework: January 2018–June 2019</w:t>
      </w:r>
      <w:r w:rsidR="00C461FB" w:rsidRPr="004A4EF1">
        <w:t>, which provides a process for risk-based and accountable regulatory practice, and improved regulatory performance in the health and human services sector.</w:t>
      </w:r>
      <w:r w:rsidR="00C17EFB" w:rsidRPr="004A4EF1">
        <w:t xml:space="preserve"> The regulator plan and framework are available on </w:t>
      </w:r>
      <w:hyperlink r:id="rId12" w:history="1">
        <w:r w:rsidR="00C17EFB" w:rsidRPr="004A4EF1">
          <w:rPr>
            <w:rStyle w:val="Hyperlink"/>
            <w:szCs w:val="26"/>
          </w:rPr>
          <w:t>Regulatory practice framework</w:t>
        </w:r>
      </w:hyperlink>
      <w:r w:rsidR="00C17EFB" w:rsidRPr="004A4EF1">
        <w:t xml:space="preserve"> &lt;https://www.dhhs.vic.gov.au/better-regulatory-practice-framework&gt;.</w:t>
      </w:r>
    </w:p>
    <w:p w:rsidR="00C47436" w:rsidRPr="00923937" w:rsidRDefault="00C47436" w:rsidP="00F203D3">
      <w:pPr>
        <w:pStyle w:val="DHHSquote"/>
      </w:pPr>
    </w:p>
    <w:p w:rsidR="00C47436" w:rsidRDefault="00C47436" w:rsidP="00EB3422">
      <w:pPr>
        <w:pStyle w:val="Heading1"/>
        <w:spacing w:before="0"/>
        <w:sectPr w:rsidR="00C47436" w:rsidSect="00C47436">
          <w:headerReference w:type="default" r:id="rId13"/>
          <w:footerReference w:type="default" r:id="rId14"/>
          <w:type w:val="continuous"/>
          <w:pgSz w:w="23814" w:h="16840" w:orient="landscape" w:code="8"/>
          <w:pgMar w:top="1134" w:right="851" w:bottom="1134" w:left="851" w:header="567" w:footer="510" w:gutter="0"/>
          <w:cols w:space="1446"/>
          <w:titlePg/>
          <w:docGrid w:linePitch="360"/>
        </w:sectPr>
      </w:pPr>
    </w:p>
    <w:p w:rsidR="00A441D4" w:rsidRDefault="00A441D4" w:rsidP="00A441D4">
      <w:pPr>
        <w:pStyle w:val="Heading1"/>
        <w:spacing w:before="0"/>
      </w:pPr>
      <w:r>
        <w:lastRenderedPageBreak/>
        <w:t>Outcomes</w:t>
      </w:r>
    </w:p>
    <w:p w:rsidR="00F03137" w:rsidRDefault="00F03137" w:rsidP="00F03137">
      <w:pPr>
        <w:pStyle w:val="DHHSbody"/>
        <w:rPr>
          <w:bCs/>
        </w:rPr>
      </w:pPr>
      <w:r w:rsidRPr="00F03137">
        <w:t xml:space="preserve">The Tobacco Control Section contributes to the reduction of the proportion of regular smokers in the Victorian population, including pregnant women, and preventing young people from becoming smokers. The </w:t>
      </w:r>
      <w:r w:rsidR="00310AFC">
        <w:t>s</w:t>
      </w:r>
      <w:r w:rsidRPr="00F03137">
        <w:t>ection achieves this by working to introduce more s</w:t>
      </w:r>
      <w:r w:rsidR="00310AFC">
        <w:t>moke-</w:t>
      </w:r>
      <w:r w:rsidRPr="00F03137">
        <w:t>free areas, eliminating remaining forms of tobacco advertising and promotion and educating key stakeho</w:t>
      </w:r>
      <w:r w:rsidR="00561FA3">
        <w:t>lders of the dangers of smoking.</w:t>
      </w:r>
    </w:p>
    <w:p w:rsidR="00A441D4" w:rsidRDefault="00A441D4" w:rsidP="007A0890">
      <w:pPr>
        <w:pStyle w:val="Heading1"/>
      </w:pPr>
      <w:r>
        <w:t>Who we regulate</w:t>
      </w:r>
    </w:p>
    <w:p w:rsidR="00F03137" w:rsidRPr="00F03137" w:rsidRDefault="00F03137" w:rsidP="00F03137">
      <w:pPr>
        <w:pStyle w:val="DHHSbody"/>
      </w:pPr>
      <w:r w:rsidRPr="00F03137">
        <w:t xml:space="preserve">The Tobacco Control Section works with local councils to regulate: </w:t>
      </w:r>
    </w:p>
    <w:p w:rsidR="00F03137" w:rsidRPr="00F03137" w:rsidRDefault="00F03137" w:rsidP="00F03137">
      <w:pPr>
        <w:pStyle w:val="DHHSbullet1"/>
      </w:pPr>
      <w:r w:rsidRPr="00F03137">
        <w:t>businesses that sell tobacco products</w:t>
      </w:r>
    </w:p>
    <w:p w:rsidR="00F03137" w:rsidRDefault="00F03137" w:rsidP="00F03137">
      <w:pPr>
        <w:pStyle w:val="DHHSbullet1"/>
        <w:rPr>
          <w:bCs/>
        </w:rPr>
      </w:pPr>
      <w:r w:rsidRPr="00F03137">
        <w:t xml:space="preserve">individuals, businesses and organisations captured by the bans on smoking in certain places, such as  outdoor dining areas, enclosed workplaces and at </w:t>
      </w:r>
      <w:r>
        <w:rPr>
          <w:bCs/>
        </w:rPr>
        <w:t>entrances to public hospitals.</w:t>
      </w:r>
    </w:p>
    <w:p w:rsidR="00A441D4" w:rsidRDefault="00A441D4" w:rsidP="00F03137">
      <w:pPr>
        <w:pStyle w:val="Heading1"/>
      </w:pPr>
      <w:r>
        <w:t>Who we work with</w:t>
      </w:r>
    </w:p>
    <w:p w:rsidR="00310AFC" w:rsidRDefault="00F03137" w:rsidP="00310AFC">
      <w:pPr>
        <w:pStyle w:val="DHHSbody"/>
        <w:rPr>
          <w:lang w:val="en-US"/>
        </w:rPr>
      </w:pPr>
      <w:r w:rsidRPr="00F03137">
        <w:rPr>
          <w:lang w:val="en-US"/>
        </w:rPr>
        <w:t xml:space="preserve">The Tobacco Control Section interacts with a broad range of </w:t>
      </w:r>
      <w:r w:rsidRPr="00310AFC">
        <w:t>stakeholders</w:t>
      </w:r>
      <w:r w:rsidRPr="00F03137">
        <w:rPr>
          <w:lang w:val="en-US"/>
        </w:rPr>
        <w:t xml:space="preserve"> to help deliver outcomes, share intelligence, and to identify and act on non-compliance. The groups we work with include local councils whom have the responsibility to directly regulate tobacco retailers and hospitality businesses, as well as peak bodies such as the Municipal Association of Victoria.</w:t>
      </w:r>
    </w:p>
    <w:p w:rsidR="00554C5D" w:rsidRDefault="004A4EF1" w:rsidP="00310AFC">
      <w:pPr>
        <w:pStyle w:val="DHHSbody"/>
        <w:jc w:val="center"/>
        <w:rPr>
          <w:b/>
          <w:i/>
        </w:rPr>
      </w:pPr>
      <w:r>
        <w:rPr>
          <w:b/>
          <w:i/>
        </w:rPr>
        <w:br w:type="column"/>
      </w:r>
      <w:r w:rsidR="00F03137" w:rsidRPr="00554C5D">
        <w:rPr>
          <w:b/>
          <w:i/>
        </w:rPr>
        <w:lastRenderedPageBreak/>
        <w:t>Tobacco Act 1987</w:t>
      </w:r>
    </w:p>
    <w:p w:rsidR="004A4EF1" w:rsidRDefault="004A4EF1" w:rsidP="00310AFC">
      <w:pPr>
        <w:pStyle w:val="DHHSbody"/>
        <w:jc w:val="center"/>
        <w:rPr>
          <w:b/>
          <w:noProof/>
          <w:lang w:eastAsia="en-AU"/>
        </w:rPr>
      </w:pPr>
      <w:r>
        <w:rPr>
          <w:b/>
          <w:noProof/>
          <w:lang w:eastAsia="en-AU"/>
        </w:rPr>
        <w:drawing>
          <wp:inline distT="0" distB="0" distL="0" distR="0" wp14:anchorId="5475BD55" wp14:editId="43ED579F">
            <wp:extent cx="5604285" cy="5314950"/>
            <wp:effectExtent l="0" t="0" r="0" b="0"/>
            <wp:docPr id="3" name="Picture 3" descr="A description of content in this diagram is available under 'Diagram text – regulatory tools' in this docu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acco triangle.png"/>
                    <pic:cNvPicPr/>
                  </pic:nvPicPr>
                  <pic:blipFill>
                    <a:blip r:embed="rId15">
                      <a:extLst>
                        <a:ext uri="{28A0092B-C50C-407E-A947-70E740481C1C}">
                          <a14:useLocalDpi xmlns:a14="http://schemas.microsoft.com/office/drawing/2010/main" val="0"/>
                        </a:ext>
                      </a:extLst>
                    </a:blip>
                    <a:stretch>
                      <a:fillRect/>
                    </a:stretch>
                  </pic:blipFill>
                  <pic:spPr>
                    <a:xfrm>
                      <a:off x="0" y="0"/>
                      <a:ext cx="5612804" cy="5323029"/>
                    </a:xfrm>
                    <a:prstGeom prst="rect">
                      <a:avLst/>
                    </a:prstGeom>
                  </pic:spPr>
                </pic:pic>
              </a:graphicData>
            </a:graphic>
          </wp:inline>
        </w:drawing>
      </w:r>
    </w:p>
    <w:p w:rsidR="00A441D4" w:rsidRDefault="00A441D4" w:rsidP="00554C5D">
      <w:pPr>
        <w:pStyle w:val="Heading1"/>
      </w:pPr>
      <w:r>
        <w:lastRenderedPageBreak/>
        <w:t>Contribution story</w:t>
      </w:r>
    </w:p>
    <w:tbl>
      <w:tblPr>
        <w:tblStyle w:val="TableGrid"/>
        <w:tblW w:w="65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6555"/>
      </w:tblGrid>
      <w:tr w:rsidR="00A441D4" w:rsidRPr="001F2F2D" w:rsidTr="00310AFC">
        <w:trPr>
          <w:trHeight w:val="274"/>
        </w:trPr>
        <w:tc>
          <w:tcPr>
            <w:tcW w:w="6555" w:type="dxa"/>
            <w:shd w:val="clear" w:color="auto" w:fill="CCE5DB"/>
          </w:tcPr>
          <w:p w:rsidR="00310AFC" w:rsidRDefault="00F03137" w:rsidP="00310AFC">
            <w:pPr>
              <w:pStyle w:val="DHHStabletext"/>
            </w:pPr>
            <w:r>
              <w:t xml:space="preserve">The overall daily rate of smoking prevalence in Victoria is on the decline, currently reported at 11.9 per cent of all Victorians. The Tobacco Control Section works to maintain this decline through collaborating closely on education and smoking cessation with key stakeholders such as Quit Victoria and Victorian Aboriginal community controlled health organisations. </w:t>
            </w:r>
          </w:p>
          <w:p w:rsidR="00A441D4" w:rsidRPr="001F2F2D" w:rsidRDefault="00F03137" w:rsidP="00310AFC">
            <w:pPr>
              <w:pStyle w:val="DHHStabletext"/>
            </w:pPr>
            <w:r>
              <w:t>These key engagements help to target education to those with the highest rates of smoking in the community, including Aboriginal Victorians, people suffering from mental illness and people in particular geographic locations. Education regarding the dangers of smoking is continually sustained via Victorian anti-smoking social marketing campaigns integrated across television, radio, print and social media.</w:t>
            </w:r>
          </w:p>
        </w:tc>
      </w:tr>
    </w:tbl>
    <w:p w:rsidR="00A441D4" w:rsidRDefault="00A441D4" w:rsidP="00A441D4">
      <w:pPr>
        <w:pStyle w:val="Heading1"/>
      </w:pPr>
      <w:r>
        <w:t>Measuring our impacts</w:t>
      </w:r>
    </w:p>
    <w:p w:rsidR="00F03137" w:rsidRDefault="00F03137" w:rsidP="00F03137">
      <w:pPr>
        <w:pStyle w:val="DHHSbody"/>
      </w:pPr>
      <w:r>
        <w:t>The Tobacco Control Section monitors how it contributes to reducing the proportion of regular smokers, preventing young people from smoking, ensuring that workplaces and pubs and clubs are smoke free by reporting on a number of indicators. These include:</w:t>
      </w:r>
    </w:p>
    <w:p w:rsidR="00F03137" w:rsidRDefault="00F03137" w:rsidP="00F03137">
      <w:pPr>
        <w:pStyle w:val="DHHSbullet1"/>
      </w:pPr>
      <w:r>
        <w:t>the percentage of test purchases that result in a tobacco sale to a minor</w:t>
      </w:r>
    </w:p>
    <w:p w:rsidR="00F03137" w:rsidRDefault="00F03137" w:rsidP="00F03137">
      <w:pPr>
        <w:pStyle w:val="DHHSbullet1"/>
      </w:pPr>
      <w:r>
        <w:t xml:space="preserve">the overall daily smoking prevalence rate </w:t>
      </w:r>
    </w:p>
    <w:p w:rsidR="00726159" w:rsidRDefault="00F03137" w:rsidP="00F03137">
      <w:pPr>
        <w:pStyle w:val="DHHSbullet1"/>
        <w:rPr>
          <w:bCs/>
        </w:rPr>
      </w:pPr>
      <w:r>
        <w:t xml:space="preserve">the percentage of workplaces and pubs and clubs complying with smoke free environment laws. </w:t>
      </w:r>
      <w:r w:rsidR="00C03B79">
        <w:t>r</w:t>
      </w:r>
      <w:r w:rsidR="007A0890">
        <w:t>esults of annual planned audits.</w:t>
      </w:r>
      <w:r w:rsidR="00726159">
        <w:rPr>
          <w:bCs/>
        </w:rPr>
        <w:t>.</w:t>
      </w:r>
    </w:p>
    <w:p w:rsidR="004A4EF1" w:rsidRDefault="004A4EF1" w:rsidP="004A4EF1">
      <w:pPr>
        <w:pStyle w:val="Heading1"/>
        <w:sectPr w:rsidR="004A4EF1" w:rsidSect="004A4EF1">
          <w:type w:val="continuous"/>
          <w:pgSz w:w="23814" w:h="16840" w:orient="landscape" w:code="8"/>
          <w:pgMar w:top="1134" w:right="851" w:bottom="1134" w:left="851" w:header="567" w:footer="510" w:gutter="0"/>
          <w:cols w:num="3" w:space="284" w:equalWidth="0">
            <w:col w:w="6237" w:space="284"/>
            <w:col w:w="9072" w:space="284"/>
            <w:col w:w="6237"/>
          </w:cols>
          <w:titlePg/>
          <w:docGrid w:linePitch="360"/>
        </w:sectPr>
      </w:pPr>
    </w:p>
    <w:p w:rsidR="003323DF" w:rsidRDefault="00D4711A" w:rsidP="004A4EF1">
      <w:pPr>
        <w:pStyle w:val="Heading1"/>
      </w:pPr>
      <w:r>
        <w:lastRenderedPageBreak/>
        <w:t>Diagram text</w:t>
      </w:r>
      <w:r w:rsidR="004A4EF1">
        <w:t xml:space="preserve"> – r</w:t>
      </w:r>
      <w:r w:rsidR="003323DF" w:rsidRPr="00017E37">
        <w:t>egulatory tools</w:t>
      </w:r>
      <w:r w:rsidR="003323DF">
        <w:t xml:space="preserve"> </w:t>
      </w:r>
    </w:p>
    <w:p w:rsidR="003323DF" w:rsidRPr="000C3A42" w:rsidRDefault="003323DF" w:rsidP="003323DF">
      <w:pPr>
        <w:pStyle w:val="DHHSbody"/>
      </w:pPr>
      <w:r>
        <w:t>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education and advice to regulated parties, through to prosecution at the top of the pyramid, where regulated parties deliberately work against intended outcomes and intend to evade compliance obligations.</w:t>
      </w:r>
    </w:p>
    <w:p w:rsidR="00BB6F41" w:rsidRDefault="00BB6F41" w:rsidP="00C47436">
      <w:pPr>
        <w:pStyle w:val="DHHSbody"/>
      </w:pPr>
    </w:p>
    <w:tbl>
      <w:tblPr>
        <w:tblW w:w="21967" w:type="dxa"/>
        <w:tblInd w:w="113" w:type="dxa"/>
        <w:tblCellMar>
          <w:top w:w="113" w:type="dxa"/>
          <w:bottom w:w="57" w:type="dxa"/>
        </w:tblCellMar>
        <w:tblLook w:val="00A0" w:firstRow="1" w:lastRow="0" w:firstColumn="1" w:lastColumn="0" w:noHBand="0" w:noVBand="0"/>
      </w:tblPr>
      <w:tblGrid>
        <w:gridCol w:w="21967"/>
      </w:tblGrid>
      <w:tr w:rsidR="002802E3" w:rsidRPr="002802E3" w:rsidTr="00EB3422">
        <w:trPr>
          <w:cantSplit/>
        </w:trPr>
        <w:tc>
          <w:tcPr>
            <w:tcW w:w="5000" w:type="pct"/>
            <w:tcBorders>
              <w:top w:val="single" w:sz="4" w:space="0" w:color="auto"/>
              <w:left w:val="single" w:sz="4" w:space="0" w:color="auto"/>
              <w:bottom w:val="single" w:sz="4" w:space="0" w:color="auto"/>
              <w:right w:val="single" w:sz="4" w:space="0" w:color="auto"/>
            </w:tcBorders>
            <w:vAlign w:val="bottom"/>
          </w:tcPr>
          <w:p w:rsidR="005277A5" w:rsidRPr="00605B5B" w:rsidRDefault="00254F58" w:rsidP="005277A5">
            <w:pPr>
              <w:pStyle w:val="DHHSaccessibilitypara"/>
            </w:pPr>
            <w:r w:rsidRPr="0020630E">
              <w:t>To receive this publication in an accessible format phone</w:t>
            </w:r>
            <w:r w:rsidR="007B0EA1" w:rsidRPr="0020630E">
              <w:t xml:space="preserve"> </w:t>
            </w:r>
            <w:r w:rsidR="003323DF">
              <w:t>u</w:t>
            </w:r>
            <w:r w:rsidRPr="0020630E">
              <w:t>sing the National Relay S</w:t>
            </w:r>
            <w:r w:rsidR="00726159">
              <w:t xml:space="preserve">ervice 13 36 77 if required, </w:t>
            </w:r>
            <w:r w:rsidR="00726159" w:rsidRPr="00605B5B">
              <w:t xml:space="preserve">or </w:t>
            </w:r>
            <w:hyperlink r:id="rId16" w:history="1">
              <w:r w:rsidR="00400F53" w:rsidRPr="003323DF">
                <w:t xml:space="preserve">email </w:t>
              </w:r>
              <w:r w:rsidR="00400F53" w:rsidRPr="00400F53">
                <w:rPr>
                  <w:rStyle w:val="Hyperlink"/>
                </w:rPr>
                <w:t>Tobacco Control Section</w:t>
              </w:r>
            </w:hyperlink>
            <w:r w:rsidR="00400F53" w:rsidRPr="00400F53">
              <w:t xml:space="preserve"> &lt;tobacco.policy@dhhs.vic.gov.au</w:t>
            </w:r>
            <w:r w:rsidR="005277A5" w:rsidRPr="00400F53">
              <w:t>&gt;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State of Vic</w:t>
            </w:r>
            <w:r w:rsidR="008B2F9E">
              <w:t>toria, Department of Health and</w:t>
            </w:r>
            <w:r w:rsidRPr="00254F58">
              <w:t xml:space="preserve"> Human Services</w:t>
            </w:r>
            <w:r w:rsidR="00A101F4">
              <w:t xml:space="preserve">, </w:t>
            </w:r>
            <w:r w:rsidR="00AB672E">
              <w:t>March</w:t>
            </w:r>
            <w:r w:rsidR="00A101F4">
              <w:t xml:space="preserve"> 2018</w:t>
            </w:r>
            <w:r w:rsidR="00F61A9F">
              <w:t>.</w:t>
            </w:r>
          </w:p>
          <w:p w:rsidR="00254F58" w:rsidRPr="00254F58" w:rsidRDefault="003323DF" w:rsidP="00254F58">
            <w:pPr>
              <w:pStyle w:val="DHHSbody"/>
            </w:pPr>
            <w:r>
              <w:t>ISBN</w:t>
            </w:r>
            <w:r w:rsidR="00254F58" w:rsidRPr="00F61A9F">
              <w:rPr>
                <w:color w:val="008950"/>
              </w:rPr>
              <w:t xml:space="preserve"> </w:t>
            </w:r>
            <w:r w:rsidRPr="003323DF">
              <w:t>978-1-76069-338-1</w:t>
            </w:r>
            <w:r w:rsidR="001600EC">
              <w:t xml:space="preserve"> (online)</w:t>
            </w:r>
          </w:p>
          <w:p w:rsidR="002802E3" w:rsidRPr="007B0EA1" w:rsidRDefault="00254F58" w:rsidP="00254F58">
            <w:pPr>
              <w:pStyle w:val="DHHSbody"/>
              <w:rPr>
                <w:szCs w:val="19"/>
              </w:rPr>
            </w:pPr>
            <w:r w:rsidRPr="00254F58">
              <w:rPr>
                <w:szCs w:val="19"/>
              </w:rPr>
              <w:t xml:space="preserve">Available at </w:t>
            </w:r>
            <w:hyperlink r:id="rId17" w:history="1">
              <w:r w:rsidR="007B0EA1" w:rsidRPr="007B0EA1">
                <w:rPr>
                  <w:rStyle w:val="Hyperlink"/>
                  <w:szCs w:val="19"/>
                </w:rPr>
                <w:t>Regulatory practice framework</w:t>
              </w:r>
            </w:hyperlink>
            <w:r w:rsidR="007B0EA1" w:rsidRPr="007B0EA1">
              <w:rPr>
                <w:szCs w:val="19"/>
              </w:rPr>
              <w:t xml:space="preserve"> &lt;https://www.dhhs.vic.gov.au/better-regulatory-practice-framework</w:t>
            </w:r>
            <w:r w:rsidR="007B0EA1">
              <w:rPr>
                <w:szCs w:val="19"/>
              </w:rPr>
              <w:t>&gt;</w:t>
            </w:r>
          </w:p>
        </w:tc>
      </w:tr>
    </w:tbl>
    <w:p w:rsidR="00B2752E" w:rsidRPr="00906490" w:rsidRDefault="00B2752E" w:rsidP="00736FF8">
      <w:pPr>
        <w:pStyle w:val="DHHSbody"/>
      </w:pPr>
    </w:p>
    <w:sectPr w:rsidR="00B2752E" w:rsidRPr="00906490" w:rsidSect="004A4EF1">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38" w:rsidRDefault="00EE6B38">
      <w:r>
        <w:separator/>
      </w:r>
    </w:p>
  </w:endnote>
  <w:endnote w:type="continuationSeparator" w:id="0">
    <w:p w:rsidR="00EE6B38" w:rsidRDefault="00E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E3D31" w:rsidP="007034E7">
    <w:pPr>
      <w:pStyle w:val="DHHSfooter"/>
    </w:pPr>
    <w:r>
      <w:rPr>
        <w:noProof/>
        <w:lang w:eastAsia="en-AU"/>
      </w:rPr>
      <w:drawing>
        <wp:anchor distT="0" distB="0" distL="114300" distR="114300" simplePos="0" relativeHeight="251659264" behindDoc="1" locked="1" layoutInCell="0" allowOverlap="1" wp14:anchorId="03611814" wp14:editId="3EE564E6">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D4" w:rsidRPr="00726159" w:rsidRDefault="00736FF8" w:rsidP="00726159">
    <w:pPr>
      <w:pStyle w:val="DHHSfooter"/>
      <w:tabs>
        <w:tab w:val="clear" w:pos="15139"/>
        <w:tab w:val="right" w:pos="22113"/>
      </w:tabs>
      <w:rPr>
        <w:color w:val="007B4B"/>
      </w:rPr>
    </w:pPr>
    <w:r w:rsidRPr="004A4EF1">
      <w:rPr>
        <w:color w:val="007B4B"/>
      </w:rPr>
      <w:t>Tobacco control regulator plan on a page: Tobacco control regulator plan March 2018–June 2019</w:t>
    </w:r>
    <w:r w:rsidR="00726159" w:rsidRPr="00BB6F41">
      <w:rPr>
        <w:color w:val="007B4B"/>
      </w:rPr>
      <w:tab/>
    </w:r>
    <w:r w:rsidR="00726159" w:rsidRPr="00BB6F41">
      <w:rPr>
        <w:color w:val="007B4B"/>
      </w:rPr>
      <w:fldChar w:fldCharType="begin"/>
    </w:r>
    <w:r w:rsidR="00726159" w:rsidRPr="00BB6F41">
      <w:rPr>
        <w:color w:val="007B4B"/>
      </w:rPr>
      <w:instrText xml:space="preserve"> PAGE </w:instrText>
    </w:r>
    <w:r w:rsidR="00726159" w:rsidRPr="00BB6F41">
      <w:rPr>
        <w:color w:val="007B4B"/>
      </w:rPr>
      <w:fldChar w:fldCharType="separate"/>
    </w:r>
    <w:r w:rsidR="00921058">
      <w:rPr>
        <w:noProof/>
        <w:color w:val="007B4B"/>
      </w:rPr>
      <w:t>2</w:t>
    </w:r>
    <w:r w:rsidR="00726159" w:rsidRPr="00BB6F41">
      <w:rPr>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BB6F41" w:rsidRDefault="00F03137" w:rsidP="00BB6F41">
    <w:pPr>
      <w:pStyle w:val="DHHSfooter"/>
      <w:tabs>
        <w:tab w:val="clear" w:pos="15139"/>
        <w:tab w:val="right" w:pos="22113"/>
      </w:tabs>
      <w:rPr>
        <w:color w:val="007B4B"/>
      </w:rPr>
    </w:pPr>
    <w:r w:rsidRPr="004A4EF1">
      <w:rPr>
        <w:color w:val="007B4B"/>
      </w:rPr>
      <w:t xml:space="preserve">Tobacco control </w:t>
    </w:r>
    <w:r w:rsidR="00BB6F41" w:rsidRPr="004A4EF1">
      <w:rPr>
        <w:color w:val="007B4B"/>
      </w:rPr>
      <w:t xml:space="preserve">regulator plan on a page: </w:t>
    </w:r>
    <w:r w:rsidRPr="004A4EF1">
      <w:rPr>
        <w:color w:val="007B4B"/>
      </w:rPr>
      <w:t xml:space="preserve">Tobacco control </w:t>
    </w:r>
    <w:r w:rsidR="003323DF" w:rsidRPr="004A4EF1">
      <w:rPr>
        <w:color w:val="007B4B"/>
      </w:rPr>
      <w:t>regulator plan March</w:t>
    </w:r>
    <w:r w:rsidR="00BB6F41" w:rsidRPr="004A4EF1">
      <w:rPr>
        <w:color w:val="007B4B"/>
      </w:rPr>
      <w:t xml:space="preserve"> 2018–June 2019</w:t>
    </w:r>
    <w:r w:rsidR="009D70A4" w:rsidRPr="00BB6F41">
      <w:rPr>
        <w:color w:val="007B4B"/>
      </w:rPr>
      <w:tab/>
    </w:r>
    <w:r w:rsidR="009D70A4" w:rsidRPr="00BB6F41">
      <w:rPr>
        <w:color w:val="007B4B"/>
      </w:rPr>
      <w:fldChar w:fldCharType="begin"/>
    </w:r>
    <w:r w:rsidR="009D70A4" w:rsidRPr="00BB6F41">
      <w:rPr>
        <w:color w:val="007B4B"/>
      </w:rPr>
      <w:instrText xml:space="preserve"> PAGE </w:instrText>
    </w:r>
    <w:r w:rsidR="009D70A4" w:rsidRPr="00BB6F41">
      <w:rPr>
        <w:color w:val="007B4B"/>
      </w:rPr>
      <w:fldChar w:fldCharType="separate"/>
    </w:r>
    <w:r w:rsidR="00736FF8">
      <w:rPr>
        <w:noProof/>
        <w:color w:val="007B4B"/>
      </w:rPr>
      <w:t>2</w:t>
    </w:r>
    <w:r w:rsidR="009D70A4" w:rsidRPr="00BB6F41">
      <w:rPr>
        <w:color w:val="007B4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38" w:rsidRDefault="00EE6B38" w:rsidP="002862F1">
      <w:pPr>
        <w:spacing w:before="120"/>
      </w:pPr>
      <w:r>
        <w:separator/>
      </w:r>
    </w:p>
  </w:footnote>
  <w:footnote w:type="continuationSeparator" w:id="0">
    <w:p w:rsidR="00EE6B38" w:rsidRDefault="00EE6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8D2F4B" w:rsidRDefault="009D70A4" w:rsidP="008D2F4B">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B370F66"/>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8"/>
    <w:rsid w:val="00003500"/>
    <w:rsid w:val="000072B6"/>
    <w:rsid w:val="0001021B"/>
    <w:rsid w:val="00011D89"/>
    <w:rsid w:val="00024D89"/>
    <w:rsid w:val="00033D81"/>
    <w:rsid w:val="00041BF0"/>
    <w:rsid w:val="0004326C"/>
    <w:rsid w:val="0004536B"/>
    <w:rsid w:val="00046B68"/>
    <w:rsid w:val="000527DD"/>
    <w:rsid w:val="000578B2"/>
    <w:rsid w:val="00060959"/>
    <w:rsid w:val="00064864"/>
    <w:rsid w:val="000663CD"/>
    <w:rsid w:val="000669AD"/>
    <w:rsid w:val="00074219"/>
    <w:rsid w:val="00074ED5"/>
    <w:rsid w:val="0008494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05E4"/>
    <w:rsid w:val="0010392D"/>
    <w:rsid w:val="00104FE3"/>
    <w:rsid w:val="00120BD3"/>
    <w:rsid w:val="00122FEA"/>
    <w:rsid w:val="001232BD"/>
    <w:rsid w:val="00124ED5"/>
    <w:rsid w:val="00143749"/>
    <w:rsid w:val="001447B3"/>
    <w:rsid w:val="0014502A"/>
    <w:rsid w:val="00152073"/>
    <w:rsid w:val="001600EC"/>
    <w:rsid w:val="00161939"/>
    <w:rsid w:val="00161AA0"/>
    <w:rsid w:val="00162093"/>
    <w:rsid w:val="001645B1"/>
    <w:rsid w:val="001666C9"/>
    <w:rsid w:val="001771DD"/>
    <w:rsid w:val="00177995"/>
    <w:rsid w:val="00177A8C"/>
    <w:rsid w:val="001824B7"/>
    <w:rsid w:val="00186B33"/>
    <w:rsid w:val="00187F13"/>
    <w:rsid w:val="00192F9D"/>
    <w:rsid w:val="00196EB8"/>
    <w:rsid w:val="001979FF"/>
    <w:rsid w:val="00197B17"/>
    <w:rsid w:val="001A3ACE"/>
    <w:rsid w:val="001C2A72"/>
    <w:rsid w:val="001D0B75"/>
    <w:rsid w:val="001D38AE"/>
    <w:rsid w:val="001D3C09"/>
    <w:rsid w:val="001D44E8"/>
    <w:rsid w:val="001D60EC"/>
    <w:rsid w:val="001D7043"/>
    <w:rsid w:val="001D773D"/>
    <w:rsid w:val="001E44DF"/>
    <w:rsid w:val="001E68A5"/>
    <w:rsid w:val="001E73EF"/>
    <w:rsid w:val="001F3826"/>
    <w:rsid w:val="001F6E46"/>
    <w:rsid w:val="001F7C91"/>
    <w:rsid w:val="0020630E"/>
    <w:rsid w:val="00206463"/>
    <w:rsid w:val="00206F2F"/>
    <w:rsid w:val="0021053D"/>
    <w:rsid w:val="00210A92"/>
    <w:rsid w:val="002131E2"/>
    <w:rsid w:val="00216C03"/>
    <w:rsid w:val="002206B2"/>
    <w:rsid w:val="00220C04"/>
    <w:rsid w:val="0022701F"/>
    <w:rsid w:val="00232621"/>
    <w:rsid w:val="002333F5"/>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213D"/>
    <w:rsid w:val="002862F1"/>
    <w:rsid w:val="00291373"/>
    <w:rsid w:val="0029597D"/>
    <w:rsid w:val="002962C3"/>
    <w:rsid w:val="002A483C"/>
    <w:rsid w:val="002B1729"/>
    <w:rsid w:val="002B4DD4"/>
    <w:rsid w:val="002B5277"/>
    <w:rsid w:val="002B77C1"/>
    <w:rsid w:val="002C2728"/>
    <w:rsid w:val="002D5006"/>
    <w:rsid w:val="002E01D0"/>
    <w:rsid w:val="002E161D"/>
    <w:rsid w:val="002E6C95"/>
    <w:rsid w:val="002E7C36"/>
    <w:rsid w:val="002F4F6F"/>
    <w:rsid w:val="002F5F31"/>
    <w:rsid w:val="002F7F61"/>
    <w:rsid w:val="00302216"/>
    <w:rsid w:val="00303E53"/>
    <w:rsid w:val="003041C3"/>
    <w:rsid w:val="00305D25"/>
    <w:rsid w:val="00306E5F"/>
    <w:rsid w:val="00307E14"/>
    <w:rsid w:val="00310351"/>
    <w:rsid w:val="00310AFC"/>
    <w:rsid w:val="00314054"/>
    <w:rsid w:val="00316F27"/>
    <w:rsid w:val="00327870"/>
    <w:rsid w:val="003323DF"/>
    <w:rsid w:val="0033259D"/>
    <w:rsid w:val="003406C6"/>
    <w:rsid w:val="003418CC"/>
    <w:rsid w:val="00344EBE"/>
    <w:rsid w:val="003459BD"/>
    <w:rsid w:val="00350D38"/>
    <w:rsid w:val="0036022F"/>
    <w:rsid w:val="003613F9"/>
    <w:rsid w:val="0037290E"/>
    <w:rsid w:val="003744CF"/>
    <w:rsid w:val="00374717"/>
    <w:rsid w:val="0037676C"/>
    <w:rsid w:val="00380BA4"/>
    <w:rsid w:val="003829E5"/>
    <w:rsid w:val="003956CC"/>
    <w:rsid w:val="00395C9A"/>
    <w:rsid w:val="003A3438"/>
    <w:rsid w:val="003A6B67"/>
    <w:rsid w:val="003B15E6"/>
    <w:rsid w:val="003C2045"/>
    <w:rsid w:val="003C2440"/>
    <w:rsid w:val="003C43A1"/>
    <w:rsid w:val="003C4FC0"/>
    <w:rsid w:val="003C55F4"/>
    <w:rsid w:val="003C7A3F"/>
    <w:rsid w:val="003D36D8"/>
    <w:rsid w:val="003D3E8F"/>
    <w:rsid w:val="003D6475"/>
    <w:rsid w:val="003E2E5F"/>
    <w:rsid w:val="003F0445"/>
    <w:rsid w:val="003F0CF0"/>
    <w:rsid w:val="003F3289"/>
    <w:rsid w:val="00400F53"/>
    <w:rsid w:val="00401FCF"/>
    <w:rsid w:val="00406285"/>
    <w:rsid w:val="00406D62"/>
    <w:rsid w:val="004148F9"/>
    <w:rsid w:val="0042084E"/>
    <w:rsid w:val="0042175D"/>
    <w:rsid w:val="00421EEF"/>
    <w:rsid w:val="00424D65"/>
    <w:rsid w:val="00425CC4"/>
    <w:rsid w:val="004367B3"/>
    <w:rsid w:val="00442C6C"/>
    <w:rsid w:val="00443CBE"/>
    <w:rsid w:val="00443E8A"/>
    <w:rsid w:val="004441BC"/>
    <w:rsid w:val="0045230A"/>
    <w:rsid w:val="00457337"/>
    <w:rsid w:val="0047372D"/>
    <w:rsid w:val="004743DD"/>
    <w:rsid w:val="00474CEA"/>
    <w:rsid w:val="004828D4"/>
    <w:rsid w:val="00483968"/>
    <w:rsid w:val="0048442F"/>
    <w:rsid w:val="00484F86"/>
    <w:rsid w:val="00490746"/>
    <w:rsid w:val="00490852"/>
    <w:rsid w:val="00492D85"/>
    <w:rsid w:val="00492F30"/>
    <w:rsid w:val="004946F4"/>
    <w:rsid w:val="0049487E"/>
    <w:rsid w:val="004A160D"/>
    <w:rsid w:val="004A3E81"/>
    <w:rsid w:val="004A4EF1"/>
    <w:rsid w:val="004A5C62"/>
    <w:rsid w:val="004A707D"/>
    <w:rsid w:val="004C6EEE"/>
    <w:rsid w:val="004C702B"/>
    <w:rsid w:val="004D016B"/>
    <w:rsid w:val="004D1B22"/>
    <w:rsid w:val="004D36F2"/>
    <w:rsid w:val="004E138F"/>
    <w:rsid w:val="004E3D31"/>
    <w:rsid w:val="004E4649"/>
    <w:rsid w:val="004E5C2B"/>
    <w:rsid w:val="004E7DBA"/>
    <w:rsid w:val="004E7E8C"/>
    <w:rsid w:val="004F00DD"/>
    <w:rsid w:val="004F2133"/>
    <w:rsid w:val="004F55F1"/>
    <w:rsid w:val="004F6936"/>
    <w:rsid w:val="005027C0"/>
    <w:rsid w:val="00503DC6"/>
    <w:rsid w:val="00506F5D"/>
    <w:rsid w:val="00510D9E"/>
    <w:rsid w:val="005126D0"/>
    <w:rsid w:val="0051568D"/>
    <w:rsid w:val="00526C15"/>
    <w:rsid w:val="005273B4"/>
    <w:rsid w:val="005277A5"/>
    <w:rsid w:val="00536499"/>
    <w:rsid w:val="00541ADB"/>
    <w:rsid w:val="00543903"/>
    <w:rsid w:val="00547A95"/>
    <w:rsid w:val="00554C5D"/>
    <w:rsid w:val="00557E03"/>
    <w:rsid w:val="00561FA3"/>
    <w:rsid w:val="00572031"/>
    <w:rsid w:val="00576E84"/>
    <w:rsid w:val="00582B8C"/>
    <w:rsid w:val="0058757E"/>
    <w:rsid w:val="00596A4B"/>
    <w:rsid w:val="00597507"/>
    <w:rsid w:val="005B21B6"/>
    <w:rsid w:val="005B3A08"/>
    <w:rsid w:val="005B7A63"/>
    <w:rsid w:val="005C052F"/>
    <w:rsid w:val="005C0955"/>
    <w:rsid w:val="005C49DA"/>
    <w:rsid w:val="005C50F3"/>
    <w:rsid w:val="005C5D91"/>
    <w:rsid w:val="005C77D1"/>
    <w:rsid w:val="005D07B8"/>
    <w:rsid w:val="005D5EF2"/>
    <w:rsid w:val="005D6597"/>
    <w:rsid w:val="005E14E7"/>
    <w:rsid w:val="005E26A3"/>
    <w:rsid w:val="005E447E"/>
    <w:rsid w:val="005F0775"/>
    <w:rsid w:val="005F0CF5"/>
    <w:rsid w:val="005F21EB"/>
    <w:rsid w:val="00605908"/>
    <w:rsid w:val="00605F1B"/>
    <w:rsid w:val="00610D7C"/>
    <w:rsid w:val="00613414"/>
    <w:rsid w:val="0062408D"/>
    <w:rsid w:val="006240CC"/>
    <w:rsid w:val="00627DA7"/>
    <w:rsid w:val="0063008A"/>
    <w:rsid w:val="006358B4"/>
    <w:rsid w:val="006419AA"/>
    <w:rsid w:val="006447F0"/>
    <w:rsid w:val="00644B7E"/>
    <w:rsid w:val="006454E6"/>
    <w:rsid w:val="00646A68"/>
    <w:rsid w:val="0065092E"/>
    <w:rsid w:val="006557A7"/>
    <w:rsid w:val="00656290"/>
    <w:rsid w:val="006615AC"/>
    <w:rsid w:val="006621D7"/>
    <w:rsid w:val="0066302A"/>
    <w:rsid w:val="00670597"/>
    <w:rsid w:val="006706D0"/>
    <w:rsid w:val="00677574"/>
    <w:rsid w:val="0068454C"/>
    <w:rsid w:val="00691B62"/>
    <w:rsid w:val="00693D14"/>
    <w:rsid w:val="006A016F"/>
    <w:rsid w:val="006A18C2"/>
    <w:rsid w:val="006B077C"/>
    <w:rsid w:val="006D2A3F"/>
    <w:rsid w:val="006E138B"/>
    <w:rsid w:val="006F1FDC"/>
    <w:rsid w:val="006F2BE2"/>
    <w:rsid w:val="007013EF"/>
    <w:rsid w:val="007034E7"/>
    <w:rsid w:val="007216AA"/>
    <w:rsid w:val="00721AB5"/>
    <w:rsid w:val="00721DEF"/>
    <w:rsid w:val="00724A43"/>
    <w:rsid w:val="00726159"/>
    <w:rsid w:val="007346E4"/>
    <w:rsid w:val="00736FF8"/>
    <w:rsid w:val="00740F22"/>
    <w:rsid w:val="00741F1A"/>
    <w:rsid w:val="007450F8"/>
    <w:rsid w:val="0074696E"/>
    <w:rsid w:val="00750135"/>
    <w:rsid w:val="00752B28"/>
    <w:rsid w:val="00754E36"/>
    <w:rsid w:val="00760D84"/>
    <w:rsid w:val="00763139"/>
    <w:rsid w:val="00770F37"/>
    <w:rsid w:val="00772D5E"/>
    <w:rsid w:val="00776928"/>
    <w:rsid w:val="00786F16"/>
    <w:rsid w:val="00796E20"/>
    <w:rsid w:val="007977A4"/>
    <w:rsid w:val="00797C32"/>
    <w:rsid w:val="007A0890"/>
    <w:rsid w:val="007A21D8"/>
    <w:rsid w:val="007B0914"/>
    <w:rsid w:val="007B0EA1"/>
    <w:rsid w:val="007B1374"/>
    <w:rsid w:val="007B589F"/>
    <w:rsid w:val="007B6186"/>
    <w:rsid w:val="007C14D9"/>
    <w:rsid w:val="007C7301"/>
    <w:rsid w:val="007C7859"/>
    <w:rsid w:val="007D2BDE"/>
    <w:rsid w:val="007D2FB6"/>
    <w:rsid w:val="007E0DE2"/>
    <w:rsid w:val="007F31B6"/>
    <w:rsid w:val="007F546C"/>
    <w:rsid w:val="007F665E"/>
    <w:rsid w:val="00800412"/>
    <w:rsid w:val="0080587B"/>
    <w:rsid w:val="00806468"/>
    <w:rsid w:val="00814111"/>
    <w:rsid w:val="008155F0"/>
    <w:rsid w:val="00816735"/>
    <w:rsid w:val="00820141"/>
    <w:rsid w:val="008204A8"/>
    <w:rsid w:val="00820E0C"/>
    <w:rsid w:val="008338A2"/>
    <w:rsid w:val="00840DF3"/>
    <w:rsid w:val="0084417C"/>
    <w:rsid w:val="00852D57"/>
    <w:rsid w:val="00853EE4"/>
    <w:rsid w:val="00855535"/>
    <w:rsid w:val="00856385"/>
    <w:rsid w:val="008633F0"/>
    <w:rsid w:val="0086791C"/>
    <w:rsid w:val="00867D9D"/>
    <w:rsid w:val="00872E0A"/>
    <w:rsid w:val="00875285"/>
    <w:rsid w:val="00884B62"/>
    <w:rsid w:val="0088529C"/>
    <w:rsid w:val="00887903"/>
    <w:rsid w:val="0089270A"/>
    <w:rsid w:val="00893AF6"/>
    <w:rsid w:val="00894BC4"/>
    <w:rsid w:val="008B2EE4"/>
    <w:rsid w:val="008B2F9E"/>
    <w:rsid w:val="008B4D3D"/>
    <w:rsid w:val="008B57C7"/>
    <w:rsid w:val="008C2F92"/>
    <w:rsid w:val="008C3808"/>
    <w:rsid w:val="008C65EB"/>
    <w:rsid w:val="008D2F4B"/>
    <w:rsid w:val="008D4236"/>
    <w:rsid w:val="008D462F"/>
    <w:rsid w:val="008E4376"/>
    <w:rsid w:val="008E7A0A"/>
    <w:rsid w:val="00900719"/>
    <w:rsid w:val="009017AC"/>
    <w:rsid w:val="00905030"/>
    <w:rsid w:val="00906490"/>
    <w:rsid w:val="009111B2"/>
    <w:rsid w:val="00921058"/>
    <w:rsid w:val="00923937"/>
    <w:rsid w:val="00924AE1"/>
    <w:rsid w:val="009269B1"/>
    <w:rsid w:val="0092724D"/>
    <w:rsid w:val="00937BD9"/>
    <w:rsid w:val="00950E2C"/>
    <w:rsid w:val="00951D50"/>
    <w:rsid w:val="009525EB"/>
    <w:rsid w:val="0095645E"/>
    <w:rsid w:val="00961400"/>
    <w:rsid w:val="00963646"/>
    <w:rsid w:val="0097480A"/>
    <w:rsid w:val="009853E1"/>
    <w:rsid w:val="00986E6B"/>
    <w:rsid w:val="00991769"/>
    <w:rsid w:val="00994386"/>
    <w:rsid w:val="009A0E17"/>
    <w:rsid w:val="009A13D8"/>
    <w:rsid w:val="009A279E"/>
    <w:rsid w:val="009B0A6F"/>
    <w:rsid w:val="009B2FCB"/>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101F4"/>
    <w:rsid w:val="00A11421"/>
    <w:rsid w:val="00A157B1"/>
    <w:rsid w:val="00A22229"/>
    <w:rsid w:val="00A36213"/>
    <w:rsid w:val="00A441D4"/>
    <w:rsid w:val="00A44882"/>
    <w:rsid w:val="00A5196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E040C"/>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31E8"/>
    <w:rsid w:val="00B43201"/>
    <w:rsid w:val="00B45141"/>
    <w:rsid w:val="00B5273A"/>
    <w:rsid w:val="00B62B50"/>
    <w:rsid w:val="00B635B7"/>
    <w:rsid w:val="00B63AE8"/>
    <w:rsid w:val="00B65950"/>
    <w:rsid w:val="00B672C0"/>
    <w:rsid w:val="00B75646"/>
    <w:rsid w:val="00B81E28"/>
    <w:rsid w:val="00B90729"/>
    <w:rsid w:val="00B907DA"/>
    <w:rsid w:val="00B950BC"/>
    <w:rsid w:val="00B9714C"/>
    <w:rsid w:val="00BA3F8D"/>
    <w:rsid w:val="00BA4845"/>
    <w:rsid w:val="00BB6F41"/>
    <w:rsid w:val="00BB7A10"/>
    <w:rsid w:val="00BC7D4F"/>
    <w:rsid w:val="00BC7ED7"/>
    <w:rsid w:val="00BD2850"/>
    <w:rsid w:val="00BE1DE0"/>
    <w:rsid w:val="00BE28D2"/>
    <w:rsid w:val="00BF5F6F"/>
    <w:rsid w:val="00BF7F58"/>
    <w:rsid w:val="00C01381"/>
    <w:rsid w:val="00C03B79"/>
    <w:rsid w:val="00C079B8"/>
    <w:rsid w:val="00C123EA"/>
    <w:rsid w:val="00C125E4"/>
    <w:rsid w:val="00C12A49"/>
    <w:rsid w:val="00C133EE"/>
    <w:rsid w:val="00C17EFB"/>
    <w:rsid w:val="00C23DB1"/>
    <w:rsid w:val="00C27DE9"/>
    <w:rsid w:val="00C33388"/>
    <w:rsid w:val="00C4173A"/>
    <w:rsid w:val="00C426E2"/>
    <w:rsid w:val="00C461FB"/>
    <w:rsid w:val="00C47436"/>
    <w:rsid w:val="00C47C8F"/>
    <w:rsid w:val="00C602FF"/>
    <w:rsid w:val="00C61174"/>
    <w:rsid w:val="00C6148F"/>
    <w:rsid w:val="00C62F7A"/>
    <w:rsid w:val="00C63B9C"/>
    <w:rsid w:val="00C6682F"/>
    <w:rsid w:val="00C7275E"/>
    <w:rsid w:val="00C74C5D"/>
    <w:rsid w:val="00C863C4"/>
    <w:rsid w:val="00C93C3E"/>
    <w:rsid w:val="00C9766D"/>
    <w:rsid w:val="00CA12E3"/>
    <w:rsid w:val="00CA6611"/>
    <w:rsid w:val="00CA6B58"/>
    <w:rsid w:val="00CC0C72"/>
    <w:rsid w:val="00CC2BFD"/>
    <w:rsid w:val="00CD3476"/>
    <w:rsid w:val="00CD64DF"/>
    <w:rsid w:val="00CF0B09"/>
    <w:rsid w:val="00CF2F50"/>
    <w:rsid w:val="00CF41DA"/>
    <w:rsid w:val="00D02919"/>
    <w:rsid w:val="00D04C61"/>
    <w:rsid w:val="00D0539B"/>
    <w:rsid w:val="00D05B8D"/>
    <w:rsid w:val="00D065A2"/>
    <w:rsid w:val="00D07F00"/>
    <w:rsid w:val="00D1790F"/>
    <w:rsid w:val="00D32B8A"/>
    <w:rsid w:val="00D33E72"/>
    <w:rsid w:val="00D35BD6"/>
    <w:rsid w:val="00D361B5"/>
    <w:rsid w:val="00D411A2"/>
    <w:rsid w:val="00D4711A"/>
    <w:rsid w:val="00D50B9C"/>
    <w:rsid w:val="00D52D73"/>
    <w:rsid w:val="00D52E58"/>
    <w:rsid w:val="00D714CC"/>
    <w:rsid w:val="00D75EA7"/>
    <w:rsid w:val="00D81F21"/>
    <w:rsid w:val="00D95470"/>
    <w:rsid w:val="00DA2619"/>
    <w:rsid w:val="00DA4239"/>
    <w:rsid w:val="00DB0A04"/>
    <w:rsid w:val="00DB0B6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14388"/>
    <w:rsid w:val="00E170DC"/>
    <w:rsid w:val="00E21842"/>
    <w:rsid w:val="00E23265"/>
    <w:rsid w:val="00E26818"/>
    <w:rsid w:val="00E27FFC"/>
    <w:rsid w:val="00E30B15"/>
    <w:rsid w:val="00E40181"/>
    <w:rsid w:val="00E43426"/>
    <w:rsid w:val="00E45931"/>
    <w:rsid w:val="00E53A79"/>
    <w:rsid w:val="00E629A1"/>
    <w:rsid w:val="00E75CCB"/>
    <w:rsid w:val="00E82C55"/>
    <w:rsid w:val="00E87893"/>
    <w:rsid w:val="00E92AC3"/>
    <w:rsid w:val="00EB00E0"/>
    <w:rsid w:val="00EB3422"/>
    <w:rsid w:val="00EC059F"/>
    <w:rsid w:val="00EC1F24"/>
    <w:rsid w:val="00EC22F6"/>
    <w:rsid w:val="00EC4749"/>
    <w:rsid w:val="00ED5B9B"/>
    <w:rsid w:val="00ED6BAD"/>
    <w:rsid w:val="00ED7447"/>
    <w:rsid w:val="00ED79F1"/>
    <w:rsid w:val="00EE1488"/>
    <w:rsid w:val="00EE4D5D"/>
    <w:rsid w:val="00EE5131"/>
    <w:rsid w:val="00EE6B38"/>
    <w:rsid w:val="00EF109B"/>
    <w:rsid w:val="00EF36AF"/>
    <w:rsid w:val="00F00F9C"/>
    <w:rsid w:val="00F02ABA"/>
    <w:rsid w:val="00F03137"/>
    <w:rsid w:val="00F0437A"/>
    <w:rsid w:val="00F11037"/>
    <w:rsid w:val="00F16F1B"/>
    <w:rsid w:val="00F203D3"/>
    <w:rsid w:val="00F213F4"/>
    <w:rsid w:val="00F250A9"/>
    <w:rsid w:val="00F26794"/>
    <w:rsid w:val="00F30FF4"/>
    <w:rsid w:val="00F3122E"/>
    <w:rsid w:val="00F331AD"/>
    <w:rsid w:val="00F43A37"/>
    <w:rsid w:val="00F4641B"/>
    <w:rsid w:val="00F466BA"/>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947D2"/>
    <w:rsid w:val="00FA2C46"/>
    <w:rsid w:val="00FA6B67"/>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5277A5"/>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310AFC"/>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310AFC"/>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paragraph" w:styleId="NormalWeb">
    <w:name w:val="Normal (Web)"/>
    <w:basedOn w:val="Normal"/>
    <w:uiPriority w:val="99"/>
    <w:semiHidden/>
    <w:unhideWhenUsed/>
    <w:rsid w:val="007A0890"/>
    <w:pPr>
      <w:spacing w:before="100" w:beforeAutospacing="1" w:after="100" w:afterAutospacing="1"/>
    </w:pPr>
    <w:rPr>
      <w:rFonts w:ascii="Times New Roman" w:hAnsi="Times New Roman"/>
      <w:sz w:val="24"/>
      <w:szCs w:val="24"/>
      <w:lang w:eastAsia="en-AU"/>
    </w:rPr>
  </w:style>
  <w:style w:type="character" w:customStyle="1" w:styleId="DHHSbodyChar">
    <w:name w:val="DHHS body Char"/>
    <w:basedOn w:val="DefaultParagraphFont"/>
    <w:link w:val="DHHSbody"/>
    <w:rsid w:val="003323DF"/>
    <w:rPr>
      <w:rFonts w:ascii="Arial" w:eastAsia="Times"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5277A5"/>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310AFC"/>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310AFC"/>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paragraph" w:styleId="NormalWeb">
    <w:name w:val="Normal (Web)"/>
    <w:basedOn w:val="Normal"/>
    <w:uiPriority w:val="99"/>
    <w:semiHidden/>
    <w:unhideWhenUsed/>
    <w:rsid w:val="007A0890"/>
    <w:pPr>
      <w:spacing w:before="100" w:beforeAutospacing="1" w:after="100" w:afterAutospacing="1"/>
    </w:pPr>
    <w:rPr>
      <w:rFonts w:ascii="Times New Roman" w:hAnsi="Times New Roman"/>
      <w:sz w:val="24"/>
      <w:szCs w:val="24"/>
      <w:lang w:eastAsia="en-AU"/>
    </w:rPr>
  </w:style>
  <w:style w:type="character" w:customStyle="1" w:styleId="DHHSbodyChar">
    <w:name w:val="DHHS body Char"/>
    <w:basedOn w:val="DefaultParagraphFont"/>
    <w:link w:val="DHHSbody"/>
    <w:rsid w:val="003323DF"/>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697007081">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yperlink" Target="https://www.dhhs.vic.gov.au/better-regulatory-practice-framework" TargetMode="External"/><Relationship Id="rId2" Type="http://schemas.openxmlformats.org/officeDocument/2006/relationships/numbering" Target="numbering.xml"/><Relationship Id="rId16" Type="http://schemas.openxmlformats.org/officeDocument/2006/relationships/hyperlink" Target="mailto:tobacco.policy@dhhs.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Landscape%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DAFF-FC0F-403B-81B0-E82640B3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Landscape 04 Green 7726.dot</Template>
  <TotalTime>0</TotalTime>
  <Pages>2</Pages>
  <Words>593</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Tobacco control regulator plan on a page: Tobacco control regulator plan March 2018 – June 2019</vt:lpstr>
    </vt:vector>
  </TitlesOfParts>
  <Company>Department of Health and Human Services</Company>
  <LinksUpToDate>false</LinksUpToDate>
  <CharactersWithSpaces>4408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regulator plan on a page: Tobacco control regulator plan March 2018 – June 2019</dc:title>
  <dc:subject>regulator plan on a page</dc:subject>
  <dc:creator>Tobacco Control Section</dc:creator>
  <cp:keywords>Tobacco control regulator plan on a page: Tobacco control regulator plan March 2018 – June 2019, plan on a page</cp:keywords>
  <cp:revision>2</cp:revision>
  <cp:lastPrinted>2018-02-28T00:08:00Z</cp:lastPrinted>
  <dcterms:created xsi:type="dcterms:W3CDTF">2018-05-03T00:45:00Z</dcterms:created>
  <dcterms:modified xsi:type="dcterms:W3CDTF">2018-05-03T00:45:00Z</dcterms:modified>
  <cp:category>Tobacco control regulator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