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83A2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47F7EE3B" wp14:editId="0D7B376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9957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61F6BC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C272E13" w14:textId="736D53D9" w:rsidR="003B5733" w:rsidRPr="003B5733" w:rsidRDefault="006028D1" w:rsidP="003B5733">
            <w:pPr>
              <w:pStyle w:val="Documenttitle"/>
            </w:pPr>
            <w:r w:rsidRPr="006028D1">
              <w:t>Prophylactic use of RhD immunoglobulin for RhD-negative women</w:t>
            </w:r>
          </w:p>
        </w:tc>
      </w:tr>
      <w:tr w:rsidR="003B5733" w14:paraId="77E62BD5" w14:textId="77777777" w:rsidTr="00B07FF7">
        <w:tc>
          <w:tcPr>
            <w:tcW w:w="10348" w:type="dxa"/>
          </w:tcPr>
          <w:p w14:paraId="0195E63A" w14:textId="77777777" w:rsidR="009F5AE2" w:rsidRPr="005D102A" w:rsidRDefault="009F5AE2" w:rsidP="009F5AE2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b/>
              </w:rPr>
            </w:pPr>
            <w:r>
              <w:rPr>
                <w:b/>
              </w:rPr>
              <w:t>Accessible text-equivalent version</w:t>
            </w:r>
          </w:p>
          <w:p w14:paraId="26B825FB" w14:textId="77777777" w:rsidR="009F5AE2" w:rsidRDefault="009F5AE2" w:rsidP="001E5058">
            <w:pPr>
              <w:pStyle w:val="Bannermarking"/>
            </w:pPr>
          </w:p>
          <w:p w14:paraId="72746F7E" w14:textId="503BF1CD" w:rsidR="003B5733" w:rsidRPr="001E5058" w:rsidRDefault="00EF0CE4" w:rsidP="001E5058">
            <w:pPr>
              <w:pStyle w:val="Bannermarking"/>
            </w:pPr>
            <w:fldSimple w:instr=" FILLIN  &quot;Type the protective marking&quot; \d OFFICIAL \o  \* MERGEFORMAT ">
              <w:r w:rsidR="001B462B">
                <w:t>OFFICIAL</w:t>
              </w:r>
            </w:fldSimple>
          </w:p>
        </w:tc>
      </w:tr>
    </w:tbl>
    <w:p w14:paraId="515EDC3E" w14:textId="0566FF46" w:rsidR="007173CA" w:rsidRDefault="007173CA" w:rsidP="00D079AA">
      <w:pPr>
        <w:pStyle w:val="Body"/>
      </w:pPr>
    </w:p>
    <w:p w14:paraId="3F34062C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70BE28B" w14:textId="4FF6193D" w:rsidR="00C8156A" w:rsidRDefault="00C8156A" w:rsidP="005D102A">
      <w:pPr>
        <w:pStyle w:val="Bullet1"/>
        <w:rPr>
          <w:b/>
        </w:rPr>
      </w:pPr>
      <w:r w:rsidRPr="00C8156A">
        <w:t xml:space="preserve">Maternal </w:t>
      </w:r>
      <w:proofErr w:type="spellStart"/>
      <w:r w:rsidRPr="00C8156A">
        <w:t>RhD</w:t>
      </w:r>
      <w:proofErr w:type="spellEnd"/>
      <w:r w:rsidRPr="00C8156A">
        <w:t xml:space="preserve"> antibodies may develop during pregnancy when an </w:t>
      </w:r>
      <w:proofErr w:type="spellStart"/>
      <w:r w:rsidRPr="00C8156A">
        <w:t>RhD</w:t>
      </w:r>
      <w:proofErr w:type="spellEnd"/>
      <w:r w:rsidRPr="00C8156A">
        <w:t xml:space="preserve"> negative pregnant </w:t>
      </w:r>
      <w:r w:rsidRPr="008F4361">
        <w:t>woman</w:t>
      </w:r>
      <w:r w:rsidRPr="00C8156A">
        <w:t xml:space="preserve"> carries an Rh D positive </w:t>
      </w:r>
      <w:proofErr w:type="spellStart"/>
      <w:r w:rsidRPr="00C8156A">
        <w:t>fetus</w:t>
      </w:r>
      <w:proofErr w:type="spellEnd"/>
      <w:r>
        <w:t>.</w:t>
      </w:r>
    </w:p>
    <w:p w14:paraId="224F29D8" w14:textId="14745711" w:rsidR="006028D1" w:rsidRPr="006028D1" w:rsidRDefault="006028D1" w:rsidP="005D102A">
      <w:pPr>
        <w:pStyle w:val="Bullet1"/>
        <w:rPr>
          <w:b/>
        </w:rPr>
      </w:pPr>
      <w:r w:rsidRPr="006028D1">
        <w:t xml:space="preserve">Perform ABO and </w:t>
      </w:r>
      <w:proofErr w:type="spellStart"/>
      <w:r w:rsidRPr="008F4361">
        <w:t>RhD</w:t>
      </w:r>
      <w:proofErr w:type="spellEnd"/>
      <w:r w:rsidRPr="006028D1">
        <w:t xml:space="preserve"> blood groups and antibody screen early in pregnancy</w:t>
      </w:r>
      <w:r w:rsidR="005D102A">
        <w:t>.</w:t>
      </w:r>
    </w:p>
    <w:p w14:paraId="52050EB2" w14:textId="3A9DBD24" w:rsidR="006028D1" w:rsidRPr="006028D1" w:rsidRDefault="006028D1" w:rsidP="005D102A">
      <w:pPr>
        <w:pStyle w:val="Bullet1"/>
        <w:rPr>
          <w:b/>
          <w:bCs/>
          <w:szCs w:val="32"/>
        </w:rPr>
      </w:pPr>
      <w:r w:rsidRPr="006028D1">
        <w:rPr>
          <w:bCs/>
        </w:rPr>
        <w:t xml:space="preserve">Test maternal blood to </w:t>
      </w:r>
      <w:r w:rsidRPr="008F4361">
        <w:t>determine</w:t>
      </w:r>
      <w:r w:rsidRPr="006028D1">
        <w:rPr>
          <w:bCs/>
        </w:rPr>
        <w:t xml:space="preserve"> </w:t>
      </w:r>
      <w:proofErr w:type="spellStart"/>
      <w:r w:rsidRPr="006028D1">
        <w:rPr>
          <w:bCs/>
        </w:rPr>
        <w:t>fetal</w:t>
      </w:r>
      <w:proofErr w:type="spellEnd"/>
      <w:r w:rsidRPr="006028D1">
        <w:rPr>
          <w:bCs/>
        </w:rPr>
        <w:t xml:space="preserve"> </w:t>
      </w:r>
      <w:proofErr w:type="spellStart"/>
      <w:r w:rsidRPr="006028D1">
        <w:rPr>
          <w:bCs/>
        </w:rPr>
        <w:t>RhD</w:t>
      </w:r>
      <w:proofErr w:type="spellEnd"/>
      <w:r w:rsidRPr="006028D1">
        <w:rPr>
          <w:bCs/>
        </w:rPr>
        <w:t xml:space="preserve"> genotype from 11 weeks (note current restricted use)</w:t>
      </w:r>
      <w:r w:rsidR="005D102A">
        <w:rPr>
          <w:bCs/>
        </w:rPr>
        <w:t>.S</w:t>
      </w:r>
      <w:r w:rsidRPr="005D102A">
        <w:rPr>
          <w:rStyle w:val="BodyChar"/>
        </w:rPr>
        <w:t xml:space="preserve">ee </w:t>
      </w:r>
      <w:hyperlink r:id="rId16" w:history="1">
        <w:r w:rsidRPr="005D102A">
          <w:rPr>
            <w:rStyle w:val="Hyperlink"/>
          </w:rPr>
          <w:t>Testing of maternal blood group to determine fetal RhD genotype</w:t>
        </w:r>
      </w:hyperlink>
      <w:r w:rsidR="005D102A" w:rsidRPr="005D102A">
        <w:rPr>
          <w:rStyle w:val="BodyChar"/>
        </w:rPr>
        <w:t xml:space="preserve"> </w:t>
      </w:r>
      <w:r w:rsidRPr="005D102A">
        <w:rPr>
          <w:rStyle w:val="BodyChar"/>
        </w:rPr>
        <w:t>&lt;https://www.blood.gov.au/testing-maternal-blood-determine-fetal-rhd-genotype&gt;</w:t>
      </w:r>
      <w:r w:rsidR="005D102A">
        <w:rPr>
          <w:bCs/>
          <w:szCs w:val="32"/>
        </w:rPr>
        <w:t>.</w:t>
      </w:r>
    </w:p>
    <w:p w14:paraId="48286E9A" w14:textId="0AFE564A" w:rsidR="006028D1" w:rsidRDefault="006028D1" w:rsidP="005D102A">
      <w:pPr>
        <w:pStyle w:val="Bullet1"/>
        <w:rPr>
          <w:color w:val="53565A"/>
        </w:rPr>
      </w:pPr>
      <w:r w:rsidRPr="006028D1">
        <w:t xml:space="preserve">Give </w:t>
      </w:r>
      <w:proofErr w:type="spellStart"/>
      <w:r w:rsidRPr="006028D1">
        <w:t>RhD</w:t>
      </w:r>
      <w:proofErr w:type="spellEnd"/>
      <w:r w:rsidRPr="006028D1">
        <w:t xml:space="preserve"> </w:t>
      </w:r>
      <w:proofErr w:type="spellStart"/>
      <w:r w:rsidRPr="006028D1">
        <w:t>immunoprophylaxis</w:t>
      </w:r>
      <w:proofErr w:type="spellEnd"/>
      <w:r w:rsidRPr="006028D1">
        <w:t xml:space="preserve"> </w:t>
      </w:r>
      <w:r w:rsidR="00352C06">
        <w:t xml:space="preserve">(625 IU) </w:t>
      </w:r>
      <w:r w:rsidRPr="006028D1">
        <w:t xml:space="preserve">at 28 </w:t>
      </w:r>
      <w:r w:rsidRPr="008F4361">
        <w:t>and</w:t>
      </w:r>
      <w:r w:rsidRPr="006028D1">
        <w:t xml:space="preserve"> 34 weeks for RhD negative women with known </w:t>
      </w:r>
      <w:proofErr w:type="spellStart"/>
      <w:r w:rsidRPr="006028D1">
        <w:t>RhD</w:t>
      </w:r>
      <w:proofErr w:type="spellEnd"/>
      <w:r w:rsidRPr="006028D1">
        <w:t xml:space="preserve"> positive </w:t>
      </w:r>
      <w:proofErr w:type="spellStart"/>
      <w:r w:rsidRPr="006028D1">
        <w:t>fetus</w:t>
      </w:r>
      <w:proofErr w:type="spellEnd"/>
      <w:r w:rsidRPr="006028D1">
        <w:t xml:space="preserve">, or where the RhD group of the </w:t>
      </w:r>
      <w:proofErr w:type="spellStart"/>
      <w:r w:rsidRPr="006028D1">
        <w:t>fetus</w:t>
      </w:r>
      <w:proofErr w:type="spellEnd"/>
      <w:r w:rsidRPr="006028D1">
        <w:t xml:space="preserve"> is unknown</w:t>
      </w:r>
      <w:r w:rsidRPr="006028D1">
        <w:rPr>
          <w:color w:val="53565A"/>
        </w:rPr>
        <w:t>.</w:t>
      </w:r>
    </w:p>
    <w:p w14:paraId="082CAD89" w14:textId="31365813" w:rsidR="000F1F1E" w:rsidRDefault="00DA6868" w:rsidP="00D65EC3">
      <w:pPr>
        <w:pStyle w:val="Heading1"/>
      </w:pPr>
      <w:r w:rsidRPr="00DA6868">
        <w:t xml:space="preserve">Sensitising events require </w:t>
      </w:r>
      <w:proofErr w:type="spellStart"/>
      <w:r w:rsidRPr="00DA6868">
        <w:t>RhD</w:t>
      </w:r>
      <w:proofErr w:type="spellEnd"/>
      <w:r w:rsidRPr="00DA6868">
        <w:t xml:space="preserve"> immunoglobin (</w:t>
      </w:r>
      <w:proofErr w:type="spellStart"/>
      <w:r w:rsidRPr="00DA6868">
        <w:t>RhD</w:t>
      </w:r>
      <w:proofErr w:type="spellEnd"/>
      <w:r w:rsidRPr="00DA6868">
        <w:t xml:space="preserve"> Ig)</w:t>
      </w:r>
    </w:p>
    <w:p w14:paraId="0DC1EDE3" w14:textId="5DACEC2F" w:rsidR="00352C06" w:rsidRPr="005D102A" w:rsidRDefault="00694A3E" w:rsidP="005D102A">
      <w:pPr>
        <w:pStyle w:val="Body"/>
      </w:pPr>
      <w:hyperlink r:id="rId17" w:history="1">
        <w:r w:rsidR="00C51777" w:rsidRPr="005D102A">
          <w:rPr>
            <w:rStyle w:val="Hyperlink"/>
          </w:rPr>
          <w:t>Prophylactic use of RhD immunoglobulin in pregnancy care 2021</w:t>
        </w:r>
      </w:hyperlink>
      <w:r w:rsidR="00C51777" w:rsidRPr="005D102A">
        <w:t xml:space="preserve"> </w:t>
      </w:r>
      <w:r w:rsidR="005D102A">
        <w:t>&lt;h</w:t>
      </w:r>
      <w:r w:rsidR="005D102A" w:rsidRPr="005D102A">
        <w:t>ttps://www.blood.gov.au/sites/default/files/Guideline for the prophylactic use of Rh D immunoglobulin in pregnancy care.pdf</w:t>
      </w:r>
      <w:r w:rsidR="005D102A">
        <w:t xml:space="preserve">&gt; </w:t>
      </w:r>
      <w:r w:rsidR="00C51777" w:rsidRPr="005D102A">
        <w:t xml:space="preserve">– </w:t>
      </w:r>
      <w:r w:rsidR="005D102A">
        <w:t>r</w:t>
      </w:r>
      <w:r w:rsidR="00C51777" w:rsidRPr="005D102A">
        <w:t>efer to pages 4</w:t>
      </w:r>
      <w:r w:rsidR="005D102A">
        <w:t>–</w:t>
      </w:r>
      <w:r w:rsidR="00C51777" w:rsidRPr="005D102A">
        <w:t>5.</w:t>
      </w:r>
    </w:p>
    <w:tbl>
      <w:tblPr>
        <w:tblStyle w:val="TableGrid"/>
        <w:tblW w:w="10207" w:type="dxa"/>
        <w:tblLook w:val="06A0" w:firstRow="1" w:lastRow="0" w:firstColumn="1" w:lastColumn="0" w:noHBand="1" w:noVBand="1"/>
      </w:tblPr>
      <w:tblGrid>
        <w:gridCol w:w="2552"/>
        <w:gridCol w:w="2552"/>
        <w:gridCol w:w="2552"/>
        <w:gridCol w:w="2551"/>
      </w:tblGrid>
      <w:tr w:rsidR="002365B4" w14:paraId="2679236A" w14:textId="77777777" w:rsidTr="00C621B1">
        <w:trPr>
          <w:tblHeader/>
        </w:trPr>
        <w:tc>
          <w:tcPr>
            <w:tcW w:w="2552" w:type="dxa"/>
          </w:tcPr>
          <w:p w14:paraId="350A1D3D" w14:textId="4A4EBF7D" w:rsidR="002365B4" w:rsidRPr="00CB3285" w:rsidRDefault="00DA6868" w:rsidP="002365B4">
            <w:pPr>
              <w:pStyle w:val="Tablecolhead"/>
            </w:pPr>
            <w:r w:rsidRPr="00DA6868">
              <w:t>Within the first 12 weeks</w:t>
            </w:r>
          </w:p>
        </w:tc>
        <w:tc>
          <w:tcPr>
            <w:tcW w:w="2552" w:type="dxa"/>
          </w:tcPr>
          <w:p w14:paraId="6010770A" w14:textId="54DCD867" w:rsidR="002365B4" w:rsidRDefault="00DA6868" w:rsidP="002365B4">
            <w:pPr>
              <w:pStyle w:val="Tablecolhead"/>
            </w:pPr>
            <w:r w:rsidRPr="00DA6868">
              <w:t>Between 13–20 weeks</w:t>
            </w:r>
          </w:p>
        </w:tc>
        <w:tc>
          <w:tcPr>
            <w:tcW w:w="2552" w:type="dxa"/>
          </w:tcPr>
          <w:p w14:paraId="72B39837" w14:textId="4E7B4138" w:rsidR="002365B4" w:rsidRDefault="00DA6868" w:rsidP="002365B4">
            <w:pPr>
              <w:pStyle w:val="Tablecolhead"/>
            </w:pPr>
            <w:r w:rsidRPr="00DA6868">
              <w:t>After 20 weeks</w:t>
            </w:r>
          </w:p>
        </w:tc>
        <w:tc>
          <w:tcPr>
            <w:tcW w:w="2551" w:type="dxa"/>
          </w:tcPr>
          <w:p w14:paraId="6EE37129" w14:textId="0F9C6B34" w:rsidR="002365B4" w:rsidRDefault="00DA6868" w:rsidP="002365B4">
            <w:pPr>
              <w:pStyle w:val="Tablecolhead"/>
            </w:pPr>
            <w:r w:rsidRPr="00DA6868">
              <w:t>Post-partum if RhD-positive baby</w:t>
            </w:r>
          </w:p>
        </w:tc>
      </w:tr>
      <w:tr w:rsidR="002365B4" w14:paraId="129EA873" w14:textId="77777777" w:rsidTr="00C621B1">
        <w:tc>
          <w:tcPr>
            <w:tcW w:w="2552" w:type="dxa"/>
          </w:tcPr>
          <w:p w14:paraId="74BA24CD" w14:textId="22736E02" w:rsidR="002365B4" w:rsidRDefault="00DA6868" w:rsidP="002365B4">
            <w:pPr>
              <w:pStyle w:val="Tabletext"/>
            </w:pPr>
            <w:r w:rsidRPr="00DA6868">
              <w:t>Give 250 IU RhD Ig as soon as practical within 72 hours of event.</w:t>
            </w:r>
          </w:p>
        </w:tc>
        <w:tc>
          <w:tcPr>
            <w:tcW w:w="2552" w:type="dxa"/>
          </w:tcPr>
          <w:p w14:paraId="6435B010" w14:textId="14E64BB1" w:rsidR="002365B4" w:rsidRDefault="00DA6868" w:rsidP="002365B4">
            <w:pPr>
              <w:pStyle w:val="Tabletext"/>
            </w:pPr>
            <w:r w:rsidRPr="00DA6868">
              <w:t>Give 625 IU RhD Ig as soon as practical within 72 hours of event.</w:t>
            </w:r>
          </w:p>
        </w:tc>
        <w:tc>
          <w:tcPr>
            <w:tcW w:w="2552" w:type="dxa"/>
          </w:tcPr>
          <w:p w14:paraId="5423CB36" w14:textId="51C80133" w:rsidR="002365B4" w:rsidRDefault="00DA6868" w:rsidP="00DA6868">
            <w:pPr>
              <w:pStyle w:val="Body"/>
            </w:pPr>
            <w:r w:rsidRPr="00DA6868">
              <w:t xml:space="preserve">Give 625 IU RhD Ig as soon as practical within 72 hours of event. Additional doses may be required based on </w:t>
            </w:r>
            <w:proofErr w:type="spellStart"/>
            <w:r w:rsidR="00262412" w:rsidRPr="00262412">
              <w:t>fetomaternal</w:t>
            </w:r>
            <w:proofErr w:type="spellEnd"/>
            <w:r w:rsidR="00262412" w:rsidRPr="00262412">
              <w:t xml:space="preserve"> haemorrhage</w:t>
            </w:r>
            <w:r w:rsidR="00262412">
              <w:t xml:space="preserve"> (</w:t>
            </w:r>
            <w:r w:rsidRPr="00DA6868">
              <w:t>FMH</w:t>
            </w:r>
            <w:r w:rsidR="00262412">
              <w:t>)</w:t>
            </w:r>
            <w:r w:rsidRPr="00DA6868">
              <w:t xml:space="preserve"> quantification.</w:t>
            </w:r>
          </w:p>
        </w:tc>
        <w:tc>
          <w:tcPr>
            <w:tcW w:w="2551" w:type="dxa"/>
          </w:tcPr>
          <w:p w14:paraId="7ECCD1EF" w14:textId="5F03A80C" w:rsidR="002365B4" w:rsidRDefault="00DA6868" w:rsidP="00DA6868">
            <w:pPr>
              <w:pStyle w:val="Body"/>
            </w:pPr>
            <w:r w:rsidRPr="00DA6868">
              <w:t>Give 625 IU RhD Ig as soon as practical. Additional doses may be required based on FMH quantification.</w:t>
            </w:r>
          </w:p>
        </w:tc>
      </w:tr>
    </w:tbl>
    <w:p w14:paraId="274C8AD8" w14:textId="77777777" w:rsidR="00C51777" w:rsidRDefault="00C51777" w:rsidP="00D65EC3">
      <w:pPr>
        <w:spacing w:after="0" w:line="240" w:lineRule="auto"/>
        <w:rPr>
          <w:rFonts w:eastAsia="Times"/>
        </w:rPr>
      </w:pPr>
    </w:p>
    <w:p w14:paraId="7FD10868" w14:textId="77777777" w:rsidR="00C51777" w:rsidRDefault="00C51777">
      <w:pPr>
        <w:spacing w:after="0" w:line="240" w:lineRule="auto"/>
        <w:rPr>
          <w:rFonts w:eastAsia="Times"/>
        </w:rPr>
      </w:pPr>
      <w:r>
        <w:rPr>
          <w:rFonts w:eastAsia="Times"/>
        </w:rPr>
        <w:br w:type="page"/>
      </w:r>
    </w:p>
    <w:p w14:paraId="0C553A46" w14:textId="46E52373" w:rsidR="00D65EC3" w:rsidRDefault="00D65EC3" w:rsidP="00D65EC3">
      <w:pPr>
        <w:spacing w:after="0" w:line="240" w:lineRule="auto"/>
        <w:rPr>
          <w:rFonts w:eastAsia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74D1" w14:paraId="6B4E7AD4" w14:textId="77777777" w:rsidTr="001374D1">
        <w:tc>
          <w:tcPr>
            <w:tcW w:w="10194" w:type="dxa"/>
          </w:tcPr>
          <w:p w14:paraId="72866CB2" w14:textId="77777777" w:rsidR="005D102A" w:rsidRDefault="005D102A" w:rsidP="005D102A">
            <w:pPr>
              <w:rPr>
                <w:sz w:val="22"/>
              </w:rPr>
            </w:pPr>
            <w:r w:rsidRPr="007738CA">
              <w:rPr>
                <w:sz w:val="22"/>
              </w:rPr>
              <w:t>For more information</w:t>
            </w:r>
            <w:r>
              <w:rPr>
                <w:sz w:val="22"/>
              </w:rPr>
              <w:t>:</w:t>
            </w:r>
          </w:p>
          <w:p w14:paraId="2A04E293" w14:textId="77777777" w:rsidR="005D102A" w:rsidRDefault="00694A3E" w:rsidP="005D102A">
            <w:pPr>
              <w:pStyle w:val="Bullet1"/>
              <w:rPr>
                <w:rStyle w:val="BodyChar"/>
              </w:rPr>
            </w:pPr>
            <w:hyperlink r:id="rId18" w:history="1">
              <w:r w:rsidR="005D102A">
                <w:rPr>
                  <w:rStyle w:val="Hyperlink"/>
                  <w:rFonts w:eastAsia="MS Gothic"/>
                  <w:sz w:val="22"/>
                </w:rPr>
                <w:t>Guideline for the prophylactic use of RhD immunoglobulin in pregnancy care</w:t>
              </w:r>
            </w:hyperlink>
            <w:r w:rsidR="005D102A">
              <w:rPr>
                <w:rStyle w:val="Hyperlink"/>
                <w:rFonts w:eastAsia="MS Gothic"/>
                <w:sz w:val="22"/>
              </w:rPr>
              <w:t xml:space="preserve"> [PDF] </w:t>
            </w:r>
            <w:r w:rsidR="005D102A" w:rsidRPr="009B76C4">
              <w:rPr>
                <w:rStyle w:val="BodyChar"/>
              </w:rPr>
              <w:t>&lt;https://www.blood.gov.au/sites/default/files/Guideline for the prophylactic use of Rh D immunoglobulin in pregnancy care.pdf&gt;</w:t>
            </w:r>
          </w:p>
          <w:p w14:paraId="1874F4CD" w14:textId="77777777" w:rsidR="005D102A" w:rsidRDefault="00694A3E" w:rsidP="005D102A">
            <w:pPr>
              <w:pStyle w:val="Bullet1"/>
              <w:rPr>
                <w:rStyle w:val="BodyChar"/>
              </w:rPr>
            </w:pPr>
            <w:hyperlink r:id="rId19" w:history="1">
              <w:r w:rsidR="005D102A" w:rsidRPr="000A1FDF">
                <w:rPr>
                  <w:rStyle w:val="Hyperlink"/>
                </w:rPr>
                <w:t>Prophylactic use of RhD immunoglobulin in pregnancy care</w:t>
              </w:r>
            </w:hyperlink>
            <w:r w:rsidR="005D102A">
              <w:rPr>
                <w:rStyle w:val="BodyChar"/>
              </w:rPr>
              <w:t xml:space="preserve"> &lt;</w:t>
            </w:r>
            <w:r w:rsidR="005D102A" w:rsidRPr="000A1FDF">
              <w:rPr>
                <w:rStyle w:val="BodyChar"/>
              </w:rPr>
              <w:t>https://www.blood.gov.au/anti-d-0</w:t>
            </w:r>
            <w:r w:rsidR="005D102A">
              <w:rPr>
                <w:rStyle w:val="BodyChar"/>
              </w:rPr>
              <w:t>&gt;</w:t>
            </w:r>
          </w:p>
          <w:p w14:paraId="59E01651" w14:textId="77777777" w:rsidR="005D102A" w:rsidRDefault="00694A3E" w:rsidP="005D102A">
            <w:pPr>
              <w:pStyle w:val="Bullet1"/>
              <w:spacing w:line="240" w:lineRule="atLeast"/>
            </w:pPr>
            <w:hyperlink r:id="rId20" w:history="1">
              <w:r w:rsidR="005D102A" w:rsidRPr="000A1FDF">
                <w:rPr>
                  <w:rStyle w:val="Hyperlink"/>
                  <w:rFonts w:eastAsia="MS Gothic"/>
                  <w:sz w:val="22"/>
                </w:rPr>
                <w:t>Guidelines for transfusion and immunohaematology laboratory practice [PDF]</w:t>
              </w:r>
            </w:hyperlink>
            <w:r w:rsidR="005D102A" w:rsidRPr="000A1FDF">
              <w:rPr>
                <w:rStyle w:val="Hyperlink"/>
                <w:rFonts w:eastAsia="MS Gothic"/>
                <w:sz w:val="22"/>
              </w:rPr>
              <w:t xml:space="preserve"> </w:t>
            </w:r>
            <w:r w:rsidR="005D102A" w:rsidRPr="009B76C4">
              <w:rPr>
                <w:rStyle w:val="BodyChar"/>
              </w:rPr>
              <w:t>&lt;https://anzsbt.org.au/wp-content/uploads/2021/04/Guideline_-for_Transfusion_and_Immunohaematology_Laboratory_Practice_FINAL_Published_20210426.pdf&gt;</w:t>
            </w:r>
          </w:p>
          <w:p w14:paraId="0B0F76D5" w14:textId="77777777" w:rsidR="001374D1" w:rsidRDefault="001374D1" w:rsidP="00D65EC3">
            <w:pPr>
              <w:spacing w:after="0" w:line="240" w:lineRule="auto"/>
              <w:rPr>
                <w:rFonts w:eastAsia="Times"/>
              </w:rPr>
            </w:pPr>
          </w:p>
        </w:tc>
      </w:tr>
    </w:tbl>
    <w:p w14:paraId="5F8DD5E8" w14:textId="5F540B08" w:rsidR="001374D1" w:rsidRDefault="001374D1" w:rsidP="00D65EC3">
      <w:pPr>
        <w:spacing w:after="0" w:line="240" w:lineRule="auto"/>
        <w:rPr>
          <w:rFonts w:eastAsia="Times"/>
        </w:rPr>
      </w:pPr>
    </w:p>
    <w:p w14:paraId="3638255F" w14:textId="77777777" w:rsidR="001374D1" w:rsidRDefault="001374D1" w:rsidP="00D65EC3">
      <w:pPr>
        <w:spacing w:after="0" w:line="240" w:lineRule="auto"/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D65EC3" w14:paraId="64CF7FAE" w14:textId="77777777" w:rsidTr="005B6C16">
        <w:tc>
          <w:tcPr>
            <w:tcW w:w="10194" w:type="dxa"/>
          </w:tcPr>
          <w:p w14:paraId="2A7B1F49" w14:textId="7F3F97FF" w:rsidR="00D65EC3" w:rsidRPr="0055119B" w:rsidRDefault="00D65EC3" w:rsidP="005B6C16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9B76C4">
              <w:rPr>
                <w:color w:val="000000" w:themeColor="text1"/>
              </w:rPr>
              <w:t xml:space="preserve">03 9694 0102 using </w:t>
            </w:r>
            <w:r w:rsidRPr="0055119B">
              <w:t xml:space="preserve">the National Relay Service 13 36 77 if required, or email </w:t>
            </w:r>
            <w:hyperlink r:id="rId21" w:history="1">
              <w:r w:rsidR="00C51777" w:rsidRPr="00D620B3">
                <w:rPr>
                  <w:rStyle w:val="Hyperlink"/>
                </w:rPr>
                <w:t>Blood Matters</w:t>
              </w:r>
            </w:hyperlink>
            <w:r>
              <w:t xml:space="preserve"> </w:t>
            </w:r>
            <w:r w:rsidRPr="0055119B">
              <w:t>&lt;</w:t>
            </w:r>
            <w:r w:rsidRPr="009B76C4">
              <w:t>bloodmatters@redcrossblood.org.au</w:t>
            </w:r>
            <w:r w:rsidRPr="0055119B">
              <w:t>&gt;.</w:t>
            </w:r>
          </w:p>
          <w:p w14:paraId="506C080A" w14:textId="77777777" w:rsidR="00D65EC3" w:rsidRPr="0055119B" w:rsidRDefault="00D65EC3" w:rsidP="005B6C1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B7D3D46" w14:textId="4ACCD41B" w:rsidR="00D65EC3" w:rsidRPr="0055119B" w:rsidRDefault="00D65EC3" w:rsidP="005B6C16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D102A">
              <w:t>May</w:t>
            </w:r>
            <w:r w:rsidRPr="009B76C4">
              <w:t xml:space="preserve"> 2022</w:t>
            </w:r>
            <w:r w:rsidRPr="000A1FDF">
              <w:t>.</w:t>
            </w:r>
          </w:p>
          <w:p w14:paraId="6EA497DE" w14:textId="77777777" w:rsidR="00D65EC3" w:rsidRDefault="00D65EC3" w:rsidP="005B6C16">
            <w:pPr>
              <w:pStyle w:val="Imprin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978-1-76096-751-2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3B632000" w14:textId="77777777" w:rsidR="00D65EC3" w:rsidRDefault="00D65EC3" w:rsidP="005B6C16">
            <w:pPr>
              <w:pStyle w:val="Imprint"/>
            </w:pPr>
            <w:r w:rsidRPr="0055119B">
              <w:t>Available at</w:t>
            </w:r>
            <w:r>
              <w:t xml:space="preserve"> </w:t>
            </w:r>
            <w:hyperlink r:id="rId22" w:history="1">
              <w:r w:rsidRPr="006E19A1">
                <w:rPr>
                  <w:rStyle w:val="Hyperlink"/>
                </w:rPr>
                <w:t>Blood Matters</w:t>
              </w:r>
            </w:hyperlink>
            <w:r>
              <w:t xml:space="preserve"> &lt;</w:t>
            </w:r>
            <w:r w:rsidRPr="006E19A1">
              <w:t>https://www.health.vic.gov.au/patient-care/blood-matters-program</w:t>
            </w:r>
            <w:r>
              <w:t>&gt;</w:t>
            </w:r>
          </w:p>
        </w:tc>
      </w:tr>
      <w:bookmarkEnd w:id="0"/>
    </w:tbl>
    <w:p w14:paraId="0C5936A5" w14:textId="77777777" w:rsidR="00D65EC3" w:rsidRPr="00D65EC3" w:rsidRDefault="00D65EC3" w:rsidP="00D65EC3">
      <w:pPr>
        <w:spacing w:after="0" w:line="240" w:lineRule="auto"/>
        <w:rPr>
          <w:rFonts w:eastAsia="Times"/>
        </w:rPr>
      </w:pPr>
    </w:p>
    <w:sectPr w:rsidR="00D65EC3" w:rsidRPr="00D65EC3" w:rsidSect="00D5409D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18F4" w14:textId="77777777" w:rsidR="00694A3E" w:rsidRDefault="00694A3E">
      <w:r>
        <w:separator/>
      </w:r>
    </w:p>
  </w:endnote>
  <w:endnote w:type="continuationSeparator" w:id="0">
    <w:p w14:paraId="42EF15E3" w14:textId="77777777" w:rsidR="00694A3E" w:rsidRDefault="0069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A782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6F8B6239" wp14:editId="51442A74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F1D86D2" wp14:editId="6ACA08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5DF65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D86D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65DF65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E9B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63B8950B" wp14:editId="3B3AC181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89439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8950B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5889439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15D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81E4B07" wp14:editId="1D312B3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18AAE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E4B07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318AAE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DBDC" w14:textId="77777777" w:rsidR="00694A3E" w:rsidRDefault="00694A3E" w:rsidP="002862F1">
      <w:pPr>
        <w:spacing w:before="120"/>
      </w:pPr>
      <w:r>
        <w:separator/>
      </w:r>
    </w:p>
  </w:footnote>
  <w:footnote w:type="continuationSeparator" w:id="0">
    <w:p w14:paraId="51E32AD3" w14:textId="77777777" w:rsidR="00694A3E" w:rsidRDefault="0069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BEA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7104" w14:textId="0644D193" w:rsidR="00E261B3" w:rsidRPr="0051568D" w:rsidRDefault="005D102A" w:rsidP="0011701A">
    <w:pPr>
      <w:pStyle w:val="Header"/>
    </w:pPr>
    <w:r>
      <w:t xml:space="preserve">Prophylactic use of </w:t>
    </w:r>
    <w:proofErr w:type="spellStart"/>
    <w:r>
      <w:t>RhD</w:t>
    </w:r>
    <w:proofErr w:type="spellEnd"/>
    <w:r>
      <w:t xml:space="preserve"> immunoglobin for </w:t>
    </w:r>
    <w:proofErr w:type="spellStart"/>
    <w:r>
      <w:t>RhD</w:t>
    </w:r>
    <w:proofErr w:type="spellEnd"/>
    <w:r>
      <w:t>-negative women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A25A6D"/>
    <w:multiLevelType w:val="hybridMultilevel"/>
    <w:tmpl w:val="59E2B69E"/>
    <w:lvl w:ilvl="0" w:tplc="79CAC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967286">
    <w:abstractNumId w:val="10"/>
  </w:num>
  <w:num w:numId="2" w16cid:durableId="273489948">
    <w:abstractNumId w:val="18"/>
  </w:num>
  <w:num w:numId="3" w16cid:durableId="388845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127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719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676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17503">
    <w:abstractNumId w:val="22"/>
  </w:num>
  <w:num w:numId="8" w16cid:durableId="1829396704">
    <w:abstractNumId w:val="17"/>
  </w:num>
  <w:num w:numId="9" w16cid:durableId="1048072439">
    <w:abstractNumId w:val="21"/>
  </w:num>
  <w:num w:numId="10" w16cid:durableId="208492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399467">
    <w:abstractNumId w:val="23"/>
  </w:num>
  <w:num w:numId="12" w16cid:durableId="1372462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816714">
    <w:abstractNumId w:val="19"/>
  </w:num>
  <w:num w:numId="14" w16cid:durableId="391775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87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7139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689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2561330">
    <w:abstractNumId w:val="25"/>
  </w:num>
  <w:num w:numId="19" w16cid:durableId="180748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0540443">
    <w:abstractNumId w:val="14"/>
  </w:num>
  <w:num w:numId="21" w16cid:durableId="837842931">
    <w:abstractNumId w:val="12"/>
  </w:num>
  <w:num w:numId="22" w16cid:durableId="291525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9500135">
    <w:abstractNumId w:val="16"/>
  </w:num>
  <w:num w:numId="24" w16cid:durableId="2056074024">
    <w:abstractNumId w:val="26"/>
  </w:num>
  <w:num w:numId="25" w16cid:durableId="1366296485">
    <w:abstractNumId w:val="24"/>
  </w:num>
  <w:num w:numId="26" w16cid:durableId="150147178">
    <w:abstractNumId w:val="20"/>
  </w:num>
  <w:num w:numId="27" w16cid:durableId="2031174156">
    <w:abstractNumId w:val="11"/>
  </w:num>
  <w:num w:numId="28" w16cid:durableId="1238055977">
    <w:abstractNumId w:val="27"/>
  </w:num>
  <w:num w:numId="29" w16cid:durableId="1146583313">
    <w:abstractNumId w:val="9"/>
  </w:num>
  <w:num w:numId="30" w16cid:durableId="1423335909">
    <w:abstractNumId w:val="7"/>
  </w:num>
  <w:num w:numId="31" w16cid:durableId="353774139">
    <w:abstractNumId w:val="6"/>
  </w:num>
  <w:num w:numId="32" w16cid:durableId="1077089658">
    <w:abstractNumId w:val="5"/>
  </w:num>
  <w:num w:numId="33" w16cid:durableId="1388186235">
    <w:abstractNumId w:val="4"/>
  </w:num>
  <w:num w:numId="34" w16cid:durableId="40204795">
    <w:abstractNumId w:val="8"/>
  </w:num>
  <w:num w:numId="35" w16cid:durableId="1941716943">
    <w:abstractNumId w:val="3"/>
  </w:num>
  <w:num w:numId="36" w16cid:durableId="1131169538">
    <w:abstractNumId w:val="2"/>
  </w:num>
  <w:num w:numId="37" w16cid:durableId="919872506">
    <w:abstractNumId w:val="1"/>
  </w:num>
  <w:num w:numId="38" w16cid:durableId="57703915">
    <w:abstractNumId w:val="0"/>
  </w:num>
  <w:num w:numId="39" w16cid:durableId="565342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14559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2B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74D1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462B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C0B"/>
    <w:rsid w:val="002536A4"/>
    <w:rsid w:val="00254F58"/>
    <w:rsid w:val="002620BC"/>
    <w:rsid w:val="00262412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2C0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02A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28D1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4A3E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4361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AE2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28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77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56A"/>
    <w:rsid w:val="00C84B23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65EC3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A6868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C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87B393"/>
  <w15:docId w15:val="{94EA0A06-C206-47DA-B4F6-89EB03D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65EC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numbering" w:customStyle="1" w:styleId="ZZBullets1">
    <w:name w:val="ZZ Bullets1"/>
    <w:rsid w:val="00DA6868"/>
  </w:style>
  <w:style w:type="numbering" w:customStyle="1" w:styleId="ZZBullets2">
    <w:name w:val="ZZ Bullets2"/>
    <w:rsid w:val="00DA6868"/>
  </w:style>
  <w:style w:type="numbering" w:customStyle="1" w:styleId="ZZBullets3">
    <w:name w:val="ZZ Bullets3"/>
    <w:rsid w:val="00D6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blood.gov.au/sites/default/files/Guideline%20for%20the%20prophylactic%20use%20of%20Rh%20D%20immunoglobulin%20in%20pregnancy%20car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lood%20Matter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blood.gov.au/sites/default/files/Guideline%20for%20the%20prophylactic%20use%20of%20Rh%20D%20immunoglobulin%20in%20pregnancy%20care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ood.gov.au/testing-maternal-blood-determine-fetal-rhd-genotype" TargetMode="External"/><Relationship Id="rId20" Type="http://schemas.openxmlformats.org/officeDocument/2006/relationships/hyperlink" Target="https://anzsbt.org.au/wp-content/uploads/2021/04/Guideline_-for_Transfusion_and_Immunohaematology_Laboratory_Practice_FINAL_Published_20210426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blood.gov.au/anti-d-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patient-care/blood-matters-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2\Branding%20and%20Templates\New%20templates%20July%202021\Blood%20Matters%20DH%20red%20factsheet_front%20page%20logos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S:\Promotion\2022\Branding and Templates\New templates July 2021\Blood Matters DH red factsheet_front page logos only.dotx</Template>
  <TotalTime>0</TotalTime>
  <Pages>2</Pages>
  <Words>427</Words>
  <Characters>2878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factsheet_front page logos only</vt:lpstr>
    </vt:vector>
  </TitlesOfParts>
  <Manager/>
  <Company>Victoria State Government, Department of Health, Blood Matters </Company>
  <LinksUpToDate>false</LinksUpToDate>
  <CharactersWithSpaces>3266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Prophylactic use of RhD immunoglobin for RhD-negative women</dc:title>
  <dc:subject>RhD immunoglobin</dc:subject>
  <dc:creator>Blood Matters</dc:creator>
  <cp:keywords/>
  <dc:description/>
  <cp:lastModifiedBy>Andrew Macrae</cp:lastModifiedBy>
  <cp:revision>2</cp:revision>
  <cp:lastPrinted>2020-03-30T03:28:00Z</cp:lastPrinted>
  <dcterms:created xsi:type="dcterms:W3CDTF">2022-05-05T04:25:00Z</dcterms:created>
  <dcterms:modified xsi:type="dcterms:W3CDTF">2022-05-05T04:25:00Z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