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A0B9"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664FFF7" wp14:editId="7BBC7ED8">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3D10C388"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29ADD1D" w14:textId="77777777" w:rsidTr="00E96CA7">
        <w:tc>
          <w:tcPr>
            <w:tcW w:w="0" w:type="auto"/>
            <w:tcMar>
              <w:top w:w="1588" w:type="dxa"/>
              <w:left w:w="0" w:type="dxa"/>
              <w:right w:w="0" w:type="dxa"/>
            </w:tcMar>
          </w:tcPr>
          <w:p w14:paraId="472A08A8" w14:textId="7447BBFB" w:rsidR="003B5733" w:rsidRPr="003B5733" w:rsidRDefault="005B1699" w:rsidP="003B5733">
            <w:pPr>
              <w:pStyle w:val="Documenttitle"/>
            </w:pPr>
            <w:r>
              <w:t>Specifications</w:t>
            </w:r>
            <w:r w:rsidR="00E3449E">
              <w:t xml:space="preserve"> for </w:t>
            </w:r>
            <w:r w:rsidR="00816FD5">
              <w:t>revisions to</w:t>
            </w:r>
            <w:r w:rsidR="00A109EB">
              <w:t xml:space="preserve"> the Victorian </w:t>
            </w:r>
            <w:r w:rsidR="00E3449E">
              <w:t xml:space="preserve">Perinatal Data Collection </w:t>
            </w:r>
            <w:r w:rsidR="00A109EB">
              <w:t>(</w:t>
            </w:r>
            <w:r w:rsidR="00816FD5">
              <w:t>V</w:t>
            </w:r>
            <w:r w:rsidR="00E3449E">
              <w:t>PDC</w:t>
            </w:r>
            <w:r w:rsidR="00A109EB">
              <w:t>)</w:t>
            </w:r>
            <w:r w:rsidR="00816FD5">
              <w:t xml:space="preserve"> for </w:t>
            </w:r>
            <w:r w:rsidR="00E3449E">
              <w:t xml:space="preserve">1 July </w:t>
            </w:r>
            <w:r w:rsidR="00816FD5">
              <w:t>202</w:t>
            </w:r>
            <w:r w:rsidR="001C54EE">
              <w:t>2</w:t>
            </w:r>
            <w:r w:rsidR="00E3449E">
              <w:t xml:space="preserve"> –</w:t>
            </w:r>
            <w:r>
              <w:t xml:space="preserve"> </w:t>
            </w:r>
            <w:r w:rsidR="00A90148">
              <w:t>Addendum</w:t>
            </w:r>
          </w:p>
        </w:tc>
      </w:tr>
      <w:tr w:rsidR="003B5733" w14:paraId="7005B4E0" w14:textId="77777777" w:rsidTr="00E3449E">
        <w:tc>
          <w:tcPr>
            <w:tcW w:w="0" w:type="auto"/>
          </w:tcPr>
          <w:p w14:paraId="7A217155" w14:textId="7CEDFFB1" w:rsidR="003B5733" w:rsidRPr="00A1389F" w:rsidRDefault="00A90148" w:rsidP="00E3449E">
            <w:pPr>
              <w:pStyle w:val="Documentsubtitle"/>
            </w:pPr>
            <w:r>
              <w:t>2</w:t>
            </w:r>
            <w:r w:rsidR="002C1443">
              <w:t>4</w:t>
            </w:r>
            <w:r>
              <w:t xml:space="preserve"> May</w:t>
            </w:r>
            <w:r w:rsidR="001C54EE">
              <w:t xml:space="preserve"> 2022</w:t>
            </w:r>
          </w:p>
        </w:tc>
      </w:tr>
      <w:tr w:rsidR="003B5733" w14:paraId="5765A961" w14:textId="77777777" w:rsidTr="00E3449E">
        <w:tc>
          <w:tcPr>
            <w:tcW w:w="0" w:type="auto"/>
          </w:tcPr>
          <w:p w14:paraId="25F8DDE7" w14:textId="77777777" w:rsidR="003B5733" w:rsidRDefault="007D4193" w:rsidP="00E3449E">
            <w:pPr>
              <w:pStyle w:val="Bannermarking"/>
            </w:pPr>
            <w:r>
              <w:fldChar w:fldCharType="begin"/>
            </w:r>
            <w:r>
              <w:instrText xml:space="preserve"> FILLIN  "Type the protective marking" \d OFFICIAL \o  \* MERGEFORMAT </w:instrText>
            </w:r>
            <w:r>
              <w:fldChar w:fldCharType="separate"/>
            </w:r>
            <w:r w:rsidR="00816FD5">
              <w:t>OFFICIAL</w:t>
            </w:r>
            <w:r>
              <w:fldChar w:fldCharType="end"/>
            </w:r>
          </w:p>
        </w:tc>
      </w:tr>
    </w:tbl>
    <w:p w14:paraId="721FCC7F" w14:textId="77777777" w:rsidR="00AD784C" w:rsidRPr="00B57329" w:rsidRDefault="00AD784C" w:rsidP="002365B4">
      <w:pPr>
        <w:pStyle w:val="TOCheadingfactsheet"/>
      </w:pPr>
      <w:r w:rsidRPr="002576CF">
        <w:t>Contents</w:t>
      </w:r>
    </w:p>
    <w:p w14:paraId="1E95BBF0" w14:textId="4B78F2BC" w:rsidR="00315512"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4370465" w:history="1">
        <w:r w:rsidR="00315512" w:rsidRPr="0007265C">
          <w:rPr>
            <w:rStyle w:val="Hyperlink"/>
          </w:rPr>
          <w:t>Executive summary</w:t>
        </w:r>
        <w:r w:rsidR="00315512">
          <w:rPr>
            <w:webHidden/>
          </w:rPr>
          <w:tab/>
        </w:r>
        <w:r w:rsidR="00315512">
          <w:rPr>
            <w:webHidden/>
          </w:rPr>
          <w:fldChar w:fldCharType="begin"/>
        </w:r>
        <w:r w:rsidR="00315512">
          <w:rPr>
            <w:webHidden/>
          </w:rPr>
          <w:instrText xml:space="preserve"> PAGEREF _Toc104370465 \h </w:instrText>
        </w:r>
        <w:r w:rsidR="00315512">
          <w:rPr>
            <w:webHidden/>
          </w:rPr>
        </w:r>
        <w:r w:rsidR="00315512">
          <w:rPr>
            <w:webHidden/>
          </w:rPr>
          <w:fldChar w:fldCharType="separate"/>
        </w:r>
        <w:r w:rsidR="00315512">
          <w:rPr>
            <w:webHidden/>
          </w:rPr>
          <w:t>2</w:t>
        </w:r>
        <w:r w:rsidR="00315512">
          <w:rPr>
            <w:webHidden/>
          </w:rPr>
          <w:fldChar w:fldCharType="end"/>
        </w:r>
      </w:hyperlink>
    </w:p>
    <w:p w14:paraId="7157B47C" w14:textId="47CA0B44" w:rsidR="00315512" w:rsidRDefault="007D4193">
      <w:pPr>
        <w:pStyle w:val="TOC2"/>
        <w:rPr>
          <w:rFonts w:asciiTheme="minorHAnsi" w:eastAsiaTheme="minorEastAsia" w:hAnsiTheme="minorHAnsi" w:cstheme="minorBidi"/>
          <w:sz w:val="22"/>
          <w:szCs w:val="22"/>
          <w:lang w:eastAsia="en-AU"/>
        </w:rPr>
      </w:pPr>
      <w:hyperlink w:anchor="_Toc104370466" w:history="1">
        <w:r w:rsidR="00315512" w:rsidRPr="0007265C">
          <w:rPr>
            <w:rStyle w:val="Hyperlink"/>
          </w:rPr>
          <w:t>Orientation to this document</w:t>
        </w:r>
        <w:r w:rsidR="00315512">
          <w:rPr>
            <w:webHidden/>
          </w:rPr>
          <w:tab/>
        </w:r>
        <w:r w:rsidR="00315512">
          <w:rPr>
            <w:webHidden/>
          </w:rPr>
          <w:fldChar w:fldCharType="begin"/>
        </w:r>
        <w:r w:rsidR="00315512">
          <w:rPr>
            <w:webHidden/>
          </w:rPr>
          <w:instrText xml:space="preserve"> PAGEREF _Toc104370466 \h </w:instrText>
        </w:r>
        <w:r w:rsidR="00315512">
          <w:rPr>
            <w:webHidden/>
          </w:rPr>
        </w:r>
        <w:r w:rsidR="00315512">
          <w:rPr>
            <w:webHidden/>
          </w:rPr>
          <w:fldChar w:fldCharType="separate"/>
        </w:r>
        <w:r w:rsidR="00315512">
          <w:rPr>
            <w:webHidden/>
          </w:rPr>
          <w:t>3</w:t>
        </w:r>
        <w:r w:rsidR="00315512">
          <w:rPr>
            <w:webHidden/>
          </w:rPr>
          <w:fldChar w:fldCharType="end"/>
        </w:r>
      </w:hyperlink>
    </w:p>
    <w:p w14:paraId="4CB3F221" w14:textId="629F880C" w:rsidR="00315512" w:rsidRDefault="007D4193">
      <w:pPr>
        <w:pStyle w:val="TOC1"/>
        <w:rPr>
          <w:rFonts w:asciiTheme="minorHAnsi" w:eastAsiaTheme="minorEastAsia" w:hAnsiTheme="minorHAnsi" w:cstheme="minorBidi"/>
          <w:b w:val="0"/>
          <w:sz w:val="22"/>
          <w:szCs w:val="22"/>
          <w:lang w:eastAsia="en-AU"/>
        </w:rPr>
      </w:pPr>
      <w:hyperlink w:anchor="_Toc104370467" w:history="1">
        <w:r w:rsidR="00315512" w:rsidRPr="0007265C">
          <w:rPr>
            <w:rStyle w:val="Hyperlink"/>
          </w:rPr>
          <w:t>Summary table of changes – Addendum</w:t>
        </w:r>
        <w:r w:rsidR="00315512">
          <w:rPr>
            <w:webHidden/>
          </w:rPr>
          <w:tab/>
        </w:r>
        <w:r w:rsidR="00315512">
          <w:rPr>
            <w:webHidden/>
          </w:rPr>
          <w:fldChar w:fldCharType="begin"/>
        </w:r>
        <w:r w:rsidR="00315512">
          <w:rPr>
            <w:webHidden/>
          </w:rPr>
          <w:instrText xml:space="preserve"> PAGEREF _Toc104370467 \h </w:instrText>
        </w:r>
        <w:r w:rsidR="00315512">
          <w:rPr>
            <w:webHidden/>
          </w:rPr>
        </w:r>
        <w:r w:rsidR="00315512">
          <w:rPr>
            <w:webHidden/>
          </w:rPr>
          <w:fldChar w:fldCharType="separate"/>
        </w:r>
        <w:r w:rsidR="00315512">
          <w:rPr>
            <w:webHidden/>
          </w:rPr>
          <w:t>3</w:t>
        </w:r>
        <w:r w:rsidR="00315512">
          <w:rPr>
            <w:webHidden/>
          </w:rPr>
          <w:fldChar w:fldCharType="end"/>
        </w:r>
      </w:hyperlink>
    </w:p>
    <w:p w14:paraId="2E5CCA36" w14:textId="69F5C60E" w:rsidR="00315512" w:rsidRDefault="007D4193">
      <w:pPr>
        <w:pStyle w:val="TOC1"/>
        <w:rPr>
          <w:rFonts w:asciiTheme="minorHAnsi" w:eastAsiaTheme="minorEastAsia" w:hAnsiTheme="minorHAnsi" w:cstheme="minorBidi"/>
          <w:b w:val="0"/>
          <w:sz w:val="22"/>
          <w:szCs w:val="22"/>
          <w:lang w:eastAsia="en-AU"/>
        </w:rPr>
      </w:pPr>
      <w:hyperlink w:anchor="_Toc104370468" w:history="1">
        <w:r w:rsidR="00315512" w:rsidRPr="0007265C">
          <w:rPr>
            <w:rStyle w:val="Hyperlink"/>
          </w:rPr>
          <w:t>Section 3 Data definitions</w:t>
        </w:r>
        <w:r w:rsidR="00315512">
          <w:rPr>
            <w:webHidden/>
          </w:rPr>
          <w:tab/>
        </w:r>
        <w:r w:rsidR="00315512">
          <w:rPr>
            <w:webHidden/>
          </w:rPr>
          <w:fldChar w:fldCharType="begin"/>
        </w:r>
        <w:r w:rsidR="00315512">
          <w:rPr>
            <w:webHidden/>
          </w:rPr>
          <w:instrText xml:space="preserve"> PAGEREF _Toc104370468 \h </w:instrText>
        </w:r>
        <w:r w:rsidR="00315512">
          <w:rPr>
            <w:webHidden/>
          </w:rPr>
        </w:r>
        <w:r w:rsidR="00315512">
          <w:rPr>
            <w:webHidden/>
          </w:rPr>
          <w:fldChar w:fldCharType="separate"/>
        </w:r>
        <w:r w:rsidR="00315512">
          <w:rPr>
            <w:webHidden/>
          </w:rPr>
          <w:t>4</w:t>
        </w:r>
        <w:r w:rsidR="00315512">
          <w:rPr>
            <w:webHidden/>
          </w:rPr>
          <w:fldChar w:fldCharType="end"/>
        </w:r>
      </w:hyperlink>
    </w:p>
    <w:p w14:paraId="38C63483" w14:textId="361F8445" w:rsidR="00315512" w:rsidRDefault="007D4193">
      <w:pPr>
        <w:pStyle w:val="TOC2"/>
        <w:rPr>
          <w:rFonts w:asciiTheme="minorHAnsi" w:eastAsiaTheme="minorEastAsia" w:hAnsiTheme="minorHAnsi" w:cstheme="minorBidi"/>
          <w:sz w:val="22"/>
          <w:szCs w:val="22"/>
          <w:lang w:eastAsia="en-AU"/>
        </w:rPr>
      </w:pPr>
      <w:hyperlink w:anchor="_Toc104370469" w:history="1">
        <w:r w:rsidR="00315512" w:rsidRPr="0007265C">
          <w:rPr>
            <w:rStyle w:val="Hyperlink"/>
            <w:highlight w:val="green"/>
          </w:rPr>
          <w:t>Events of labour and birth – ICD-10-AM code</w:t>
        </w:r>
        <w:r w:rsidR="00315512">
          <w:rPr>
            <w:webHidden/>
          </w:rPr>
          <w:tab/>
        </w:r>
        <w:r w:rsidR="00315512">
          <w:rPr>
            <w:webHidden/>
          </w:rPr>
          <w:fldChar w:fldCharType="begin"/>
        </w:r>
        <w:r w:rsidR="00315512">
          <w:rPr>
            <w:webHidden/>
          </w:rPr>
          <w:instrText xml:space="preserve"> PAGEREF _Toc104370469 \h </w:instrText>
        </w:r>
        <w:r w:rsidR="00315512">
          <w:rPr>
            <w:webHidden/>
          </w:rPr>
        </w:r>
        <w:r w:rsidR="00315512">
          <w:rPr>
            <w:webHidden/>
          </w:rPr>
          <w:fldChar w:fldCharType="separate"/>
        </w:r>
        <w:r w:rsidR="00315512">
          <w:rPr>
            <w:webHidden/>
          </w:rPr>
          <w:t>4</w:t>
        </w:r>
        <w:r w:rsidR="00315512">
          <w:rPr>
            <w:webHidden/>
          </w:rPr>
          <w:fldChar w:fldCharType="end"/>
        </w:r>
      </w:hyperlink>
    </w:p>
    <w:p w14:paraId="26D95697" w14:textId="35F5D77A" w:rsidR="00315512" w:rsidRDefault="007D4193">
      <w:pPr>
        <w:pStyle w:val="TOC2"/>
        <w:rPr>
          <w:rFonts w:asciiTheme="minorHAnsi" w:eastAsiaTheme="minorEastAsia" w:hAnsiTheme="minorHAnsi" w:cstheme="minorBidi"/>
          <w:sz w:val="22"/>
          <w:szCs w:val="22"/>
          <w:lang w:eastAsia="en-AU"/>
        </w:rPr>
      </w:pPr>
      <w:hyperlink w:anchor="_Toc104370470" w:history="1">
        <w:r w:rsidR="00315512" w:rsidRPr="0007265C">
          <w:rPr>
            <w:rStyle w:val="Hyperlink"/>
            <w:highlight w:val="green"/>
          </w:rPr>
          <w:t>Events of labour and birth – ICD-10-AM code</w:t>
        </w:r>
        <w:r w:rsidR="00315512">
          <w:rPr>
            <w:webHidden/>
          </w:rPr>
          <w:tab/>
        </w:r>
        <w:r w:rsidR="00315512">
          <w:rPr>
            <w:webHidden/>
          </w:rPr>
          <w:fldChar w:fldCharType="begin"/>
        </w:r>
        <w:r w:rsidR="00315512">
          <w:rPr>
            <w:webHidden/>
          </w:rPr>
          <w:instrText xml:space="preserve"> PAGEREF _Toc104370470 \h </w:instrText>
        </w:r>
        <w:r w:rsidR="00315512">
          <w:rPr>
            <w:webHidden/>
          </w:rPr>
        </w:r>
        <w:r w:rsidR="00315512">
          <w:rPr>
            <w:webHidden/>
          </w:rPr>
          <w:fldChar w:fldCharType="separate"/>
        </w:r>
        <w:r w:rsidR="00315512">
          <w:rPr>
            <w:webHidden/>
          </w:rPr>
          <w:t>5</w:t>
        </w:r>
        <w:r w:rsidR="00315512">
          <w:rPr>
            <w:webHidden/>
          </w:rPr>
          <w:fldChar w:fldCharType="end"/>
        </w:r>
      </w:hyperlink>
    </w:p>
    <w:p w14:paraId="7ADB9FE4" w14:textId="72017E5C" w:rsidR="00315512" w:rsidRDefault="007D4193">
      <w:pPr>
        <w:pStyle w:val="TOC2"/>
        <w:rPr>
          <w:rFonts w:asciiTheme="minorHAnsi" w:eastAsiaTheme="minorEastAsia" w:hAnsiTheme="minorHAnsi" w:cstheme="minorBidi"/>
          <w:sz w:val="22"/>
          <w:szCs w:val="22"/>
          <w:lang w:eastAsia="en-AU"/>
        </w:rPr>
      </w:pPr>
      <w:hyperlink w:anchor="_Toc104370471" w:history="1">
        <w:r w:rsidR="00315512" w:rsidRPr="0007265C">
          <w:rPr>
            <w:rStyle w:val="Hyperlink"/>
            <w:highlight w:val="green"/>
          </w:rPr>
          <w:t>Indication for induction (main reason) – ICD-10-AM code</w:t>
        </w:r>
        <w:r w:rsidR="00315512">
          <w:rPr>
            <w:webHidden/>
          </w:rPr>
          <w:tab/>
        </w:r>
        <w:r w:rsidR="00315512">
          <w:rPr>
            <w:webHidden/>
          </w:rPr>
          <w:fldChar w:fldCharType="begin"/>
        </w:r>
        <w:r w:rsidR="00315512">
          <w:rPr>
            <w:webHidden/>
          </w:rPr>
          <w:instrText xml:space="preserve"> PAGEREF _Toc104370471 \h </w:instrText>
        </w:r>
        <w:r w:rsidR="00315512">
          <w:rPr>
            <w:webHidden/>
          </w:rPr>
        </w:r>
        <w:r w:rsidR="00315512">
          <w:rPr>
            <w:webHidden/>
          </w:rPr>
          <w:fldChar w:fldCharType="separate"/>
        </w:r>
        <w:r w:rsidR="00315512">
          <w:rPr>
            <w:webHidden/>
          </w:rPr>
          <w:t>5</w:t>
        </w:r>
        <w:r w:rsidR="00315512">
          <w:rPr>
            <w:webHidden/>
          </w:rPr>
          <w:fldChar w:fldCharType="end"/>
        </w:r>
      </w:hyperlink>
    </w:p>
    <w:p w14:paraId="5691E124" w14:textId="1B4BEDC9" w:rsidR="00315512" w:rsidRDefault="007D4193">
      <w:pPr>
        <w:pStyle w:val="TOC2"/>
        <w:rPr>
          <w:rFonts w:asciiTheme="minorHAnsi" w:eastAsiaTheme="minorEastAsia" w:hAnsiTheme="minorHAnsi" w:cstheme="minorBidi"/>
          <w:sz w:val="22"/>
          <w:szCs w:val="22"/>
          <w:lang w:eastAsia="en-AU"/>
        </w:rPr>
      </w:pPr>
      <w:hyperlink w:anchor="_Toc104370472" w:history="1">
        <w:r w:rsidR="00315512" w:rsidRPr="0007265C">
          <w:rPr>
            <w:rStyle w:val="Hyperlink"/>
            <w:highlight w:val="green"/>
          </w:rPr>
          <w:t>Indication for operative delivery (main reason) – ICD-10-AM code</w:t>
        </w:r>
        <w:r w:rsidR="00315512">
          <w:rPr>
            <w:webHidden/>
          </w:rPr>
          <w:tab/>
        </w:r>
        <w:r w:rsidR="00315512">
          <w:rPr>
            <w:webHidden/>
          </w:rPr>
          <w:fldChar w:fldCharType="begin"/>
        </w:r>
        <w:r w:rsidR="00315512">
          <w:rPr>
            <w:webHidden/>
          </w:rPr>
          <w:instrText xml:space="preserve"> PAGEREF _Toc104370472 \h </w:instrText>
        </w:r>
        <w:r w:rsidR="00315512">
          <w:rPr>
            <w:webHidden/>
          </w:rPr>
        </w:r>
        <w:r w:rsidR="00315512">
          <w:rPr>
            <w:webHidden/>
          </w:rPr>
          <w:fldChar w:fldCharType="separate"/>
        </w:r>
        <w:r w:rsidR="00315512">
          <w:rPr>
            <w:webHidden/>
          </w:rPr>
          <w:t>5</w:t>
        </w:r>
        <w:r w:rsidR="00315512">
          <w:rPr>
            <w:webHidden/>
          </w:rPr>
          <w:fldChar w:fldCharType="end"/>
        </w:r>
      </w:hyperlink>
    </w:p>
    <w:p w14:paraId="357710E6" w14:textId="3E8908D8" w:rsidR="00315512" w:rsidRDefault="007D4193">
      <w:pPr>
        <w:pStyle w:val="TOC2"/>
        <w:rPr>
          <w:rFonts w:asciiTheme="minorHAnsi" w:eastAsiaTheme="minorEastAsia" w:hAnsiTheme="minorHAnsi" w:cstheme="minorBidi"/>
          <w:sz w:val="22"/>
          <w:szCs w:val="22"/>
          <w:lang w:eastAsia="en-AU"/>
        </w:rPr>
      </w:pPr>
      <w:hyperlink w:anchor="_Toc104370473" w:history="1">
        <w:r w:rsidR="00315512" w:rsidRPr="0007265C">
          <w:rPr>
            <w:rStyle w:val="Hyperlink"/>
            <w:highlight w:val="green"/>
          </w:rPr>
          <w:t>Maternal medical conditions – ICD-10-AM code</w:t>
        </w:r>
        <w:r w:rsidR="00315512">
          <w:rPr>
            <w:webHidden/>
          </w:rPr>
          <w:tab/>
        </w:r>
        <w:r w:rsidR="00315512">
          <w:rPr>
            <w:webHidden/>
          </w:rPr>
          <w:fldChar w:fldCharType="begin"/>
        </w:r>
        <w:r w:rsidR="00315512">
          <w:rPr>
            <w:webHidden/>
          </w:rPr>
          <w:instrText xml:space="preserve"> PAGEREF _Toc104370473 \h </w:instrText>
        </w:r>
        <w:r w:rsidR="00315512">
          <w:rPr>
            <w:webHidden/>
          </w:rPr>
        </w:r>
        <w:r w:rsidR="00315512">
          <w:rPr>
            <w:webHidden/>
          </w:rPr>
          <w:fldChar w:fldCharType="separate"/>
        </w:r>
        <w:r w:rsidR="00315512">
          <w:rPr>
            <w:webHidden/>
          </w:rPr>
          <w:t>5</w:t>
        </w:r>
        <w:r w:rsidR="00315512">
          <w:rPr>
            <w:webHidden/>
          </w:rPr>
          <w:fldChar w:fldCharType="end"/>
        </w:r>
      </w:hyperlink>
    </w:p>
    <w:p w14:paraId="33D013D5" w14:textId="689F3364" w:rsidR="00315512" w:rsidRDefault="007D4193">
      <w:pPr>
        <w:pStyle w:val="TOC2"/>
        <w:rPr>
          <w:rFonts w:asciiTheme="minorHAnsi" w:eastAsiaTheme="minorEastAsia" w:hAnsiTheme="minorHAnsi" w:cstheme="minorBidi"/>
          <w:sz w:val="22"/>
          <w:szCs w:val="22"/>
          <w:lang w:eastAsia="en-AU"/>
        </w:rPr>
      </w:pPr>
      <w:hyperlink w:anchor="_Toc104370474" w:history="1">
        <w:r w:rsidR="00315512" w:rsidRPr="0007265C">
          <w:rPr>
            <w:rStyle w:val="Hyperlink"/>
            <w:highlight w:val="green"/>
          </w:rPr>
          <w:t>Obstetric complications – ICD-10-AM code</w:t>
        </w:r>
        <w:r w:rsidR="00315512">
          <w:rPr>
            <w:webHidden/>
          </w:rPr>
          <w:tab/>
        </w:r>
        <w:r w:rsidR="00315512">
          <w:rPr>
            <w:webHidden/>
          </w:rPr>
          <w:fldChar w:fldCharType="begin"/>
        </w:r>
        <w:r w:rsidR="00315512">
          <w:rPr>
            <w:webHidden/>
          </w:rPr>
          <w:instrText xml:space="preserve"> PAGEREF _Toc104370474 \h </w:instrText>
        </w:r>
        <w:r w:rsidR="00315512">
          <w:rPr>
            <w:webHidden/>
          </w:rPr>
        </w:r>
        <w:r w:rsidR="00315512">
          <w:rPr>
            <w:webHidden/>
          </w:rPr>
          <w:fldChar w:fldCharType="separate"/>
        </w:r>
        <w:r w:rsidR="00315512">
          <w:rPr>
            <w:webHidden/>
          </w:rPr>
          <w:t>5</w:t>
        </w:r>
        <w:r w:rsidR="00315512">
          <w:rPr>
            <w:webHidden/>
          </w:rPr>
          <w:fldChar w:fldCharType="end"/>
        </w:r>
      </w:hyperlink>
    </w:p>
    <w:p w14:paraId="5095A8C5" w14:textId="7508B900" w:rsidR="00315512" w:rsidRDefault="007D4193">
      <w:pPr>
        <w:pStyle w:val="TOC2"/>
        <w:rPr>
          <w:rFonts w:asciiTheme="minorHAnsi" w:eastAsiaTheme="minorEastAsia" w:hAnsiTheme="minorHAnsi" w:cstheme="minorBidi"/>
          <w:sz w:val="22"/>
          <w:szCs w:val="22"/>
          <w:lang w:eastAsia="en-AU"/>
        </w:rPr>
      </w:pPr>
      <w:hyperlink w:anchor="_Toc104370475" w:history="1">
        <w:r w:rsidR="00315512" w:rsidRPr="0007265C">
          <w:rPr>
            <w:rStyle w:val="Hyperlink"/>
            <w:highlight w:val="green"/>
          </w:rPr>
          <w:t>Postpartum complications – ICD-10-AM code</w:t>
        </w:r>
        <w:r w:rsidR="00315512">
          <w:rPr>
            <w:webHidden/>
          </w:rPr>
          <w:tab/>
        </w:r>
        <w:r w:rsidR="00315512">
          <w:rPr>
            <w:webHidden/>
          </w:rPr>
          <w:fldChar w:fldCharType="begin"/>
        </w:r>
        <w:r w:rsidR="00315512">
          <w:rPr>
            <w:webHidden/>
          </w:rPr>
          <w:instrText xml:space="preserve"> PAGEREF _Toc104370475 \h </w:instrText>
        </w:r>
        <w:r w:rsidR="00315512">
          <w:rPr>
            <w:webHidden/>
          </w:rPr>
        </w:r>
        <w:r w:rsidR="00315512">
          <w:rPr>
            <w:webHidden/>
          </w:rPr>
          <w:fldChar w:fldCharType="separate"/>
        </w:r>
        <w:r w:rsidR="00315512">
          <w:rPr>
            <w:webHidden/>
          </w:rPr>
          <w:t>5</w:t>
        </w:r>
        <w:r w:rsidR="00315512">
          <w:rPr>
            <w:webHidden/>
          </w:rPr>
          <w:fldChar w:fldCharType="end"/>
        </w:r>
      </w:hyperlink>
    </w:p>
    <w:p w14:paraId="187877F8" w14:textId="4B316D54" w:rsidR="00315512" w:rsidRDefault="007D4193">
      <w:pPr>
        <w:pStyle w:val="TOC1"/>
        <w:rPr>
          <w:rFonts w:asciiTheme="minorHAnsi" w:eastAsiaTheme="minorEastAsia" w:hAnsiTheme="minorHAnsi" w:cstheme="minorBidi"/>
          <w:b w:val="0"/>
          <w:sz w:val="22"/>
          <w:szCs w:val="22"/>
          <w:lang w:eastAsia="en-AU"/>
        </w:rPr>
      </w:pPr>
      <w:hyperlink w:anchor="_Toc104370476" w:history="1">
        <w:r w:rsidR="00315512" w:rsidRPr="0007265C">
          <w:rPr>
            <w:rStyle w:val="Hyperlink"/>
          </w:rPr>
          <w:t>Section 4 Business rules</w:t>
        </w:r>
        <w:r w:rsidR="00315512">
          <w:rPr>
            <w:webHidden/>
          </w:rPr>
          <w:tab/>
        </w:r>
        <w:r w:rsidR="00315512">
          <w:rPr>
            <w:webHidden/>
          </w:rPr>
          <w:fldChar w:fldCharType="begin"/>
        </w:r>
        <w:r w:rsidR="00315512">
          <w:rPr>
            <w:webHidden/>
          </w:rPr>
          <w:instrText xml:space="preserve"> PAGEREF _Toc104370476 \h </w:instrText>
        </w:r>
        <w:r w:rsidR="00315512">
          <w:rPr>
            <w:webHidden/>
          </w:rPr>
        </w:r>
        <w:r w:rsidR="00315512">
          <w:rPr>
            <w:webHidden/>
          </w:rPr>
          <w:fldChar w:fldCharType="separate"/>
        </w:r>
        <w:r w:rsidR="00315512">
          <w:rPr>
            <w:webHidden/>
          </w:rPr>
          <w:t>6</w:t>
        </w:r>
        <w:r w:rsidR="00315512">
          <w:rPr>
            <w:webHidden/>
          </w:rPr>
          <w:fldChar w:fldCharType="end"/>
        </w:r>
      </w:hyperlink>
    </w:p>
    <w:p w14:paraId="609F15DF" w14:textId="18568AC2" w:rsidR="00315512" w:rsidRDefault="007D4193">
      <w:pPr>
        <w:pStyle w:val="TOC2"/>
        <w:rPr>
          <w:rFonts w:asciiTheme="minorHAnsi" w:eastAsiaTheme="minorEastAsia" w:hAnsiTheme="minorHAnsi" w:cstheme="minorBidi"/>
          <w:sz w:val="22"/>
          <w:szCs w:val="22"/>
          <w:lang w:eastAsia="en-AU"/>
        </w:rPr>
      </w:pPr>
      <w:hyperlink w:anchor="_Toc104370477" w:history="1">
        <w:r w:rsidR="00315512" w:rsidRPr="0007265C">
          <w:rPr>
            <w:rStyle w:val="Hyperlink"/>
          </w:rPr>
          <w:t>### Date of birth – baby and Version identifier valid combinations [‘Warning’ error]</w:t>
        </w:r>
        <w:r w:rsidR="00315512">
          <w:rPr>
            <w:webHidden/>
          </w:rPr>
          <w:tab/>
        </w:r>
        <w:r w:rsidR="00315512">
          <w:rPr>
            <w:webHidden/>
          </w:rPr>
          <w:fldChar w:fldCharType="begin"/>
        </w:r>
        <w:r w:rsidR="00315512">
          <w:rPr>
            <w:webHidden/>
          </w:rPr>
          <w:instrText xml:space="preserve"> PAGEREF _Toc104370477 \h </w:instrText>
        </w:r>
        <w:r w:rsidR="00315512">
          <w:rPr>
            <w:webHidden/>
          </w:rPr>
        </w:r>
        <w:r w:rsidR="00315512">
          <w:rPr>
            <w:webHidden/>
          </w:rPr>
          <w:fldChar w:fldCharType="separate"/>
        </w:r>
        <w:r w:rsidR="00315512">
          <w:rPr>
            <w:webHidden/>
          </w:rPr>
          <w:t>6</w:t>
        </w:r>
        <w:r w:rsidR="00315512">
          <w:rPr>
            <w:webHidden/>
          </w:rPr>
          <w:fldChar w:fldCharType="end"/>
        </w:r>
      </w:hyperlink>
    </w:p>
    <w:p w14:paraId="5216EF5E" w14:textId="35FFA090" w:rsidR="00315512" w:rsidRDefault="007D4193">
      <w:pPr>
        <w:pStyle w:val="TOC2"/>
        <w:rPr>
          <w:rFonts w:asciiTheme="minorHAnsi" w:eastAsiaTheme="minorEastAsia" w:hAnsiTheme="minorHAnsi" w:cstheme="minorBidi"/>
          <w:sz w:val="22"/>
          <w:szCs w:val="22"/>
          <w:lang w:eastAsia="en-AU"/>
        </w:rPr>
      </w:pPr>
      <w:hyperlink w:anchor="_Toc104370478" w:history="1">
        <w:r w:rsidR="00315512" w:rsidRPr="0007265C">
          <w:rPr>
            <w:rStyle w:val="Hyperlink"/>
            <w:highlight w:val="green"/>
          </w:rPr>
          <w:t>Labour type ‘Failed induction’ conditionally mandatory data items</w:t>
        </w:r>
        <w:r w:rsidR="00315512">
          <w:rPr>
            <w:webHidden/>
          </w:rPr>
          <w:tab/>
        </w:r>
        <w:r w:rsidR="00315512">
          <w:rPr>
            <w:webHidden/>
          </w:rPr>
          <w:fldChar w:fldCharType="begin"/>
        </w:r>
        <w:r w:rsidR="00315512">
          <w:rPr>
            <w:webHidden/>
          </w:rPr>
          <w:instrText xml:space="preserve"> PAGEREF _Toc104370478 \h </w:instrText>
        </w:r>
        <w:r w:rsidR="00315512">
          <w:rPr>
            <w:webHidden/>
          </w:rPr>
        </w:r>
        <w:r w:rsidR="00315512">
          <w:rPr>
            <w:webHidden/>
          </w:rPr>
          <w:fldChar w:fldCharType="separate"/>
        </w:r>
        <w:r w:rsidR="00315512">
          <w:rPr>
            <w:webHidden/>
          </w:rPr>
          <w:t>6</w:t>
        </w:r>
        <w:r w:rsidR="00315512">
          <w:rPr>
            <w:webHidden/>
          </w:rPr>
          <w:fldChar w:fldCharType="end"/>
        </w:r>
      </w:hyperlink>
    </w:p>
    <w:p w14:paraId="54E9BD71" w14:textId="38394960" w:rsidR="00315512" w:rsidRDefault="007D4193">
      <w:pPr>
        <w:pStyle w:val="TOC2"/>
        <w:rPr>
          <w:rFonts w:asciiTheme="minorHAnsi" w:eastAsiaTheme="minorEastAsia" w:hAnsiTheme="minorHAnsi" w:cstheme="minorBidi"/>
          <w:sz w:val="22"/>
          <w:szCs w:val="22"/>
          <w:lang w:eastAsia="en-AU"/>
        </w:rPr>
      </w:pPr>
      <w:hyperlink w:anchor="_Toc104370479" w:history="1">
        <w:r w:rsidR="00315512" w:rsidRPr="0007265C">
          <w:rPr>
            <w:rStyle w:val="Hyperlink"/>
          </w:rPr>
          <w:t>### Patient identifier – baby not reported</w:t>
        </w:r>
        <w:r w:rsidR="00315512">
          <w:rPr>
            <w:webHidden/>
          </w:rPr>
          <w:tab/>
        </w:r>
        <w:r w:rsidR="00315512">
          <w:rPr>
            <w:webHidden/>
          </w:rPr>
          <w:fldChar w:fldCharType="begin"/>
        </w:r>
        <w:r w:rsidR="00315512">
          <w:rPr>
            <w:webHidden/>
          </w:rPr>
          <w:instrText xml:space="preserve"> PAGEREF _Toc104370479 \h </w:instrText>
        </w:r>
        <w:r w:rsidR="00315512">
          <w:rPr>
            <w:webHidden/>
          </w:rPr>
        </w:r>
        <w:r w:rsidR="00315512">
          <w:rPr>
            <w:webHidden/>
          </w:rPr>
          <w:fldChar w:fldCharType="separate"/>
        </w:r>
        <w:r w:rsidR="00315512">
          <w:rPr>
            <w:webHidden/>
          </w:rPr>
          <w:t>7</w:t>
        </w:r>
        <w:r w:rsidR="00315512">
          <w:rPr>
            <w:webHidden/>
          </w:rPr>
          <w:fldChar w:fldCharType="end"/>
        </w:r>
      </w:hyperlink>
    </w:p>
    <w:p w14:paraId="26157F27" w14:textId="4648423A" w:rsidR="00315512" w:rsidRDefault="007D4193">
      <w:pPr>
        <w:pStyle w:val="TOC1"/>
        <w:rPr>
          <w:rFonts w:asciiTheme="minorHAnsi" w:eastAsiaTheme="minorEastAsia" w:hAnsiTheme="minorHAnsi" w:cstheme="minorBidi"/>
          <w:b w:val="0"/>
          <w:sz w:val="22"/>
          <w:szCs w:val="22"/>
          <w:lang w:eastAsia="en-AU"/>
        </w:rPr>
      </w:pPr>
      <w:hyperlink w:anchor="_Toc104370480" w:history="1">
        <w:r w:rsidR="00315512" w:rsidRPr="0007265C">
          <w:rPr>
            <w:rStyle w:val="Hyperlink"/>
          </w:rPr>
          <w:t>Section 5 Compilation and submission</w:t>
        </w:r>
        <w:r w:rsidR="00315512">
          <w:rPr>
            <w:webHidden/>
          </w:rPr>
          <w:tab/>
        </w:r>
        <w:r w:rsidR="00315512">
          <w:rPr>
            <w:webHidden/>
          </w:rPr>
          <w:fldChar w:fldCharType="begin"/>
        </w:r>
        <w:r w:rsidR="00315512">
          <w:rPr>
            <w:webHidden/>
          </w:rPr>
          <w:instrText xml:space="preserve"> PAGEREF _Toc104370480 \h </w:instrText>
        </w:r>
        <w:r w:rsidR="00315512">
          <w:rPr>
            <w:webHidden/>
          </w:rPr>
        </w:r>
        <w:r w:rsidR="00315512">
          <w:rPr>
            <w:webHidden/>
          </w:rPr>
          <w:fldChar w:fldCharType="separate"/>
        </w:r>
        <w:r w:rsidR="00315512">
          <w:rPr>
            <w:webHidden/>
          </w:rPr>
          <w:t>8</w:t>
        </w:r>
        <w:r w:rsidR="00315512">
          <w:rPr>
            <w:webHidden/>
          </w:rPr>
          <w:fldChar w:fldCharType="end"/>
        </w:r>
      </w:hyperlink>
    </w:p>
    <w:p w14:paraId="21BBD29D" w14:textId="55A4CCFD" w:rsidR="00315512" w:rsidRDefault="007D4193">
      <w:pPr>
        <w:pStyle w:val="TOC1"/>
        <w:rPr>
          <w:rFonts w:asciiTheme="minorHAnsi" w:eastAsiaTheme="minorEastAsia" w:hAnsiTheme="minorHAnsi" w:cstheme="minorBidi"/>
          <w:b w:val="0"/>
          <w:sz w:val="22"/>
          <w:szCs w:val="22"/>
          <w:lang w:eastAsia="en-AU"/>
        </w:rPr>
      </w:pPr>
      <w:hyperlink w:anchor="_Toc104370481" w:history="1">
        <w:r w:rsidR="00315512" w:rsidRPr="0007265C">
          <w:rPr>
            <w:rStyle w:val="Hyperlink"/>
          </w:rPr>
          <w:t>Test transmissions</w:t>
        </w:r>
        <w:r w:rsidR="00315512">
          <w:rPr>
            <w:webHidden/>
          </w:rPr>
          <w:tab/>
        </w:r>
        <w:r w:rsidR="00315512">
          <w:rPr>
            <w:webHidden/>
          </w:rPr>
          <w:fldChar w:fldCharType="begin"/>
        </w:r>
        <w:r w:rsidR="00315512">
          <w:rPr>
            <w:webHidden/>
          </w:rPr>
          <w:instrText xml:space="preserve"> PAGEREF _Toc104370481 \h </w:instrText>
        </w:r>
        <w:r w:rsidR="00315512">
          <w:rPr>
            <w:webHidden/>
          </w:rPr>
        </w:r>
        <w:r w:rsidR="00315512">
          <w:rPr>
            <w:webHidden/>
          </w:rPr>
          <w:fldChar w:fldCharType="separate"/>
        </w:r>
        <w:r w:rsidR="00315512">
          <w:rPr>
            <w:webHidden/>
          </w:rPr>
          <w:t>8</w:t>
        </w:r>
        <w:r w:rsidR="00315512">
          <w:rPr>
            <w:webHidden/>
          </w:rPr>
          <w:fldChar w:fldCharType="end"/>
        </w:r>
      </w:hyperlink>
    </w:p>
    <w:p w14:paraId="3D8B838A" w14:textId="07EB88B6" w:rsidR="00315512" w:rsidRDefault="007D4193">
      <w:pPr>
        <w:pStyle w:val="TOC1"/>
        <w:rPr>
          <w:rFonts w:asciiTheme="minorHAnsi" w:eastAsiaTheme="minorEastAsia" w:hAnsiTheme="minorHAnsi" w:cstheme="minorBidi"/>
          <w:b w:val="0"/>
          <w:sz w:val="22"/>
          <w:szCs w:val="22"/>
          <w:lang w:eastAsia="en-AU"/>
        </w:rPr>
      </w:pPr>
      <w:hyperlink w:anchor="_Toc104370482" w:history="1">
        <w:r w:rsidR="00315512" w:rsidRPr="0007265C">
          <w:rPr>
            <w:rStyle w:val="Hyperlink"/>
            <w:highlight w:val="green"/>
          </w:rPr>
          <w:t>Steps for submitting test transmissions</w:t>
        </w:r>
        <w:r w:rsidR="00315512">
          <w:rPr>
            <w:webHidden/>
          </w:rPr>
          <w:tab/>
        </w:r>
        <w:r w:rsidR="00315512">
          <w:rPr>
            <w:webHidden/>
          </w:rPr>
          <w:fldChar w:fldCharType="begin"/>
        </w:r>
        <w:r w:rsidR="00315512">
          <w:rPr>
            <w:webHidden/>
          </w:rPr>
          <w:instrText xml:space="preserve"> PAGEREF _Toc104370482 \h </w:instrText>
        </w:r>
        <w:r w:rsidR="00315512">
          <w:rPr>
            <w:webHidden/>
          </w:rPr>
        </w:r>
        <w:r w:rsidR="00315512">
          <w:rPr>
            <w:webHidden/>
          </w:rPr>
          <w:fldChar w:fldCharType="separate"/>
        </w:r>
        <w:r w:rsidR="00315512">
          <w:rPr>
            <w:webHidden/>
          </w:rPr>
          <w:t>8</w:t>
        </w:r>
        <w:r w:rsidR="00315512">
          <w:rPr>
            <w:webHidden/>
          </w:rPr>
          <w:fldChar w:fldCharType="end"/>
        </w:r>
      </w:hyperlink>
    </w:p>
    <w:p w14:paraId="2C4208F2" w14:textId="4C2324F6" w:rsidR="00315512" w:rsidRDefault="007D4193">
      <w:pPr>
        <w:pStyle w:val="TOC1"/>
        <w:rPr>
          <w:rFonts w:asciiTheme="minorHAnsi" w:eastAsiaTheme="minorEastAsia" w:hAnsiTheme="minorHAnsi" w:cstheme="minorBidi"/>
          <w:b w:val="0"/>
          <w:sz w:val="22"/>
          <w:szCs w:val="22"/>
          <w:lang w:eastAsia="en-AU"/>
        </w:rPr>
      </w:pPr>
      <w:hyperlink w:anchor="_Toc104370483" w:history="1">
        <w:r w:rsidR="00315512" w:rsidRPr="0007265C">
          <w:rPr>
            <w:rStyle w:val="Hyperlink"/>
            <w:highlight w:val="green"/>
          </w:rPr>
          <w:t>Test file and data formats</w:t>
        </w:r>
        <w:r w:rsidR="00315512">
          <w:rPr>
            <w:webHidden/>
          </w:rPr>
          <w:tab/>
        </w:r>
        <w:r w:rsidR="00315512">
          <w:rPr>
            <w:webHidden/>
          </w:rPr>
          <w:fldChar w:fldCharType="begin"/>
        </w:r>
        <w:r w:rsidR="00315512">
          <w:rPr>
            <w:webHidden/>
          </w:rPr>
          <w:instrText xml:space="preserve"> PAGEREF _Toc104370483 \h </w:instrText>
        </w:r>
        <w:r w:rsidR="00315512">
          <w:rPr>
            <w:webHidden/>
          </w:rPr>
        </w:r>
        <w:r w:rsidR="00315512">
          <w:rPr>
            <w:webHidden/>
          </w:rPr>
          <w:fldChar w:fldCharType="separate"/>
        </w:r>
        <w:r w:rsidR="00315512">
          <w:rPr>
            <w:webHidden/>
          </w:rPr>
          <w:t>8</w:t>
        </w:r>
        <w:r w:rsidR="00315512">
          <w:rPr>
            <w:webHidden/>
          </w:rPr>
          <w:fldChar w:fldCharType="end"/>
        </w:r>
      </w:hyperlink>
    </w:p>
    <w:p w14:paraId="7C5DEE26" w14:textId="47F71BCC" w:rsidR="00315512" w:rsidRDefault="007D4193">
      <w:pPr>
        <w:pStyle w:val="TOC1"/>
        <w:rPr>
          <w:rFonts w:asciiTheme="minorHAnsi" w:eastAsiaTheme="minorEastAsia" w:hAnsiTheme="minorHAnsi" w:cstheme="minorBidi"/>
          <w:b w:val="0"/>
          <w:sz w:val="22"/>
          <w:szCs w:val="22"/>
          <w:lang w:eastAsia="en-AU"/>
        </w:rPr>
      </w:pPr>
      <w:hyperlink w:anchor="_Toc104370484" w:history="1">
        <w:r w:rsidR="00315512" w:rsidRPr="0007265C">
          <w:rPr>
            <w:rStyle w:val="Hyperlink"/>
            <w:highlight w:val="green"/>
          </w:rPr>
          <w:t>Health service responsibilities</w:t>
        </w:r>
        <w:r w:rsidR="00315512">
          <w:rPr>
            <w:webHidden/>
          </w:rPr>
          <w:tab/>
        </w:r>
        <w:r w:rsidR="00315512">
          <w:rPr>
            <w:webHidden/>
          </w:rPr>
          <w:fldChar w:fldCharType="begin"/>
        </w:r>
        <w:r w:rsidR="00315512">
          <w:rPr>
            <w:webHidden/>
          </w:rPr>
          <w:instrText xml:space="preserve"> PAGEREF _Toc104370484 \h </w:instrText>
        </w:r>
        <w:r w:rsidR="00315512">
          <w:rPr>
            <w:webHidden/>
          </w:rPr>
        </w:r>
        <w:r w:rsidR="00315512">
          <w:rPr>
            <w:webHidden/>
          </w:rPr>
          <w:fldChar w:fldCharType="separate"/>
        </w:r>
        <w:r w:rsidR="00315512">
          <w:rPr>
            <w:webHidden/>
          </w:rPr>
          <w:t>9</w:t>
        </w:r>
        <w:r w:rsidR="00315512">
          <w:rPr>
            <w:webHidden/>
          </w:rPr>
          <w:fldChar w:fldCharType="end"/>
        </w:r>
      </w:hyperlink>
    </w:p>
    <w:p w14:paraId="3A861786" w14:textId="3CB9CB88" w:rsidR="00315512" w:rsidRDefault="007D4193">
      <w:pPr>
        <w:pStyle w:val="TOC1"/>
        <w:rPr>
          <w:rFonts w:asciiTheme="minorHAnsi" w:eastAsiaTheme="minorEastAsia" w:hAnsiTheme="minorHAnsi" w:cstheme="minorBidi"/>
          <w:b w:val="0"/>
          <w:sz w:val="22"/>
          <w:szCs w:val="22"/>
          <w:lang w:eastAsia="en-AU"/>
        </w:rPr>
      </w:pPr>
      <w:hyperlink w:anchor="_Toc104370485" w:history="1">
        <w:r w:rsidR="00315512" w:rsidRPr="0007265C">
          <w:rPr>
            <w:rStyle w:val="Hyperlink"/>
            <w:highlight w:val="green"/>
          </w:rPr>
          <w:t>Timing of testing</w:t>
        </w:r>
        <w:r w:rsidR="00315512">
          <w:rPr>
            <w:webHidden/>
          </w:rPr>
          <w:tab/>
        </w:r>
        <w:r w:rsidR="00315512">
          <w:rPr>
            <w:webHidden/>
          </w:rPr>
          <w:fldChar w:fldCharType="begin"/>
        </w:r>
        <w:r w:rsidR="00315512">
          <w:rPr>
            <w:webHidden/>
          </w:rPr>
          <w:instrText xml:space="preserve"> PAGEREF _Toc104370485 \h </w:instrText>
        </w:r>
        <w:r w:rsidR="00315512">
          <w:rPr>
            <w:webHidden/>
          </w:rPr>
        </w:r>
        <w:r w:rsidR="00315512">
          <w:rPr>
            <w:webHidden/>
          </w:rPr>
          <w:fldChar w:fldCharType="separate"/>
        </w:r>
        <w:r w:rsidR="00315512">
          <w:rPr>
            <w:webHidden/>
          </w:rPr>
          <w:t>9</w:t>
        </w:r>
        <w:r w:rsidR="00315512">
          <w:rPr>
            <w:webHidden/>
          </w:rPr>
          <w:fldChar w:fldCharType="end"/>
        </w:r>
      </w:hyperlink>
    </w:p>
    <w:p w14:paraId="454142ED" w14:textId="00AA3645" w:rsidR="00315512" w:rsidRDefault="007D4193">
      <w:pPr>
        <w:pStyle w:val="TOC1"/>
        <w:rPr>
          <w:rFonts w:asciiTheme="minorHAnsi" w:eastAsiaTheme="minorEastAsia" w:hAnsiTheme="minorHAnsi" w:cstheme="minorBidi"/>
          <w:b w:val="0"/>
          <w:sz w:val="22"/>
          <w:szCs w:val="22"/>
          <w:lang w:eastAsia="en-AU"/>
        </w:rPr>
      </w:pPr>
      <w:hyperlink w:anchor="_Toc104370486" w:history="1">
        <w:r w:rsidR="00315512" w:rsidRPr="0007265C">
          <w:rPr>
            <w:rStyle w:val="Hyperlink"/>
            <w:highlight w:val="green"/>
          </w:rPr>
          <w:t>Table of Episode record data elements</w:t>
        </w:r>
        <w:r w:rsidR="00315512">
          <w:rPr>
            <w:webHidden/>
          </w:rPr>
          <w:tab/>
        </w:r>
        <w:r w:rsidR="00315512">
          <w:rPr>
            <w:webHidden/>
          </w:rPr>
          <w:fldChar w:fldCharType="begin"/>
        </w:r>
        <w:r w:rsidR="00315512">
          <w:rPr>
            <w:webHidden/>
          </w:rPr>
          <w:instrText xml:space="preserve"> PAGEREF _Toc104370486 \h </w:instrText>
        </w:r>
        <w:r w:rsidR="00315512">
          <w:rPr>
            <w:webHidden/>
          </w:rPr>
        </w:r>
        <w:r w:rsidR="00315512">
          <w:rPr>
            <w:webHidden/>
          </w:rPr>
          <w:fldChar w:fldCharType="separate"/>
        </w:r>
        <w:r w:rsidR="00315512">
          <w:rPr>
            <w:webHidden/>
          </w:rPr>
          <w:t>9</w:t>
        </w:r>
        <w:r w:rsidR="00315512">
          <w:rPr>
            <w:webHidden/>
          </w:rPr>
          <w:fldChar w:fldCharType="end"/>
        </w:r>
      </w:hyperlink>
    </w:p>
    <w:p w14:paraId="6A4B0111" w14:textId="3BE3DF91" w:rsidR="00580394" w:rsidRPr="00B519CD" w:rsidRDefault="00AD784C"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r>
        <w:fldChar w:fldCharType="end"/>
      </w:r>
    </w:p>
    <w:p w14:paraId="16781D76" w14:textId="4A7284DB" w:rsidR="00E3449E" w:rsidRPr="00303342" w:rsidRDefault="00E3449E" w:rsidP="00E3449E">
      <w:pPr>
        <w:pStyle w:val="Heading1"/>
        <w:spacing w:before="0"/>
      </w:pPr>
      <w:bookmarkStart w:id="0" w:name="_Toc66208298"/>
      <w:bookmarkStart w:id="1" w:name="_Toc104370465"/>
      <w:bookmarkStart w:id="2" w:name="_Hlk63355178"/>
      <w:r w:rsidRPr="00303342">
        <w:lastRenderedPageBreak/>
        <w:t>Executive summary</w:t>
      </w:r>
      <w:bookmarkEnd w:id="0"/>
      <w:bookmarkEnd w:id="1"/>
    </w:p>
    <w:p w14:paraId="20D8F20B" w14:textId="4959539E" w:rsidR="002C1443" w:rsidRDefault="00194119" w:rsidP="00AC51D1">
      <w:pPr>
        <w:pStyle w:val="DHHSbody"/>
      </w:pPr>
      <w:r w:rsidRPr="00303342">
        <w:t>The document ‘Specifications for revisions to the V</w:t>
      </w:r>
      <w:r w:rsidR="00303342" w:rsidRPr="00303342">
        <w:t>ictorian Perinatal Data Collection (V</w:t>
      </w:r>
      <w:r w:rsidRPr="00303342">
        <w:t>PDC</w:t>
      </w:r>
      <w:r w:rsidR="00303342" w:rsidRPr="00303342">
        <w:t>)</w:t>
      </w:r>
      <w:r w:rsidRPr="00303342">
        <w:t xml:space="preserve"> for 1.7.2022’ was released in December 2021</w:t>
      </w:r>
      <w:r w:rsidR="00303342" w:rsidRPr="00303342">
        <w:t>, setting out changes as known at that time</w:t>
      </w:r>
      <w:r w:rsidRPr="00303342">
        <w:t xml:space="preserve">. </w:t>
      </w:r>
      <w:r w:rsidR="00A90148">
        <w:t>In April</w:t>
      </w:r>
      <w:r w:rsidR="002C1443">
        <w:t xml:space="preserve"> 2022</w:t>
      </w:r>
      <w:r w:rsidR="00A90148">
        <w:t>, an Errata was released with additional Reporting guidelines for some new data items, and correct</w:t>
      </w:r>
      <w:r w:rsidR="002C1443">
        <w:t>ion of a few errors</w:t>
      </w:r>
      <w:r w:rsidRPr="00303342">
        <w:t xml:space="preserve"> </w:t>
      </w:r>
      <w:r w:rsidR="00303342" w:rsidRPr="00303342">
        <w:t xml:space="preserve">in </w:t>
      </w:r>
      <w:r w:rsidRPr="00303342">
        <w:t>business rules</w:t>
      </w:r>
      <w:r w:rsidR="00A90148">
        <w:t xml:space="preserve"> </w:t>
      </w:r>
      <w:r w:rsidR="00303342" w:rsidRPr="00303342">
        <w:t>set out in th</w:t>
      </w:r>
      <w:r w:rsidR="00A90148">
        <w:t xml:space="preserve">e initial Specifications. </w:t>
      </w:r>
      <w:r w:rsidR="002C1443">
        <w:t xml:space="preserve">Correction of one business rule relating to reporting of COVID19 vaccinations was also circulated in April 2022. These documents are all accessible at the </w:t>
      </w:r>
      <w:hyperlink r:id="rId19" w:history="1">
        <w:r w:rsidR="002C1443" w:rsidRPr="002C1443">
          <w:rPr>
            <w:rStyle w:val="Hyperlink"/>
          </w:rPr>
          <w:t>VPDC website</w:t>
        </w:r>
      </w:hyperlink>
      <w:r w:rsidR="002C1443">
        <w:t xml:space="preserve"> &lt;</w:t>
      </w:r>
      <w:r w:rsidR="002C1443" w:rsidRPr="002C1443">
        <w:t>https://www.health.vic.gov.au/quality-safety-service/victorian-perinatal-data-collection</w:t>
      </w:r>
      <w:r w:rsidR="002C1443">
        <w:t xml:space="preserve">&gt; </w:t>
      </w:r>
    </w:p>
    <w:p w14:paraId="36E5E05E" w14:textId="4599D3AF" w:rsidR="00194119" w:rsidRPr="00303342" w:rsidRDefault="00A90148" w:rsidP="00AC51D1">
      <w:pPr>
        <w:pStyle w:val="DHHSbody"/>
      </w:pPr>
      <w:r>
        <w:t xml:space="preserve">This Addendum document adds </w:t>
      </w:r>
      <w:r w:rsidR="00B666CB">
        <w:t xml:space="preserve">to the preceding documents with </w:t>
      </w:r>
      <w:r>
        <w:t xml:space="preserve">further details </w:t>
      </w:r>
      <w:r w:rsidR="00B666CB">
        <w:t>on the following matters:</w:t>
      </w:r>
    </w:p>
    <w:p w14:paraId="6735B71F" w14:textId="622AC1E6" w:rsidR="00B666CB" w:rsidRDefault="00B666CB" w:rsidP="00AB3609">
      <w:pPr>
        <w:pStyle w:val="DHHSbody"/>
        <w:numPr>
          <w:ilvl w:val="0"/>
          <w:numId w:val="12"/>
        </w:numPr>
      </w:pPr>
      <w:r w:rsidRPr="00B666CB">
        <w:rPr>
          <w:b/>
          <w:bCs/>
        </w:rPr>
        <w:t>The 12</w:t>
      </w:r>
      <w:r w:rsidRPr="00B666CB">
        <w:rPr>
          <w:b/>
          <w:bCs/>
          <w:vertAlign w:val="superscript"/>
        </w:rPr>
        <w:t>th</w:t>
      </w:r>
      <w:r w:rsidRPr="00B666CB">
        <w:rPr>
          <w:b/>
          <w:bCs/>
        </w:rPr>
        <w:t xml:space="preserve"> edition ICD-10-AM/ACHI codes set, including a limited number of codes created for use exclusively in VPDC reporting is now available:</w:t>
      </w:r>
      <w:r>
        <w:t xml:space="preserve"> please email the HDSS HelpDesk to request this</w:t>
      </w:r>
    </w:p>
    <w:p w14:paraId="1CE94249" w14:textId="36C2BBF3" w:rsidR="00B666CB" w:rsidRDefault="00A90148" w:rsidP="00AB3609">
      <w:pPr>
        <w:pStyle w:val="DHHSbody"/>
        <w:numPr>
          <w:ilvl w:val="0"/>
          <w:numId w:val="12"/>
        </w:numPr>
      </w:pPr>
      <w:r>
        <w:t xml:space="preserve">Change to </w:t>
      </w:r>
      <w:r w:rsidR="002C1443" w:rsidRPr="0039371B">
        <w:rPr>
          <w:b/>
          <w:bCs/>
        </w:rPr>
        <w:t>update to 12</w:t>
      </w:r>
      <w:r w:rsidR="002C1443" w:rsidRPr="0039371B">
        <w:rPr>
          <w:b/>
          <w:bCs/>
          <w:vertAlign w:val="superscript"/>
        </w:rPr>
        <w:t>th</w:t>
      </w:r>
      <w:r w:rsidR="002C1443" w:rsidRPr="0039371B">
        <w:rPr>
          <w:b/>
          <w:bCs/>
        </w:rPr>
        <w:t xml:space="preserve"> edition</w:t>
      </w:r>
      <w:r w:rsidRPr="0039371B">
        <w:rPr>
          <w:b/>
          <w:bCs/>
        </w:rPr>
        <w:t xml:space="preserve"> ICD-10-AM code</w:t>
      </w:r>
      <w:r w:rsidR="00B666CB" w:rsidRPr="0039371B">
        <w:rPr>
          <w:b/>
          <w:bCs/>
        </w:rPr>
        <w:t>s</w:t>
      </w:r>
      <w:r w:rsidR="00B666CB">
        <w:t xml:space="preserve"> listed in relevant data items</w:t>
      </w:r>
      <w:r w:rsidR="0039371B">
        <w:t xml:space="preserve">, </w:t>
      </w:r>
      <w:r w:rsidR="0039371B" w:rsidRPr="0039371B">
        <w:rPr>
          <w:b/>
          <w:bCs/>
        </w:rPr>
        <w:t>including for reporting COVID19 during this pregnancy</w:t>
      </w:r>
      <w:r w:rsidR="00B666CB">
        <w:t>:</w:t>
      </w:r>
    </w:p>
    <w:p w14:paraId="1DEE116A" w14:textId="475905D1" w:rsidR="00006797" w:rsidRDefault="00A90148" w:rsidP="00B666CB">
      <w:pPr>
        <w:pStyle w:val="DHHSbody"/>
        <w:numPr>
          <w:ilvl w:val="0"/>
          <w:numId w:val="17"/>
        </w:numPr>
      </w:pPr>
      <w:r>
        <w:t>Events of labour and birth –</w:t>
      </w:r>
      <w:r w:rsidR="00B666CB">
        <w:t xml:space="preserve"> </w:t>
      </w:r>
      <w:r>
        <w:t>ICD-10-</w:t>
      </w:r>
      <w:r w:rsidR="002C1443">
        <w:t>AM code</w:t>
      </w:r>
    </w:p>
    <w:p w14:paraId="57101B39" w14:textId="5AEA0129" w:rsidR="00B666CB" w:rsidRDefault="00B666CB" w:rsidP="00B666CB">
      <w:pPr>
        <w:pStyle w:val="DHHSbody"/>
        <w:numPr>
          <w:ilvl w:val="0"/>
          <w:numId w:val="17"/>
        </w:numPr>
      </w:pPr>
      <w:r>
        <w:t>Indication for induction (main reason) – ICD-10-AM code</w:t>
      </w:r>
    </w:p>
    <w:p w14:paraId="5E3B6F97" w14:textId="3E9EA68E" w:rsidR="00B666CB" w:rsidRDefault="00B666CB" w:rsidP="00B666CB">
      <w:pPr>
        <w:pStyle w:val="DHHSbody"/>
        <w:numPr>
          <w:ilvl w:val="0"/>
          <w:numId w:val="17"/>
        </w:numPr>
      </w:pPr>
      <w:r>
        <w:t>Indication for operative delivery (main reason) – ICD-10-AM code</w:t>
      </w:r>
    </w:p>
    <w:p w14:paraId="67686528" w14:textId="70D25939" w:rsidR="00B666CB" w:rsidRDefault="00B666CB" w:rsidP="00B666CB">
      <w:pPr>
        <w:pStyle w:val="DHHSbody"/>
        <w:numPr>
          <w:ilvl w:val="0"/>
          <w:numId w:val="17"/>
        </w:numPr>
      </w:pPr>
      <w:r>
        <w:t>Maternal medical conditions – ICD-10-AM code</w:t>
      </w:r>
    </w:p>
    <w:p w14:paraId="50B5D259" w14:textId="34FE36BA" w:rsidR="00B666CB" w:rsidRDefault="00B666CB" w:rsidP="00B666CB">
      <w:pPr>
        <w:pStyle w:val="DHHSbody"/>
        <w:numPr>
          <w:ilvl w:val="0"/>
          <w:numId w:val="17"/>
        </w:numPr>
      </w:pPr>
      <w:r>
        <w:t>Obstetric complications – ICD-10-AM code</w:t>
      </w:r>
    </w:p>
    <w:p w14:paraId="17865251" w14:textId="22B45262" w:rsidR="00B666CB" w:rsidRDefault="00B666CB" w:rsidP="00B666CB">
      <w:pPr>
        <w:pStyle w:val="DHHSbody"/>
        <w:numPr>
          <w:ilvl w:val="0"/>
          <w:numId w:val="17"/>
        </w:numPr>
      </w:pPr>
      <w:r>
        <w:t>Postpartum complications – ICD-10-AM code</w:t>
      </w:r>
    </w:p>
    <w:p w14:paraId="6A6BFDD2" w14:textId="77777777" w:rsidR="00B666CB" w:rsidRDefault="00A90148" w:rsidP="00AB3609">
      <w:pPr>
        <w:pStyle w:val="DHHSbody"/>
        <w:numPr>
          <w:ilvl w:val="0"/>
          <w:numId w:val="12"/>
        </w:numPr>
      </w:pPr>
      <w:r>
        <w:t xml:space="preserve">Update </w:t>
      </w:r>
      <w:r w:rsidR="00B666CB">
        <w:t>business rules:</w:t>
      </w:r>
    </w:p>
    <w:p w14:paraId="47711D5B" w14:textId="15A22181" w:rsidR="0039371B" w:rsidRDefault="0039371B" w:rsidP="0039371B">
      <w:pPr>
        <w:pStyle w:val="DHHSbody"/>
        <w:numPr>
          <w:ilvl w:val="0"/>
          <w:numId w:val="17"/>
        </w:numPr>
      </w:pPr>
      <w:r>
        <w:t>a new ‘Warning level’ business rule ‘Date of birth – baby and Version identifier valid combinations’ to check that births are reported in the correct submission file format</w:t>
      </w:r>
    </w:p>
    <w:p w14:paraId="4BF1E699" w14:textId="551FF758" w:rsidR="00A90148" w:rsidRDefault="00A90148" w:rsidP="00B666CB">
      <w:pPr>
        <w:pStyle w:val="DHHSbody"/>
        <w:numPr>
          <w:ilvl w:val="0"/>
          <w:numId w:val="17"/>
        </w:numPr>
      </w:pPr>
      <w:r>
        <w:t xml:space="preserve">existing business rule </w:t>
      </w:r>
      <w:r w:rsidR="002C1443">
        <w:t>‘</w:t>
      </w:r>
      <w:r>
        <w:t>Labour type ‘Failed induction’ conditionally mandatory data items</w:t>
      </w:r>
      <w:r w:rsidR="002C1443">
        <w:t>’</w:t>
      </w:r>
      <w:r>
        <w:t xml:space="preserve"> </w:t>
      </w:r>
      <w:r w:rsidR="00B7073E">
        <w:t xml:space="preserve">updated to </w:t>
      </w:r>
      <w:r>
        <w:t>include a new 12</w:t>
      </w:r>
      <w:r w:rsidRPr="00A90148">
        <w:rPr>
          <w:vertAlign w:val="superscript"/>
        </w:rPr>
        <w:t>th</w:t>
      </w:r>
      <w:r>
        <w:t xml:space="preserve"> edition ICD-10-AM code</w:t>
      </w:r>
    </w:p>
    <w:p w14:paraId="15BB0A75" w14:textId="0EA5726D" w:rsidR="00B666CB" w:rsidRPr="008D697D" w:rsidRDefault="00B666CB" w:rsidP="00B666CB">
      <w:pPr>
        <w:pStyle w:val="DHHSbody"/>
        <w:numPr>
          <w:ilvl w:val="0"/>
          <w:numId w:val="17"/>
        </w:numPr>
      </w:pPr>
      <w:r>
        <w:t>clarify the intention of a new business rule for reporting Patient identifier – baby</w:t>
      </w:r>
    </w:p>
    <w:p w14:paraId="0A4860EB" w14:textId="38D712F7" w:rsidR="00B7073E" w:rsidRDefault="00B7073E" w:rsidP="00AB3609">
      <w:pPr>
        <w:pStyle w:val="DHHSbody"/>
        <w:numPr>
          <w:ilvl w:val="0"/>
          <w:numId w:val="12"/>
        </w:numPr>
        <w:rPr>
          <w:b/>
          <w:bCs/>
        </w:rPr>
      </w:pPr>
      <w:r>
        <w:t>Expand description of processes for test transmissions</w:t>
      </w:r>
    </w:p>
    <w:p w14:paraId="53AEC54B" w14:textId="4660CA94" w:rsidR="00A90148" w:rsidRPr="00B666CB" w:rsidRDefault="00A90148" w:rsidP="00AB3609">
      <w:pPr>
        <w:pStyle w:val="DHHSbody"/>
        <w:numPr>
          <w:ilvl w:val="0"/>
          <w:numId w:val="12"/>
        </w:numPr>
        <w:rPr>
          <w:b/>
          <w:bCs/>
        </w:rPr>
      </w:pPr>
      <w:r w:rsidRPr="00B666CB">
        <w:rPr>
          <w:b/>
          <w:bCs/>
        </w:rPr>
        <w:t xml:space="preserve">Notify Test file submission requirements, and </w:t>
      </w:r>
      <w:r w:rsidR="00B666CB" w:rsidRPr="00B666CB">
        <w:rPr>
          <w:b/>
          <w:bCs/>
        </w:rPr>
        <w:t xml:space="preserve">that </w:t>
      </w:r>
      <w:r w:rsidRPr="00B666CB">
        <w:rPr>
          <w:b/>
          <w:bCs/>
        </w:rPr>
        <w:t xml:space="preserve">test files </w:t>
      </w:r>
      <w:r w:rsidR="002C1443" w:rsidRPr="00B666CB">
        <w:rPr>
          <w:b/>
          <w:bCs/>
        </w:rPr>
        <w:t xml:space="preserve">in 1.7.2022 format </w:t>
      </w:r>
      <w:r w:rsidRPr="00B666CB">
        <w:rPr>
          <w:b/>
          <w:bCs/>
        </w:rPr>
        <w:t>can be submitted</w:t>
      </w:r>
      <w:r w:rsidR="00B666CB" w:rsidRPr="00B666CB">
        <w:rPr>
          <w:b/>
          <w:bCs/>
        </w:rPr>
        <w:t xml:space="preserve"> from 9.00am on Wednesday 25 May 2022</w:t>
      </w:r>
    </w:p>
    <w:p w14:paraId="06FB250D" w14:textId="729E6FA0" w:rsidR="00006797" w:rsidRPr="008D697D" w:rsidRDefault="00006797" w:rsidP="00AB3609">
      <w:pPr>
        <w:pStyle w:val="DHHSbody"/>
        <w:numPr>
          <w:ilvl w:val="0"/>
          <w:numId w:val="12"/>
        </w:numPr>
      </w:pPr>
      <w:r w:rsidRPr="008D697D">
        <w:t>Correct</w:t>
      </w:r>
      <w:r w:rsidR="00A90148">
        <w:t xml:space="preserve"> an error in the </w:t>
      </w:r>
      <w:r w:rsidR="002C1443">
        <w:t>‘</w:t>
      </w:r>
      <w:r w:rsidR="00A90148">
        <w:t xml:space="preserve">Table of Episode record data </w:t>
      </w:r>
      <w:r w:rsidR="002C1443">
        <w:t xml:space="preserve">elements’ published </w:t>
      </w:r>
      <w:r w:rsidR="00A90148">
        <w:t>in the Specifications document</w:t>
      </w:r>
    </w:p>
    <w:p w14:paraId="58728C1D" w14:textId="49D6EE80" w:rsidR="002F0EB9" w:rsidRPr="00475186" w:rsidRDefault="00AC51D1" w:rsidP="00AC51D1">
      <w:pPr>
        <w:pStyle w:val="DHHSbody"/>
        <w:rPr>
          <w:b/>
          <w:bCs/>
        </w:rPr>
      </w:pPr>
      <w:bookmarkStart w:id="3" w:name="_Hlk104453191"/>
      <w:r w:rsidRPr="002C1443">
        <w:t>Th</w:t>
      </w:r>
      <w:r w:rsidR="001C54EE" w:rsidRPr="002C1443">
        <w:t>is</w:t>
      </w:r>
      <w:r w:rsidR="001C54EE" w:rsidRPr="002C1443">
        <w:rPr>
          <w:b/>
          <w:bCs/>
        </w:rPr>
        <w:t xml:space="preserve"> </w:t>
      </w:r>
      <w:r w:rsidR="002C1443">
        <w:rPr>
          <w:b/>
          <w:bCs/>
        </w:rPr>
        <w:t xml:space="preserve">Addendum </w:t>
      </w:r>
      <w:r w:rsidR="002C1443" w:rsidRPr="002C1443">
        <w:t>supplement</w:t>
      </w:r>
      <w:r w:rsidR="00D63DCA">
        <w:t>,</w:t>
      </w:r>
      <w:r w:rsidR="002C1443" w:rsidRPr="002C1443">
        <w:t xml:space="preserve"> </w:t>
      </w:r>
      <w:r w:rsidR="001C54EE" w:rsidRPr="002C1443">
        <w:t>the</w:t>
      </w:r>
      <w:r w:rsidR="001C54EE">
        <w:rPr>
          <w:b/>
          <w:bCs/>
        </w:rPr>
        <w:t xml:space="preserve"> Specifications </w:t>
      </w:r>
      <w:r w:rsidR="001C54EE" w:rsidRPr="002C1443">
        <w:t>released in December 2021</w:t>
      </w:r>
      <w:r w:rsidR="002C1443" w:rsidRPr="002C1443">
        <w:t xml:space="preserve"> and the</w:t>
      </w:r>
      <w:r w:rsidR="002C1443">
        <w:rPr>
          <w:b/>
          <w:bCs/>
        </w:rPr>
        <w:t xml:space="preserve"> Errata </w:t>
      </w:r>
      <w:r w:rsidR="002C1443" w:rsidRPr="002C1443">
        <w:t>and</w:t>
      </w:r>
      <w:r w:rsidR="002C1443">
        <w:rPr>
          <w:b/>
          <w:bCs/>
        </w:rPr>
        <w:t xml:space="preserve"> business rule correction </w:t>
      </w:r>
      <w:r w:rsidR="002C1443" w:rsidRPr="002C1443">
        <w:t>released in April 2022</w:t>
      </w:r>
      <w:r w:rsidR="001C54EE" w:rsidRPr="002C1443">
        <w:t>,</w:t>
      </w:r>
      <w:r w:rsidR="001C54EE">
        <w:rPr>
          <w:b/>
          <w:bCs/>
        </w:rPr>
        <w:t xml:space="preserve"> </w:t>
      </w:r>
      <w:r w:rsidR="001C54EE" w:rsidRPr="001C54EE">
        <w:t xml:space="preserve">with all other aspects of those Specifications remaining </w:t>
      </w:r>
      <w:r w:rsidR="00EB3C6B">
        <w:t>as previously published</w:t>
      </w:r>
      <w:r w:rsidR="00573D5A" w:rsidRPr="001C54EE">
        <w:t>.</w:t>
      </w:r>
      <w:r w:rsidR="00475186">
        <w:t xml:space="preserve"> </w:t>
      </w:r>
      <w:r w:rsidR="00475186" w:rsidRPr="00475186">
        <w:rPr>
          <w:b/>
          <w:bCs/>
        </w:rPr>
        <w:t xml:space="preserve">Together, the </w:t>
      </w:r>
      <w:r w:rsidR="00475186">
        <w:rPr>
          <w:b/>
          <w:bCs/>
        </w:rPr>
        <w:t>Specification</w:t>
      </w:r>
      <w:r w:rsidR="001C54EE">
        <w:rPr>
          <w:b/>
          <w:bCs/>
        </w:rPr>
        <w:t>s</w:t>
      </w:r>
      <w:r w:rsidR="002C1443">
        <w:rPr>
          <w:b/>
          <w:bCs/>
        </w:rPr>
        <w:t>, Errata, correction and this Addendum</w:t>
      </w:r>
      <w:r w:rsidR="00475186">
        <w:rPr>
          <w:b/>
          <w:bCs/>
        </w:rPr>
        <w:t xml:space="preserve"> d</w:t>
      </w:r>
      <w:r w:rsidR="00475186" w:rsidRPr="00475186">
        <w:rPr>
          <w:b/>
          <w:bCs/>
        </w:rPr>
        <w:t>ocument</w:t>
      </w:r>
      <w:r w:rsidR="001C54EE">
        <w:rPr>
          <w:b/>
          <w:bCs/>
        </w:rPr>
        <w:t xml:space="preserve"> list all </w:t>
      </w:r>
      <w:r w:rsidR="00475186" w:rsidRPr="00475186">
        <w:rPr>
          <w:b/>
          <w:bCs/>
        </w:rPr>
        <w:t xml:space="preserve">changes to be made to the VPDC effective </w:t>
      </w:r>
      <w:r w:rsidR="00C81D35">
        <w:rPr>
          <w:b/>
          <w:bCs/>
        </w:rPr>
        <w:t xml:space="preserve">on and </w:t>
      </w:r>
      <w:r w:rsidR="00475186" w:rsidRPr="00475186">
        <w:rPr>
          <w:b/>
          <w:bCs/>
        </w:rPr>
        <w:t>from 1</w:t>
      </w:r>
      <w:r w:rsidR="00475186">
        <w:rPr>
          <w:b/>
          <w:bCs/>
        </w:rPr>
        <w:t> </w:t>
      </w:r>
      <w:r w:rsidR="00475186" w:rsidRPr="00475186">
        <w:rPr>
          <w:b/>
          <w:bCs/>
        </w:rPr>
        <w:t>July 202</w:t>
      </w:r>
      <w:r w:rsidR="001C54EE">
        <w:rPr>
          <w:b/>
          <w:bCs/>
        </w:rPr>
        <w:t>2</w:t>
      </w:r>
      <w:r w:rsidR="00475186" w:rsidRPr="00475186">
        <w:rPr>
          <w:b/>
          <w:bCs/>
        </w:rPr>
        <w:t>.</w:t>
      </w:r>
      <w:bookmarkEnd w:id="3"/>
    </w:p>
    <w:p w14:paraId="578C3977" w14:textId="76C42E05" w:rsidR="00A04660" w:rsidRDefault="005A2838" w:rsidP="002F0EB9">
      <w:pPr>
        <w:pStyle w:val="DHHSbody"/>
      </w:pPr>
      <w:r>
        <w:t>Any</w:t>
      </w:r>
      <w:r w:rsidR="00A04660">
        <w:t xml:space="preserve"> further changes required during the year, for example to reference files such as the postcode locality file, data validation rules or supporting documentation, will be advised at the time.</w:t>
      </w:r>
    </w:p>
    <w:p w14:paraId="55077DD3" w14:textId="6C5D63D5" w:rsidR="00A04660" w:rsidRDefault="00A04660" w:rsidP="002F0EB9">
      <w:pPr>
        <w:pStyle w:val="DHHSbody"/>
      </w:pPr>
      <w:r>
        <w:t xml:space="preserve">An updated VPDC manual will be published before </w:t>
      </w:r>
      <w:r w:rsidR="000538D2">
        <w:t>1 July 202</w:t>
      </w:r>
      <w:r w:rsidR="00A921D8">
        <w:t>2</w:t>
      </w:r>
      <w:r>
        <w:t>. Until then, the current VPDC manual</w:t>
      </w:r>
      <w:r w:rsidR="000538D2">
        <w:t>, accessible at the VPDC website</w:t>
      </w:r>
      <w:r w:rsidR="00361EA1">
        <w:t xml:space="preserve">, along with the </w:t>
      </w:r>
      <w:r w:rsidR="002C1443">
        <w:t>suite of documents listed above which together set out all changes effective from 1.7.2022</w:t>
      </w:r>
      <w:r w:rsidR="00A921D8">
        <w:t>,</w:t>
      </w:r>
      <w:r w:rsidR="00361EA1">
        <w:t xml:space="preserve"> </w:t>
      </w:r>
      <w:r>
        <w:t xml:space="preserve">form the data submission specifications </w:t>
      </w:r>
      <w:r w:rsidR="00BB5B31">
        <w:t xml:space="preserve">for births </w:t>
      </w:r>
      <w:r>
        <w:t>on and from 1.7.202</w:t>
      </w:r>
      <w:r w:rsidR="00A921D8">
        <w:t>2</w:t>
      </w:r>
      <w:r>
        <w:t>.</w:t>
      </w:r>
    </w:p>
    <w:p w14:paraId="45E3DFC3" w14:textId="77777777" w:rsidR="00CF0725" w:rsidRDefault="00CF0725">
      <w:pPr>
        <w:spacing w:after="0" w:line="240" w:lineRule="auto"/>
        <w:rPr>
          <w:b/>
          <w:color w:val="53565A"/>
          <w:sz w:val="32"/>
          <w:szCs w:val="28"/>
        </w:rPr>
      </w:pPr>
      <w:r>
        <w:br w:type="page"/>
      </w:r>
    </w:p>
    <w:p w14:paraId="72CCD952" w14:textId="6EBC3901" w:rsidR="00E3449E" w:rsidRDefault="00E3449E" w:rsidP="00E3449E">
      <w:pPr>
        <w:pStyle w:val="Heading2"/>
      </w:pPr>
      <w:bookmarkStart w:id="4" w:name="_Toc104370466"/>
      <w:r>
        <w:lastRenderedPageBreak/>
        <w:t>Orientation to this document</w:t>
      </w:r>
      <w:bookmarkEnd w:id="4"/>
    </w:p>
    <w:p w14:paraId="5C37D7EE" w14:textId="5945F8C8" w:rsidR="00F94B21" w:rsidRDefault="00F94B21" w:rsidP="00E3449E">
      <w:pPr>
        <w:pStyle w:val="DHHSbody"/>
      </w:pPr>
      <w:r>
        <w:t xml:space="preserve">Changes to entries in the Specifications for revisions to the VPDC from 1.7.2022 are highlighted in </w:t>
      </w:r>
      <w:r w:rsidRPr="00F94B21">
        <w:rPr>
          <w:highlight w:val="cyan"/>
        </w:rPr>
        <w:t>aqua</w:t>
      </w:r>
      <w:r>
        <w:t>.</w:t>
      </w:r>
    </w:p>
    <w:p w14:paraId="6C65E818" w14:textId="5EF6D498" w:rsidR="007A44CE" w:rsidRDefault="007A44CE" w:rsidP="00E3449E">
      <w:pPr>
        <w:pStyle w:val="DHHSbody"/>
      </w:pPr>
      <w:r>
        <w:t xml:space="preserve">Annotations used in the Specifications for revisions to the VPDC from 1.7.2022, and retained in this </w:t>
      </w:r>
      <w:r w:rsidR="00945EBF">
        <w:t>Addendum</w:t>
      </w:r>
      <w:r>
        <w:t>:</w:t>
      </w:r>
    </w:p>
    <w:p w14:paraId="37BA01D8" w14:textId="66F4E666" w:rsidR="00E3449E" w:rsidRPr="009A423B" w:rsidRDefault="00E3449E" w:rsidP="007A44CE">
      <w:pPr>
        <w:pStyle w:val="DHHSbody"/>
        <w:ind w:left="720"/>
      </w:pPr>
      <w:r w:rsidRPr="009A423B">
        <w:t>New data items are marked as (new).</w:t>
      </w:r>
    </w:p>
    <w:p w14:paraId="75E59A66" w14:textId="77777777" w:rsidR="00E3449E" w:rsidRPr="009A423B" w:rsidRDefault="00E3449E" w:rsidP="007A44CE">
      <w:pPr>
        <w:pStyle w:val="DHHSbody"/>
        <w:ind w:left="720"/>
      </w:pPr>
      <w:r w:rsidRPr="009A423B">
        <w:t xml:space="preserve">Changes to existing data items are highlighted in </w:t>
      </w:r>
      <w:r w:rsidRPr="009A423B">
        <w:rPr>
          <w:highlight w:val="green"/>
        </w:rPr>
        <w:t>green</w:t>
      </w:r>
      <w:r w:rsidRPr="009A423B">
        <w:t>.</w:t>
      </w:r>
    </w:p>
    <w:p w14:paraId="04614095" w14:textId="77777777" w:rsidR="00E3449E" w:rsidRPr="00EF0C02" w:rsidRDefault="00E3449E" w:rsidP="007A44CE">
      <w:pPr>
        <w:pStyle w:val="DHHSbody"/>
        <w:ind w:left="720"/>
      </w:pPr>
      <w:r w:rsidRPr="009A423B">
        <w:t xml:space="preserve">Redundant values and definitions relating to existing items are </w:t>
      </w:r>
      <w:r w:rsidRPr="009A423B">
        <w:rPr>
          <w:strike/>
        </w:rPr>
        <w:t>struck through</w:t>
      </w:r>
      <w:r w:rsidRPr="009A423B">
        <w:t>.</w:t>
      </w:r>
    </w:p>
    <w:p w14:paraId="24B6EBAD" w14:textId="77777777" w:rsidR="00E3449E" w:rsidRPr="009A423B" w:rsidRDefault="00E3449E" w:rsidP="007A44CE">
      <w:pPr>
        <w:pStyle w:val="DHHSbody"/>
        <w:ind w:left="720"/>
      </w:pPr>
      <w:r w:rsidRPr="009A423B">
        <w:t>New validations</w:t>
      </w:r>
      <w:r>
        <w:t>/business rules</w:t>
      </w:r>
      <w:r w:rsidRPr="009A423B">
        <w:t xml:space="preserve"> are marked ### </w:t>
      </w:r>
    </w:p>
    <w:p w14:paraId="187C0612" w14:textId="77777777" w:rsidR="00E3449E" w:rsidRPr="009A423B" w:rsidRDefault="00E3449E" w:rsidP="007A44CE">
      <w:pPr>
        <w:pStyle w:val="DHHSbody"/>
        <w:ind w:left="720"/>
      </w:pPr>
      <w:r w:rsidRPr="009A423B">
        <w:t>Validations</w:t>
      </w:r>
      <w:r>
        <w:t>/business rules</w:t>
      </w:r>
      <w:r w:rsidRPr="009A423B">
        <w:t xml:space="preserve"> to be changed are marked * when listed as part of a data item or below a validation table. </w:t>
      </w:r>
    </w:p>
    <w:p w14:paraId="6901992F" w14:textId="573EFDBE" w:rsidR="00E3449E" w:rsidRPr="009A423B" w:rsidRDefault="000538D2" w:rsidP="007A44CE">
      <w:pPr>
        <w:pStyle w:val="DHHSbody"/>
      </w:pPr>
      <w:r>
        <w:t>C</w:t>
      </w:r>
      <w:r w:rsidR="00E3449E" w:rsidRPr="009A423B">
        <w:t xml:space="preserve">hanges are shown under the </w:t>
      </w:r>
      <w:r>
        <w:t>relevant</w:t>
      </w:r>
      <w:r w:rsidR="00E3449E" w:rsidRPr="009A423B">
        <w:t xml:space="preserve"> </w:t>
      </w:r>
      <w:r w:rsidR="00E3449E">
        <w:t xml:space="preserve">VPDC </w:t>
      </w:r>
      <w:r w:rsidR="00E3449E" w:rsidRPr="009A423B">
        <w:t>manual section headings.</w:t>
      </w:r>
    </w:p>
    <w:p w14:paraId="281D626B" w14:textId="51C53BF7" w:rsidR="00E3449E" w:rsidRPr="00623931" w:rsidRDefault="00E3449E" w:rsidP="009F2C9B">
      <w:pPr>
        <w:pStyle w:val="Heading1"/>
      </w:pPr>
      <w:bookmarkStart w:id="5" w:name="_Toc66208300"/>
      <w:bookmarkStart w:id="6" w:name="_Toc104370467"/>
      <w:r w:rsidRPr="002576CF">
        <w:t xml:space="preserve">Summary table of </w:t>
      </w:r>
      <w:r w:rsidR="00A8685E" w:rsidRPr="002576CF">
        <w:t>changes</w:t>
      </w:r>
      <w:bookmarkEnd w:id="5"/>
      <w:r w:rsidR="00361EA1" w:rsidRPr="002576CF">
        <w:t xml:space="preserve"> – </w:t>
      </w:r>
      <w:r w:rsidR="00AF6B60" w:rsidRPr="002576CF">
        <w:t>Addendum</w:t>
      </w:r>
      <w:bookmarkEnd w:id="6"/>
      <w:r w:rsidR="00361EA1" w:rsidRPr="00623931">
        <w:t xml:space="preserve"> </w:t>
      </w:r>
    </w:p>
    <w:tbl>
      <w:tblPr>
        <w:tblStyle w:val="TableGrid"/>
        <w:tblW w:w="0" w:type="auto"/>
        <w:tblLook w:val="04A0" w:firstRow="1" w:lastRow="0" w:firstColumn="1" w:lastColumn="0" w:noHBand="0" w:noVBand="1"/>
      </w:tblPr>
      <w:tblGrid>
        <w:gridCol w:w="1696"/>
        <w:gridCol w:w="4536"/>
        <w:gridCol w:w="1276"/>
        <w:gridCol w:w="1134"/>
        <w:gridCol w:w="1129"/>
      </w:tblGrid>
      <w:tr w:rsidR="00361EA1" w:rsidRPr="00623931" w14:paraId="417C524A" w14:textId="3EEA7E39" w:rsidTr="006A3571">
        <w:trPr>
          <w:tblHeader/>
        </w:trPr>
        <w:tc>
          <w:tcPr>
            <w:tcW w:w="1696" w:type="dxa"/>
            <w:vMerge w:val="restart"/>
          </w:tcPr>
          <w:p w14:paraId="114E5AEA" w14:textId="4CF208D7" w:rsidR="00361EA1" w:rsidRPr="00623931" w:rsidRDefault="00455DAE" w:rsidP="00E3449E">
            <w:pPr>
              <w:pStyle w:val="DHHSbody"/>
              <w:rPr>
                <w:b/>
                <w:bCs/>
              </w:rPr>
            </w:pPr>
            <w:r w:rsidRPr="00623931">
              <w:rPr>
                <w:b/>
                <w:bCs/>
              </w:rPr>
              <w:t>Nature of entry/ Change</w:t>
            </w:r>
          </w:p>
        </w:tc>
        <w:tc>
          <w:tcPr>
            <w:tcW w:w="4536" w:type="dxa"/>
            <w:vMerge w:val="restart"/>
          </w:tcPr>
          <w:p w14:paraId="0A557AFE" w14:textId="375905AF" w:rsidR="00361EA1" w:rsidRPr="00623931" w:rsidRDefault="00361EA1" w:rsidP="00E3449E">
            <w:pPr>
              <w:pStyle w:val="DHHSbody"/>
              <w:rPr>
                <w:b/>
                <w:bCs/>
              </w:rPr>
            </w:pPr>
            <w:r w:rsidRPr="00623931">
              <w:rPr>
                <w:b/>
                <w:bCs/>
              </w:rPr>
              <w:t>Data element</w:t>
            </w:r>
          </w:p>
        </w:tc>
        <w:tc>
          <w:tcPr>
            <w:tcW w:w="3539" w:type="dxa"/>
            <w:gridSpan w:val="3"/>
          </w:tcPr>
          <w:p w14:paraId="44F91C76" w14:textId="268F095C" w:rsidR="00361EA1" w:rsidRPr="00623931" w:rsidRDefault="00361EA1" w:rsidP="00361EA1">
            <w:pPr>
              <w:pStyle w:val="DHHSbody"/>
              <w:jc w:val="center"/>
              <w:rPr>
                <w:b/>
                <w:bCs/>
              </w:rPr>
            </w:pPr>
            <w:r w:rsidRPr="00623931">
              <w:rPr>
                <w:b/>
                <w:bCs/>
              </w:rPr>
              <w:t>VPDC manual sections changed</w:t>
            </w:r>
          </w:p>
        </w:tc>
      </w:tr>
      <w:tr w:rsidR="00361EA1" w:rsidRPr="00623931" w14:paraId="27A3146F" w14:textId="77777777" w:rsidTr="006A3571">
        <w:tc>
          <w:tcPr>
            <w:tcW w:w="1696" w:type="dxa"/>
            <w:vMerge/>
          </w:tcPr>
          <w:p w14:paraId="186BF6A2" w14:textId="77777777" w:rsidR="00361EA1" w:rsidRPr="00623931" w:rsidRDefault="00361EA1" w:rsidP="00E3449E">
            <w:pPr>
              <w:pStyle w:val="DHHSbody"/>
              <w:rPr>
                <w:b/>
                <w:bCs/>
                <w:sz w:val="16"/>
                <w:szCs w:val="16"/>
              </w:rPr>
            </w:pPr>
          </w:p>
        </w:tc>
        <w:tc>
          <w:tcPr>
            <w:tcW w:w="4536" w:type="dxa"/>
            <w:vMerge/>
          </w:tcPr>
          <w:p w14:paraId="00E16585" w14:textId="77777777" w:rsidR="00361EA1" w:rsidRPr="00623931" w:rsidRDefault="00361EA1" w:rsidP="00E3449E">
            <w:pPr>
              <w:pStyle w:val="DHHSbody"/>
              <w:rPr>
                <w:b/>
                <w:bCs/>
              </w:rPr>
            </w:pPr>
          </w:p>
        </w:tc>
        <w:tc>
          <w:tcPr>
            <w:tcW w:w="1276" w:type="dxa"/>
          </w:tcPr>
          <w:p w14:paraId="6200496D" w14:textId="25B2134F" w:rsidR="00361EA1" w:rsidRPr="00623931" w:rsidRDefault="00361EA1" w:rsidP="004F556D">
            <w:pPr>
              <w:pStyle w:val="DHHSbody"/>
              <w:jc w:val="center"/>
              <w:rPr>
                <w:b/>
                <w:bCs/>
              </w:rPr>
            </w:pPr>
            <w:r w:rsidRPr="00623931">
              <w:rPr>
                <w:b/>
                <w:bCs/>
              </w:rPr>
              <w:t>Section 3</w:t>
            </w:r>
          </w:p>
        </w:tc>
        <w:tc>
          <w:tcPr>
            <w:tcW w:w="1134" w:type="dxa"/>
          </w:tcPr>
          <w:p w14:paraId="400DB796" w14:textId="73DAF112" w:rsidR="00361EA1" w:rsidRPr="00623931" w:rsidRDefault="00361EA1" w:rsidP="004F556D">
            <w:pPr>
              <w:pStyle w:val="DHHSbody"/>
              <w:jc w:val="center"/>
              <w:rPr>
                <w:b/>
                <w:bCs/>
              </w:rPr>
            </w:pPr>
            <w:r w:rsidRPr="00623931">
              <w:rPr>
                <w:b/>
                <w:bCs/>
              </w:rPr>
              <w:t>Section 4</w:t>
            </w:r>
          </w:p>
        </w:tc>
        <w:tc>
          <w:tcPr>
            <w:tcW w:w="1129" w:type="dxa"/>
          </w:tcPr>
          <w:p w14:paraId="6948C464" w14:textId="51E109CE" w:rsidR="00361EA1" w:rsidRPr="00623931" w:rsidRDefault="00361EA1" w:rsidP="004F556D">
            <w:pPr>
              <w:pStyle w:val="DHHSbody"/>
              <w:jc w:val="center"/>
              <w:rPr>
                <w:b/>
                <w:bCs/>
              </w:rPr>
            </w:pPr>
            <w:r w:rsidRPr="00623931">
              <w:rPr>
                <w:b/>
                <w:bCs/>
              </w:rPr>
              <w:t>Section 5</w:t>
            </w:r>
          </w:p>
        </w:tc>
      </w:tr>
      <w:tr w:rsidR="00455DAE" w:rsidRPr="00623931" w14:paraId="7B65219E" w14:textId="77777777" w:rsidTr="006A3571">
        <w:tc>
          <w:tcPr>
            <w:tcW w:w="1696" w:type="dxa"/>
          </w:tcPr>
          <w:p w14:paraId="75361EFD" w14:textId="38CA6169" w:rsidR="00455DAE" w:rsidRPr="00623931" w:rsidRDefault="00B7073E" w:rsidP="00E3449E">
            <w:pPr>
              <w:pStyle w:val="DHHSbody"/>
            </w:pPr>
            <w:r>
              <w:t>Code changes</w:t>
            </w:r>
          </w:p>
        </w:tc>
        <w:tc>
          <w:tcPr>
            <w:tcW w:w="4536" w:type="dxa"/>
          </w:tcPr>
          <w:p w14:paraId="384FD5CF" w14:textId="5E2F3D41" w:rsidR="00455DAE" w:rsidRPr="00623931" w:rsidRDefault="00B7073E" w:rsidP="00E3449E">
            <w:pPr>
              <w:pStyle w:val="DHHSbody"/>
            </w:pPr>
            <w:r>
              <w:t>Events of labour and birth – ICD-10-AM code</w:t>
            </w:r>
          </w:p>
        </w:tc>
        <w:tc>
          <w:tcPr>
            <w:tcW w:w="1276" w:type="dxa"/>
          </w:tcPr>
          <w:p w14:paraId="69CA3073" w14:textId="3C4B326C" w:rsidR="00455DAE" w:rsidRPr="00623931" w:rsidRDefault="00455DAE" w:rsidP="004F556D">
            <w:pPr>
              <w:pStyle w:val="DHHSbody"/>
              <w:jc w:val="center"/>
              <w:rPr>
                <w:noProof/>
              </w:rPr>
            </w:pPr>
            <w:r w:rsidRPr="00623931">
              <w:rPr>
                <w:noProof/>
              </w:rPr>
              <w:drawing>
                <wp:inline distT="0" distB="0" distL="0" distR="0" wp14:anchorId="2BDA2237" wp14:editId="6A5F6EAC">
                  <wp:extent cx="200025" cy="200025"/>
                  <wp:effectExtent l="0" t="0" r="9525" b="9525"/>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34" w:type="dxa"/>
          </w:tcPr>
          <w:p w14:paraId="0CB1AC35" w14:textId="77777777" w:rsidR="00455DAE" w:rsidRPr="00623931" w:rsidRDefault="00455DAE" w:rsidP="004F556D">
            <w:pPr>
              <w:pStyle w:val="DHHSbody"/>
              <w:jc w:val="center"/>
              <w:rPr>
                <w:noProof/>
              </w:rPr>
            </w:pPr>
          </w:p>
        </w:tc>
        <w:tc>
          <w:tcPr>
            <w:tcW w:w="1129" w:type="dxa"/>
          </w:tcPr>
          <w:p w14:paraId="17282D78" w14:textId="77777777" w:rsidR="00455DAE" w:rsidRPr="00623931" w:rsidRDefault="00455DAE" w:rsidP="004F556D">
            <w:pPr>
              <w:pStyle w:val="DHHSbody"/>
              <w:jc w:val="center"/>
              <w:rPr>
                <w:noProof/>
              </w:rPr>
            </w:pPr>
          </w:p>
        </w:tc>
      </w:tr>
      <w:tr w:rsidR="00361EA1" w:rsidRPr="00623931" w14:paraId="2E9A0EA6" w14:textId="23C5A6D9" w:rsidTr="006A3571">
        <w:tc>
          <w:tcPr>
            <w:tcW w:w="1696" w:type="dxa"/>
          </w:tcPr>
          <w:p w14:paraId="2A11E77E" w14:textId="52E783E9" w:rsidR="00361EA1" w:rsidRPr="00623931" w:rsidRDefault="00B7073E" w:rsidP="00E3449E">
            <w:pPr>
              <w:pStyle w:val="DHHSbody"/>
            </w:pPr>
            <w:r>
              <w:t>Code changes</w:t>
            </w:r>
          </w:p>
        </w:tc>
        <w:tc>
          <w:tcPr>
            <w:tcW w:w="4536" w:type="dxa"/>
          </w:tcPr>
          <w:p w14:paraId="596DA67D" w14:textId="0BD1775C" w:rsidR="00361EA1" w:rsidRPr="00623931" w:rsidRDefault="00B7073E" w:rsidP="00E3449E">
            <w:pPr>
              <w:pStyle w:val="DHHSbody"/>
            </w:pPr>
            <w:r>
              <w:t>Indication for induction (main reason) – ICD-10-AM code</w:t>
            </w:r>
          </w:p>
        </w:tc>
        <w:tc>
          <w:tcPr>
            <w:tcW w:w="1276" w:type="dxa"/>
          </w:tcPr>
          <w:p w14:paraId="2D0E046B" w14:textId="6E760487" w:rsidR="00361EA1" w:rsidRPr="00623931" w:rsidRDefault="00455DAE" w:rsidP="004F556D">
            <w:pPr>
              <w:pStyle w:val="DHHSbody"/>
              <w:jc w:val="center"/>
            </w:pPr>
            <w:r w:rsidRPr="00623931">
              <w:rPr>
                <w:noProof/>
              </w:rPr>
              <w:drawing>
                <wp:inline distT="0" distB="0" distL="0" distR="0" wp14:anchorId="4098A20F" wp14:editId="3A8DEC65">
                  <wp:extent cx="200025" cy="200025"/>
                  <wp:effectExtent l="0" t="0" r="9525" b="9525"/>
                  <wp:docPr id="30" name="Graphic 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34" w:type="dxa"/>
          </w:tcPr>
          <w:p w14:paraId="43A3C2C0" w14:textId="16BC63CE" w:rsidR="00361EA1" w:rsidRPr="00623931" w:rsidRDefault="00361EA1" w:rsidP="004F556D">
            <w:pPr>
              <w:pStyle w:val="DHHSbody"/>
              <w:jc w:val="center"/>
            </w:pPr>
          </w:p>
        </w:tc>
        <w:tc>
          <w:tcPr>
            <w:tcW w:w="1129" w:type="dxa"/>
          </w:tcPr>
          <w:p w14:paraId="709E8D59" w14:textId="1BE863A6" w:rsidR="00361EA1" w:rsidRPr="00623931" w:rsidRDefault="00361EA1" w:rsidP="004F556D">
            <w:pPr>
              <w:pStyle w:val="DHHSbody"/>
              <w:jc w:val="center"/>
            </w:pPr>
          </w:p>
        </w:tc>
      </w:tr>
      <w:tr w:rsidR="00361EA1" w:rsidRPr="00623931" w14:paraId="43F51D89" w14:textId="0DA18A38" w:rsidTr="006A3571">
        <w:tc>
          <w:tcPr>
            <w:tcW w:w="1696" w:type="dxa"/>
          </w:tcPr>
          <w:p w14:paraId="425D39D9" w14:textId="51C9551D" w:rsidR="00361EA1" w:rsidRPr="00623931" w:rsidRDefault="00B7073E" w:rsidP="00E3449E">
            <w:pPr>
              <w:pStyle w:val="DHHSbody"/>
            </w:pPr>
            <w:r>
              <w:t>Code changes</w:t>
            </w:r>
          </w:p>
        </w:tc>
        <w:tc>
          <w:tcPr>
            <w:tcW w:w="4536" w:type="dxa"/>
          </w:tcPr>
          <w:p w14:paraId="6730D277" w14:textId="2FF3E9A3" w:rsidR="00361EA1" w:rsidRPr="00623931" w:rsidRDefault="00B7073E" w:rsidP="00E3449E">
            <w:pPr>
              <w:pStyle w:val="DHHSbody"/>
            </w:pPr>
            <w:r>
              <w:t>Indication for operative delivery (main reason) – ICD-10-AM code</w:t>
            </w:r>
          </w:p>
        </w:tc>
        <w:tc>
          <w:tcPr>
            <w:tcW w:w="1276" w:type="dxa"/>
          </w:tcPr>
          <w:p w14:paraId="6E3F2E4D" w14:textId="2C91DE2F" w:rsidR="00361EA1" w:rsidRPr="00623931" w:rsidRDefault="004F556D" w:rsidP="004F556D">
            <w:pPr>
              <w:pStyle w:val="DHHSbody"/>
              <w:jc w:val="center"/>
            </w:pPr>
            <w:r w:rsidRPr="00623931">
              <w:rPr>
                <w:noProof/>
              </w:rPr>
              <w:drawing>
                <wp:inline distT="0" distB="0" distL="0" distR="0" wp14:anchorId="73057CAD" wp14:editId="348CDD41">
                  <wp:extent cx="200025" cy="200025"/>
                  <wp:effectExtent l="0" t="0" r="9525" b="9525"/>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34" w:type="dxa"/>
          </w:tcPr>
          <w:p w14:paraId="66F1644B" w14:textId="6160CB20" w:rsidR="00361EA1" w:rsidRPr="00623931" w:rsidRDefault="00361EA1" w:rsidP="004F556D">
            <w:pPr>
              <w:pStyle w:val="DHHSbody"/>
              <w:jc w:val="center"/>
            </w:pPr>
          </w:p>
        </w:tc>
        <w:tc>
          <w:tcPr>
            <w:tcW w:w="1129" w:type="dxa"/>
          </w:tcPr>
          <w:p w14:paraId="094035A1" w14:textId="595D7120" w:rsidR="00361EA1" w:rsidRPr="00623931" w:rsidRDefault="00361EA1" w:rsidP="004F556D">
            <w:pPr>
              <w:pStyle w:val="DHHSbody"/>
              <w:jc w:val="center"/>
            </w:pPr>
          </w:p>
        </w:tc>
      </w:tr>
      <w:tr w:rsidR="00361EA1" w:rsidRPr="00623931" w14:paraId="60EFED5B" w14:textId="7F560633" w:rsidTr="006A3571">
        <w:tc>
          <w:tcPr>
            <w:tcW w:w="1696" w:type="dxa"/>
          </w:tcPr>
          <w:p w14:paraId="2B35C6A9" w14:textId="32254D1A" w:rsidR="00361EA1" w:rsidRPr="00623931" w:rsidRDefault="00B7073E" w:rsidP="00E3449E">
            <w:pPr>
              <w:pStyle w:val="DHHSbody"/>
            </w:pPr>
            <w:r>
              <w:t>Code changes</w:t>
            </w:r>
          </w:p>
        </w:tc>
        <w:tc>
          <w:tcPr>
            <w:tcW w:w="4536" w:type="dxa"/>
          </w:tcPr>
          <w:p w14:paraId="2D7AEA9C" w14:textId="315672D6" w:rsidR="00361EA1" w:rsidRPr="00623931" w:rsidRDefault="00B7073E" w:rsidP="00E3449E">
            <w:pPr>
              <w:pStyle w:val="DHHSbody"/>
            </w:pPr>
            <w:r>
              <w:t>Maternal medical conditions – ICD-10-AM code</w:t>
            </w:r>
          </w:p>
        </w:tc>
        <w:tc>
          <w:tcPr>
            <w:tcW w:w="1276" w:type="dxa"/>
          </w:tcPr>
          <w:p w14:paraId="1DA6348C" w14:textId="5B563899" w:rsidR="00361EA1" w:rsidRPr="00623931" w:rsidRDefault="004F556D" w:rsidP="004F556D">
            <w:pPr>
              <w:pStyle w:val="DHHSbody"/>
              <w:jc w:val="center"/>
            </w:pPr>
            <w:r w:rsidRPr="00623931">
              <w:rPr>
                <w:noProof/>
              </w:rPr>
              <w:drawing>
                <wp:inline distT="0" distB="0" distL="0" distR="0" wp14:anchorId="15C634C7" wp14:editId="6FE37F0C">
                  <wp:extent cx="200025" cy="200025"/>
                  <wp:effectExtent l="0" t="0" r="9525" b="9525"/>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34" w:type="dxa"/>
          </w:tcPr>
          <w:p w14:paraId="2E56687E" w14:textId="082EF3DA" w:rsidR="00361EA1" w:rsidRPr="00623931" w:rsidRDefault="00361EA1" w:rsidP="004F556D">
            <w:pPr>
              <w:pStyle w:val="DHHSbody"/>
              <w:jc w:val="center"/>
            </w:pPr>
          </w:p>
        </w:tc>
        <w:tc>
          <w:tcPr>
            <w:tcW w:w="1129" w:type="dxa"/>
          </w:tcPr>
          <w:p w14:paraId="2238D2E2" w14:textId="0C4DA261" w:rsidR="00361EA1" w:rsidRPr="00623931" w:rsidRDefault="00361EA1" w:rsidP="004F556D">
            <w:pPr>
              <w:pStyle w:val="DHHSbody"/>
              <w:jc w:val="center"/>
            </w:pPr>
          </w:p>
        </w:tc>
      </w:tr>
      <w:tr w:rsidR="00361EA1" w:rsidRPr="00623931" w14:paraId="4E79B780" w14:textId="78FEE16B" w:rsidTr="006A3571">
        <w:tc>
          <w:tcPr>
            <w:tcW w:w="1696" w:type="dxa"/>
          </w:tcPr>
          <w:p w14:paraId="788AD232" w14:textId="44BE6753" w:rsidR="00361EA1" w:rsidRPr="00623931" w:rsidRDefault="00B7073E" w:rsidP="00E3449E">
            <w:pPr>
              <w:pStyle w:val="DHHSbody"/>
            </w:pPr>
            <w:r>
              <w:t>Code changes</w:t>
            </w:r>
          </w:p>
        </w:tc>
        <w:tc>
          <w:tcPr>
            <w:tcW w:w="4536" w:type="dxa"/>
          </w:tcPr>
          <w:p w14:paraId="6F71B0A5" w14:textId="54063D4D" w:rsidR="00361EA1" w:rsidRPr="00623931" w:rsidRDefault="00B7073E" w:rsidP="00E3449E">
            <w:pPr>
              <w:pStyle w:val="DHHSbody"/>
            </w:pPr>
            <w:r>
              <w:t>Obstetric complications – ICD-10-AM code</w:t>
            </w:r>
          </w:p>
        </w:tc>
        <w:tc>
          <w:tcPr>
            <w:tcW w:w="1276" w:type="dxa"/>
          </w:tcPr>
          <w:p w14:paraId="4259AD62" w14:textId="78EAB6BA" w:rsidR="00361EA1" w:rsidRPr="00623931" w:rsidRDefault="004F556D" w:rsidP="004F556D">
            <w:pPr>
              <w:pStyle w:val="DHHSbody"/>
              <w:jc w:val="center"/>
            </w:pPr>
            <w:r w:rsidRPr="00623931">
              <w:rPr>
                <w:noProof/>
              </w:rPr>
              <w:drawing>
                <wp:inline distT="0" distB="0" distL="0" distR="0" wp14:anchorId="5F70F887" wp14:editId="0BFB2FBC">
                  <wp:extent cx="200025" cy="200025"/>
                  <wp:effectExtent l="0" t="0" r="9525" b="952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34" w:type="dxa"/>
          </w:tcPr>
          <w:p w14:paraId="6BA062A9" w14:textId="28F977C6" w:rsidR="00361EA1" w:rsidRPr="00623931" w:rsidRDefault="00361EA1" w:rsidP="004F556D">
            <w:pPr>
              <w:pStyle w:val="DHHSbody"/>
              <w:jc w:val="center"/>
            </w:pPr>
          </w:p>
        </w:tc>
        <w:tc>
          <w:tcPr>
            <w:tcW w:w="1129" w:type="dxa"/>
          </w:tcPr>
          <w:p w14:paraId="651AC459" w14:textId="0574A606" w:rsidR="00361EA1" w:rsidRPr="00623931" w:rsidRDefault="00361EA1" w:rsidP="004F556D">
            <w:pPr>
              <w:pStyle w:val="DHHSbody"/>
              <w:jc w:val="center"/>
            </w:pPr>
          </w:p>
        </w:tc>
      </w:tr>
      <w:tr w:rsidR="00EC52D0" w:rsidRPr="00623931" w14:paraId="48E4CCCC" w14:textId="77777777" w:rsidTr="006A3571">
        <w:tc>
          <w:tcPr>
            <w:tcW w:w="1696" w:type="dxa"/>
          </w:tcPr>
          <w:p w14:paraId="5BB620B9" w14:textId="1B828643" w:rsidR="00EC52D0" w:rsidRPr="00623931" w:rsidRDefault="00B7073E" w:rsidP="00E3449E">
            <w:pPr>
              <w:pStyle w:val="DHHSbody"/>
            </w:pPr>
            <w:r>
              <w:t>Code changes</w:t>
            </w:r>
          </w:p>
        </w:tc>
        <w:tc>
          <w:tcPr>
            <w:tcW w:w="4536" w:type="dxa"/>
          </w:tcPr>
          <w:p w14:paraId="75124121" w14:textId="181DF231" w:rsidR="00EC52D0" w:rsidRPr="00623931" w:rsidRDefault="00B7073E" w:rsidP="00E3449E">
            <w:pPr>
              <w:pStyle w:val="DHHSbody"/>
            </w:pPr>
            <w:r>
              <w:t>Postpartum complications – ICD-10-AM code</w:t>
            </w:r>
          </w:p>
        </w:tc>
        <w:tc>
          <w:tcPr>
            <w:tcW w:w="1276" w:type="dxa"/>
          </w:tcPr>
          <w:p w14:paraId="58598CB8" w14:textId="190C4385" w:rsidR="00EC52D0" w:rsidRPr="00623931" w:rsidRDefault="00EC52D0" w:rsidP="004F556D">
            <w:pPr>
              <w:pStyle w:val="DHHSbody"/>
              <w:jc w:val="center"/>
              <w:rPr>
                <w:noProof/>
              </w:rPr>
            </w:pPr>
            <w:r w:rsidRPr="00623931">
              <w:rPr>
                <w:noProof/>
              </w:rPr>
              <w:drawing>
                <wp:inline distT="0" distB="0" distL="0" distR="0" wp14:anchorId="06870349" wp14:editId="0495C351">
                  <wp:extent cx="200025" cy="200025"/>
                  <wp:effectExtent l="0" t="0" r="9525" b="9525"/>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34" w:type="dxa"/>
          </w:tcPr>
          <w:p w14:paraId="7E7840E3" w14:textId="77777777" w:rsidR="00EC52D0" w:rsidRPr="00623931" w:rsidRDefault="00EC52D0" w:rsidP="004F556D">
            <w:pPr>
              <w:pStyle w:val="DHHSbody"/>
              <w:jc w:val="center"/>
              <w:rPr>
                <w:noProof/>
              </w:rPr>
            </w:pPr>
          </w:p>
        </w:tc>
        <w:tc>
          <w:tcPr>
            <w:tcW w:w="1129" w:type="dxa"/>
          </w:tcPr>
          <w:p w14:paraId="665E40B2" w14:textId="77777777" w:rsidR="00EC52D0" w:rsidRPr="00623931" w:rsidRDefault="00EC52D0" w:rsidP="004F556D">
            <w:pPr>
              <w:pStyle w:val="DHHSbody"/>
              <w:jc w:val="center"/>
              <w:rPr>
                <w:noProof/>
              </w:rPr>
            </w:pPr>
          </w:p>
        </w:tc>
      </w:tr>
      <w:tr w:rsidR="00EC52D0" w:rsidRPr="00623931" w14:paraId="46A72D6C" w14:textId="77777777" w:rsidTr="006A3571">
        <w:tc>
          <w:tcPr>
            <w:tcW w:w="1696" w:type="dxa"/>
          </w:tcPr>
          <w:p w14:paraId="6DBCDA91" w14:textId="038AD3D8" w:rsidR="00EC52D0" w:rsidRPr="00623931" w:rsidRDefault="00B7073E" w:rsidP="00EC52D0">
            <w:pPr>
              <w:pStyle w:val="DHHSbody"/>
            </w:pPr>
            <w:r>
              <w:t>New business rule</w:t>
            </w:r>
          </w:p>
        </w:tc>
        <w:tc>
          <w:tcPr>
            <w:tcW w:w="4536" w:type="dxa"/>
          </w:tcPr>
          <w:p w14:paraId="0119F1AD" w14:textId="24CB80ED" w:rsidR="00EC52D0" w:rsidRPr="00623931" w:rsidRDefault="00B7073E" w:rsidP="00EC52D0">
            <w:pPr>
              <w:pStyle w:val="DHHSbody"/>
            </w:pPr>
            <w:r>
              <w:t>Date of birth – baby and Version identifier valid combinations [‘Warning’ error]</w:t>
            </w:r>
          </w:p>
        </w:tc>
        <w:tc>
          <w:tcPr>
            <w:tcW w:w="1276" w:type="dxa"/>
          </w:tcPr>
          <w:p w14:paraId="5B593D35" w14:textId="2E1DCEA7" w:rsidR="00EC52D0" w:rsidRPr="00623931" w:rsidRDefault="00EC52D0" w:rsidP="00EC52D0">
            <w:pPr>
              <w:pStyle w:val="DHHSbody"/>
              <w:jc w:val="center"/>
              <w:rPr>
                <w:noProof/>
              </w:rPr>
            </w:pPr>
          </w:p>
        </w:tc>
        <w:tc>
          <w:tcPr>
            <w:tcW w:w="1134" w:type="dxa"/>
          </w:tcPr>
          <w:p w14:paraId="098DFF69" w14:textId="7964B1B8" w:rsidR="00EC52D0" w:rsidRPr="00623931" w:rsidRDefault="00101BC9" w:rsidP="00EC52D0">
            <w:pPr>
              <w:pStyle w:val="DHHSbody"/>
              <w:jc w:val="center"/>
              <w:rPr>
                <w:noProof/>
              </w:rPr>
            </w:pPr>
            <w:r w:rsidRPr="00623931">
              <w:rPr>
                <w:noProof/>
              </w:rPr>
              <w:drawing>
                <wp:inline distT="0" distB="0" distL="0" distR="0" wp14:anchorId="2702E9DD" wp14:editId="35D28D3E">
                  <wp:extent cx="200025" cy="200025"/>
                  <wp:effectExtent l="0" t="0" r="9525" b="9525"/>
                  <wp:docPr id="36" name="Graphic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29" w:type="dxa"/>
          </w:tcPr>
          <w:p w14:paraId="278C2654" w14:textId="77777777" w:rsidR="00EC52D0" w:rsidRPr="00623931" w:rsidRDefault="00EC52D0" w:rsidP="00EC52D0">
            <w:pPr>
              <w:pStyle w:val="DHHSbody"/>
              <w:jc w:val="center"/>
              <w:rPr>
                <w:noProof/>
              </w:rPr>
            </w:pPr>
          </w:p>
        </w:tc>
      </w:tr>
      <w:tr w:rsidR="00EC52D0" w:rsidRPr="00623931" w14:paraId="4D0D9DCD" w14:textId="77777777" w:rsidTr="006A3571">
        <w:tc>
          <w:tcPr>
            <w:tcW w:w="1696" w:type="dxa"/>
          </w:tcPr>
          <w:p w14:paraId="35C76C3A" w14:textId="5890411C" w:rsidR="00EC52D0" w:rsidRPr="00623931" w:rsidRDefault="00B7073E" w:rsidP="00EC52D0">
            <w:pPr>
              <w:pStyle w:val="DHHSbody"/>
            </w:pPr>
            <w:r>
              <w:t>New code</w:t>
            </w:r>
          </w:p>
        </w:tc>
        <w:tc>
          <w:tcPr>
            <w:tcW w:w="4536" w:type="dxa"/>
          </w:tcPr>
          <w:p w14:paraId="3E8FB740" w14:textId="2DCB2A55" w:rsidR="00EC52D0" w:rsidRPr="00623931" w:rsidRDefault="00B7073E" w:rsidP="00EC52D0">
            <w:pPr>
              <w:pStyle w:val="DHHSbody"/>
            </w:pPr>
            <w:r>
              <w:t>Labour type ‘Failed induction’ conditionally mandatory data items</w:t>
            </w:r>
          </w:p>
        </w:tc>
        <w:tc>
          <w:tcPr>
            <w:tcW w:w="1276" w:type="dxa"/>
          </w:tcPr>
          <w:p w14:paraId="2A75E559" w14:textId="6623CAB4" w:rsidR="00EC52D0" w:rsidRPr="00623931" w:rsidRDefault="00EC52D0" w:rsidP="00EC52D0">
            <w:pPr>
              <w:pStyle w:val="DHHSbody"/>
              <w:jc w:val="center"/>
              <w:rPr>
                <w:noProof/>
              </w:rPr>
            </w:pPr>
          </w:p>
        </w:tc>
        <w:tc>
          <w:tcPr>
            <w:tcW w:w="1134" w:type="dxa"/>
          </w:tcPr>
          <w:p w14:paraId="07EC4BAC" w14:textId="28E0F529" w:rsidR="00EC52D0" w:rsidRPr="00623931" w:rsidRDefault="00101BC9" w:rsidP="00EC52D0">
            <w:pPr>
              <w:pStyle w:val="DHHSbody"/>
              <w:jc w:val="center"/>
              <w:rPr>
                <w:noProof/>
              </w:rPr>
            </w:pPr>
            <w:r w:rsidRPr="00623931">
              <w:rPr>
                <w:noProof/>
              </w:rPr>
              <w:drawing>
                <wp:inline distT="0" distB="0" distL="0" distR="0" wp14:anchorId="5929E642" wp14:editId="37734CF1">
                  <wp:extent cx="200025" cy="200025"/>
                  <wp:effectExtent l="0" t="0" r="9525" b="9525"/>
                  <wp:docPr id="35" name="Graphic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29" w:type="dxa"/>
          </w:tcPr>
          <w:p w14:paraId="0F1FABC7" w14:textId="77777777" w:rsidR="00EC52D0" w:rsidRPr="00623931" w:rsidRDefault="00EC52D0" w:rsidP="00EC52D0">
            <w:pPr>
              <w:pStyle w:val="DHHSbody"/>
              <w:jc w:val="center"/>
              <w:rPr>
                <w:noProof/>
              </w:rPr>
            </w:pPr>
          </w:p>
        </w:tc>
      </w:tr>
      <w:tr w:rsidR="00101BC9" w:rsidRPr="00623931" w14:paraId="1DDE2852" w14:textId="77777777" w:rsidTr="006A3571">
        <w:tc>
          <w:tcPr>
            <w:tcW w:w="1696" w:type="dxa"/>
          </w:tcPr>
          <w:p w14:paraId="27D7611F" w14:textId="4B4CF2EA" w:rsidR="00101BC9" w:rsidRPr="00623931" w:rsidRDefault="00B7073E" w:rsidP="00101BC9">
            <w:pPr>
              <w:pStyle w:val="DHHSbody"/>
            </w:pPr>
            <w:r>
              <w:t>Clarification of business rule</w:t>
            </w:r>
          </w:p>
        </w:tc>
        <w:tc>
          <w:tcPr>
            <w:tcW w:w="4536" w:type="dxa"/>
          </w:tcPr>
          <w:p w14:paraId="0CB5AAB9" w14:textId="100AD165" w:rsidR="00101BC9" w:rsidRPr="00623931" w:rsidRDefault="00B7073E" w:rsidP="00101BC9">
            <w:pPr>
              <w:pStyle w:val="DHHSbody"/>
            </w:pPr>
            <w:r>
              <w:t>Patient identifier – baby not reported</w:t>
            </w:r>
          </w:p>
        </w:tc>
        <w:tc>
          <w:tcPr>
            <w:tcW w:w="1276" w:type="dxa"/>
          </w:tcPr>
          <w:p w14:paraId="3063211F" w14:textId="002AD466" w:rsidR="00101BC9" w:rsidRPr="00623931" w:rsidRDefault="00101BC9" w:rsidP="00101BC9">
            <w:pPr>
              <w:pStyle w:val="DHHSbody"/>
              <w:jc w:val="center"/>
              <w:rPr>
                <w:noProof/>
              </w:rPr>
            </w:pPr>
          </w:p>
        </w:tc>
        <w:tc>
          <w:tcPr>
            <w:tcW w:w="1134" w:type="dxa"/>
          </w:tcPr>
          <w:p w14:paraId="65FA78A7" w14:textId="062308A0" w:rsidR="00101BC9" w:rsidRPr="00623931" w:rsidRDefault="002576CF" w:rsidP="00101BC9">
            <w:pPr>
              <w:pStyle w:val="DHHSbody"/>
              <w:jc w:val="center"/>
              <w:rPr>
                <w:noProof/>
              </w:rPr>
            </w:pPr>
            <w:r w:rsidRPr="00623931">
              <w:rPr>
                <w:noProof/>
              </w:rPr>
              <w:drawing>
                <wp:inline distT="0" distB="0" distL="0" distR="0" wp14:anchorId="090EA51E" wp14:editId="11E11A39">
                  <wp:extent cx="200025" cy="200025"/>
                  <wp:effectExtent l="0" t="0" r="9525" b="9525"/>
                  <wp:docPr id="32" name="Graphic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c>
          <w:tcPr>
            <w:tcW w:w="1129" w:type="dxa"/>
          </w:tcPr>
          <w:p w14:paraId="54F38911" w14:textId="77777777" w:rsidR="00101BC9" w:rsidRPr="00623931" w:rsidRDefault="00101BC9" w:rsidP="00101BC9">
            <w:pPr>
              <w:pStyle w:val="DHHSbody"/>
              <w:jc w:val="center"/>
              <w:rPr>
                <w:noProof/>
              </w:rPr>
            </w:pPr>
          </w:p>
        </w:tc>
      </w:tr>
      <w:tr w:rsidR="00D92465" w:rsidRPr="00623931" w14:paraId="5E8E5307" w14:textId="77777777" w:rsidTr="006A3571">
        <w:tc>
          <w:tcPr>
            <w:tcW w:w="1696" w:type="dxa"/>
          </w:tcPr>
          <w:p w14:paraId="42362634" w14:textId="3138BAC6" w:rsidR="00D92465" w:rsidRPr="00623931" w:rsidRDefault="002576CF" w:rsidP="00101BC9">
            <w:pPr>
              <w:pStyle w:val="DHHSbody"/>
            </w:pPr>
            <w:r>
              <w:t>Additional details</w:t>
            </w:r>
          </w:p>
        </w:tc>
        <w:tc>
          <w:tcPr>
            <w:tcW w:w="4536" w:type="dxa"/>
          </w:tcPr>
          <w:p w14:paraId="326476ED" w14:textId="0A5980B2" w:rsidR="00D92465" w:rsidRPr="00623931" w:rsidRDefault="002576CF" w:rsidP="00101BC9">
            <w:pPr>
              <w:pStyle w:val="DHHSbody"/>
            </w:pPr>
            <w:r>
              <w:t>Test transmissions</w:t>
            </w:r>
          </w:p>
        </w:tc>
        <w:tc>
          <w:tcPr>
            <w:tcW w:w="1276" w:type="dxa"/>
          </w:tcPr>
          <w:p w14:paraId="53333A5D" w14:textId="77777777" w:rsidR="00D92465" w:rsidRPr="00623931" w:rsidRDefault="00D92465" w:rsidP="00101BC9">
            <w:pPr>
              <w:pStyle w:val="DHHSbody"/>
              <w:jc w:val="center"/>
              <w:rPr>
                <w:noProof/>
              </w:rPr>
            </w:pPr>
          </w:p>
        </w:tc>
        <w:tc>
          <w:tcPr>
            <w:tcW w:w="1134" w:type="dxa"/>
          </w:tcPr>
          <w:p w14:paraId="6F52DA93" w14:textId="71A56ED8" w:rsidR="00D92465" w:rsidRPr="00623931" w:rsidRDefault="00D92465" w:rsidP="00101BC9">
            <w:pPr>
              <w:pStyle w:val="DHHSbody"/>
              <w:jc w:val="center"/>
              <w:rPr>
                <w:noProof/>
              </w:rPr>
            </w:pPr>
          </w:p>
        </w:tc>
        <w:tc>
          <w:tcPr>
            <w:tcW w:w="1129" w:type="dxa"/>
          </w:tcPr>
          <w:p w14:paraId="58981C9B" w14:textId="729A5A96" w:rsidR="00D92465" w:rsidRPr="00623931" w:rsidRDefault="002576CF" w:rsidP="00101BC9">
            <w:pPr>
              <w:pStyle w:val="DHHSbody"/>
              <w:jc w:val="center"/>
              <w:rPr>
                <w:noProof/>
              </w:rPr>
            </w:pPr>
            <w:r w:rsidRPr="00623931">
              <w:rPr>
                <w:noProof/>
              </w:rPr>
              <w:drawing>
                <wp:inline distT="0" distB="0" distL="0" distR="0" wp14:anchorId="26923217" wp14:editId="51987119">
                  <wp:extent cx="200025" cy="200025"/>
                  <wp:effectExtent l="0" t="0" r="9525" b="9525"/>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r>
      <w:tr w:rsidR="00101BC9" w:rsidRPr="00623931" w14:paraId="2E6D83FE" w14:textId="77777777" w:rsidTr="006A3571">
        <w:tc>
          <w:tcPr>
            <w:tcW w:w="1696" w:type="dxa"/>
          </w:tcPr>
          <w:p w14:paraId="4534302B" w14:textId="1AF19303" w:rsidR="00101BC9" w:rsidRPr="00623931" w:rsidRDefault="00101BC9" w:rsidP="00101BC9">
            <w:pPr>
              <w:pStyle w:val="DHHSbody"/>
            </w:pPr>
            <w:r w:rsidRPr="00623931">
              <w:t>Clarification</w:t>
            </w:r>
            <w:r w:rsidR="00F94B21" w:rsidRPr="00623931">
              <w:t xml:space="preserve"> of </w:t>
            </w:r>
            <w:r w:rsidR="002576CF">
              <w:t>field size</w:t>
            </w:r>
          </w:p>
        </w:tc>
        <w:tc>
          <w:tcPr>
            <w:tcW w:w="4536" w:type="dxa"/>
          </w:tcPr>
          <w:p w14:paraId="7E28C712" w14:textId="0A9A220C" w:rsidR="00101BC9" w:rsidRPr="00623931" w:rsidRDefault="002576CF" w:rsidP="00101BC9">
            <w:pPr>
              <w:pStyle w:val="DHHSbody"/>
            </w:pPr>
            <w:r>
              <w:t>Table of Episode record data elements</w:t>
            </w:r>
          </w:p>
        </w:tc>
        <w:tc>
          <w:tcPr>
            <w:tcW w:w="1276" w:type="dxa"/>
          </w:tcPr>
          <w:p w14:paraId="7D69FB7D" w14:textId="09CB4258" w:rsidR="00101BC9" w:rsidRPr="00623931" w:rsidRDefault="00101BC9" w:rsidP="00101BC9">
            <w:pPr>
              <w:pStyle w:val="DHHSbody"/>
              <w:jc w:val="center"/>
              <w:rPr>
                <w:noProof/>
              </w:rPr>
            </w:pPr>
          </w:p>
        </w:tc>
        <w:tc>
          <w:tcPr>
            <w:tcW w:w="1134" w:type="dxa"/>
          </w:tcPr>
          <w:p w14:paraId="65E1F7A6" w14:textId="6BBE8D43" w:rsidR="00101BC9" w:rsidRPr="00623931" w:rsidRDefault="00101BC9" w:rsidP="00101BC9">
            <w:pPr>
              <w:pStyle w:val="DHHSbody"/>
              <w:jc w:val="center"/>
              <w:rPr>
                <w:noProof/>
              </w:rPr>
            </w:pPr>
          </w:p>
        </w:tc>
        <w:tc>
          <w:tcPr>
            <w:tcW w:w="1129" w:type="dxa"/>
          </w:tcPr>
          <w:p w14:paraId="28E68448" w14:textId="083E3CA7" w:rsidR="00101BC9" w:rsidRPr="00623931" w:rsidRDefault="002576CF" w:rsidP="00101BC9">
            <w:pPr>
              <w:pStyle w:val="DHHSbody"/>
              <w:jc w:val="center"/>
              <w:rPr>
                <w:noProof/>
              </w:rPr>
            </w:pPr>
            <w:r w:rsidRPr="00623931">
              <w:rPr>
                <w:noProof/>
              </w:rPr>
              <w:drawing>
                <wp:inline distT="0" distB="0" distL="0" distR="0" wp14:anchorId="56A994AE" wp14:editId="42B9B206">
                  <wp:extent cx="200025" cy="200025"/>
                  <wp:effectExtent l="0" t="0" r="9525" b="9525"/>
                  <wp:docPr id="22" name="Graphic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0">
                            <a:extLst>
                              <a:ext uri="{96DAC541-7B7A-43D3-8B79-37D633B846F1}">
                                <asvg:svgBlip xmlns:asvg="http://schemas.microsoft.com/office/drawing/2016/SVG/main" r:embed="rId21"/>
                              </a:ext>
                            </a:extLst>
                          </a:blip>
                          <a:stretch>
                            <a:fillRect/>
                          </a:stretch>
                        </pic:blipFill>
                        <pic:spPr>
                          <a:xfrm>
                            <a:off x="0" y="0"/>
                            <a:ext cx="200025" cy="200025"/>
                          </a:xfrm>
                          <a:prstGeom prst="rect">
                            <a:avLst/>
                          </a:prstGeom>
                        </pic:spPr>
                      </pic:pic>
                    </a:graphicData>
                  </a:graphic>
                </wp:inline>
              </w:drawing>
            </w:r>
          </w:p>
        </w:tc>
      </w:tr>
    </w:tbl>
    <w:p w14:paraId="241AAAA1" w14:textId="785C55DD" w:rsidR="00E3449E" w:rsidRDefault="00E3449E" w:rsidP="00F511F2">
      <w:pPr>
        <w:pStyle w:val="Body"/>
      </w:pPr>
      <w:r>
        <w:br w:type="page"/>
      </w:r>
    </w:p>
    <w:p w14:paraId="14DFB7D1" w14:textId="7AFC267D" w:rsidR="00E3449E" w:rsidRDefault="00E3449E" w:rsidP="009F2C9B">
      <w:pPr>
        <w:pStyle w:val="Heading1"/>
      </w:pPr>
      <w:bookmarkStart w:id="7" w:name="_Toc66208301"/>
      <w:bookmarkStart w:id="8" w:name="_Toc104370468"/>
      <w:r>
        <w:lastRenderedPageBreak/>
        <w:t xml:space="preserve">Section 3 Data </w:t>
      </w:r>
      <w:r w:rsidRPr="009F2C9B">
        <w:t>definitions</w:t>
      </w:r>
      <w:bookmarkEnd w:id="7"/>
      <w:bookmarkEnd w:id="8"/>
    </w:p>
    <w:p w14:paraId="6F5D1A4D" w14:textId="77777777" w:rsidR="002576CF" w:rsidRPr="008450F0" w:rsidRDefault="002576CF" w:rsidP="002576CF">
      <w:pPr>
        <w:pStyle w:val="Heading2"/>
      </w:pPr>
      <w:bookmarkStart w:id="9" w:name="_Toc104370469"/>
      <w:bookmarkStart w:id="10" w:name="_Toc350263795"/>
      <w:bookmarkStart w:id="11" w:name="_Toc350426161"/>
      <w:bookmarkStart w:id="12" w:name="_Toc499798949"/>
      <w:bookmarkStart w:id="13" w:name="_Toc31278227"/>
      <w:bookmarkStart w:id="14" w:name="_Toc77093349"/>
      <w:bookmarkStart w:id="15" w:name="_Toc91843467"/>
      <w:bookmarkStart w:id="16" w:name="_Toc350263784"/>
      <w:bookmarkStart w:id="17" w:name="_Toc499798937"/>
      <w:bookmarkStart w:id="18" w:name="_Toc31278212"/>
      <w:bookmarkStart w:id="19" w:name="_Toc77093333"/>
      <w:bookmarkStart w:id="20" w:name="_Toc91843469"/>
      <w:r w:rsidRPr="002576CF">
        <w:rPr>
          <w:highlight w:val="green"/>
        </w:rPr>
        <w:t>Events of labour and birth – ICD-10-AM code</w:t>
      </w:r>
      <w:bookmarkEnd w:id="9"/>
    </w:p>
    <w:bookmarkEnd w:id="10"/>
    <w:bookmarkEnd w:id="11"/>
    <w:bookmarkEnd w:id="12"/>
    <w:bookmarkEnd w:id="13"/>
    <w:bookmarkEnd w:id="14"/>
    <w:p w14:paraId="6AE0C587" w14:textId="3C180F4B" w:rsidR="00AF6B60" w:rsidRPr="00C066D7" w:rsidRDefault="00AF6B60" w:rsidP="00C066D7">
      <w:pPr>
        <w:spacing w:line="240" w:lineRule="auto"/>
      </w:pPr>
      <w:r w:rsidRPr="006B2A56">
        <w:rPr>
          <w:b/>
          <w:bCs/>
        </w:rPr>
        <w:t>Specification</w:t>
      </w:r>
    </w:p>
    <w:tbl>
      <w:tblPr>
        <w:tblW w:w="9639" w:type="dxa"/>
        <w:tblLook w:val="01E0" w:firstRow="1" w:lastRow="1" w:firstColumn="1" w:lastColumn="1" w:noHBand="0" w:noVBand="0"/>
      </w:tblPr>
      <w:tblGrid>
        <w:gridCol w:w="2024"/>
        <w:gridCol w:w="2025"/>
        <w:gridCol w:w="2025"/>
        <w:gridCol w:w="3565"/>
      </w:tblGrid>
      <w:tr w:rsidR="00AF6B60" w:rsidRPr="006B2A56" w14:paraId="6BA76DE1" w14:textId="77777777" w:rsidTr="00AF6B60">
        <w:tc>
          <w:tcPr>
            <w:tcW w:w="2024" w:type="dxa"/>
            <w:shd w:val="clear" w:color="auto" w:fill="auto"/>
          </w:tcPr>
          <w:p w14:paraId="4C06B05F" w14:textId="77777777" w:rsidR="00AF6B60" w:rsidRPr="006B2A56" w:rsidRDefault="00AF6B60" w:rsidP="00F134EA">
            <w:pPr>
              <w:spacing w:after="0" w:line="240" w:lineRule="auto"/>
            </w:pPr>
            <w:r w:rsidRPr="006B2A56">
              <w:t>Definition</w:t>
            </w:r>
          </w:p>
        </w:tc>
        <w:tc>
          <w:tcPr>
            <w:tcW w:w="7615" w:type="dxa"/>
            <w:gridSpan w:val="3"/>
            <w:shd w:val="clear" w:color="auto" w:fill="auto"/>
          </w:tcPr>
          <w:p w14:paraId="37A90EBE" w14:textId="77777777" w:rsidR="00AF6B60" w:rsidRPr="006B2A56" w:rsidRDefault="00AF6B60" w:rsidP="00F134EA">
            <w:pPr>
              <w:spacing w:after="0" w:line="240" w:lineRule="auto"/>
            </w:pPr>
            <w:r w:rsidRPr="006B2A56">
              <w:t>Medical and obstetric complications arising after the onset of labour and before the completed delivery of the baby and placenta</w:t>
            </w:r>
          </w:p>
        </w:tc>
      </w:tr>
      <w:tr w:rsidR="00AF6B60" w:rsidRPr="006B2A56" w14:paraId="5F01C224" w14:textId="77777777" w:rsidTr="00AF6B60">
        <w:tc>
          <w:tcPr>
            <w:tcW w:w="9639" w:type="dxa"/>
            <w:gridSpan w:val="4"/>
            <w:shd w:val="clear" w:color="auto" w:fill="auto"/>
          </w:tcPr>
          <w:p w14:paraId="112F4F4C" w14:textId="77777777" w:rsidR="00AF6B60" w:rsidRPr="006B2A56" w:rsidRDefault="00AF6B60" w:rsidP="00F134EA">
            <w:pPr>
              <w:spacing w:after="0" w:line="240" w:lineRule="auto"/>
            </w:pPr>
          </w:p>
        </w:tc>
      </w:tr>
      <w:tr w:rsidR="00AF6B60" w:rsidRPr="006B2A56" w14:paraId="19087F4B" w14:textId="77777777" w:rsidTr="00AF6B60">
        <w:tc>
          <w:tcPr>
            <w:tcW w:w="2024" w:type="dxa"/>
            <w:shd w:val="clear" w:color="auto" w:fill="auto"/>
          </w:tcPr>
          <w:p w14:paraId="6181CD5F" w14:textId="77777777" w:rsidR="00AF6B60" w:rsidRPr="006B2A56" w:rsidRDefault="00AF6B60" w:rsidP="00F134EA">
            <w:pPr>
              <w:spacing w:after="0" w:line="240" w:lineRule="auto"/>
            </w:pPr>
            <w:r w:rsidRPr="006B2A56">
              <w:t>Representation class</w:t>
            </w:r>
          </w:p>
        </w:tc>
        <w:tc>
          <w:tcPr>
            <w:tcW w:w="2025" w:type="dxa"/>
            <w:shd w:val="clear" w:color="auto" w:fill="auto"/>
          </w:tcPr>
          <w:p w14:paraId="4BB09DBD" w14:textId="77777777" w:rsidR="00AF6B60" w:rsidRPr="006B2A56" w:rsidRDefault="00AF6B60" w:rsidP="00F134EA">
            <w:pPr>
              <w:spacing w:after="0" w:line="240" w:lineRule="auto"/>
            </w:pPr>
            <w:r w:rsidRPr="006B2A56">
              <w:t>Code</w:t>
            </w:r>
          </w:p>
        </w:tc>
        <w:tc>
          <w:tcPr>
            <w:tcW w:w="2025" w:type="dxa"/>
            <w:shd w:val="clear" w:color="auto" w:fill="auto"/>
          </w:tcPr>
          <w:p w14:paraId="51A02889" w14:textId="77777777" w:rsidR="00AF6B60" w:rsidRPr="006B2A56" w:rsidRDefault="00AF6B60" w:rsidP="00F134EA">
            <w:pPr>
              <w:spacing w:after="0" w:line="240" w:lineRule="auto"/>
            </w:pPr>
            <w:r w:rsidRPr="006B2A56">
              <w:t>Data type</w:t>
            </w:r>
          </w:p>
        </w:tc>
        <w:tc>
          <w:tcPr>
            <w:tcW w:w="3565" w:type="dxa"/>
            <w:shd w:val="clear" w:color="auto" w:fill="auto"/>
          </w:tcPr>
          <w:p w14:paraId="083FF78D" w14:textId="77777777" w:rsidR="00AF6B60" w:rsidRPr="006B2A56" w:rsidRDefault="00AF6B60" w:rsidP="00F134EA">
            <w:pPr>
              <w:spacing w:after="0" w:line="240" w:lineRule="auto"/>
            </w:pPr>
            <w:r w:rsidRPr="006B2A56">
              <w:t>String</w:t>
            </w:r>
          </w:p>
        </w:tc>
      </w:tr>
      <w:tr w:rsidR="00AF6B60" w:rsidRPr="006B2A56" w14:paraId="2EF4F15D" w14:textId="77777777" w:rsidTr="00AF6B60">
        <w:tc>
          <w:tcPr>
            <w:tcW w:w="9639" w:type="dxa"/>
            <w:gridSpan w:val="4"/>
            <w:shd w:val="clear" w:color="auto" w:fill="auto"/>
          </w:tcPr>
          <w:p w14:paraId="76081405" w14:textId="77777777" w:rsidR="00AF6B60" w:rsidRPr="006B2A56" w:rsidRDefault="00AF6B60" w:rsidP="00F134EA">
            <w:pPr>
              <w:spacing w:after="0" w:line="240" w:lineRule="auto"/>
            </w:pPr>
          </w:p>
        </w:tc>
      </w:tr>
      <w:tr w:rsidR="00AF6B60" w:rsidRPr="006B2A56" w14:paraId="6757D489" w14:textId="77777777" w:rsidTr="00AF6B60">
        <w:tc>
          <w:tcPr>
            <w:tcW w:w="2024" w:type="dxa"/>
            <w:shd w:val="clear" w:color="auto" w:fill="auto"/>
          </w:tcPr>
          <w:p w14:paraId="05DC45D8" w14:textId="77777777" w:rsidR="00AF6B60" w:rsidRPr="006B2A56" w:rsidRDefault="00AF6B60" w:rsidP="00F134EA">
            <w:pPr>
              <w:spacing w:after="0" w:line="240" w:lineRule="auto"/>
            </w:pPr>
            <w:r w:rsidRPr="006B2A56">
              <w:t>Format</w:t>
            </w:r>
          </w:p>
        </w:tc>
        <w:tc>
          <w:tcPr>
            <w:tcW w:w="2025" w:type="dxa"/>
            <w:shd w:val="clear" w:color="auto" w:fill="auto"/>
          </w:tcPr>
          <w:p w14:paraId="6E7026C3" w14:textId="77777777" w:rsidR="00AF6B60" w:rsidRPr="006B2A56" w:rsidRDefault="00AF6B60" w:rsidP="00F134EA">
            <w:pPr>
              <w:spacing w:after="0" w:line="240" w:lineRule="auto"/>
            </w:pPr>
            <w:r w:rsidRPr="006B2A56">
              <w:t>ANN[NN]</w:t>
            </w:r>
          </w:p>
        </w:tc>
        <w:tc>
          <w:tcPr>
            <w:tcW w:w="2025" w:type="dxa"/>
            <w:shd w:val="clear" w:color="auto" w:fill="auto"/>
          </w:tcPr>
          <w:p w14:paraId="5F8C08FD" w14:textId="77777777" w:rsidR="00AF6B60" w:rsidRPr="006B2A56" w:rsidRDefault="00AF6B60" w:rsidP="00F134EA">
            <w:pPr>
              <w:spacing w:after="0" w:line="240" w:lineRule="auto"/>
              <w:rPr>
                <w:i/>
              </w:rPr>
            </w:pPr>
            <w:r w:rsidRPr="006B2A56">
              <w:t>Field size</w:t>
            </w:r>
          </w:p>
        </w:tc>
        <w:tc>
          <w:tcPr>
            <w:tcW w:w="3565" w:type="dxa"/>
            <w:shd w:val="clear" w:color="auto" w:fill="auto"/>
          </w:tcPr>
          <w:p w14:paraId="1A41BF62" w14:textId="77777777" w:rsidR="00AF6B60" w:rsidRPr="006B2A56" w:rsidRDefault="00AF6B60" w:rsidP="00F134EA">
            <w:pPr>
              <w:spacing w:after="0" w:line="240" w:lineRule="auto"/>
            </w:pPr>
            <w:r w:rsidRPr="006B2A56">
              <w:t>5 (x9)</w:t>
            </w:r>
          </w:p>
        </w:tc>
      </w:tr>
      <w:tr w:rsidR="00AF6B60" w:rsidRPr="006B2A56" w14:paraId="16FDAB7A" w14:textId="77777777" w:rsidTr="00AF6B60">
        <w:tc>
          <w:tcPr>
            <w:tcW w:w="9639" w:type="dxa"/>
            <w:gridSpan w:val="4"/>
            <w:shd w:val="clear" w:color="auto" w:fill="auto"/>
          </w:tcPr>
          <w:p w14:paraId="2F8185FB" w14:textId="77777777" w:rsidR="00AF6B60" w:rsidRPr="006B2A56" w:rsidRDefault="00AF6B60" w:rsidP="00F134EA">
            <w:pPr>
              <w:spacing w:after="0" w:line="240" w:lineRule="auto"/>
            </w:pPr>
          </w:p>
        </w:tc>
      </w:tr>
      <w:tr w:rsidR="00AF6B60" w:rsidRPr="006B2A56" w14:paraId="3F17D714" w14:textId="77777777" w:rsidTr="00AF6B60">
        <w:tc>
          <w:tcPr>
            <w:tcW w:w="2024" w:type="dxa"/>
            <w:shd w:val="clear" w:color="auto" w:fill="auto"/>
          </w:tcPr>
          <w:p w14:paraId="1CA83121" w14:textId="77777777" w:rsidR="00AF6B60" w:rsidRPr="006B2A56" w:rsidRDefault="00AF6B60" w:rsidP="00F134EA">
            <w:pPr>
              <w:spacing w:after="0" w:line="240" w:lineRule="auto"/>
            </w:pPr>
            <w:r w:rsidRPr="006B2A56">
              <w:t>Location</w:t>
            </w:r>
          </w:p>
        </w:tc>
        <w:tc>
          <w:tcPr>
            <w:tcW w:w="2025" w:type="dxa"/>
            <w:shd w:val="clear" w:color="auto" w:fill="auto"/>
          </w:tcPr>
          <w:p w14:paraId="7B716F3D" w14:textId="77777777" w:rsidR="00AF6B60" w:rsidRPr="006B2A56" w:rsidRDefault="00AF6B60" w:rsidP="00F134EA">
            <w:pPr>
              <w:spacing w:after="0" w:line="240" w:lineRule="auto"/>
            </w:pPr>
            <w:r w:rsidRPr="006B2A56">
              <w:t>Episode record</w:t>
            </w:r>
          </w:p>
        </w:tc>
        <w:tc>
          <w:tcPr>
            <w:tcW w:w="2025" w:type="dxa"/>
            <w:shd w:val="clear" w:color="auto" w:fill="auto"/>
          </w:tcPr>
          <w:p w14:paraId="49C57677" w14:textId="77777777" w:rsidR="00AF6B60" w:rsidRPr="006B2A56" w:rsidRDefault="00AF6B60" w:rsidP="00F134EA">
            <w:pPr>
              <w:spacing w:after="0" w:line="240" w:lineRule="auto"/>
            </w:pPr>
            <w:r w:rsidRPr="006B2A56">
              <w:t>Position</w:t>
            </w:r>
          </w:p>
        </w:tc>
        <w:tc>
          <w:tcPr>
            <w:tcW w:w="3565" w:type="dxa"/>
            <w:shd w:val="clear" w:color="auto" w:fill="auto"/>
          </w:tcPr>
          <w:p w14:paraId="375E7E16" w14:textId="77777777" w:rsidR="00AF6B60" w:rsidRPr="006B2A56" w:rsidRDefault="00AF6B60" w:rsidP="00F134EA">
            <w:pPr>
              <w:spacing w:after="0" w:line="240" w:lineRule="auto"/>
            </w:pPr>
            <w:r w:rsidRPr="006B2A56">
              <w:t>82</w:t>
            </w:r>
          </w:p>
        </w:tc>
      </w:tr>
      <w:tr w:rsidR="00AF6B60" w:rsidRPr="006B2A56" w14:paraId="53736466" w14:textId="77777777" w:rsidTr="00AF6B60">
        <w:tc>
          <w:tcPr>
            <w:tcW w:w="9639" w:type="dxa"/>
            <w:gridSpan w:val="4"/>
            <w:shd w:val="clear" w:color="auto" w:fill="auto"/>
          </w:tcPr>
          <w:p w14:paraId="10A2DFE1" w14:textId="77777777" w:rsidR="00AF6B60" w:rsidRPr="006B2A56" w:rsidRDefault="00AF6B60" w:rsidP="00F134EA">
            <w:pPr>
              <w:spacing w:after="0" w:line="240" w:lineRule="auto"/>
            </w:pPr>
          </w:p>
        </w:tc>
      </w:tr>
      <w:tr w:rsidR="00AF6B60" w:rsidRPr="006B2A56" w14:paraId="0A756E2A" w14:textId="77777777" w:rsidTr="00AF6B60">
        <w:tc>
          <w:tcPr>
            <w:tcW w:w="2024" w:type="dxa"/>
            <w:shd w:val="clear" w:color="auto" w:fill="auto"/>
          </w:tcPr>
          <w:p w14:paraId="0CDF7699" w14:textId="77777777" w:rsidR="00AF6B60" w:rsidRPr="006B2A56" w:rsidRDefault="00AF6B60" w:rsidP="00F134EA">
            <w:pPr>
              <w:spacing w:after="0" w:line="240" w:lineRule="auto"/>
            </w:pPr>
            <w:r w:rsidRPr="006B2A56">
              <w:t>Permissible values</w:t>
            </w:r>
          </w:p>
        </w:tc>
        <w:tc>
          <w:tcPr>
            <w:tcW w:w="7615" w:type="dxa"/>
            <w:gridSpan w:val="3"/>
            <w:shd w:val="clear" w:color="auto" w:fill="auto"/>
          </w:tcPr>
          <w:p w14:paraId="73D58161" w14:textId="17A9F951" w:rsidR="00AF6B60" w:rsidRPr="006B2A56" w:rsidRDefault="00AF6B60" w:rsidP="00F134EA">
            <w:pPr>
              <w:spacing w:after="0" w:line="240" w:lineRule="auto"/>
            </w:pPr>
            <w:r w:rsidRPr="006B2A56">
              <w:t>Codes relevant to this data element are listed in the 1</w:t>
            </w:r>
            <w:r w:rsidR="00DA59FD" w:rsidRPr="00DA59FD">
              <w:rPr>
                <w:strike/>
              </w:rPr>
              <w:t>1</w:t>
            </w:r>
            <w:r w:rsidR="00EC7A48" w:rsidRPr="00DA59FD">
              <w:rPr>
                <w:highlight w:val="green"/>
              </w:rPr>
              <w:t>2</w:t>
            </w:r>
            <w:r w:rsidRPr="006B2A56">
              <w:rPr>
                <w:vertAlign w:val="superscript"/>
              </w:rPr>
              <w:t>th</w:t>
            </w:r>
            <w:r w:rsidRPr="006B2A56">
              <w:t xml:space="preserve"> edition ICD</w:t>
            </w:r>
            <w:r w:rsidRPr="006B2A56">
              <w:noBreakHyphen/>
              <w:t xml:space="preserve">10-AM/ ACHI code set, which includes VPDC-created codes. To obtain a copy of this code set, email the HDSS HelpDesk at </w:t>
            </w:r>
            <w:hyperlink r:id="rId22" w:history="1">
              <w:r w:rsidRPr="00F43E5B">
                <w:rPr>
                  <w:rStyle w:val="Hyperlink"/>
                </w:rPr>
                <w:t>hdss.helpdesk@health.vic.gov.au</w:t>
              </w:r>
            </w:hyperlink>
            <w:r w:rsidRPr="006B2A56">
              <w:t>.</w:t>
            </w:r>
          </w:p>
          <w:p w14:paraId="60D1501C" w14:textId="77777777" w:rsidR="00AF6B60" w:rsidRPr="006B2A56" w:rsidRDefault="00AF6B60" w:rsidP="00F134EA">
            <w:pPr>
              <w:spacing w:after="0" w:line="240" w:lineRule="auto"/>
            </w:pPr>
          </w:p>
          <w:p w14:paraId="58FB3556" w14:textId="77777777" w:rsidR="00AF6B60" w:rsidRPr="006B2A56" w:rsidRDefault="00AF6B60" w:rsidP="00F134EA">
            <w:pPr>
              <w:spacing w:after="0" w:line="240" w:lineRule="auto"/>
            </w:pPr>
            <w:r w:rsidRPr="006B2A56">
              <w:t>A small number of additional codes have been created solely for VPDC reporting in this data element:</w:t>
            </w:r>
          </w:p>
          <w:p w14:paraId="383A050D" w14:textId="77777777" w:rsidR="00AF6B60" w:rsidRPr="006B2A56" w:rsidRDefault="00AF6B60" w:rsidP="00F134EA">
            <w:pPr>
              <w:spacing w:after="0" w:line="240" w:lineRule="auto"/>
              <w:rPr>
                <w:b/>
              </w:rPr>
            </w:pPr>
          </w:p>
          <w:p w14:paraId="24E09147" w14:textId="77777777" w:rsidR="00AF6B60" w:rsidRPr="006B2A56" w:rsidRDefault="00AF6B60" w:rsidP="00F134EA">
            <w:pPr>
              <w:spacing w:after="0" w:line="240" w:lineRule="auto"/>
              <w:rPr>
                <w:b/>
              </w:rPr>
            </w:pPr>
            <w:r w:rsidRPr="006B2A56">
              <w:rPr>
                <w:b/>
              </w:rPr>
              <w:t>Code</w:t>
            </w:r>
            <w:r w:rsidRPr="006B2A56">
              <w:rPr>
                <w:b/>
              </w:rPr>
              <w:tab/>
              <w:t>Descriptor</w:t>
            </w:r>
          </w:p>
          <w:p w14:paraId="56320431" w14:textId="77777777" w:rsidR="00AF6B60" w:rsidRPr="006B2A56" w:rsidRDefault="00AF6B60" w:rsidP="00F134EA">
            <w:pPr>
              <w:spacing w:after="0" w:line="240" w:lineRule="auto"/>
            </w:pPr>
            <w:r w:rsidRPr="006B2A56">
              <w:t>O839</w:t>
            </w:r>
            <w:r w:rsidRPr="006B2A56">
              <w:tab/>
              <w:t>Water birth</w:t>
            </w:r>
          </w:p>
          <w:p w14:paraId="57D7BCDE" w14:textId="72003F27" w:rsidR="00AF6B60" w:rsidRPr="006B2A56" w:rsidRDefault="00AF6B60" w:rsidP="00F134EA">
            <w:pPr>
              <w:spacing w:after="0" w:line="240" w:lineRule="auto"/>
            </w:pPr>
            <w:r w:rsidRPr="006B2A56">
              <w:t>Z292</w:t>
            </w:r>
            <w:r w:rsidRPr="00AF6B60">
              <w:rPr>
                <w:highlight w:val="green"/>
              </w:rPr>
              <w:t>9</w:t>
            </w:r>
            <w:r w:rsidRPr="006B2A56">
              <w:tab/>
              <w:t>Antibiotic therapy in labour</w:t>
            </w:r>
          </w:p>
        </w:tc>
      </w:tr>
      <w:tr w:rsidR="00AF6B60" w:rsidRPr="006B2A56" w14:paraId="3B60B6A9" w14:textId="77777777" w:rsidTr="00AF6B60">
        <w:tc>
          <w:tcPr>
            <w:tcW w:w="9639" w:type="dxa"/>
            <w:gridSpan w:val="4"/>
            <w:shd w:val="clear" w:color="auto" w:fill="auto"/>
          </w:tcPr>
          <w:p w14:paraId="560FE8BE" w14:textId="77777777" w:rsidR="00AF6B60" w:rsidRPr="006B2A56" w:rsidRDefault="00AF6B60" w:rsidP="00F134EA">
            <w:pPr>
              <w:spacing w:after="0" w:line="240" w:lineRule="auto"/>
            </w:pPr>
          </w:p>
        </w:tc>
      </w:tr>
      <w:tr w:rsidR="00AF6B60" w:rsidRPr="006B2A56" w14:paraId="3FCC2525" w14:textId="77777777" w:rsidTr="00AF6B60">
        <w:tblPrEx>
          <w:tblLook w:val="04A0" w:firstRow="1" w:lastRow="0" w:firstColumn="1" w:lastColumn="0" w:noHBand="0" w:noVBand="1"/>
        </w:tblPrEx>
        <w:tc>
          <w:tcPr>
            <w:tcW w:w="2024" w:type="dxa"/>
            <w:shd w:val="clear" w:color="auto" w:fill="auto"/>
          </w:tcPr>
          <w:p w14:paraId="084C51FB" w14:textId="77777777" w:rsidR="00AF6B60" w:rsidRPr="006B2A56" w:rsidRDefault="00AF6B60" w:rsidP="00F134EA">
            <w:pPr>
              <w:spacing w:after="0" w:line="240" w:lineRule="auto"/>
            </w:pPr>
            <w:r w:rsidRPr="006B2A56">
              <w:t>Reporting guide</w:t>
            </w:r>
          </w:p>
        </w:tc>
        <w:tc>
          <w:tcPr>
            <w:tcW w:w="7615" w:type="dxa"/>
            <w:gridSpan w:val="3"/>
            <w:shd w:val="clear" w:color="auto" w:fill="auto"/>
          </w:tcPr>
          <w:p w14:paraId="72F1C2D4" w14:textId="77777777" w:rsidR="00AF6B60" w:rsidRPr="006B2A56" w:rsidRDefault="00AF6B60" w:rsidP="00F134EA">
            <w:pPr>
              <w:spacing w:after="0" w:line="240" w:lineRule="auto"/>
            </w:pPr>
            <w:r w:rsidRPr="006B2A56">
              <w:t>Complications arising after the onset of labour and before the completed birth of the baby and placenta. Report conditions related to the neonate, and classifiable to code range P00–P96 Certain conditions originating in the perinatal period, in data element Neonatal morbidity – ICD-10-AM code.</w:t>
            </w:r>
          </w:p>
        </w:tc>
      </w:tr>
      <w:tr w:rsidR="00AF6B60" w:rsidRPr="006B2A56" w14:paraId="12F175C4" w14:textId="77777777" w:rsidTr="00AF6B60">
        <w:tc>
          <w:tcPr>
            <w:tcW w:w="9639" w:type="dxa"/>
            <w:gridSpan w:val="4"/>
            <w:shd w:val="clear" w:color="auto" w:fill="auto"/>
          </w:tcPr>
          <w:p w14:paraId="15B9C619" w14:textId="77777777" w:rsidR="00AF6B60" w:rsidRPr="006B2A56" w:rsidRDefault="00AF6B60" w:rsidP="00F134EA">
            <w:pPr>
              <w:spacing w:after="0" w:line="240" w:lineRule="auto"/>
            </w:pPr>
          </w:p>
        </w:tc>
      </w:tr>
      <w:tr w:rsidR="00AF6B60" w:rsidRPr="006B2A56" w14:paraId="378D7FC7" w14:textId="77777777" w:rsidTr="00AF6B60">
        <w:tc>
          <w:tcPr>
            <w:tcW w:w="2024" w:type="dxa"/>
            <w:shd w:val="clear" w:color="auto" w:fill="auto"/>
          </w:tcPr>
          <w:p w14:paraId="543F9B05" w14:textId="77777777" w:rsidR="00AF6B60" w:rsidRPr="006B2A56" w:rsidRDefault="00AF6B60" w:rsidP="00F134EA">
            <w:pPr>
              <w:spacing w:after="0" w:line="240" w:lineRule="auto"/>
            </w:pPr>
            <w:r w:rsidRPr="006B2A56">
              <w:t>Reported by</w:t>
            </w:r>
          </w:p>
        </w:tc>
        <w:tc>
          <w:tcPr>
            <w:tcW w:w="7615" w:type="dxa"/>
            <w:gridSpan w:val="3"/>
            <w:shd w:val="clear" w:color="auto" w:fill="auto"/>
          </w:tcPr>
          <w:p w14:paraId="272AFF36" w14:textId="77777777" w:rsidR="00AF6B60" w:rsidRPr="006B2A56" w:rsidRDefault="00AF6B60" w:rsidP="00F134EA">
            <w:pPr>
              <w:spacing w:after="0" w:line="240" w:lineRule="auto"/>
            </w:pPr>
            <w:r w:rsidRPr="006B2A56">
              <w:t>All Victorian hospitals where a birth has occurred and homebirth practitioners</w:t>
            </w:r>
          </w:p>
        </w:tc>
      </w:tr>
      <w:tr w:rsidR="00AF6B60" w:rsidRPr="006B2A56" w14:paraId="22F953EB" w14:textId="77777777" w:rsidTr="00AF6B60">
        <w:tc>
          <w:tcPr>
            <w:tcW w:w="9639" w:type="dxa"/>
            <w:gridSpan w:val="4"/>
            <w:shd w:val="clear" w:color="auto" w:fill="auto"/>
          </w:tcPr>
          <w:p w14:paraId="4A6BC1DF" w14:textId="77777777" w:rsidR="00AF6B60" w:rsidRPr="006B2A56" w:rsidRDefault="00AF6B60" w:rsidP="00F134EA">
            <w:pPr>
              <w:spacing w:after="0" w:line="240" w:lineRule="auto"/>
            </w:pPr>
          </w:p>
        </w:tc>
      </w:tr>
      <w:tr w:rsidR="00AF6B60" w:rsidRPr="006B2A56" w14:paraId="52BA2F25" w14:textId="77777777" w:rsidTr="00AF6B60">
        <w:tc>
          <w:tcPr>
            <w:tcW w:w="2024" w:type="dxa"/>
            <w:shd w:val="clear" w:color="auto" w:fill="auto"/>
          </w:tcPr>
          <w:p w14:paraId="521511EC" w14:textId="77777777" w:rsidR="00AF6B60" w:rsidRPr="006B2A56" w:rsidRDefault="00AF6B60" w:rsidP="00F134EA">
            <w:pPr>
              <w:spacing w:after="0" w:line="240" w:lineRule="auto"/>
            </w:pPr>
            <w:r w:rsidRPr="006B2A56">
              <w:t>Reported for</w:t>
            </w:r>
          </w:p>
        </w:tc>
        <w:tc>
          <w:tcPr>
            <w:tcW w:w="7615" w:type="dxa"/>
            <w:gridSpan w:val="3"/>
            <w:shd w:val="clear" w:color="auto" w:fill="auto"/>
          </w:tcPr>
          <w:p w14:paraId="0D5D6361" w14:textId="77777777" w:rsidR="00AF6B60" w:rsidRPr="006B2A56" w:rsidRDefault="00AF6B60" w:rsidP="00F134EA">
            <w:pPr>
              <w:spacing w:after="0" w:line="240" w:lineRule="auto"/>
            </w:pPr>
            <w:r w:rsidRPr="006B2A56">
              <w:t>Births where events occurred during the labour and/or birth</w:t>
            </w:r>
          </w:p>
        </w:tc>
      </w:tr>
      <w:tr w:rsidR="00AF6B60" w:rsidRPr="006B2A56" w14:paraId="23F7073B" w14:textId="77777777" w:rsidTr="00AF6B60">
        <w:tc>
          <w:tcPr>
            <w:tcW w:w="9639" w:type="dxa"/>
            <w:gridSpan w:val="4"/>
            <w:shd w:val="clear" w:color="auto" w:fill="auto"/>
          </w:tcPr>
          <w:p w14:paraId="4BAF6D0A" w14:textId="77777777" w:rsidR="00AF6B60" w:rsidRPr="006B2A56" w:rsidRDefault="00AF6B60" w:rsidP="00F134EA">
            <w:pPr>
              <w:spacing w:after="0" w:line="240" w:lineRule="auto"/>
            </w:pPr>
          </w:p>
        </w:tc>
      </w:tr>
      <w:tr w:rsidR="00AF6B60" w:rsidRPr="006B2A56" w14:paraId="0EBC4822" w14:textId="77777777" w:rsidTr="00AF6B60">
        <w:tblPrEx>
          <w:tblLook w:val="04A0" w:firstRow="1" w:lastRow="0" w:firstColumn="1" w:lastColumn="0" w:noHBand="0" w:noVBand="1"/>
        </w:tblPrEx>
        <w:tc>
          <w:tcPr>
            <w:tcW w:w="2024" w:type="dxa"/>
            <w:shd w:val="clear" w:color="auto" w:fill="auto"/>
          </w:tcPr>
          <w:p w14:paraId="56DD19CE" w14:textId="77777777" w:rsidR="00AF6B60" w:rsidRPr="006B2A56" w:rsidRDefault="00AF6B60" w:rsidP="00F134EA">
            <w:pPr>
              <w:spacing w:after="0" w:line="240" w:lineRule="auto"/>
            </w:pPr>
            <w:r w:rsidRPr="006B2A56">
              <w:t>Related concepts (Section 2):</w:t>
            </w:r>
          </w:p>
        </w:tc>
        <w:tc>
          <w:tcPr>
            <w:tcW w:w="7615" w:type="dxa"/>
            <w:gridSpan w:val="3"/>
            <w:shd w:val="clear" w:color="auto" w:fill="auto"/>
          </w:tcPr>
          <w:p w14:paraId="7B33D697" w14:textId="77777777" w:rsidR="00AF6B60" w:rsidRPr="006B2A56" w:rsidRDefault="00AF6B60" w:rsidP="00F134EA">
            <w:pPr>
              <w:spacing w:after="0" w:line="240" w:lineRule="auto"/>
            </w:pPr>
            <w:r w:rsidRPr="006B2A56">
              <w:t>None specified</w:t>
            </w:r>
          </w:p>
        </w:tc>
      </w:tr>
      <w:tr w:rsidR="00AF6B60" w:rsidRPr="006B2A56" w14:paraId="60F28FFA" w14:textId="77777777" w:rsidTr="00AF6B60">
        <w:tc>
          <w:tcPr>
            <w:tcW w:w="9639" w:type="dxa"/>
            <w:gridSpan w:val="4"/>
            <w:shd w:val="clear" w:color="auto" w:fill="auto"/>
          </w:tcPr>
          <w:p w14:paraId="6827FBC4" w14:textId="77777777" w:rsidR="00AF6B60" w:rsidRPr="006B2A56" w:rsidRDefault="00AF6B60" w:rsidP="00F134EA">
            <w:pPr>
              <w:spacing w:after="0" w:line="240" w:lineRule="auto"/>
            </w:pPr>
          </w:p>
        </w:tc>
      </w:tr>
      <w:tr w:rsidR="00AF6B60" w:rsidRPr="006B2A56" w14:paraId="3F25D7E4" w14:textId="77777777" w:rsidTr="00AF6B60">
        <w:tblPrEx>
          <w:tblLook w:val="04A0" w:firstRow="1" w:lastRow="0" w:firstColumn="1" w:lastColumn="0" w:noHBand="0" w:noVBand="1"/>
        </w:tblPrEx>
        <w:tc>
          <w:tcPr>
            <w:tcW w:w="2024" w:type="dxa"/>
            <w:shd w:val="clear" w:color="auto" w:fill="auto"/>
          </w:tcPr>
          <w:p w14:paraId="548A5ABC" w14:textId="77777777" w:rsidR="00AF6B60" w:rsidRPr="006B2A56" w:rsidRDefault="00AF6B60" w:rsidP="00F134EA">
            <w:pPr>
              <w:spacing w:after="0" w:line="240" w:lineRule="auto"/>
            </w:pPr>
            <w:r w:rsidRPr="006B2A56">
              <w:t>Related data items (this section):</w:t>
            </w:r>
          </w:p>
        </w:tc>
        <w:tc>
          <w:tcPr>
            <w:tcW w:w="7615" w:type="dxa"/>
            <w:gridSpan w:val="3"/>
            <w:shd w:val="clear" w:color="auto" w:fill="auto"/>
          </w:tcPr>
          <w:p w14:paraId="5AC7D43C" w14:textId="77777777" w:rsidR="00AF6B60" w:rsidRPr="006B2A56" w:rsidRDefault="00AF6B60" w:rsidP="00F134EA">
            <w:pPr>
              <w:spacing w:after="0" w:line="240" w:lineRule="auto"/>
            </w:pPr>
            <w:r w:rsidRPr="006B2A56">
              <w:t>Admission to high dependency unit (HDU) / intensive care unit (ICU) – mother; Birth presentation; Events of labour and birth – free text</w:t>
            </w:r>
          </w:p>
        </w:tc>
      </w:tr>
      <w:tr w:rsidR="00AF6B60" w:rsidRPr="006B2A56" w14:paraId="6191A852" w14:textId="77777777" w:rsidTr="00AF6B60">
        <w:tc>
          <w:tcPr>
            <w:tcW w:w="9639" w:type="dxa"/>
            <w:gridSpan w:val="4"/>
            <w:shd w:val="clear" w:color="auto" w:fill="auto"/>
          </w:tcPr>
          <w:p w14:paraId="29D8145B" w14:textId="77777777" w:rsidR="00AF6B60" w:rsidRPr="006B2A56" w:rsidRDefault="00AF6B60" w:rsidP="00F134EA">
            <w:pPr>
              <w:spacing w:after="0" w:line="240" w:lineRule="auto"/>
            </w:pPr>
          </w:p>
        </w:tc>
      </w:tr>
      <w:tr w:rsidR="00AF6B60" w:rsidRPr="006B2A56" w14:paraId="2884ED96" w14:textId="77777777" w:rsidTr="00AF6B60">
        <w:tblPrEx>
          <w:tblLook w:val="04A0" w:firstRow="1" w:lastRow="0" w:firstColumn="1" w:lastColumn="0" w:noHBand="0" w:noVBand="1"/>
        </w:tblPrEx>
        <w:tc>
          <w:tcPr>
            <w:tcW w:w="2024" w:type="dxa"/>
            <w:shd w:val="clear" w:color="auto" w:fill="auto"/>
          </w:tcPr>
          <w:p w14:paraId="2BF333A6" w14:textId="77777777" w:rsidR="00AF6B60" w:rsidRPr="006B2A56" w:rsidRDefault="00AF6B60" w:rsidP="00F134EA">
            <w:pPr>
              <w:spacing w:after="0" w:line="240" w:lineRule="auto"/>
            </w:pPr>
            <w:r w:rsidRPr="006B2A56">
              <w:t>Related business rules (Section 4):</w:t>
            </w:r>
          </w:p>
        </w:tc>
        <w:tc>
          <w:tcPr>
            <w:tcW w:w="7615" w:type="dxa"/>
            <w:gridSpan w:val="3"/>
            <w:shd w:val="clear" w:color="auto" w:fill="auto"/>
          </w:tcPr>
          <w:p w14:paraId="2C112353" w14:textId="77777777" w:rsidR="00AF6B60" w:rsidRPr="006B2A56" w:rsidRDefault="00AF6B60" w:rsidP="00F134EA">
            <w:pPr>
              <w:spacing w:after="0" w:line="240" w:lineRule="auto"/>
            </w:pPr>
            <w:r w:rsidRPr="006B2A56">
              <w:t>Admission to high dependency unit (HDU) / intensive care unit (ICU) – mother conditionally mandatory data items, Birth presentation conditionally mandatory data items</w:t>
            </w:r>
          </w:p>
        </w:tc>
      </w:tr>
    </w:tbl>
    <w:p w14:paraId="7A42B89E" w14:textId="77777777" w:rsidR="00AF6B60" w:rsidRPr="006B2A56" w:rsidRDefault="00AF6B60" w:rsidP="00C066D7">
      <w:pPr>
        <w:spacing w:before="120" w:line="240" w:lineRule="auto"/>
      </w:pPr>
      <w:r w:rsidRPr="006B2A56">
        <w:rPr>
          <w:b/>
          <w:bCs/>
        </w:rPr>
        <w:t>Administration</w:t>
      </w:r>
    </w:p>
    <w:tbl>
      <w:tblPr>
        <w:tblW w:w="9356" w:type="dxa"/>
        <w:tblLook w:val="01E0" w:firstRow="1" w:lastRow="1" w:firstColumn="1" w:lastColumn="1" w:noHBand="0" w:noVBand="0"/>
      </w:tblPr>
      <w:tblGrid>
        <w:gridCol w:w="2127"/>
        <w:gridCol w:w="2795"/>
        <w:gridCol w:w="2410"/>
        <w:gridCol w:w="2024"/>
      </w:tblGrid>
      <w:tr w:rsidR="00AF6B60" w:rsidRPr="006B2A56" w14:paraId="05DF62E3" w14:textId="77777777" w:rsidTr="00F134EA">
        <w:tc>
          <w:tcPr>
            <w:tcW w:w="2127" w:type="dxa"/>
            <w:shd w:val="clear" w:color="auto" w:fill="auto"/>
          </w:tcPr>
          <w:p w14:paraId="72566B91" w14:textId="77777777" w:rsidR="00AF6B60" w:rsidRPr="006B2A56" w:rsidRDefault="00AF6B60" w:rsidP="00F134EA">
            <w:pPr>
              <w:spacing w:after="0" w:line="240" w:lineRule="auto"/>
            </w:pPr>
            <w:r w:rsidRPr="006B2A56">
              <w:t>Principal data users</w:t>
            </w:r>
          </w:p>
        </w:tc>
        <w:tc>
          <w:tcPr>
            <w:tcW w:w="7229" w:type="dxa"/>
            <w:gridSpan w:val="3"/>
            <w:shd w:val="clear" w:color="auto" w:fill="auto"/>
          </w:tcPr>
          <w:p w14:paraId="78699754" w14:textId="77777777" w:rsidR="00AF6B60" w:rsidRPr="006B2A56" w:rsidRDefault="00AF6B60" w:rsidP="00F134EA">
            <w:pPr>
              <w:spacing w:after="0" w:line="240" w:lineRule="auto"/>
            </w:pPr>
            <w:r w:rsidRPr="006B2A56">
              <w:t>Consultative Council on Obstetric and Paediatric Mortality and Morbidity</w:t>
            </w:r>
          </w:p>
        </w:tc>
      </w:tr>
      <w:tr w:rsidR="00AF6B60" w:rsidRPr="006B2A56" w14:paraId="0F0EA7DE" w14:textId="77777777" w:rsidTr="00F134EA">
        <w:tc>
          <w:tcPr>
            <w:tcW w:w="9356" w:type="dxa"/>
            <w:gridSpan w:val="4"/>
            <w:shd w:val="clear" w:color="auto" w:fill="auto"/>
          </w:tcPr>
          <w:p w14:paraId="65E14B32" w14:textId="77777777" w:rsidR="00AF6B60" w:rsidRPr="006B2A56" w:rsidRDefault="00AF6B60" w:rsidP="00F134EA">
            <w:pPr>
              <w:spacing w:after="0" w:line="240" w:lineRule="auto"/>
            </w:pPr>
          </w:p>
        </w:tc>
      </w:tr>
      <w:tr w:rsidR="00AF6B60" w:rsidRPr="006B2A56" w14:paraId="3902DB30" w14:textId="77777777" w:rsidTr="00F134EA">
        <w:tc>
          <w:tcPr>
            <w:tcW w:w="2127" w:type="dxa"/>
            <w:shd w:val="clear" w:color="auto" w:fill="auto"/>
          </w:tcPr>
          <w:p w14:paraId="404A95F0" w14:textId="77777777" w:rsidR="00AF6B60" w:rsidRPr="006B2A56" w:rsidRDefault="00AF6B60" w:rsidP="00F134EA">
            <w:pPr>
              <w:spacing w:after="0" w:line="240" w:lineRule="auto"/>
            </w:pPr>
            <w:r w:rsidRPr="006B2A56">
              <w:t>Definition source</w:t>
            </w:r>
          </w:p>
        </w:tc>
        <w:tc>
          <w:tcPr>
            <w:tcW w:w="2795" w:type="dxa"/>
            <w:shd w:val="clear" w:color="auto" w:fill="auto"/>
          </w:tcPr>
          <w:p w14:paraId="0866EB10" w14:textId="77777777" w:rsidR="00AF6B60" w:rsidRPr="006B2A56" w:rsidRDefault="00AF6B60" w:rsidP="00F134EA">
            <w:pPr>
              <w:spacing w:after="0" w:line="240" w:lineRule="auto"/>
            </w:pPr>
            <w:r w:rsidRPr="006B2A56">
              <w:t>NHDD</w:t>
            </w:r>
          </w:p>
        </w:tc>
        <w:tc>
          <w:tcPr>
            <w:tcW w:w="2410" w:type="dxa"/>
            <w:shd w:val="clear" w:color="auto" w:fill="auto"/>
          </w:tcPr>
          <w:p w14:paraId="6F54743D" w14:textId="77777777" w:rsidR="00AF6B60" w:rsidRPr="006B2A56" w:rsidRDefault="00AF6B60" w:rsidP="00F134EA">
            <w:pPr>
              <w:spacing w:after="0" w:line="240" w:lineRule="auto"/>
            </w:pPr>
            <w:r w:rsidRPr="006B2A56">
              <w:t>Version</w:t>
            </w:r>
          </w:p>
        </w:tc>
        <w:tc>
          <w:tcPr>
            <w:tcW w:w="2024" w:type="dxa"/>
            <w:shd w:val="clear" w:color="auto" w:fill="auto"/>
          </w:tcPr>
          <w:p w14:paraId="15FC478B" w14:textId="77777777" w:rsidR="00AF6B60" w:rsidRPr="006B2A56" w:rsidRDefault="00AF6B60" w:rsidP="00AB3609">
            <w:pPr>
              <w:numPr>
                <w:ilvl w:val="0"/>
                <w:numId w:val="13"/>
              </w:numPr>
              <w:tabs>
                <w:tab w:val="left" w:pos="390"/>
              </w:tabs>
              <w:spacing w:after="0" w:line="240" w:lineRule="auto"/>
              <w:ind w:left="0" w:firstLine="0"/>
            </w:pPr>
            <w:r w:rsidRPr="006B2A56">
              <w:t>January 2009</w:t>
            </w:r>
          </w:p>
          <w:p w14:paraId="0A514AE2" w14:textId="77777777" w:rsidR="00AF6B60" w:rsidRPr="006B2A56" w:rsidRDefault="00AF6B60" w:rsidP="00AB3609">
            <w:pPr>
              <w:numPr>
                <w:ilvl w:val="0"/>
                <w:numId w:val="13"/>
              </w:numPr>
              <w:tabs>
                <w:tab w:val="left" w:pos="390"/>
              </w:tabs>
              <w:spacing w:after="0" w:line="240" w:lineRule="auto"/>
              <w:ind w:left="0" w:firstLine="0"/>
            </w:pPr>
            <w:r w:rsidRPr="006B2A56">
              <w:t>January 2015</w:t>
            </w:r>
          </w:p>
          <w:p w14:paraId="7F3CEAD7" w14:textId="77777777" w:rsidR="00AF6B60" w:rsidRDefault="00AF6B60" w:rsidP="00AB3609">
            <w:pPr>
              <w:numPr>
                <w:ilvl w:val="0"/>
                <w:numId w:val="13"/>
              </w:numPr>
              <w:tabs>
                <w:tab w:val="left" w:pos="390"/>
              </w:tabs>
              <w:spacing w:after="0" w:line="240" w:lineRule="auto"/>
              <w:ind w:left="0" w:firstLine="0"/>
            </w:pPr>
            <w:r w:rsidRPr="006B2A56">
              <w:t>January 2020</w:t>
            </w:r>
          </w:p>
          <w:p w14:paraId="6BB27A18" w14:textId="24EBFC52" w:rsidR="00AF6B60" w:rsidRPr="006B2A56" w:rsidRDefault="00AF6B60" w:rsidP="00AB3609">
            <w:pPr>
              <w:numPr>
                <w:ilvl w:val="0"/>
                <w:numId w:val="13"/>
              </w:numPr>
              <w:tabs>
                <w:tab w:val="left" w:pos="390"/>
              </w:tabs>
              <w:spacing w:after="0" w:line="240" w:lineRule="auto"/>
              <w:ind w:left="0" w:firstLine="0"/>
            </w:pPr>
            <w:r w:rsidRPr="00AF6B60">
              <w:rPr>
                <w:highlight w:val="green"/>
              </w:rPr>
              <w:t>July 2022</w:t>
            </w:r>
          </w:p>
        </w:tc>
      </w:tr>
      <w:tr w:rsidR="00AF6B60" w:rsidRPr="006B2A56" w14:paraId="2CE33F01" w14:textId="77777777" w:rsidTr="00F134EA">
        <w:tc>
          <w:tcPr>
            <w:tcW w:w="9356" w:type="dxa"/>
            <w:gridSpan w:val="4"/>
            <w:shd w:val="clear" w:color="auto" w:fill="auto"/>
          </w:tcPr>
          <w:p w14:paraId="3D9F8CA4" w14:textId="77777777" w:rsidR="00AF6B60" w:rsidRPr="006B2A56" w:rsidRDefault="00AF6B60" w:rsidP="00F134EA">
            <w:pPr>
              <w:spacing w:after="0" w:line="240" w:lineRule="auto"/>
            </w:pPr>
          </w:p>
        </w:tc>
      </w:tr>
      <w:tr w:rsidR="00AF6B60" w:rsidRPr="006B2A56" w14:paraId="17E52D12" w14:textId="77777777" w:rsidTr="00F134EA">
        <w:tc>
          <w:tcPr>
            <w:tcW w:w="2127" w:type="dxa"/>
            <w:shd w:val="clear" w:color="auto" w:fill="auto"/>
          </w:tcPr>
          <w:p w14:paraId="24F4D185" w14:textId="77777777" w:rsidR="00AF6B60" w:rsidRPr="006B2A56" w:rsidRDefault="00AF6B60" w:rsidP="00F134EA">
            <w:pPr>
              <w:spacing w:after="0" w:line="240" w:lineRule="auto"/>
            </w:pPr>
            <w:r w:rsidRPr="006B2A56">
              <w:t>Codeset source</w:t>
            </w:r>
          </w:p>
        </w:tc>
        <w:tc>
          <w:tcPr>
            <w:tcW w:w="2795" w:type="dxa"/>
            <w:shd w:val="clear" w:color="auto" w:fill="auto"/>
          </w:tcPr>
          <w:p w14:paraId="5F16B215" w14:textId="619C2217" w:rsidR="00AF6B60" w:rsidRPr="006B2A56" w:rsidRDefault="00AF6B60" w:rsidP="00F134EA">
            <w:pPr>
              <w:spacing w:after="0" w:line="240" w:lineRule="auto"/>
            </w:pPr>
            <w:r w:rsidRPr="006B2A56">
              <w:t>ICD-10-AM 1</w:t>
            </w:r>
            <w:r w:rsidRPr="00AF6B60">
              <w:rPr>
                <w:strike/>
              </w:rPr>
              <w:t>1</w:t>
            </w:r>
            <w:r w:rsidRPr="00AF6B60">
              <w:rPr>
                <w:highlight w:val="green"/>
              </w:rPr>
              <w:t>2</w:t>
            </w:r>
            <w:r w:rsidRPr="006B2A56">
              <w:rPr>
                <w:vertAlign w:val="superscript"/>
              </w:rPr>
              <w:t>th</w:t>
            </w:r>
            <w:r w:rsidRPr="006B2A56">
              <w:t xml:space="preserve"> edition plus CCOPMM additions</w:t>
            </w:r>
          </w:p>
        </w:tc>
        <w:tc>
          <w:tcPr>
            <w:tcW w:w="2410" w:type="dxa"/>
            <w:shd w:val="clear" w:color="auto" w:fill="auto"/>
          </w:tcPr>
          <w:p w14:paraId="04BAB682" w14:textId="77777777" w:rsidR="00AF6B60" w:rsidRPr="006B2A56" w:rsidRDefault="00AF6B60" w:rsidP="00F134EA">
            <w:pPr>
              <w:spacing w:after="0" w:line="240" w:lineRule="auto"/>
            </w:pPr>
            <w:r w:rsidRPr="006B2A56">
              <w:t>Collection start date</w:t>
            </w:r>
          </w:p>
        </w:tc>
        <w:tc>
          <w:tcPr>
            <w:tcW w:w="2024" w:type="dxa"/>
            <w:shd w:val="clear" w:color="auto" w:fill="auto"/>
          </w:tcPr>
          <w:p w14:paraId="09F85BC4" w14:textId="77777777" w:rsidR="00AF6B60" w:rsidRPr="006B2A56" w:rsidRDefault="00AF6B60" w:rsidP="00F134EA">
            <w:pPr>
              <w:spacing w:after="0" w:line="240" w:lineRule="auto"/>
            </w:pPr>
            <w:r w:rsidRPr="006B2A56">
              <w:t>2009</w:t>
            </w:r>
          </w:p>
        </w:tc>
      </w:tr>
    </w:tbl>
    <w:p w14:paraId="1DAE8576" w14:textId="77777777" w:rsidR="00C066D7" w:rsidRDefault="00AF6B60" w:rsidP="00B85E5C">
      <w:pPr>
        <w:pStyle w:val="Heading2"/>
      </w:pPr>
      <w:r w:rsidRPr="006B2A56">
        <w:br w:type="page"/>
      </w:r>
      <w:bookmarkStart w:id="21" w:name="_Toc69248467"/>
    </w:p>
    <w:p w14:paraId="4608BBE1" w14:textId="77777777" w:rsidR="00B85E5C" w:rsidRPr="002576CF" w:rsidRDefault="00B85E5C" w:rsidP="00B85E5C">
      <w:pPr>
        <w:pStyle w:val="Heading2"/>
        <w:rPr>
          <w:highlight w:val="green"/>
        </w:rPr>
      </w:pPr>
      <w:bookmarkStart w:id="22" w:name="_Toc69248468"/>
      <w:bookmarkStart w:id="23" w:name="_Toc104370470"/>
      <w:bookmarkEnd w:id="21"/>
      <w:r w:rsidRPr="002576CF">
        <w:rPr>
          <w:highlight w:val="green"/>
        </w:rPr>
        <w:lastRenderedPageBreak/>
        <w:t>Events of labour and birth – ICD-10-AM code</w:t>
      </w:r>
      <w:bookmarkEnd w:id="22"/>
      <w:bookmarkEnd w:id="23"/>
    </w:p>
    <w:p w14:paraId="581C6EF8" w14:textId="77777777" w:rsidR="00B85E5C" w:rsidRPr="002576CF" w:rsidRDefault="00B85E5C" w:rsidP="00B85E5C">
      <w:pPr>
        <w:pStyle w:val="Heading2"/>
        <w:rPr>
          <w:highlight w:val="green"/>
        </w:rPr>
      </w:pPr>
      <w:bookmarkStart w:id="24" w:name="_Toc69248469"/>
      <w:bookmarkStart w:id="25" w:name="_Toc104370471"/>
      <w:r w:rsidRPr="002576CF">
        <w:rPr>
          <w:highlight w:val="green"/>
        </w:rPr>
        <w:t>Indication for induction (main reason) – ICD-10-AM code</w:t>
      </w:r>
      <w:bookmarkEnd w:id="24"/>
      <w:bookmarkEnd w:id="25"/>
    </w:p>
    <w:p w14:paraId="361DBED7" w14:textId="0FD35466" w:rsidR="00B85E5C" w:rsidRPr="002576CF" w:rsidRDefault="00B85E5C" w:rsidP="00B85E5C">
      <w:pPr>
        <w:pStyle w:val="Heading2"/>
        <w:rPr>
          <w:highlight w:val="green"/>
        </w:rPr>
      </w:pPr>
      <w:bookmarkStart w:id="26" w:name="_Toc69248472"/>
      <w:bookmarkStart w:id="27" w:name="_Toc104370472"/>
      <w:r w:rsidRPr="002576CF">
        <w:rPr>
          <w:highlight w:val="green"/>
        </w:rPr>
        <w:t xml:space="preserve">Indication for operative delivery </w:t>
      </w:r>
      <w:r w:rsidR="002576CF" w:rsidRPr="002576CF">
        <w:rPr>
          <w:highlight w:val="green"/>
        </w:rPr>
        <w:t xml:space="preserve">(main reason) </w:t>
      </w:r>
      <w:r w:rsidRPr="002576CF">
        <w:rPr>
          <w:highlight w:val="green"/>
        </w:rPr>
        <w:t>– ICD-10-AM code</w:t>
      </w:r>
      <w:bookmarkEnd w:id="26"/>
      <w:bookmarkEnd w:id="27"/>
    </w:p>
    <w:p w14:paraId="60E44301" w14:textId="77777777" w:rsidR="00B85E5C" w:rsidRPr="002576CF" w:rsidRDefault="00B85E5C" w:rsidP="00B85E5C">
      <w:pPr>
        <w:pStyle w:val="Heading2"/>
        <w:rPr>
          <w:highlight w:val="green"/>
        </w:rPr>
      </w:pPr>
      <w:bookmarkStart w:id="28" w:name="_Toc69248474"/>
      <w:bookmarkStart w:id="29" w:name="_Toc104370473"/>
      <w:r w:rsidRPr="002576CF">
        <w:rPr>
          <w:highlight w:val="green"/>
        </w:rPr>
        <w:t>Maternal medical conditions – ICD-10-AM code</w:t>
      </w:r>
      <w:bookmarkEnd w:id="28"/>
      <w:bookmarkEnd w:id="29"/>
    </w:p>
    <w:p w14:paraId="7690A89D" w14:textId="77777777" w:rsidR="00B85E5C" w:rsidRPr="002576CF" w:rsidRDefault="00B85E5C" w:rsidP="00B85E5C">
      <w:pPr>
        <w:pStyle w:val="Heading2"/>
        <w:rPr>
          <w:highlight w:val="green"/>
        </w:rPr>
      </w:pPr>
      <w:bookmarkStart w:id="30" w:name="_Toc69248476"/>
      <w:bookmarkStart w:id="31" w:name="_Toc104370474"/>
      <w:r w:rsidRPr="002576CF">
        <w:rPr>
          <w:highlight w:val="green"/>
        </w:rPr>
        <w:t>Obstetric complications – ICD-10-AM code</w:t>
      </w:r>
      <w:bookmarkEnd w:id="30"/>
      <w:bookmarkEnd w:id="31"/>
    </w:p>
    <w:p w14:paraId="1EF84939" w14:textId="77777777" w:rsidR="00B85E5C" w:rsidRDefault="00B85E5C" w:rsidP="00B85E5C">
      <w:pPr>
        <w:pStyle w:val="Heading2"/>
      </w:pPr>
      <w:bookmarkStart w:id="32" w:name="_Toc69248478"/>
      <w:bookmarkStart w:id="33" w:name="_Toc104370475"/>
      <w:r w:rsidRPr="002576CF">
        <w:rPr>
          <w:highlight w:val="green"/>
        </w:rPr>
        <w:t>Postpartum complications – ICD-10-AM code</w:t>
      </w:r>
      <w:bookmarkEnd w:id="32"/>
      <w:bookmarkEnd w:id="33"/>
    </w:p>
    <w:p w14:paraId="0FFC0C58" w14:textId="3374AEC6" w:rsidR="008450F0" w:rsidRDefault="00C066D7" w:rsidP="00B85E5C">
      <w:pPr>
        <w:pStyle w:val="Body"/>
      </w:pPr>
      <w:r>
        <w:t xml:space="preserve">The following codes are used to </w:t>
      </w:r>
      <w:r w:rsidRPr="008450F0">
        <w:rPr>
          <w:b/>
          <w:bCs/>
        </w:rPr>
        <w:t>report COVID19-related conditions</w:t>
      </w:r>
      <w:r>
        <w:rPr>
          <w:b/>
          <w:bCs/>
        </w:rPr>
        <w:t>.</w:t>
      </w:r>
      <w:r>
        <w:t xml:space="preserve"> Some of these have changed in </w:t>
      </w:r>
      <w:r w:rsidR="00B666CB" w:rsidRPr="00C066D7">
        <w:rPr>
          <w:highlight w:val="green"/>
        </w:rPr>
        <w:t>12</w:t>
      </w:r>
      <w:r w:rsidR="00B666CB" w:rsidRPr="00C066D7">
        <w:rPr>
          <w:highlight w:val="green"/>
          <w:vertAlign w:val="superscript"/>
        </w:rPr>
        <w:t>th</w:t>
      </w:r>
      <w:r w:rsidR="00B666CB">
        <w:t xml:space="preserve"> </w:t>
      </w:r>
      <w:r w:rsidR="008450F0">
        <w:t xml:space="preserve">edition </w:t>
      </w:r>
      <w:r w:rsidR="00B85E5C">
        <w:t>ICD-10-AM</w:t>
      </w:r>
      <w:r w:rsidR="008450F0">
        <w:t xml:space="preserve">. </w:t>
      </w:r>
    </w:p>
    <w:p w14:paraId="361DCF19" w14:textId="22A4C2AE" w:rsidR="00B85E5C" w:rsidRDefault="008450F0" w:rsidP="00B85E5C">
      <w:pPr>
        <w:pStyle w:val="Body"/>
      </w:pPr>
      <w:r>
        <w:t xml:space="preserve">These codes can be reported </w:t>
      </w:r>
      <w:r w:rsidR="00B85E5C">
        <w:t>in the data items above</w:t>
      </w:r>
      <w:r w:rsidR="00C066D7">
        <w:t xml:space="preserve"> </w:t>
      </w:r>
      <w:r w:rsidR="006C6C3D">
        <w:t xml:space="preserve">where </w:t>
      </w:r>
      <w:r w:rsidR="00B85E5C" w:rsidRPr="008450F0">
        <w:rPr>
          <w:b/>
          <w:bCs/>
        </w:rPr>
        <w:t>relevant during the pregnancy/</w:t>
      </w:r>
      <w:r w:rsidR="00CF0725">
        <w:rPr>
          <w:b/>
          <w:bCs/>
        </w:rPr>
        <w:t xml:space="preserve"> </w:t>
      </w:r>
      <w:r w:rsidR="00B85E5C" w:rsidRPr="008450F0">
        <w:rPr>
          <w:b/>
          <w:bCs/>
        </w:rPr>
        <w:t>delivery/</w:t>
      </w:r>
      <w:r w:rsidR="00CF0725">
        <w:rPr>
          <w:b/>
          <w:bCs/>
        </w:rPr>
        <w:t xml:space="preserve"> </w:t>
      </w:r>
      <w:r w:rsidR="00B85E5C" w:rsidRPr="008450F0">
        <w:rPr>
          <w:b/>
          <w:bCs/>
        </w:rPr>
        <w:t>postpartum period</w:t>
      </w:r>
      <w:r w:rsidR="00327BE4">
        <w:t xml:space="preserve">, and </w:t>
      </w:r>
      <w:r w:rsidR="006C6C3D">
        <w:t xml:space="preserve">are </w:t>
      </w:r>
      <w:r w:rsidR="00327BE4" w:rsidRPr="008450F0">
        <w:rPr>
          <w:b/>
          <w:bCs/>
        </w:rPr>
        <w:t>not limited to</w:t>
      </w:r>
      <w:r w:rsidR="006C6C3D">
        <w:rPr>
          <w:b/>
          <w:bCs/>
        </w:rPr>
        <w:t xml:space="preserve"> whether the woman was COVID19</w:t>
      </w:r>
      <w:r w:rsidR="00327BE4" w:rsidRPr="008450F0">
        <w:rPr>
          <w:b/>
          <w:bCs/>
        </w:rPr>
        <w:t xml:space="preserve"> </w:t>
      </w:r>
      <w:r w:rsidR="006C6C3D">
        <w:rPr>
          <w:b/>
          <w:bCs/>
        </w:rPr>
        <w:t xml:space="preserve">positive during </w:t>
      </w:r>
      <w:r w:rsidR="00327BE4" w:rsidRPr="008450F0">
        <w:rPr>
          <w:b/>
          <w:bCs/>
        </w:rPr>
        <w:t>the birth episode</w:t>
      </w:r>
      <w:r w:rsidR="00B85E5C">
        <w:t>:</w:t>
      </w:r>
    </w:p>
    <w:p w14:paraId="6D9E7894" w14:textId="77777777" w:rsidR="008450F0" w:rsidRDefault="00B85E5C" w:rsidP="00B85E5C">
      <w:pPr>
        <w:pStyle w:val="Body"/>
        <w:ind w:left="720" w:hanging="720"/>
        <w:rPr>
          <w:b/>
          <w:bCs/>
        </w:rPr>
      </w:pPr>
      <w:r w:rsidRPr="008450F0">
        <w:rPr>
          <w:b/>
          <w:bCs/>
        </w:rPr>
        <w:t>U071</w:t>
      </w:r>
      <w:r w:rsidR="008450F0">
        <w:rPr>
          <w:b/>
          <w:bCs/>
          <w:highlight w:val="green"/>
        </w:rPr>
        <w:t>1</w:t>
      </w:r>
      <w:r w:rsidRPr="00573D5A">
        <w:rPr>
          <w:b/>
          <w:bCs/>
          <w:highlight w:val="green"/>
        </w:rPr>
        <w:tab/>
      </w:r>
      <w:r w:rsidRPr="008450F0">
        <w:rPr>
          <w:b/>
          <w:bCs/>
        </w:rPr>
        <w:t>COVID19 confirmed diagnosis</w:t>
      </w:r>
      <w:r w:rsidR="008450F0">
        <w:rPr>
          <w:b/>
          <w:bCs/>
        </w:rPr>
        <w:t xml:space="preserve"> </w:t>
      </w:r>
      <w:r w:rsidR="008450F0" w:rsidRPr="008450F0">
        <w:rPr>
          <w:b/>
          <w:bCs/>
          <w:highlight w:val="green"/>
        </w:rPr>
        <w:t>– asymptomatic</w:t>
      </w:r>
      <w:r w:rsidR="008450F0">
        <w:rPr>
          <w:b/>
          <w:bCs/>
        </w:rPr>
        <w:t xml:space="preserve"> </w:t>
      </w:r>
    </w:p>
    <w:p w14:paraId="42E8C3AD" w14:textId="4D8EBBF5" w:rsidR="008450F0" w:rsidRDefault="008450F0" w:rsidP="008450F0">
      <w:pPr>
        <w:pStyle w:val="Body"/>
        <w:ind w:left="720" w:hanging="720"/>
        <w:rPr>
          <w:b/>
          <w:bCs/>
        </w:rPr>
      </w:pPr>
      <w:r w:rsidRPr="008450F0">
        <w:rPr>
          <w:b/>
          <w:bCs/>
        </w:rPr>
        <w:t>U071</w:t>
      </w:r>
      <w:r>
        <w:rPr>
          <w:b/>
          <w:bCs/>
          <w:highlight w:val="green"/>
        </w:rPr>
        <w:t>2</w:t>
      </w:r>
      <w:r w:rsidRPr="00573D5A">
        <w:rPr>
          <w:b/>
          <w:bCs/>
          <w:highlight w:val="green"/>
        </w:rPr>
        <w:tab/>
      </w:r>
      <w:r w:rsidRPr="008450F0">
        <w:rPr>
          <w:b/>
          <w:bCs/>
        </w:rPr>
        <w:t>COVID19 confirmed diagnosis</w:t>
      </w:r>
      <w:r>
        <w:rPr>
          <w:b/>
          <w:bCs/>
        </w:rPr>
        <w:t xml:space="preserve"> </w:t>
      </w:r>
      <w:r w:rsidRPr="008450F0">
        <w:rPr>
          <w:b/>
          <w:bCs/>
          <w:highlight w:val="green"/>
        </w:rPr>
        <w:t>– symptomatic</w:t>
      </w:r>
      <w:r>
        <w:rPr>
          <w:b/>
          <w:bCs/>
        </w:rPr>
        <w:t xml:space="preserve"> </w:t>
      </w:r>
    </w:p>
    <w:p w14:paraId="309EBF2F" w14:textId="25CD53F2" w:rsidR="00B85E5C" w:rsidRDefault="00CF0725" w:rsidP="00B85E5C">
      <w:pPr>
        <w:pStyle w:val="Body"/>
        <w:ind w:left="720" w:hanging="720"/>
      </w:pPr>
      <w:r>
        <w:tab/>
      </w:r>
      <w:r w:rsidR="00B85E5C">
        <w:t xml:space="preserve">- report when the woman had laboratory confirmed COVID19 </w:t>
      </w:r>
      <w:r w:rsidR="00B85E5C" w:rsidRPr="008450F0">
        <w:rPr>
          <w:b/>
          <w:bCs/>
        </w:rPr>
        <w:t>during the current pregnancy</w:t>
      </w:r>
    </w:p>
    <w:p w14:paraId="55194464" w14:textId="1F4177C2" w:rsidR="00B85E5C" w:rsidRDefault="00B85E5C" w:rsidP="00B85E5C">
      <w:pPr>
        <w:pStyle w:val="Body"/>
        <w:ind w:left="720" w:hanging="720"/>
        <w:rPr>
          <w:b/>
          <w:bCs/>
        </w:rPr>
      </w:pPr>
      <w:r w:rsidRPr="008450F0">
        <w:rPr>
          <w:b/>
          <w:bCs/>
        </w:rPr>
        <w:t>U073</w:t>
      </w:r>
      <w:r w:rsidRPr="008450F0">
        <w:rPr>
          <w:b/>
          <w:bCs/>
        </w:rPr>
        <w:tab/>
        <w:t>Personal history of COVID19 diagnosis</w:t>
      </w:r>
      <w:r>
        <w:br/>
        <w:t xml:space="preserve">- report when the woman was diagnosed with COVID19 </w:t>
      </w:r>
      <w:r w:rsidRPr="008450F0">
        <w:rPr>
          <w:b/>
          <w:bCs/>
        </w:rPr>
        <w:t>prior to the current pregnancy</w:t>
      </w:r>
    </w:p>
    <w:p w14:paraId="2D9C140F" w14:textId="0518E7BF" w:rsidR="006C6C3D" w:rsidRPr="006C6C3D" w:rsidRDefault="006C6C3D" w:rsidP="00B85E5C">
      <w:pPr>
        <w:pStyle w:val="Body"/>
        <w:ind w:left="720" w:hanging="720"/>
      </w:pPr>
      <w:r w:rsidRPr="006C6C3D">
        <w:rPr>
          <w:b/>
          <w:bCs/>
          <w:highlight w:val="green"/>
        </w:rPr>
        <w:t>UO74</w:t>
      </w:r>
      <w:r w:rsidRPr="006C6C3D">
        <w:rPr>
          <w:b/>
          <w:bCs/>
          <w:highlight w:val="green"/>
        </w:rPr>
        <w:tab/>
        <w:t>Post COVID-19 condition</w:t>
      </w:r>
      <w:r w:rsidRPr="006C6C3D">
        <w:rPr>
          <w:b/>
          <w:bCs/>
          <w:highlight w:val="green"/>
        </w:rPr>
        <w:br/>
      </w:r>
      <w:r w:rsidRPr="006C6C3D">
        <w:rPr>
          <w:highlight w:val="green"/>
        </w:rPr>
        <w:t xml:space="preserve">- report when the woman was diagnosed with a post COVID19 condition </w:t>
      </w:r>
      <w:r w:rsidRPr="006C6C3D">
        <w:rPr>
          <w:b/>
          <w:bCs/>
          <w:highlight w:val="green"/>
        </w:rPr>
        <w:t>during the current pregnancy</w:t>
      </w:r>
    </w:p>
    <w:p w14:paraId="456193C2" w14:textId="1FB18A09" w:rsidR="00B85E5C" w:rsidRDefault="00B85E5C" w:rsidP="00B85E5C">
      <w:pPr>
        <w:pStyle w:val="Body"/>
        <w:ind w:left="720" w:hanging="720"/>
      </w:pPr>
      <w:r w:rsidRPr="008450F0">
        <w:rPr>
          <w:b/>
          <w:bCs/>
        </w:rPr>
        <w:t>U077</w:t>
      </w:r>
      <w:r w:rsidR="008450F0">
        <w:rPr>
          <w:b/>
          <w:bCs/>
          <w:highlight w:val="green"/>
        </w:rPr>
        <w:t>0</w:t>
      </w:r>
      <w:r w:rsidRPr="00573D5A">
        <w:rPr>
          <w:b/>
          <w:bCs/>
          <w:highlight w:val="green"/>
        </w:rPr>
        <w:tab/>
      </w:r>
      <w:r w:rsidRPr="008450F0">
        <w:rPr>
          <w:b/>
          <w:bCs/>
        </w:rPr>
        <w:t>COVID19 vaccine causing adverse effects in therapeutic use</w:t>
      </w:r>
      <w:r>
        <w:br/>
        <w:t xml:space="preserve">- report when an </w:t>
      </w:r>
      <w:r w:rsidRPr="008450F0">
        <w:rPr>
          <w:b/>
          <w:bCs/>
        </w:rPr>
        <w:t>adverse effect attributable to a COVID19 vaccine</w:t>
      </w:r>
      <w:r>
        <w:t xml:space="preserve"> occurs </w:t>
      </w:r>
      <w:r w:rsidRPr="008450F0">
        <w:rPr>
          <w:b/>
          <w:bCs/>
        </w:rPr>
        <w:t>during the current pregnancy</w:t>
      </w:r>
    </w:p>
    <w:p w14:paraId="4B6E54BD" w14:textId="2A9F191C" w:rsidR="00B85E5C" w:rsidRDefault="00B85E5C" w:rsidP="00B85E5C">
      <w:pPr>
        <w:pStyle w:val="Body"/>
      </w:pPr>
      <w:r>
        <w:t xml:space="preserve">These ICD-10-AM codes </w:t>
      </w:r>
      <w:r w:rsidR="006C6C3D">
        <w:t xml:space="preserve">can be </w:t>
      </w:r>
      <w:r>
        <w:t>report</w:t>
      </w:r>
      <w:r w:rsidR="006C6C3D">
        <w:t>ed</w:t>
      </w:r>
      <w:r>
        <w:t xml:space="preserve"> in the above data items specified to report ICD-10-AM codes. They can also be used in the above data items specified to report free text. </w:t>
      </w:r>
    </w:p>
    <w:p w14:paraId="62B5B9A3" w14:textId="1D894B1F" w:rsidR="00B85E5C" w:rsidRPr="008450F0" w:rsidRDefault="00B85E5C" w:rsidP="00B85E5C">
      <w:pPr>
        <w:pStyle w:val="Body"/>
        <w:rPr>
          <w:b/>
          <w:bCs/>
        </w:rPr>
      </w:pPr>
      <w:r w:rsidRPr="006C6C3D">
        <w:rPr>
          <w:b/>
          <w:bCs/>
          <w:highlight w:val="green"/>
        </w:rPr>
        <w:t xml:space="preserve">A copy of the </w:t>
      </w:r>
      <w:r w:rsidR="00327BE4" w:rsidRPr="006C6C3D">
        <w:rPr>
          <w:b/>
          <w:bCs/>
          <w:highlight w:val="green"/>
        </w:rPr>
        <w:t>12</w:t>
      </w:r>
      <w:r w:rsidR="00327BE4" w:rsidRPr="006C6C3D">
        <w:rPr>
          <w:b/>
          <w:bCs/>
          <w:highlight w:val="green"/>
          <w:vertAlign w:val="superscript"/>
        </w:rPr>
        <w:t>th</w:t>
      </w:r>
      <w:r w:rsidR="00327BE4" w:rsidRPr="006C6C3D">
        <w:rPr>
          <w:b/>
          <w:bCs/>
          <w:highlight w:val="green"/>
        </w:rPr>
        <w:t xml:space="preserve"> edition</w:t>
      </w:r>
      <w:r w:rsidRPr="006C6C3D">
        <w:rPr>
          <w:b/>
          <w:bCs/>
          <w:highlight w:val="green"/>
        </w:rPr>
        <w:t xml:space="preserve"> VPDC ICD Library File including these new codes is available on request by email to the </w:t>
      </w:r>
      <w:hyperlink r:id="rId23" w:history="1">
        <w:r w:rsidRPr="006C6C3D">
          <w:rPr>
            <w:rStyle w:val="Hyperlink"/>
            <w:b/>
            <w:bCs/>
            <w:highlight w:val="green"/>
          </w:rPr>
          <w:t>HDSS HelpDesk</w:t>
        </w:r>
      </w:hyperlink>
      <w:r w:rsidRPr="006C6C3D">
        <w:rPr>
          <w:b/>
          <w:bCs/>
          <w:highlight w:val="green"/>
        </w:rPr>
        <w:t xml:space="preserve"> &lt;</w:t>
      </w:r>
      <w:r w:rsidRPr="006C6C3D">
        <w:rPr>
          <w:b/>
          <w:bCs/>
          <w:szCs w:val="21"/>
          <w:highlight w:val="green"/>
        </w:rPr>
        <w:t>HDSS.Helpdesk@health.vic.gov.au</w:t>
      </w:r>
      <w:r w:rsidRPr="006C6C3D">
        <w:rPr>
          <w:b/>
          <w:bCs/>
          <w:highlight w:val="green"/>
        </w:rPr>
        <w:t>&gt;</w:t>
      </w:r>
      <w:r w:rsidRPr="008450F0">
        <w:rPr>
          <w:b/>
          <w:bCs/>
        </w:rPr>
        <w:t xml:space="preserve"> </w:t>
      </w:r>
    </w:p>
    <w:p w14:paraId="08FFF68C" w14:textId="34930E6E" w:rsidR="006C6C3D" w:rsidRDefault="006C6C3D">
      <w:pPr>
        <w:spacing w:after="0" w:line="240" w:lineRule="auto"/>
      </w:pPr>
      <w:r>
        <w:br w:type="page"/>
      </w:r>
    </w:p>
    <w:p w14:paraId="7A5BE2FF" w14:textId="77777777" w:rsidR="00044E97" w:rsidRPr="00044E97" w:rsidRDefault="00044E97" w:rsidP="009F2C9B">
      <w:pPr>
        <w:pStyle w:val="Heading1"/>
      </w:pPr>
      <w:bookmarkStart w:id="34" w:name="_Toc91843498"/>
      <w:bookmarkStart w:id="35" w:name="_Toc104370476"/>
      <w:bookmarkEnd w:id="15"/>
      <w:bookmarkEnd w:id="16"/>
      <w:bookmarkEnd w:id="17"/>
      <w:bookmarkEnd w:id="18"/>
      <w:bookmarkEnd w:id="19"/>
      <w:bookmarkEnd w:id="20"/>
      <w:r w:rsidRPr="00044E97">
        <w:lastRenderedPageBreak/>
        <w:t>Section 4 Business rules</w:t>
      </w:r>
      <w:bookmarkEnd w:id="34"/>
      <w:bookmarkEnd w:id="35"/>
    </w:p>
    <w:p w14:paraId="227500C0" w14:textId="6B86C192" w:rsidR="00C7749A" w:rsidRDefault="009A07E8" w:rsidP="00C7749A">
      <w:pPr>
        <w:pStyle w:val="Heading2"/>
      </w:pPr>
      <w:bookmarkStart w:id="36" w:name="_Toc104370477"/>
      <w:bookmarkStart w:id="37" w:name="_Toc77103110"/>
      <w:bookmarkStart w:id="38" w:name="_Toc91843502"/>
      <w:bookmarkStart w:id="39" w:name="_Hlk90938370"/>
      <w:r>
        <w:t xml:space="preserve">### </w:t>
      </w:r>
      <w:r w:rsidR="00C7749A">
        <w:t>Date of birth – baby and Version identifier valid combinations [‘Warning’ error]</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3969"/>
      </w:tblGrid>
      <w:tr w:rsidR="00C7749A" w14:paraId="18D5715F" w14:textId="77777777" w:rsidTr="00C7749A">
        <w:tc>
          <w:tcPr>
            <w:tcW w:w="2689" w:type="dxa"/>
            <w:shd w:val="clear" w:color="auto" w:fill="auto"/>
          </w:tcPr>
          <w:p w14:paraId="12357E02" w14:textId="77777777" w:rsidR="00C7749A" w:rsidRPr="00C7749A" w:rsidRDefault="00C7749A" w:rsidP="00F134EA">
            <w:pPr>
              <w:spacing w:before="120"/>
              <w:rPr>
                <w:b/>
                <w:bCs/>
              </w:rPr>
            </w:pPr>
            <w:r w:rsidRPr="00C7749A">
              <w:rPr>
                <w:b/>
                <w:bCs/>
              </w:rPr>
              <w:t>Where Version identifier in the Header record is:</w:t>
            </w:r>
          </w:p>
        </w:tc>
        <w:tc>
          <w:tcPr>
            <w:tcW w:w="2693" w:type="dxa"/>
            <w:shd w:val="clear" w:color="auto" w:fill="auto"/>
          </w:tcPr>
          <w:p w14:paraId="292FDDBB" w14:textId="77777777" w:rsidR="00C7749A" w:rsidRPr="00C7749A" w:rsidRDefault="00C7749A" w:rsidP="00F134EA">
            <w:pPr>
              <w:spacing w:before="120"/>
              <w:rPr>
                <w:b/>
                <w:bCs/>
              </w:rPr>
            </w:pPr>
            <w:r w:rsidRPr="00C7749A">
              <w:rPr>
                <w:b/>
                <w:bCs/>
              </w:rPr>
              <w:t>the Version identifier in the Episode record must be:</w:t>
            </w:r>
          </w:p>
        </w:tc>
        <w:tc>
          <w:tcPr>
            <w:tcW w:w="3969" w:type="dxa"/>
            <w:shd w:val="clear" w:color="auto" w:fill="auto"/>
          </w:tcPr>
          <w:p w14:paraId="2C5A21F5" w14:textId="77777777" w:rsidR="00C7749A" w:rsidRPr="00C7749A" w:rsidRDefault="00C7749A" w:rsidP="00F134EA">
            <w:pPr>
              <w:spacing w:before="120"/>
              <w:rPr>
                <w:b/>
                <w:bCs/>
              </w:rPr>
            </w:pPr>
            <w:r w:rsidRPr="00C7749A">
              <w:rPr>
                <w:b/>
                <w:bCs/>
              </w:rPr>
              <w:t>And Date of birth – baby must be in the range specified for the Version identifier (both dates inclusive):</w:t>
            </w:r>
          </w:p>
        </w:tc>
      </w:tr>
      <w:tr w:rsidR="00C7749A" w14:paraId="62FF53D2" w14:textId="77777777" w:rsidTr="00C7749A">
        <w:tc>
          <w:tcPr>
            <w:tcW w:w="2689" w:type="dxa"/>
            <w:shd w:val="clear" w:color="auto" w:fill="auto"/>
          </w:tcPr>
          <w:p w14:paraId="4F6B1A49" w14:textId="77777777" w:rsidR="00C7749A" w:rsidRDefault="00C7749A" w:rsidP="00C7749A">
            <w:pPr>
              <w:spacing w:before="120"/>
              <w:jc w:val="center"/>
            </w:pPr>
            <w:r>
              <w:t>2020</w:t>
            </w:r>
          </w:p>
        </w:tc>
        <w:tc>
          <w:tcPr>
            <w:tcW w:w="2693" w:type="dxa"/>
            <w:shd w:val="clear" w:color="auto" w:fill="auto"/>
          </w:tcPr>
          <w:p w14:paraId="5ADC3504" w14:textId="77777777" w:rsidR="00C7749A" w:rsidRDefault="00C7749A" w:rsidP="00C7749A">
            <w:pPr>
              <w:spacing w:before="120"/>
              <w:jc w:val="center"/>
            </w:pPr>
            <w:r>
              <w:t>2020</w:t>
            </w:r>
          </w:p>
        </w:tc>
        <w:tc>
          <w:tcPr>
            <w:tcW w:w="3969" w:type="dxa"/>
            <w:shd w:val="clear" w:color="auto" w:fill="auto"/>
          </w:tcPr>
          <w:p w14:paraId="4CEAB3C4" w14:textId="77777777" w:rsidR="00C7749A" w:rsidRDefault="00C7749A" w:rsidP="00C7749A">
            <w:pPr>
              <w:spacing w:before="120"/>
              <w:jc w:val="center"/>
            </w:pPr>
            <w:r>
              <w:t>1.1.2020 to 30.6.2021</w:t>
            </w:r>
          </w:p>
        </w:tc>
      </w:tr>
      <w:tr w:rsidR="00C7749A" w14:paraId="0A3CFDF8" w14:textId="77777777" w:rsidTr="00C7749A">
        <w:tc>
          <w:tcPr>
            <w:tcW w:w="2689" w:type="dxa"/>
            <w:shd w:val="clear" w:color="auto" w:fill="auto"/>
          </w:tcPr>
          <w:p w14:paraId="783F9586" w14:textId="77777777" w:rsidR="00C7749A" w:rsidRDefault="00C7749A" w:rsidP="00C7749A">
            <w:pPr>
              <w:spacing w:before="120"/>
              <w:jc w:val="center"/>
            </w:pPr>
            <w:r>
              <w:t>2021</w:t>
            </w:r>
          </w:p>
        </w:tc>
        <w:tc>
          <w:tcPr>
            <w:tcW w:w="2693" w:type="dxa"/>
            <w:shd w:val="clear" w:color="auto" w:fill="auto"/>
          </w:tcPr>
          <w:p w14:paraId="3A5827A5" w14:textId="77777777" w:rsidR="00C7749A" w:rsidRDefault="00C7749A" w:rsidP="00C7749A">
            <w:pPr>
              <w:spacing w:before="120"/>
              <w:jc w:val="center"/>
            </w:pPr>
            <w:r>
              <w:t>2021</w:t>
            </w:r>
          </w:p>
        </w:tc>
        <w:tc>
          <w:tcPr>
            <w:tcW w:w="3969" w:type="dxa"/>
            <w:shd w:val="clear" w:color="auto" w:fill="auto"/>
          </w:tcPr>
          <w:p w14:paraId="62F5C96B" w14:textId="77777777" w:rsidR="00C7749A" w:rsidRDefault="00C7749A" w:rsidP="00C7749A">
            <w:pPr>
              <w:spacing w:before="120"/>
              <w:jc w:val="center"/>
            </w:pPr>
            <w:r>
              <w:t>1.7.2021 to 30.6.2022</w:t>
            </w:r>
          </w:p>
        </w:tc>
      </w:tr>
      <w:tr w:rsidR="00C7749A" w14:paraId="0FA190E1" w14:textId="77777777" w:rsidTr="00C7749A">
        <w:tc>
          <w:tcPr>
            <w:tcW w:w="2689" w:type="dxa"/>
            <w:shd w:val="clear" w:color="auto" w:fill="auto"/>
          </w:tcPr>
          <w:p w14:paraId="60E7BC61" w14:textId="77777777" w:rsidR="00C7749A" w:rsidRDefault="00C7749A" w:rsidP="00C7749A">
            <w:pPr>
              <w:spacing w:before="120"/>
              <w:jc w:val="center"/>
            </w:pPr>
            <w:r>
              <w:t>2022</w:t>
            </w:r>
          </w:p>
        </w:tc>
        <w:tc>
          <w:tcPr>
            <w:tcW w:w="2693" w:type="dxa"/>
            <w:shd w:val="clear" w:color="auto" w:fill="auto"/>
          </w:tcPr>
          <w:p w14:paraId="3532B24D" w14:textId="77777777" w:rsidR="00C7749A" w:rsidRDefault="00C7749A" w:rsidP="00C7749A">
            <w:pPr>
              <w:spacing w:before="120"/>
              <w:jc w:val="center"/>
            </w:pPr>
            <w:r>
              <w:t>2022</w:t>
            </w:r>
          </w:p>
        </w:tc>
        <w:tc>
          <w:tcPr>
            <w:tcW w:w="3969" w:type="dxa"/>
            <w:shd w:val="clear" w:color="auto" w:fill="auto"/>
          </w:tcPr>
          <w:p w14:paraId="74EEFE60" w14:textId="77777777" w:rsidR="00C7749A" w:rsidRDefault="00C7749A" w:rsidP="00C7749A">
            <w:pPr>
              <w:spacing w:before="120"/>
              <w:jc w:val="center"/>
            </w:pPr>
            <w:r>
              <w:t>1.7.2022 to 30.6.2023</w:t>
            </w:r>
          </w:p>
        </w:tc>
      </w:tr>
    </w:tbl>
    <w:p w14:paraId="443FBFB6" w14:textId="77777777" w:rsidR="00C7749A" w:rsidRPr="005764E2" w:rsidRDefault="00C7749A" w:rsidP="00C7749A">
      <w:pPr>
        <w:spacing w:before="120" w:line="360" w:lineRule="auto"/>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7550F1B2" w14:textId="3D553226" w:rsidR="00D92465" w:rsidRDefault="00D92465" w:rsidP="00D92465">
      <w:pPr>
        <w:rPr>
          <w:rFonts w:eastAsia="Times"/>
          <w:lang w:eastAsia="en-AU"/>
        </w:rPr>
      </w:pPr>
    </w:p>
    <w:p w14:paraId="4BC62E94" w14:textId="77777777" w:rsidR="00C7749A" w:rsidRDefault="00C7749A" w:rsidP="00C7749A">
      <w:pPr>
        <w:pStyle w:val="Heading2"/>
      </w:pPr>
      <w:bookmarkStart w:id="40" w:name="_Toc31278723"/>
      <w:bookmarkStart w:id="41" w:name="_Toc77103134"/>
      <w:bookmarkStart w:id="42" w:name="_Toc104370478"/>
      <w:r w:rsidRPr="00C7749A">
        <w:rPr>
          <w:highlight w:val="green"/>
        </w:rPr>
        <w:t>Labour type ‘Failed induction’ conditionally mandatory data items</w:t>
      </w:r>
      <w:bookmarkEnd w:id="40"/>
      <w:bookmarkEnd w:id="41"/>
      <w:bookmarkEnd w:id="4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1"/>
      </w:tblGrid>
      <w:tr w:rsidR="00C7749A" w:rsidRPr="008B21AD" w14:paraId="0E95CB69" w14:textId="77777777" w:rsidTr="00C7749A">
        <w:tc>
          <w:tcPr>
            <w:tcW w:w="2830" w:type="dxa"/>
            <w:shd w:val="clear" w:color="auto" w:fill="auto"/>
          </w:tcPr>
          <w:p w14:paraId="0CF5C95F" w14:textId="77777777" w:rsidR="00C7749A" w:rsidRPr="00C30B4C" w:rsidRDefault="00C7749A" w:rsidP="00F134EA">
            <w:pPr>
              <w:keepLines/>
              <w:spacing w:before="60" w:after="60"/>
              <w:rPr>
                <w:b/>
                <w:szCs w:val="21"/>
              </w:rPr>
            </w:pPr>
            <w:r w:rsidRPr="00C30B4C">
              <w:rPr>
                <w:b/>
                <w:szCs w:val="21"/>
              </w:rPr>
              <w:t>If Labour type is:</w:t>
            </w:r>
          </w:p>
        </w:tc>
        <w:tc>
          <w:tcPr>
            <w:tcW w:w="6521" w:type="dxa"/>
            <w:shd w:val="clear" w:color="auto" w:fill="auto"/>
          </w:tcPr>
          <w:p w14:paraId="4C3B00AD" w14:textId="77777777" w:rsidR="00C7749A" w:rsidRPr="00C30B4C" w:rsidRDefault="00C7749A" w:rsidP="00F134EA">
            <w:pPr>
              <w:keepLines/>
              <w:spacing w:before="60" w:after="60"/>
              <w:rPr>
                <w:b/>
                <w:szCs w:val="21"/>
              </w:rPr>
            </w:pPr>
            <w:r w:rsidRPr="00C30B4C">
              <w:rPr>
                <w:b/>
                <w:szCs w:val="21"/>
              </w:rPr>
              <w:t>Failed induction must be reported by submitting the following ICD-10-AM code/s in at least one of the following data items:</w:t>
            </w:r>
          </w:p>
        </w:tc>
      </w:tr>
      <w:tr w:rsidR="00C7749A" w:rsidRPr="008B21AD" w14:paraId="1B2154A2" w14:textId="77777777" w:rsidTr="00C7749A">
        <w:tc>
          <w:tcPr>
            <w:tcW w:w="2830" w:type="dxa"/>
            <w:shd w:val="clear" w:color="auto" w:fill="auto"/>
          </w:tcPr>
          <w:p w14:paraId="23A93777" w14:textId="7E76C05B" w:rsidR="00C7749A" w:rsidRPr="00C30B4C" w:rsidRDefault="00C7749A" w:rsidP="00F134EA">
            <w:pPr>
              <w:keepLines/>
              <w:spacing w:before="60" w:after="60"/>
              <w:rPr>
                <w:szCs w:val="21"/>
              </w:rPr>
            </w:pPr>
            <w:r w:rsidRPr="00C30B4C">
              <w:rPr>
                <w:szCs w:val="21"/>
              </w:rPr>
              <w:t xml:space="preserve">2 Induced medical </w:t>
            </w:r>
            <w:r w:rsidRPr="00C30B4C">
              <w:rPr>
                <w:b/>
                <w:szCs w:val="21"/>
              </w:rPr>
              <w:t>and</w:t>
            </w:r>
            <w:r w:rsidRPr="00C30B4C">
              <w:rPr>
                <w:szCs w:val="21"/>
              </w:rPr>
              <w:t xml:space="preserve"> </w:t>
            </w:r>
            <w:r>
              <w:rPr>
                <w:szCs w:val="21"/>
              </w:rPr>
              <w:br/>
            </w:r>
            <w:r w:rsidRPr="00C30B4C">
              <w:rPr>
                <w:szCs w:val="21"/>
              </w:rPr>
              <w:t>5 No labour</w:t>
            </w:r>
          </w:p>
        </w:tc>
        <w:tc>
          <w:tcPr>
            <w:tcW w:w="6521" w:type="dxa"/>
            <w:shd w:val="clear" w:color="auto" w:fill="auto"/>
          </w:tcPr>
          <w:p w14:paraId="2DC18C2D" w14:textId="3BB41E23" w:rsidR="00C7749A" w:rsidRPr="00C30B4C" w:rsidRDefault="00C7749A" w:rsidP="00F134EA">
            <w:pPr>
              <w:keepLines/>
              <w:spacing w:before="60" w:after="60"/>
              <w:rPr>
                <w:rFonts w:cs="Arial"/>
                <w:szCs w:val="21"/>
              </w:rPr>
            </w:pPr>
            <w:r w:rsidRPr="00C30B4C">
              <w:rPr>
                <w:rFonts w:cs="Arial"/>
                <w:szCs w:val="21"/>
              </w:rPr>
              <w:t xml:space="preserve">Code O610 Failed medical induction of labour – in </w:t>
            </w:r>
            <w:r>
              <w:rPr>
                <w:rFonts w:cs="Arial"/>
                <w:szCs w:val="21"/>
              </w:rPr>
              <w:br/>
            </w:r>
            <w:r w:rsidRPr="00C30B4C">
              <w:rPr>
                <w:rFonts w:cs="Arial"/>
                <w:szCs w:val="21"/>
              </w:rPr>
              <w:t xml:space="preserve">Indications for operative delivery – free text </w:t>
            </w:r>
            <w:r w:rsidRPr="00C30B4C">
              <w:rPr>
                <w:rFonts w:cs="Arial"/>
                <w:b/>
                <w:szCs w:val="21"/>
              </w:rPr>
              <w:t>or</w:t>
            </w:r>
          </w:p>
          <w:p w14:paraId="752B59CF" w14:textId="77777777" w:rsidR="00C7749A" w:rsidRPr="00C30B4C" w:rsidRDefault="00C7749A" w:rsidP="00F134EA">
            <w:pPr>
              <w:keepLines/>
              <w:spacing w:before="60" w:after="60"/>
              <w:rPr>
                <w:rFonts w:cs="Arial"/>
                <w:szCs w:val="21"/>
              </w:rPr>
            </w:pPr>
            <w:r w:rsidRPr="00C30B4C">
              <w:rPr>
                <w:rFonts w:cs="Arial"/>
                <w:szCs w:val="21"/>
              </w:rPr>
              <w:t>Indications for operative delivery – ICD-10-AM code</w:t>
            </w:r>
          </w:p>
        </w:tc>
      </w:tr>
      <w:tr w:rsidR="00C7749A" w:rsidRPr="008B21AD" w14:paraId="5921D94D" w14:textId="77777777" w:rsidTr="00C7749A">
        <w:tc>
          <w:tcPr>
            <w:tcW w:w="2830" w:type="dxa"/>
            <w:shd w:val="clear" w:color="auto" w:fill="auto"/>
          </w:tcPr>
          <w:p w14:paraId="68B89D32" w14:textId="2CBE5912" w:rsidR="00C7749A" w:rsidRPr="00C30B4C" w:rsidRDefault="00C7749A" w:rsidP="00F134EA">
            <w:pPr>
              <w:keepLines/>
              <w:spacing w:before="60" w:after="60"/>
              <w:rPr>
                <w:szCs w:val="21"/>
              </w:rPr>
            </w:pPr>
            <w:r w:rsidRPr="00C30B4C">
              <w:rPr>
                <w:szCs w:val="21"/>
              </w:rPr>
              <w:t xml:space="preserve">3 Induced surgical </w:t>
            </w:r>
            <w:r w:rsidRPr="00C30B4C">
              <w:rPr>
                <w:b/>
                <w:szCs w:val="21"/>
              </w:rPr>
              <w:t>and</w:t>
            </w:r>
            <w:r w:rsidRPr="00C30B4C">
              <w:rPr>
                <w:szCs w:val="21"/>
              </w:rPr>
              <w:t xml:space="preserve"> </w:t>
            </w:r>
            <w:r>
              <w:rPr>
                <w:szCs w:val="21"/>
              </w:rPr>
              <w:br/>
            </w:r>
            <w:r w:rsidRPr="00C30B4C">
              <w:rPr>
                <w:szCs w:val="21"/>
              </w:rPr>
              <w:t>5 No labour</w:t>
            </w:r>
          </w:p>
        </w:tc>
        <w:tc>
          <w:tcPr>
            <w:tcW w:w="6521" w:type="dxa"/>
            <w:shd w:val="clear" w:color="auto" w:fill="auto"/>
          </w:tcPr>
          <w:p w14:paraId="21F22BC8" w14:textId="05681736" w:rsidR="00C7749A" w:rsidRPr="00C30B4C" w:rsidRDefault="00C7749A" w:rsidP="00F134EA">
            <w:pPr>
              <w:keepLines/>
              <w:spacing w:before="60" w:after="60"/>
              <w:rPr>
                <w:rFonts w:cs="Arial"/>
                <w:szCs w:val="21"/>
              </w:rPr>
            </w:pPr>
            <w:r w:rsidRPr="00C30B4C">
              <w:rPr>
                <w:rFonts w:cs="Arial"/>
                <w:szCs w:val="21"/>
              </w:rPr>
              <w:t xml:space="preserve">Code O611 Failed surgical induction of labour </w:t>
            </w:r>
            <w:r>
              <w:rPr>
                <w:rFonts w:cs="Arial"/>
                <w:szCs w:val="21"/>
              </w:rPr>
              <w:t>–</w:t>
            </w:r>
            <w:r w:rsidRPr="00C30B4C">
              <w:rPr>
                <w:rFonts w:cs="Arial"/>
                <w:szCs w:val="21"/>
              </w:rPr>
              <w:t xml:space="preserve"> in</w:t>
            </w:r>
            <w:r>
              <w:rPr>
                <w:rFonts w:cs="Arial"/>
                <w:szCs w:val="21"/>
              </w:rPr>
              <w:br/>
            </w:r>
            <w:r w:rsidRPr="00C30B4C">
              <w:rPr>
                <w:rFonts w:cs="Arial"/>
                <w:szCs w:val="21"/>
              </w:rPr>
              <w:t xml:space="preserve">Indications for operative delivery – free text </w:t>
            </w:r>
            <w:r w:rsidRPr="00C30B4C">
              <w:rPr>
                <w:rFonts w:cs="Arial"/>
                <w:b/>
                <w:szCs w:val="21"/>
              </w:rPr>
              <w:t>or</w:t>
            </w:r>
          </w:p>
          <w:p w14:paraId="628666C7" w14:textId="77777777" w:rsidR="00C7749A" w:rsidRPr="00C30B4C" w:rsidRDefault="00C7749A" w:rsidP="00F134EA">
            <w:pPr>
              <w:keepLines/>
              <w:spacing w:before="60" w:after="60"/>
              <w:rPr>
                <w:szCs w:val="21"/>
              </w:rPr>
            </w:pPr>
            <w:r w:rsidRPr="00C30B4C">
              <w:rPr>
                <w:rFonts w:cs="Arial"/>
                <w:szCs w:val="21"/>
              </w:rPr>
              <w:t>Indications for operative delivery – ICD-10-AM code</w:t>
            </w:r>
          </w:p>
        </w:tc>
      </w:tr>
      <w:tr w:rsidR="00C7749A" w:rsidRPr="008B21AD" w14:paraId="415F0309" w14:textId="77777777" w:rsidTr="00C7749A">
        <w:tc>
          <w:tcPr>
            <w:tcW w:w="2830" w:type="dxa"/>
            <w:shd w:val="clear" w:color="auto" w:fill="auto"/>
          </w:tcPr>
          <w:p w14:paraId="029A463A" w14:textId="4F309238" w:rsidR="00C7749A" w:rsidRPr="00C30B4C" w:rsidRDefault="00C7749A" w:rsidP="00F134EA">
            <w:pPr>
              <w:keepLines/>
              <w:spacing w:before="60" w:after="60"/>
              <w:rPr>
                <w:szCs w:val="21"/>
              </w:rPr>
            </w:pPr>
            <w:r w:rsidRPr="00C30B4C">
              <w:rPr>
                <w:szCs w:val="21"/>
              </w:rPr>
              <w:t xml:space="preserve">2 Induced medical </w:t>
            </w:r>
            <w:r w:rsidRPr="00C30B4C">
              <w:rPr>
                <w:b/>
                <w:szCs w:val="21"/>
              </w:rPr>
              <w:t>and</w:t>
            </w:r>
            <w:r w:rsidRPr="00C30B4C">
              <w:rPr>
                <w:szCs w:val="21"/>
              </w:rPr>
              <w:t xml:space="preserve"> </w:t>
            </w:r>
            <w:r>
              <w:rPr>
                <w:szCs w:val="21"/>
              </w:rPr>
              <w:br/>
            </w:r>
            <w:r w:rsidRPr="00C30B4C">
              <w:rPr>
                <w:szCs w:val="21"/>
              </w:rPr>
              <w:t xml:space="preserve">3 Induced surgical </w:t>
            </w:r>
            <w:r w:rsidRPr="00C30B4C">
              <w:rPr>
                <w:b/>
                <w:szCs w:val="21"/>
              </w:rPr>
              <w:t>and</w:t>
            </w:r>
            <w:r w:rsidRPr="00C30B4C">
              <w:rPr>
                <w:szCs w:val="21"/>
              </w:rPr>
              <w:t xml:space="preserve"> </w:t>
            </w:r>
            <w:r>
              <w:rPr>
                <w:szCs w:val="21"/>
              </w:rPr>
              <w:br/>
            </w:r>
            <w:r w:rsidRPr="00C30B4C">
              <w:rPr>
                <w:szCs w:val="21"/>
              </w:rPr>
              <w:t>5 No labour</w:t>
            </w:r>
          </w:p>
        </w:tc>
        <w:tc>
          <w:tcPr>
            <w:tcW w:w="6521" w:type="dxa"/>
            <w:shd w:val="clear" w:color="auto" w:fill="auto"/>
          </w:tcPr>
          <w:p w14:paraId="7384DE15" w14:textId="4F629F5E" w:rsidR="00C7749A" w:rsidRPr="00C30B4C" w:rsidRDefault="00C7749A" w:rsidP="00F134EA">
            <w:pPr>
              <w:keepLines/>
              <w:spacing w:before="60" w:after="60"/>
              <w:rPr>
                <w:rFonts w:cs="Arial"/>
                <w:szCs w:val="21"/>
              </w:rPr>
            </w:pPr>
            <w:r w:rsidRPr="00C30B4C">
              <w:rPr>
                <w:rFonts w:cs="Arial"/>
                <w:szCs w:val="21"/>
              </w:rPr>
              <w:t xml:space="preserve">Code O610 Failed medical induction of labour </w:t>
            </w:r>
            <w:r w:rsidRPr="00C7749A">
              <w:rPr>
                <w:rFonts w:cs="Arial"/>
                <w:b/>
                <w:bCs/>
                <w:szCs w:val="21"/>
              </w:rPr>
              <w:t>and</w:t>
            </w:r>
            <w:r w:rsidRPr="00C30B4C">
              <w:rPr>
                <w:rFonts w:cs="Arial"/>
                <w:szCs w:val="21"/>
              </w:rPr>
              <w:t xml:space="preserve"> </w:t>
            </w:r>
            <w:r>
              <w:rPr>
                <w:rFonts w:cs="Arial"/>
                <w:szCs w:val="21"/>
              </w:rPr>
              <w:br/>
            </w:r>
            <w:r w:rsidRPr="00C30B4C">
              <w:rPr>
                <w:rFonts w:cs="Arial"/>
                <w:szCs w:val="21"/>
              </w:rPr>
              <w:t xml:space="preserve">Code O611 Failed surgical induction of labour </w:t>
            </w:r>
            <w:r w:rsidRPr="00C7749A">
              <w:rPr>
                <w:rFonts w:cs="Arial"/>
                <w:b/>
                <w:bCs/>
                <w:szCs w:val="21"/>
                <w:highlight w:val="green"/>
              </w:rPr>
              <w:t>or</w:t>
            </w:r>
            <w:r w:rsidRPr="00C7749A">
              <w:rPr>
                <w:rFonts w:cs="Arial"/>
                <w:szCs w:val="21"/>
                <w:highlight w:val="green"/>
              </w:rPr>
              <w:br/>
              <w:t>Code O612 Failed medical and surgical induction of labour</w:t>
            </w:r>
            <w:r>
              <w:rPr>
                <w:rFonts w:cs="Arial"/>
                <w:szCs w:val="21"/>
              </w:rPr>
              <w:t xml:space="preserve"> – in </w:t>
            </w:r>
            <w:r w:rsidRPr="00C30B4C">
              <w:rPr>
                <w:rFonts w:cs="Arial"/>
                <w:szCs w:val="21"/>
              </w:rPr>
              <w:t xml:space="preserve">Indications for operative delivery – free text </w:t>
            </w:r>
            <w:r w:rsidRPr="00C30B4C">
              <w:rPr>
                <w:rFonts w:cs="Arial"/>
                <w:b/>
                <w:szCs w:val="21"/>
              </w:rPr>
              <w:t>or</w:t>
            </w:r>
          </w:p>
          <w:p w14:paraId="4B48C29E" w14:textId="77777777" w:rsidR="00C7749A" w:rsidRPr="00C30B4C" w:rsidRDefault="00C7749A" w:rsidP="00F134EA">
            <w:pPr>
              <w:keepLines/>
              <w:spacing w:before="60" w:after="60"/>
              <w:rPr>
                <w:szCs w:val="21"/>
              </w:rPr>
            </w:pPr>
            <w:r w:rsidRPr="00C30B4C">
              <w:rPr>
                <w:rFonts w:cs="Arial"/>
                <w:szCs w:val="21"/>
              </w:rPr>
              <w:t>Indications for operative delivery – ICD-10-AM code</w:t>
            </w:r>
          </w:p>
        </w:tc>
      </w:tr>
    </w:tbl>
    <w:p w14:paraId="0871B8A5" w14:textId="77777777" w:rsidR="00D92465" w:rsidRPr="00D92465" w:rsidRDefault="00D92465" w:rsidP="00D92465">
      <w:pPr>
        <w:rPr>
          <w:rFonts w:eastAsia="Times"/>
          <w:lang w:eastAsia="en-AU"/>
        </w:rPr>
      </w:pPr>
    </w:p>
    <w:p w14:paraId="593A6CC0" w14:textId="77777777" w:rsidR="009A07E8" w:rsidRDefault="009A07E8">
      <w:pPr>
        <w:spacing w:after="0" w:line="240" w:lineRule="auto"/>
        <w:rPr>
          <w:b/>
          <w:color w:val="53565A"/>
          <w:sz w:val="32"/>
          <w:szCs w:val="28"/>
        </w:rPr>
      </w:pPr>
      <w:bookmarkStart w:id="43" w:name="_Toc91843516"/>
      <w:bookmarkEnd w:id="37"/>
      <w:bookmarkEnd w:id="38"/>
      <w:r>
        <w:br w:type="page"/>
      </w:r>
    </w:p>
    <w:p w14:paraId="0277DB64" w14:textId="2D1351EB" w:rsidR="009A07E8" w:rsidRPr="002D326C" w:rsidRDefault="009A07E8" w:rsidP="009A07E8">
      <w:pPr>
        <w:pStyle w:val="Heading2"/>
      </w:pPr>
      <w:bookmarkStart w:id="44" w:name="_Toc104370479"/>
      <w:r w:rsidRPr="002D326C">
        <w:lastRenderedPageBreak/>
        <w:t>### Patient identifier – baby not reported</w:t>
      </w:r>
      <w:bookmarkEnd w:id="43"/>
      <w:bookmarkEnd w:id="44"/>
    </w:p>
    <w:tbl>
      <w:tblPr>
        <w:tblStyle w:val="TableGrid"/>
        <w:tblW w:w="0" w:type="auto"/>
        <w:tblLook w:val="04A0" w:firstRow="1" w:lastRow="0" w:firstColumn="1" w:lastColumn="0" w:noHBand="0" w:noVBand="1"/>
      </w:tblPr>
      <w:tblGrid>
        <w:gridCol w:w="3114"/>
        <w:gridCol w:w="2126"/>
        <w:gridCol w:w="4078"/>
      </w:tblGrid>
      <w:tr w:rsidR="009A07E8" w14:paraId="4B273F2D" w14:textId="77777777" w:rsidTr="00F134EA">
        <w:tc>
          <w:tcPr>
            <w:tcW w:w="3114" w:type="dxa"/>
          </w:tcPr>
          <w:p w14:paraId="4B284B17" w14:textId="77777777" w:rsidR="009A07E8" w:rsidRPr="002D326C" w:rsidRDefault="009A07E8" w:rsidP="00F134EA">
            <w:pPr>
              <w:pStyle w:val="Body"/>
              <w:rPr>
                <w:b/>
                <w:bCs/>
              </w:rPr>
            </w:pPr>
            <w:r w:rsidRPr="002D326C">
              <w:rPr>
                <w:b/>
                <w:bCs/>
              </w:rPr>
              <w:t>Where Birth status is:</w:t>
            </w:r>
          </w:p>
        </w:tc>
        <w:tc>
          <w:tcPr>
            <w:tcW w:w="2126" w:type="dxa"/>
          </w:tcPr>
          <w:p w14:paraId="63D5A14C" w14:textId="77777777" w:rsidR="009A07E8" w:rsidRPr="002D326C" w:rsidRDefault="009A07E8" w:rsidP="00F134EA">
            <w:pPr>
              <w:pStyle w:val="Body"/>
              <w:rPr>
                <w:b/>
                <w:bCs/>
              </w:rPr>
            </w:pPr>
            <w:r w:rsidRPr="002D326C">
              <w:rPr>
                <w:b/>
                <w:bCs/>
              </w:rPr>
              <w:t xml:space="preserve">And Patient identifier </w:t>
            </w:r>
            <w:r>
              <w:rPr>
                <w:b/>
                <w:bCs/>
              </w:rPr>
              <w:t>–</w:t>
            </w:r>
            <w:r w:rsidRPr="002D326C">
              <w:rPr>
                <w:b/>
                <w:bCs/>
              </w:rPr>
              <w:t xml:space="preserve"> baby</w:t>
            </w:r>
            <w:r>
              <w:rPr>
                <w:b/>
                <w:bCs/>
              </w:rPr>
              <w:t xml:space="preserve"> </w:t>
            </w:r>
          </w:p>
        </w:tc>
        <w:tc>
          <w:tcPr>
            <w:tcW w:w="4078" w:type="dxa"/>
          </w:tcPr>
          <w:p w14:paraId="1599DFB1" w14:textId="77777777" w:rsidR="009A07E8" w:rsidRPr="002D326C" w:rsidRDefault="009A07E8" w:rsidP="00F134EA">
            <w:pPr>
              <w:pStyle w:val="Body"/>
              <w:rPr>
                <w:b/>
                <w:bCs/>
              </w:rPr>
            </w:pPr>
            <w:r w:rsidRPr="002D326C">
              <w:rPr>
                <w:b/>
                <w:bCs/>
              </w:rPr>
              <w:t>Then</w:t>
            </w:r>
          </w:p>
        </w:tc>
      </w:tr>
      <w:tr w:rsidR="009A07E8" w14:paraId="3D4BE9F9" w14:textId="77777777" w:rsidTr="00F134EA">
        <w:tc>
          <w:tcPr>
            <w:tcW w:w="3114" w:type="dxa"/>
          </w:tcPr>
          <w:p w14:paraId="3BAF6BD4" w14:textId="77777777" w:rsidR="009A07E8" w:rsidRPr="002D326C" w:rsidRDefault="009A07E8" w:rsidP="00F134EA">
            <w:pPr>
              <w:pStyle w:val="Body"/>
            </w:pPr>
            <w:r w:rsidRPr="002D326C">
              <w:t>1 Live born</w:t>
            </w:r>
          </w:p>
        </w:tc>
        <w:tc>
          <w:tcPr>
            <w:tcW w:w="2126" w:type="dxa"/>
          </w:tcPr>
          <w:p w14:paraId="53C86C9F" w14:textId="77777777" w:rsidR="009A07E8" w:rsidRPr="002D326C" w:rsidRDefault="009A07E8" w:rsidP="00F134EA">
            <w:pPr>
              <w:pStyle w:val="Body"/>
            </w:pPr>
            <w:r>
              <w:t>Not reported (is blank)</w:t>
            </w:r>
          </w:p>
        </w:tc>
        <w:tc>
          <w:tcPr>
            <w:tcW w:w="4078" w:type="dxa"/>
          </w:tcPr>
          <w:p w14:paraId="4AFBE9FA" w14:textId="77777777" w:rsidR="009A07E8" w:rsidRPr="002D326C" w:rsidRDefault="009A07E8" w:rsidP="00F134EA">
            <w:pPr>
              <w:pStyle w:val="Body"/>
            </w:pPr>
            <w:r>
              <w:t>A Warning error message will be returned: Please report Patient identifier – baby for live births</w:t>
            </w:r>
          </w:p>
        </w:tc>
      </w:tr>
      <w:tr w:rsidR="009A07E8" w14:paraId="2BFF3DA8" w14:textId="77777777" w:rsidTr="00F134EA">
        <w:tc>
          <w:tcPr>
            <w:tcW w:w="3114" w:type="dxa"/>
          </w:tcPr>
          <w:p w14:paraId="245BBA3E" w14:textId="77777777" w:rsidR="009A07E8" w:rsidRDefault="009A07E8" w:rsidP="00F134EA">
            <w:pPr>
              <w:pStyle w:val="Body"/>
            </w:pPr>
            <w:r>
              <w:t xml:space="preserve">2 Stillborn (occurring before labour) </w:t>
            </w:r>
            <w:r>
              <w:rPr>
                <w:b/>
                <w:bCs/>
              </w:rPr>
              <w:t>or</w:t>
            </w:r>
          </w:p>
          <w:p w14:paraId="6E04AC9F" w14:textId="77777777" w:rsidR="009A07E8" w:rsidRDefault="009A07E8" w:rsidP="00F134EA">
            <w:pPr>
              <w:pStyle w:val="Body"/>
            </w:pPr>
            <w:r>
              <w:t xml:space="preserve">3 Stillborn (occurring during labour) </w:t>
            </w:r>
            <w:r>
              <w:rPr>
                <w:b/>
                <w:bCs/>
              </w:rPr>
              <w:t>or</w:t>
            </w:r>
          </w:p>
          <w:p w14:paraId="445F3045" w14:textId="77777777" w:rsidR="009A07E8" w:rsidRPr="00F84F4F" w:rsidRDefault="009A07E8" w:rsidP="00F134EA">
            <w:pPr>
              <w:pStyle w:val="Body"/>
            </w:pPr>
            <w:r>
              <w:t>4 Stillborn (timing of occurrence unknown)</w:t>
            </w:r>
          </w:p>
        </w:tc>
        <w:tc>
          <w:tcPr>
            <w:tcW w:w="2126" w:type="dxa"/>
          </w:tcPr>
          <w:p w14:paraId="07B838CC" w14:textId="36C14360" w:rsidR="009A07E8" w:rsidRDefault="009A07E8" w:rsidP="00F134EA">
            <w:pPr>
              <w:pStyle w:val="Body"/>
              <w:rPr>
                <w:strike/>
              </w:rPr>
            </w:pPr>
            <w:r w:rsidRPr="009A07E8">
              <w:rPr>
                <w:strike/>
              </w:rPr>
              <w:t>Should be blank (not required)</w:t>
            </w:r>
            <w:r>
              <w:rPr>
                <w:strike/>
              </w:rPr>
              <w:t xml:space="preserve"> </w:t>
            </w:r>
            <w:r w:rsidRPr="009A07E8">
              <w:rPr>
                <w:highlight w:val="cyan"/>
              </w:rPr>
              <w:t xml:space="preserve">Reported </w:t>
            </w:r>
            <w:r w:rsidRPr="009A07E8">
              <w:rPr>
                <w:b/>
                <w:bCs/>
                <w:highlight w:val="cyan"/>
              </w:rPr>
              <w:t xml:space="preserve">or </w:t>
            </w:r>
            <w:r w:rsidRPr="009A07E8">
              <w:rPr>
                <w:highlight w:val="cyan"/>
              </w:rPr>
              <w:t>Not reported (is blank)</w:t>
            </w:r>
          </w:p>
          <w:p w14:paraId="12CB9F1C" w14:textId="2BBCDEB3" w:rsidR="009A07E8" w:rsidRPr="009A07E8" w:rsidRDefault="009A07E8" w:rsidP="00F134EA">
            <w:pPr>
              <w:pStyle w:val="Body"/>
              <w:rPr>
                <w:strike/>
              </w:rPr>
            </w:pPr>
          </w:p>
        </w:tc>
        <w:tc>
          <w:tcPr>
            <w:tcW w:w="4078" w:type="dxa"/>
          </w:tcPr>
          <w:p w14:paraId="28A3B90F" w14:textId="497DB8F3" w:rsidR="009A07E8" w:rsidRPr="002D326C" w:rsidRDefault="009A07E8" w:rsidP="00F134EA">
            <w:pPr>
              <w:pStyle w:val="Body"/>
            </w:pPr>
            <w:r>
              <w:t xml:space="preserve">Reporting of Patient identifier – baby is </w:t>
            </w:r>
            <w:r w:rsidRPr="009A07E8">
              <w:rPr>
                <w:highlight w:val="cyan"/>
              </w:rPr>
              <w:t>not required for stillborns, so whether Patient identifier – baby is reported or not, the entry will be deemed</w:t>
            </w:r>
            <w:r>
              <w:t xml:space="preserve"> correct</w:t>
            </w:r>
          </w:p>
        </w:tc>
      </w:tr>
      <w:tr w:rsidR="009A07E8" w14:paraId="630B1B10" w14:textId="77777777" w:rsidTr="00F134EA">
        <w:tc>
          <w:tcPr>
            <w:tcW w:w="3114" w:type="dxa"/>
          </w:tcPr>
          <w:p w14:paraId="79ED1B43" w14:textId="77777777" w:rsidR="009A07E8" w:rsidRDefault="009A07E8" w:rsidP="00F134EA">
            <w:pPr>
              <w:pStyle w:val="Body"/>
            </w:pPr>
            <w:r>
              <w:t>9 Not stated/ inadequately described</w:t>
            </w:r>
          </w:p>
        </w:tc>
        <w:tc>
          <w:tcPr>
            <w:tcW w:w="2126" w:type="dxa"/>
          </w:tcPr>
          <w:p w14:paraId="183BD340" w14:textId="77777777" w:rsidR="009A07E8" w:rsidRPr="00F84F4F" w:rsidRDefault="009A07E8" w:rsidP="00F134EA">
            <w:pPr>
              <w:pStyle w:val="Body"/>
            </w:pPr>
            <w:r>
              <w:t xml:space="preserve">Reported </w:t>
            </w:r>
            <w:r>
              <w:rPr>
                <w:b/>
                <w:bCs/>
              </w:rPr>
              <w:t xml:space="preserve">or </w:t>
            </w:r>
            <w:r>
              <w:t>Not reported (is blank)</w:t>
            </w:r>
          </w:p>
        </w:tc>
        <w:tc>
          <w:tcPr>
            <w:tcW w:w="4078" w:type="dxa"/>
          </w:tcPr>
          <w:p w14:paraId="4A24061B" w14:textId="77777777" w:rsidR="009A07E8" w:rsidRDefault="009A07E8" w:rsidP="00F134EA">
            <w:pPr>
              <w:pStyle w:val="Body"/>
            </w:pPr>
            <w:r>
              <w:t xml:space="preserve">A Rejection error message will be returned: </w:t>
            </w:r>
            <w:r>
              <w:br/>
              <w:t xml:space="preserve">Please report a Birth status code that indicates the baby’s birth outcome </w:t>
            </w:r>
            <w:r>
              <w:br/>
              <w:t xml:space="preserve">[due to Birth status </w:t>
            </w:r>
            <w:r w:rsidRPr="009A07E8">
              <w:rPr>
                <w:strike/>
                <w:highlight w:val="cyan"/>
              </w:rPr>
              <w:t>not</w:t>
            </w:r>
            <w:r>
              <w:t xml:space="preserve"> being reported as code 9 Not stated/inadequately described]</w:t>
            </w:r>
          </w:p>
        </w:tc>
      </w:tr>
    </w:tbl>
    <w:p w14:paraId="271309CF" w14:textId="1C50582A" w:rsidR="00D92465" w:rsidRDefault="00D92465"/>
    <w:bookmarkEnd w:id="39"/>
    <w:p w14:paraId="076281B1" w14:textId="2DAFF3AD" w:rsidR="00C7749A" w:rsidRDefault="00C7749A">
      <w:pPr>
        <w:spacing w:after="0" w:line="240" w:lineRule="auto"/>
        <w:rPr>
          <w:rFonts w:eastAsia="Times"/>
          <w:highlight w:val="green"/>
        </w:rPr>
      </w:pPr>
      <w:r>
        <w:rPr>
          <w:rFonts w:eastAsia="Times"/>
          <w:highlight w:val="green"/>
        </w:rPr>
        <w:br w:type="page"/>
      </w:r>
    </w:p>
    <w:p w14:paraId="4CAF44CA" w14:textId="7D7D94D7" w:rsidR="00C7749A" w:rsidRPr="00044E97" w:rsidRDefault="00C7749A" w:rsidP="00C7749A">
      <w:pPr>
        <w:pStyle w:val="Heading1"/>
      </w:pPr>
      <w:bookmarkStart w:id="45" w:name="_Toc104370480"/>
      <w:r w:rsidRPr="00044E97">
        <w:lastRenderedPageBreak/>
        <w:t xml:space="preserve">Section </w:t>
      </w:r>
      <w:r>
        <w:t xml:space="preserve">5 </w:t>
      </w:r>
      <w:r w:rsidR="00CB73B8">
        <w:t>Compilation and submission</w:t>
      </w:r>
      <w:bookmarkEnd w:id="45"/>
    </w:p>
    <w:p w14:paraId="46463B15" w14:textId="77777777" w:rsidR="00CB73B8" w:rsidRPr="00D042F6" w:rsidRDefault="00CB73B8" w:rsidP="00CB73B8">
      <w:pPr>
        <w:pStyle w:val="Heading1"/>
      </w:pPr>
      <w:bookmarkStart w:id="46" w:name="_Toc32701479"/>
      <w:bookmarkStart w:id="47" w:name="_Toc77109692"/>
      <w:bookmarkStart w:id="48" w:name="_Toc104370481"/>
      <w:r w:rsidRPr="00D042F6">
        <w:t>Test transmissions</w:t>
      </w:r>
      <w:bookmarkEnd w:id="46"/>
      <w:bookmarkEnd w:id="47"/>
      <w:bookmarkEnd w:id="48"/>
    </w:p>
    <w:p w14:paraId="0F5570CB" w14:textId="77777777" w:rsidR="00CB73B8" w:rsidRPr="00CB73B8" w:rsidRDefault="00CB73B8" w:rsidP="00CB73B8">
      <w:pPr>
        <w:spacing w:line="276" w:lineRule="auto"/>
        <w:rPr>
          <w:rFonts w:cs="Arial"/>
          <w:szCs w:val="21"/>
        </w:rPr>
      </w:pPr>
      <w:r w:rsidRPr="00CB73B8">
        <w:rPr>
          <w:rFonts w:cs="Arial"/>
          <w:szCs w:val="21"/>
        </w:rPr>
        <w:t>Test transmissions are strongly recommended when the health service:</w:t>
      </w:r>
    </w:p>
    <w:p w14:paraId="5BD4DF41" w14:textId="77777777" w:rsidR="00CB73B8" w:rsidRPr="00CB73B8" w:rsidRDefault="00CB73B8" w:rsidP="00AB3609">
      <w:pPr>
        <w:pStyle w:val="ListParagraph"/>
        <w:numPr>
          <w:ilvl w:val="0"/>
          <w:numId w:val="14"/>
        </w:numPr>
        <w:spacing w:after="0" w:line="276" w:lineRule="auto"/>
        <w:ind w:left="284" w:hanging="284"/>
        <w:rPr>
          <w:rFonts w:ascii="Arial" w:hAnsi="Arial" w:cs="Arial"/>
          <w:color w:val="000000"/>
          <w:sz w:val="21"/>
          <w:szCs w:val="21"/>
        </w:rPr>
      </w:pPr>
      <w:r w:rsidRPr="00CB73B8">
        <w:rPr>
          <w:rFonts w:ascii="Arial" w:hAnsi="Arial" w:cs="Arial"/>
          <w:color w:val="000000"/>
          <w:sz w:val="21"/>
          <w:szCs w:val="21"/>
        </w:rPr>
        <w:t xml:space="preserve">changes the software vendor or system used to capture and report VPDC data </w:t>
      </w:r>
      <w:r w:rsidRPr="00CB73B8">
        <w:rPr>
          <w:rFonts w:ascii="Arial" w:hAnsi="Arial" w:cs="Arial"/>
          <w:b/>
          <w:color w:val="000000"/>
          <w:sz w:val="21"/>
          <w:szCs w:val="21"/>
        </w:rPr>
        <w:t>or</w:t>
      </w:r>
    </w:p>
    <w:p w14:paraId="1085B3B5" w14:textId="77777777" w:rsidR="00CB73B8" w:rsidRPr="00CB73B8" w:rsidRDefault="00CB73B8" w:rsidP="00AB3609">
      <w:pPr>
        <w:pStyle w:val="ListParagraph"/>
        <w:numPr>
          <w:ilvl w:val="0"/>
          <w:numId w:val="14"/>
        </w:numPr>
        <w:spacing w:after="0" w:line="276" w:lineRule="auto"/>
        <w:ind w:left="284" w:hanging="284"/>
        <w:rPr>
          <w:rFonts w:ascii="Arial" w:hAnsi="Arial" w:cs="Arial"/>
          <w:sz w:val="21"/>
          <w:szCs w:val="21"/>
        </w:rPr>
      </w:pPr>
      <w:r w:rsidRPr="00CB73B8">
        <w:rPr>
          <w:rFonts w:ascii="Arial" w:hAnsi="Arial" w:cs="Arial"/>
          <w:color w:val="000000"/>
          <w:sz w:val="21"/>
          <w:szCs w:val="21"/>
        </w:rPr>
        <w:t xml:space="preserve">makes changes within the existing VPDC reporting software that may alter the reporting process </w:t>
      </w:r>
      <w:r w:rsidRPr="00CB73B8">
        <w:rPr>
          <w:rFonts w:ascii="Arial" w:hAnsi="Arial" w:cs="Arial"/>
          <w:b/>
          <w:bCs/>
          <w:color w:val="000000"/>
          <w:sz w:val="21"/>
          <w:szCs w:val="21"/>
        </w:rPr>
        <w:t>or</w:t>
      </w:r>
    </w:p>
    <w:p w14:paraId="744BDA3A" w14:textId="77777777" w:rsidR="00CB73B8" w:rsidRPr="00CB73B8" w:rsidRDefault="00CB73B8" w:rsidP="00AB3609">
      <w:pPr>
        <w:pStyle w:val="ListParagraph"/>
        <w:numPr>
          <w:ilvl w:val="0"/>
          <w:numId w:val="14"/>
        </w:numPr>
        <w:spacing w:after="0" w:line="276" w:lineRule="auto"/>
        <w:ind w:left="284" w:hanging="284"/>
        <w:rPr>
          <w:rFonts w:ascii="Arial" w:hAnsi="Arial" w:cs="Arial"/>
          <w:sz w:val="21"/>
          <w:szCs w:val="21"/>
        </w:rPr>
      </w:pPr>
      <w:r w:rsidRPr="00CB73B8">
        <w:rPr>
          <w:rFonts w:ascii="Arial" w:hAnsi="Arial" w:cs="Arial"/>
          <w:color w:val="000000"/>
          <w:sz w:val="21"/>
          <w:szCs w:val="21"/>
        </w:rPr>
        <w:t xml:space="preserve">updates the software to accommodate </w:t>
      </w:r>
      <w:r w:rsidRPr="00CB73B8">
        <w:rPr>
          <w:rFonts w:ascii="Arial" w:hAnsi="Arial" w:cs="Arial"/>
          <w:sz w:val="21"/>
          <w:szCs w:val="21"/>
        </w:rPr>
        <w:t>annual revisions to VPDC reporting specifications</w:t>
      </w:r>
      <w:r w:rsidRPr="00CB73B8">
        <w:rPr>
          <w:rFonts w:ascii="Arial" w:hAnsi="Arial" w:cs="Arial"/>
          <w:color w:val="000000"/>
          <w:sz w:val="21"/>
          <w:szCs w:val="21"/>
        </w:rPr>
        <w:t>.</w:t>
      </w:r>
    </w:p>
    <w:p w14:paraId="1CFFDB1C" w14:textId="77777777" w:rsidR="00CB73B8" w:rsidRDefault="00CB73B8" w:rsidP="00CB73B8">
      <w:pPr>
        <w:pStyle w:val="Heading1"/>
      </w:pPr>
      <w:bookmarkStart w:id="49" w:name="_Toc104370482"/>
      <w:r w:rsidRPr="00CB73B8">
        <w:rPr>
          <w:highlight w:val="green"/>
        </w:rPr>
        <w:t>Steps for submitting test transmissions</w:t>
      </w:r>
      <w:bookmarkEnd w:id="49"/>
    </w:p>
    <w:p w14:paraId="1E85745A" w14:textId="77777777" w:rsidR="00CB73B8" w:rsidRPr="00CB73B8" w:rsidRDefault="00CB73B8" w:rsidP="00AB3609">
      <w:pPr>
        <w:pStyle w:val="ListParagraph"/>
        <w:numPr>
          <w:ilvl w:val="0"/>
          <w:numId w:val="15"/>
        </w:numPr>
        <w:spacing w:before="120" w:after="0" w:line="276" w:lineRule="auto"/>
        <w:rPr>
          <w:rFonts w:ascii="Arial" w:hAnsi="Arial" w:cs="Arial"/>
          <w:sz w:val="21"/>
          <w:szCs w:val="21"/>
          <w:highlight w:val="green"/>
        </w:rPr>
      </w:pPr>
      <w:r w:rsidRPr="00CB73B8">
        <w:rPr>
          <w:rFonts w:ascii="Arial" w:hAnsi="Arial" w:cs="Arial"/>
          <w:b/>
          <w:bCs/>
          <w:sz w:val="21"/>
          <w:szCs w:val="21"/>
          <w:highlight w:val="green"/>
        </w:rPr>
        <w:t xml:space="preserve">Contact the </w:t>
      </w:r>
      <w:hyperlink r:id="rId24" w:history="1">
        <w:r w:rsidRPr="00CB73B8">
          <w:rPr>
            <w:rStyle w:val="Hyperlink"/>
            <w:rFonts w:ascii="Arial" w:eastAsia="MS Gothic" w:hAnsi="Arial" w:cs="Arial"/>
            <w:b/>
            <w:sz w:val="21"/>
            <w:szCs w:val="21"/>
            <w:highlight w:val="green"/>
          </w:rPr>
          <w:t>HDSS Helpdesk</w:t>
        </w:r>
      </w:hyperlink>
      <w:r w:rsidRPr="00CB73B8">
        <w:rPr>
          <w:rFonts w:ascii="Arial" w:hAnsi="Arial" w:cs="Arial"/>
          <w:sz w:val="21"/>
          <w:szCs w:val="21"/>
          <w:highlight w:val="green"/>
        </w:rPr>
        <w:t xml:space="preserve"> &lt;hdss.helpdesk@health.vic.gov.au&gt; before submitting any test file: this applies to health services and/or software vendors wishing to submit a test file</w:t>
      </w:r>
    </w:p>
    <w:p w14:paraId="00CD567F" w14:textId="77777777" w:rsidR="00CB73B8" w:rsidRPr="00CB73B8" w:rsidRDefault="00CB73B8" w:rsidP="00AB3609">
      <w:pPr>
        <w:pStyle w:val="ListParagraph"/>
        <w:numPr>
          <w:ilvl w:val="0"/>
          <w:numId w:val="15"/>
        </w:numPr>
        <w:spacing w:line="276" w:lineRule="auto"/>
        <w:ind w:left="357" w:hanging="357"/>
        <w:rPr>
          <w:rFonts w:ascii="Arial" w:hAnsi="Arial" w:cs="Arial"/>
          <w:color w:val="000000"/>
          <w:sz w:val="21"/>
          <w:szCs w:val="21"/>
          <w:highlight w:val="green"/>
        </w:rPr>
      </w:pPr>
      <w:r w:rsidRPr="00CB73B8">
        <w:rPr>
          <w:rFonts w:ascii="Arial" w:hAnsi="Arial" w:cs="Arial"/>
          <w:b/>
          <w:bCs/>
          <w:sz w:val="21"/>
          <w:szCs w:val="21"/>
          <w:highlight w:val="green"/>
        </w:rPr>
        <w:t>Identify all test files</w:t>
      </w:r>
      <w:r w:rsidRPr="00CB73B8">
        <w:rPr>
          <w:rFonts w:ascii="Arial" w:hAnsi="Arial" w:cs="Arial"/>
          <w:sz w:val="21"/>
          <w:szCs w:val="21"/>
          <w:highlight w:val="green"/>
        </w:rPr>
        <w:t xml:space="preserve"> by including ‘</w:t>
      </w:r>
      <w:r w:rsidRPr="00CB73B8">
        <w:rPr>
          <w:rFonts w:ascii="Arial" w:hAnsi="Arial" w:cs="Arial"/>
          <w:b/>
          <w:bCs/>
          <w:sz w:val="21"/>
          <w:szCs w:val="21"/>
          <w:highlight w:val="green"/>
        </w:rPr>
        <w:t>_TEST</w:t>
      </w:r>
      <w:r w:rsidRPr="00CB73B8">
        <w:rPr>
          <w:rFonts w:ascii="Arial" w:hAnsi="Arial" w:cs="Arial"/>
          <w:sz w:val="21"/>
          <w:szCs w:val="21"/>
          <w:highlight w:val="green"/>
        </w:rPr>
        <w:t xml:space="preserve">’ at the </w:t>
      </w:r>
      <w:r w:rsidRPr="00CB73B8">
        <w:rPr>
          <w:rFonts w:ascii="Arial" w:hAnsi="Arial" w:cs="Arial"/>
          <w:b/>
          <w:bCs/>
          <w:sz w:val="21"/>
          <w:szCs w:val="21"/>
          <w:highlight w:val="green"/>
        </w:rPr>
        <w:t>end of the submission file name</w:t>
      </w:r>
      <w:r w:rsidRPr="00CB73B8">
        <w:rPr>
          <w:rFonts w:ascii="Arial" w:hAnsi="Arial" w:cs="Arial"/>
          <w:sz w:val="21"/>
          <w:szCs w:val="21"/>
          <w:highlight w:val="green"/>
        </w:rPr>
        <w:t xml:space="preserve">, as follows: </w:t>
      </w:r>
      <w:r w:rsidRPr="00CB73B8">
        <w:rPr>
          <w:rFonts w:ascii="Arial" w:hAnsi="Arial" w:cs="Arial"/>
          <w:color w:val="000000"/>
          <w:sz w:val="21"/>
          <w:szCs w:val="21"/>
          <w:highlight w:val="green"/>
        </w:rPr>
        <w:t>CCCC_NNNN_YYYYMMDDhhmm_TTTT_TEST.txt where</w:t>
      </w:r>
    </w:p>
    <w:p w14:paraId="607C09A5" w14:textId="77777777" w:rsidR="00CB73B8" w:rsidRPr="00CB73B8" w:rsidRDefault="00CB73B8" w:rsidP="00CB73B8">
      <w:pPr>
        <w:tabs>
          <w:tab w:val="left" w:pos="2694"/>
          <w:tab w:val="left" w:pos="3119"/>
        </w:tabs>
        <w:spacing w:line="240" w:lineRule="auto"/>
        <w:ind w:left="720"/>
        <w:rPr>
          <w:rFonts w:cs="Arial"/>
          <w:noProof/>
          <w:szCs w:val="21"/>
          <w:highlight w:val="green"/>
        </w:rPr>
      </w:pPr>
      <w:r w:rsidRPr="00CB73B8">
        <w:rPr>
          <w:rFonts w:cs="Arial"/>
          <w:noProof/>
          <w:szCs w:val="21"/>
          <w:highlight w:val="green"/>
        </w:rPr>
        <w:t>CCCC</w:t>
      </w:r>
      <w:r w:rsidRPr="00CB73B8">
        <w:rPr>
          <w:rFonts w:cs="Arial"/>
          <w:noProof/>
          <w:szCs w:val="21"/>
          <w:highlight w:val="green"/>
        </w:rPr>
        <w:tab/>
        <w:t>=</w:t>
      </w:r>
      <w:r w:rsidRPr="00CB73B8">
        <w:rPr>
          <w:rFonts w:cs="Arial"/>
          <w:noProof/>
          <w:szCs w:val="21"/>
          <w:highlight w:val="green"/>
        </w:rPr>
        <w:tab/>
        <w:t>Collection identifier (always VPDC)</w:t>
      </w:r>
    </w:p>
    <w:p w14:paraId="118AF209" w14:textId="77777777" w:rsidR="00CB73B8" w:rsidRPr="00CB73B8" w:rsidRDefault="00CB73B8" w:rsidP="00CB73B8">
      <w:pPr>
        <w:tabs>
          <w:tab w:val="left" w:pos="2694"/>
          <w:tab w:val="left" w:pos="3119"/>
        </w:tabs>
        <w:spacing w:line="240" w:lineRule="auto"/>
        <w:ind w:left="720"/>
        <w:rPr>
          <w:rFonts w:cs="Arial"/>
          <w:noProof/>
          <w:szCs w:val="21"/>
          <w:highlight w:val="green"/>
        </w:rPr>
      </w:pPr>
      <w:r w:rsidRPr="00CB73B8">
        <w:rPr>
          <w:rFonts w:cs="Arial"/>
          <w:noProof/>
          <w:szCs w:val="21"/>
          <w:highlight w:val="green"/>
        </w:rPr>
        <w:t>NNNN</w:t>
      </w:r>
      <w:r w:rsidRPr="00CB73B8">
        <w:rPr>
          <w:rFonts w:cs="Arial"/>
          <w:noProof/>
          <w:szCs w:val="21"/>
          <w:highlight w:val="green"/>
        </w:rPr>
        <w:tab/>
        <w:t>=</w:t>
      </w:r>
      <w:r w:rsidRPr="00CB73B8">
        <w:rPr>
          <w:rFonts w:cs="Arial"/>
          <w:noProof/>
          <w:szCs w:val="21"/>
          <w:highlight w:val="green"/>
        </w:rPr>
        <w:tab/>
        <w:t>Hospital code (agency identifier)</w:t>
      </w:r>
    </w:p>
    <w:p w14:paraId="1A740236" w14:textId="77777777" w:rsidR="00CB73B8" w:rsidRPr="00CB73B8" w:rsidRDefault="00CB73B8" w:rsidP="00CB73B8">
      <w:pPr>
        <w:tabs>
          <w:tab w:val="left" w:pos="2694"/>
          <w:tab w:val="left" w:pos="3119"/>
        </w:tabs>
        <w:spacing w:line="240" w:lineRule="auto"/>
        <w:ind w:left="720"/>
        <w:rPr>
          <w:rFonts w:cs="Arial"/>
          <w:noProof/>
          <w:szCs w:val="21"/>
          <w:highlight w:val="green"/>
        </w:rPr>
      </w:pPr>
      <w:r w:rsidRPr="00CB73B8">
        <w:rPr>
          <w:rFonts w:cs="Arial"/>
          <w:noProof/>
          <w:szCs w:val="21"/>
          <w:highlight w:val="green"/>
        </w:rPr>
        <w:t>YYYYMMDDhhmm</w:t>
      </w:r>
      <w:r w:rsidRPr="00CB73B8">
        <w:rPr>
          <w:rFonts w:cs="Arial"/>
          <w:noProof/>
          <w:szCs w:val="21"/>
          <w:highlight w:val="green"/>
        </w:rPr>
        <w:tab/>
        <w:t>=</w:t>
      </w:r>
      <w:r w:rsidRPr="00CB73B8">
        <w:rPr>
          <w:rFonts w:cs="Arial"/>
          <w:noProof/>
          <w:szCs w:val="21"/>
          <w:highlight w:val="green"/>
        </w:rPr>
        <w:tab/>
        <w:t>Data submission identifier</w:t>
      </w:r>
    </w:p>
    <w:p w14:paraId="6F859B45" w14:textId="77777777" w:rsidR="00CB73B8" w:rsidRPr="00CB73B8" w:rsidRDefault="00CB73B8" w:rsidP="00CB73B8">
      <w:pPr>
        <w:tabs>
          <w:tab w:val="left" w:pos="2694"/>
          <w:tab w:val="left" w:pos="3119"/>
        </w:tabs>
        <w:spacing w:line="240" w:lineRule="auto"/>
        <w:ind w:left="720"/>
        <w:rPr>
          <w:rFonts w:cs="Arial"/>
          <w:noProof/>
          <w:szCs w:val="21"/>
          <w:highlight w:val="green"/>
        </w:rPr>
      </w:pPr>
      <w:r w:rsidRPr="00CB73B8">
        <w:rPr>
          <w:rFonts w:cs="Arial"/>
          <w:noProof/>
          <w:szCs w:val="21"/>
          <w:highlight w:val="green"/>
        </w:rPr>
        <w:t>TTTT</w:t>
      </w:r>
      <w:r w:rsidRPr="00CB73B8">
        <w:rPr>
          <w:rFonts w:cs="Arial"/>
          <w:noProof/>
          <w:szCs w:val="21"/>
          <w:highlight w:val="green"/>
        </w:rPr>
        <w:tab/>
        <w:t>=</w:t>
      </w:r>
      <w:r w:rsidRPr="00CB73B8">
        <w:rPr>
          <w:rFonts w:cs="Arial"/>
          <w:noProof/>
          <w:szCs w:val="21"/>
          <w:highlight w:val="green"/>
        </w:rPr>
        <w:tab/>
        <w:t>Submission number</w:t>
      </w:r>
    </w:p>
    <w:p w14:paraId="73A2951B" w14:textId="77777777" w:rsidR="00CB73B8" w:rsidRPr="00CB73B8" w:rsidRDefault="00CB73B8" w:rsidP="00CB73B8">
      <w:pPr>
        <w:tabs>
          <w:tab w:val="left" w:pos="2694"/>
          <w:tab w:val="left" w:pos="3119"/>
        </w:tabs>
        <w:spacing w:line="240" w:lineRule="auto"/>
        <w:ind w:left="720"/>
        <w:rPr>
          <w:rFonts w:cs="Arial"/>
          <w:noProof/>
          <w:szCs w:val="21"/>
          <w:highlight w:val="green"/>
        </w:rPr>
      </w:pPr>
      <w:r w:rsidRPr="00CB73B8">
        <w:rPr>
          <w:rFonts w:cs="Arial"/>
          <w:noProof/>
          <w:szCs w:val="21"/>
          <w:highlight w:val="green"/>
        </w:rPr>
        <w:t>txt</w:t>
      </w:r>
      <w:r w:rsidRPr="00CB73B8">
        <w:rPr>
          <w:rFonts w:cs="Arial"/>
          <w:noProof/>
          <w:szCs w:val="21"/>
          <w:highlight w:val="green"/>
        </w:rPr>
        <w:tab/>
        <w:t>=</w:t>
      </w:r>
      <w:r w:rsidRPr="00CB73B8">
        <w:rPr>
          <w:rFonts w:cs="Arial"/>
          <w:noProof/>
          <w:szCs w:val="21"/>
          <w:highlight w:val="green"/>
        </w:rPr>
        <w:tab/>
        <w:t>Submission file extension (always .txt)</w:t>
      </w:r>
    </w:p>
    <w:p w14:paraId="3F3F3481"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 xml:space="preserve">Submit all test files via the </w:t>
      </w:r>
      <w:r w:rsidRPr="00CB73B8">
        <w:rPr>
          <w:rFonts w:ascii="Arial" w:hAnsi="Arial" w:cs="Arial"/>
          <w:b/>
          <w:bCs/>
          <w:sz w:val="21"/>
          <w:szCs w:val="21"/>
          <w:highlight w:val="green"/>
        </w:rPr>
        <w:t>non-production MFT</w:t>
      </w:r>
      <w:r w:rsidRPr="00CB73B8">
        <w:rPr>
          <w:rFonts w:ascii="Arial" w:hAnsi="Arial" w:cs="Arial"/>
          <w:sz w:val="21"/>
          <w:szCs w:val="21"/>
          <w:highlight w:val="green"/>
        </w:rPr>
        <w:t xml:space="preserve"> of the health service submitting the test file: accessible at </w:t>
      </w:r>
      <w:hyperlink r:id="rId25" w:history="1">
        <w:r w:rsidRPr="00CB73B8">
          <w:rPr>
            <w:rStyle w:val="Hyperlink"/>
            <w:rFonts w:ascii="Arial" w:eastAsia="MS Gothic" w:hAnsi="Arial" w:cs="Arial"/>
            <w:sz w:val="21"/>
            <w:szCs w:val="21"/>
            <w:highlight w:val="green"/>
          </w:rPr>
          <w:t>https://prs2np-mft.prod.services/</w:t>
        </w:r>
      </w:hyperlink>
      <w:r w:rsidRPr="00CB73B8">
        <w:rPr>
          <w:rFonts w:ascii="Arial" w:hAnsi="Arial" w:cs="Arial"/>
          <w:sz w:val="21"/>
          <w:szCs w:val="21"/>
          <w:highlight w:val="green"/>
        </w:rPr>
        <w:t xml:space="preserve"> .</w:t>
      </w:r>
      <w:r w:rsidRPr="00CB73B8">
        <w:rPr>
          <w:rFonts w:ascii="Arial" w:hAnsi="Arial" w:cs="Arial"/>
          <w:sz w:val="21"/>
          <w:szCs w:val="21"/>
          <w:highlight w:val="green"/>
        </w:rPr>
        <w:br/>
        <w:t xml:space="preserve">Do </w:t>
      </w:r>
      <w:r w:rsidRPr="00CB73B8">
        <w:rPr>
          <w:rFonts w:ascii="Arial" w:hAnsi="Arial" w:cs="Arial"/>
          <w:sz w:val="21"/>
          <w:szCs w:val="21"/>
          <w:highlight w:val="green"/>
          <w:u w:val="single"/>
        </w:rPr>
        <w:t>not</w:t>
      </w:r>
      <w:r w:rsidRPr="00CB73B8">
        <w:rPr>
          <w:rFonts w:ascii="Arial" w:hAnsi="Arial" w:cs="Arial"/>
          <w:sz w:val="21"/>
          <w:szCs w:val="21"/>
          <w:highlight w:val="green"/>
        </w:rPr>
        <w:t xml:space="preserve"> submit any test file via the production MFT portal. If a test file is inadvertently submitted via the prod MFT portal, notify the HDSS HelpDesk immediately.</w:t>
      </w:r>
    </w:p>
    <w:p w14:paraId="76CE10E7" w14:textId="77777777" w:rsidR="00CB73B8" w:rsidRPr="00CB73B8" w:rsidRDefault="00CB73B8" w:rsidP="00AB3609">
      <w:pPr>
        <w:pStyle w:val="ListParagraph"/>
        <w:numPr>
          <w:ilvl w:val="0"/>
          <w:numId w:val="15"/>
        </w:numPr>
        <w:spacing w:before="120" w:after="0" w:line="276" w:lineRule="auto"/>
        <w:rPr>
          <w:rFonts w:ascii="Arial" w:hAnsi="Arial" w:cs="Arial"/>
          <w:sz w:val="21"/>
          <w:szCs w:val="21"/>
          <w:highlight w:val="green"/>
        </w:rPr>
      </w:pPr>
      <w:r w:rsidRPr="00CB73B8">
        <w:rPr>
          <w:rFonts w:ascii="Arial" w:hAnsi="Arial" w:cs="Arial"/>
          <w:b/>
          <w:bCs/>
          <w:sz w:val="21"/>
          <w:szCs w:val="21"/>
          <w:highlight w:val="green"/>
        </w:rPr>
        <w:t>Reports</w:t>
      </w:r>
      <w:r w:rsidRPr="00CB73B8">
        <w:rPr>
          <w:rFonts w:ascii="Arial" w:hAnsi="Arial" w:cs="Arial"/>
          <w:sz w:val="21"/>
          <w:szCs w:val="21"/>
          <w:highlight w:val="green"/>
        </w:rPr>
        <w:t xml:space="preserve"> generated by processing test files will be returned to the submitting health service’s </w:t>
      </w:r>
      <w:r w:rsidRPr="00CB73B8">
        <w:rPr>
          <w:rFonts w:ascii="Arial" w:hAnsi="Arial" w:cs="Arial"/>
          <w:b/>
          <w:bCs/>
          <w:sz w:val="21"/>
          <w:szCs w:val="21"/>
          <w:highlight w:val="green"/>
        </w:rPr>
        <w:t>non-prod MFT Pickup</w:t>
      </w:r>
      <w:r w:rsidRPr="00CB73B8">
        <w:rPr>
          <w:rFonts w:ascii="Arial" w:hAnsi="Arial" w:cs="Arial"/>
          <w:sz w:val="21"/>
          <w:szCs w:val="21"/>
          <w:highlight w:val="green"/>
        </w:rPr>
        <w:t xml:space="preserve"> folder. Access reports to review results. Reports are downloaded in the same way reports are downloaded from the Pickup folder in the Production MFT.</w:t>
      </w:r>
    </w:p>
    <w:p w14:paraId="5A6B582A"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If the software vendor is supporting the testing process, a MFT login for the hospital campus can be arranged for the software vendor, with the written authorisation of the hospital, for the duration of the testing process or longer at the hospital’s discretion. Please contact the HDSS HelpDesk to arrange MFT logins.</w:t>
      </w:r>
    </w:p>
    <w:p w14:paraId="632232F9" w14:textId="77777777" w:rsidR="00CB73B8" w:rsidRPr="008228B4" w:rsidRDefault="00CB73B8" w:rsidP="00CB73B8">
      <w:pPr>
        <w:pStyle w:val="Heading1"/>
        <w:rPr>
          <w:sz w:val="22"/>
          <w:szCs w:val="22"/>
        </w:rPr>
      </w:pPr>
      <w:bookmarkStart w:id="50" w:name="_Toc104370483"/>
      <w:r w:rsidRPr="00CB73B8">
        <w:rPr>
          <w:highlight w:val="green"/>
        </w:rPr>
        <w:t>Test file and data formats</w:t>
      </w:r>
      <w:bookmarkEnd w:id="50"/>
    </w:p>
    <w:p w14:paraId="320A73FE"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Test files do not need to include data for an entire month: the period of data tested is at the discretion of the health service and software vendor, but DH encourages submission of data for multiple births in any single test file.</w:t>
      </w:r>
    </w:p>
    <w:p w14:paraId="5610A293"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 xml:space="preserve">Test files must adhere to all submission file and Episode record specifications applicable for the births being reported in that submission file, as set out in the VPDC manual applicable for the year of the birth record(s) in the test file. </w:t>
      </w:r>
    </w:p>
    <w:p w14:paraId="5739D04C"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 xml:space="preserve">Where a test file is submitted in the format applicable for the </w:t>
      </w:r>
      <w:r w:rsidRPr="00CB73B8">
        <w:rPr>
          <w:rFonts w:ascii="Arial" w:hAnsi="Arial" w:cs="Arial"/>
          <w:b/>
          <w:bCs/>
          <w:sz w:val="21"/>
          <w:szCs w:val="21"/>
          <w:highlight w:val="green"/>
        </w:rPr>
        <w:t>next financial year</w:t>
      </w:r>
      <w:r w:rsidRPr="00CB73B8">
        <w:rPr>
          <w:rFonts w:ascii="Arial" w:hAnsi="Arial" w:cs="Arial"/>
          <w:sz w:val="21"/>
          <w:szCs w:val="21"/>
          <w:highlight w:val="green"/>
        </w:rPr>
        <w:t>, the file format and all Episode records in the test file must conform to the specifications for the next financial year, as set out in the Specifications for revisions to the VPDC for the next financial year. That is, test files submitted via the non-prod MFT can include births dated later than the date the file is submitted. Such records will only be processed in the non-prod environment.</w:t>
      </w:r>
      <w:r w:rsidRPr="00CB73B8">
        <w:rPr>
          <w:rFonts w:ascii="Arial" w:hAnsi="Arial" w:cs="Arial"/>
          <w:sz w:val="21"/>
          <w:szCs w:val="21"/>
          <w:highlight w:val="green"/>
        </w:rPr>
        <w:br/>
      </w:r>
      <w:r w:rsidRPr="00CB73B8">
        <w:rPr>
          <w:rFonts w:ascii="Arial" w:hAnsi="Arial" w:cs="Arial"/>
          <w:sz w:val="21"/>
          <w:szCs w:val="21"/>
          <w:highlight w:val="green"/>
        </w:rPr>
        <w:lastRenderedPageBreak/>
        <w:t>Where this option is chosen, a ‘Warning’ validation that identifies births dated ahead of the processing date will generate an error message: this can be ignored when testing submissions for a future format.</w:t>
      </w:r>
    </w:p>
    <w:p w14:paraId="5FF8C6DA" w14:textId="77777777" w:rsidR="00CB73B8" w:rsidRPr="00CB73B8" w:rsidRDefault="00CB73B8" w:rsidP="00CB73B8">
      <w:pPr>
        <w:pStyle w:val="Heading1"/>
        <w:rPr>
          <w:highlight w:val="green"/>
        </w:rPr>
      </w:pPr>
      <w:bookmarkStart w:id="51" w:name="_Toc104370484"/>
      <w:r w:rsidRPr="00CB73B8">
        <w:rPr>
          <w:highlight w:val="green"/>
        </w:rPr>
        <w:t>Health service responsibilities</w:t>
      </w:r>
      <w:bookmarkEnd w:id="51"/>
    </w:p>
    <w:p w14:paraId="65F191D4" w14:textId="77777777" w:rsidR="00CB73B8" w:rsidRPr="00CB73B8" w:rsidRDefault="00CB73B8" w:rsidP="00AB3609">
      <w:pPr>
        <w:pStyle w:val="ListParagraph"/>
        <w:numPr>
          <w:ilvl w:val="0"/>
          <w:numId w:val="15"/>
        </w:numPr>
        <w:spacing w:before="120" w:after="0" w:line="276" w:lineRule="auto"/>
        <w:rPr>
          <w:sz w:val="21"/>
          <w:szCs w:val="21"/>
          <w:highlight w:val="green"/>
        </w:rPr>
      </w:pPr>
      <w:r w:rsidRPr="00CB73B8">
        <w:rPr>
          <w:rFonts w:ascii="Arial" w:hAnsi="Arial" w:cs="Arial"/>
          <w:sz w:val="21"/>
          <w:szCs w:val="21"/>
          <w:highlight w:val="green"/>
        </w:rPr>
        <w:t xml:space="preserve">It is the </w:t>
      </w:r>
      <w:r w:rsidRPr="00CB73B8">
        <w:rPr>
          <w:rFonts w:ascii="Arial" w:hAnsi="Arial" w:cs="Arial"/>
          <w:b/>
          <w:bCs/>
          <w:sz w:val="21"/>
          <w:szCs w:val="21"/>
          <w:highlight w:val="green"/>
        </w:rPr>
        <w:t>responsibility of the health service</w:t>
      </w:r>
      <w:r w:rsidRPr="00CB73B8">
        <w:rPr>
          <w:rFonts w:ascii="Arial" w:hAnsi="Arial" w:cs="Arial"/>
          <w:sz w:val="21"/>
          <w:szCs w:val="21"/>
          <w:highlight w:val="green"/>
        </w:rPr>
        <w:t xml:space="preserve"> to ensure data are reported in accordance with the VPDC specifications valid for the births reported, and that corrections can be made, and records resubmitted to the VPDC, in accordance with the reporting timeframe required under the Public Health and Wellbeing Regulations, that is, within 30 days of the birth.</w:t>
      </w:r>
      <w:r w:rsidRPr="00CB73B8">
        <w:rPr>
          <w:sz w:val="21"/>
          <w:szCs w:val="21"/>
          <w:highlight w:val="green"/>
        </w:rPr>
        <w:t xml:space="preserve"> </w:t>
      </w:r>
    </w:p>
    <w:p w14:paraId="7F745CC9"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 xml:space="preserve">Health services are strongly encouraged to </w:t>
      </w:r>
      <w:r w:rsidRPr="00CB73B8">
        <w:rPr>
          <w:rFonts w:ascii="Arial" w:hAnsi="Arial" w:cs="Arial"/>
          <w:b/>
          <w:bCs/>
          <w:sz w:val="21"/>
          <w:szCs w:val="21"/>
          <w:highlight w:val="green"/>
        </w:rPr>
        <w:t>engage with their software vendor</w:t>
      </w:r>
      <w:r w:rsidRPr="00CB73B8">
        <w:rPr>
          <w:rFonts w:ascii="Arial" w:hAnsi="Arial" w:cs="Arial"/>
          <w:sz w:val="21"/>
          <w:szCs w:val="21"/>
          <w:highlight w:val="green"/>
        </w:rPr>
        <w:t xml:space="preserve"> during the testing process, and to address data/software shortcoming, including submission file extract issues, </w:t>
      </w:r>
      <w:r w:rsidRPr="00CB73B8">
        <w:rPr>
          <w:rFonts w:ascii="Arial" w:hAnsi="Arial" w:cs="Arial"/>
          <w:b/>
          <w:bCs/>
          <w:sz w:val="21"/>
          <w:szCs w:val="21"/>
          <w:highlight w:val="green"/>
        </w:rPr>
        <w:t>before</w:t>
      </w:r>
      <w:r w:rsidRPr="00CB73B8">
        <w:rPr>
          <w:rFonts w:ascii="Arial" w:hAnsi="Arial" w:cs="Arial"/>
          <w:sz w:val="21"/>
          <w:szCs w:val="21"/>
          <w:highlight w:val="green"/>
        </w:rPr>
        <w:t xml:space="preserve"> submitting data to the production environment. </w:t>
      </w:r>
    </w:p>
    <w:p w14:paraId="2E188501" w14:textId="77777777" w:rsidR="00CB73B8" w:rsidRPr="00CB73B8" w:rsidRDefault="00CB73B8" w:rsidP="00AB3609">
      <w:pPr>
        <w:pStyle w:val="ListParagraph"/>
        <w:numPr>
          <w:ilvl w:val="0"/>
          <w:numId w:val="15"/>
        </w:numPr>
        <w:spacing w:before="120" w:after="0" w:line="276" w:lineRule="auto"/>
        <w:rPr>
          <w:rFonts w:ascii="Arial" w:hAnsi="Arial" w:cs="Arial"/>
          <w:sz w:val="21"/>
          <w:szCs w:val="21"/>
          <w:highlight w:val="green"/>
        </w:rPr>
      </w:pPr>
      <w:r w:rsidRPr="00CB73B8">
        <w:rPr>
          <w:rFonts w:ascii="Arial" w:hAnsi="Arial" w:cs="Arial"/>
          <w:sz w:val="21"/>
          <w:szCs w:val="21"/>
          <w:highlight w:val="green"/>
        </w:rPr>
        <w:t>Health services should ensure test files assess the capacity of the software to create submission files.</w:t>
      </w:r>
    </w:p>
    <w:p w14:paraId="7DB3461C"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The department may request further test files be submitted to demonstrate compliance with reporting requirements before the health service commences/resumes reporting to the production environment.</w:t>
      </w:r>
    </w:p>
    <w:p w14:paraId="61959CB3" w14:textId="77777777" w:rsidR="00CB73B8" w:rsidRPr="00CB73B8" w:rsidRDefault="00CB73B8" w:rsidP="00AB3609">
      <w:pPr>
        <w:pStyle w:val="ListParagraph"/>
        <w:numPr>
          <w:ilvl w:val="0"/>
          <w:numId w:val="15"/>
        </w:numPr>
        <w:spacing w:before="120" w:after="0" w:line="276" w:lineRule="auto"/>
        <w:ind w:left="357" w:hanging="357"/>
        <w:rPr>
          <w:rFonts w:ascii="Arial" w:hAnsi="Arial" w:cs="Arial"/>
          <w:sz w:val="21"/>
          <w:szCs w:val="21"/>
          <w:highlight w:val="green"/>
        </w:rPr>
      </w:pPr>
      <w:r w:rsidRPr="00CB73B8">
        <w:rPr>
          <w:rFonts w:ascii="Arial" w:hAnsi="Arial" w:cs="Arial"/>
          <w:sz w:val="21"/>
          <w:szCs w:val="21"/>
          <w:highlight w:val="green"/>
        </w:rPr>
        <w:t>Staff at the department will endeavour to review test files and assist in identifying problems, where possible, to assist health services and software vendors.</w:t>
      </w:r>
    </w:p>
    <w:p w14:paraId="43A97B09" w14:textId="77777777" w:rsidR="00CB73B8" w:rsidRPr="00CB73B8" w:rsidRDefault="00CB73B8" w:rsidP="00CB73B8">
      <w:pPr>
        <w:pStyle w:val="Heading1"/>
        <w:rPr>
          <w:highlight w:val="green"/>
        </w:rPr>
      </w:pPr>
      <w:bookmarkStart w:id="52" w:name="_Toc104370485"/>
      <w:r w:rsidRPr="00CB73B8">
        <w:rPr>
          <w:highlight w:val="green"/>
        </w:rPr>
        <w:t>Timing of testing</w:t>
      </w:r>
      <w:bookmarkEnd w:id="52"/>
    </w:p>
    <w:p w14:paraId="57E1D359" w14:textId="77777777" w:rsidR="00CB73B8" w:rsidRPr="00CB73B8" w:rsidRDefault="00CB73B8" w:rsidP="00CB73B8">
      <w:pPr>
        <w:spacing w:before="120" w:after="0" w:line="276" w:lineRule="auto"/>
        <w:rPr>
          <w:rFonts w:cs="Arial"/>
          <w:highlight w:val="green"/>
        </w:rPr>
      </w:pPr>
      <w:r w:rsidRPr="00CB73B8">
        <w:rPr>
          <w:rFonts w:cs="Arial"/>
          <w:highlight w:val="green"/>
        </w:rPr>
        <w:t>When planning software changes, health services are reminded to allow time to resolve reporting problems to ensure ongoing compliance with the reporting timeframes set out in the Public Health and Wellbeing Act 2008 and the Public Health and Wellbeing Regulations 2019, which require data for each birth to be reported within 30 days of the birth.</w:t>
      </w:r>
    </w:p>
    <w:p w14:paraId="0D75D753" w14:textId="77777777" w:rsidR="00CB73B8" w:rsidRPr="008228B4" w:rsidRDefault="00CB73B8" w:rsidP="00CB73B8">
      <w:pPr>
        <w:spacing w:before="120" w:after="0" w:line="276" w:lineRule="auto"/>
        <w:rPr>
          <w:rFonts w:cs="Arial"/>
        </w:rPr>
      </w:pPr>
      <w:r w:rsidRPr="00CB73B8">
        <w:rPr>
          <w:rFonts w:cs="Arial"/>
          <w:highlight w:val="green"/>
        </w:rPr>
        <w:t>Where delays are anticipated, or encountered, health services must notify the HDSS HelpDesk indicating at timeframe for returning reporting to compliance with required reporting intervals.</w:t>
      </w:r>
    </w:p>
    <w:p w14:paraId="7CD24465" w14:textId="77777777" w:rsidR="00CB73B8" w:rsidRDefault="00CB73B8" w:rsidP="00CB73B8"/>
    <w:p w14:paraId="1EBA226B" w14:textId="57DD6FBB" w:rsidR="002576CF" w:rsidRPr="00CB73B8" w:rsidRDefault="002576CF" w:rsidP="002576CF">
      <w:pPr>
        <w:pStyle w:val="Heading1"/>
        <w:rPr>
          <w:highlight w:val="green"/>
        </w:rPr>
      </w:pPr>
      <w:bookmarkStart w:id="53" w:name="_Toc104370486"/>
      <w:bookmarkStart w:id="54" w:name="_Toc32701487"/>
      <w:bookmarkStart w:id="55" w:name="_Toc77109700"/>
      <w:r w:rsidRPr="00CB73B8">
        <w:rPr>
          <w:highlight w:val="green"/>
        </w:rPr>
        <w:t>T</w:t>
      </w:r>
      <w:r>
        <w:rPr>
          <w:highlight w:val="green"/>
        </w:rPr>
        <w:t>able of Episode record data elements</w:t>
      </w:r>
      <w:bookmarkEnd w:id="53"/>
    </w:p>
    <w:tbl>
      <w:tblPr>
        <w:tblW w:w="93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90"/>
        <w:gridCol w:w="4282"/>
        <w:gridCol w:w="1306"/>
        <w:gridCol w:w="1491"/>
        <w:gridCol w:w="1286"/>
      </w:tblGrid>
      <w:tr w:rsidR="00CB73B8" w:rsidRPr="00A94E6B" w14:paraId="3BB9FC58" w14:textId="77777777" w:rsidTr="00F134EA">
        <w:trPr>
          <w:tblHeader/>
        </w:trPr>
        <w:tc>
          <w:tcPr>
            <w:tcW w:w="990" w:type="dxa"/>
            <w:shd w:val="clear" w:color="auto" w:fill="FFFFFF" w:themeFill="background1"/>
          </w:tcPr>
          <w:bookmarkEnd w:id="54"/>
          <w:bookmarkEnd w:id="55"/>
          <w:p w14:paraId="3680F4AC" w14:textId="77777777" w:rsidR="00CB73B8" w:rsidRPr="00A94E6B" w:rsidRDefault="00CB73B8" w:rsidP="00F134EA">
            <w:pPr>
              <w:spacing w:after="40" w:line="220" w:lineRule="atLeast"/>
              <w:rPr>
                <w:rFonts w:eastAsia="MS Mincho"/>
                <w:b/>
                <w:szCs w:val="21"/>
              </w:rPr>
            </w:pPr>
            <w:r w:rsidRPr="00A94E6B">
              <w:rPr>
                <w:rFonts w:eastAsia="MS Mincho"/>
                <w:b/>
                <w:szCs w:val="21"/>
              </w:rPr>
              <w:t>Position number</w:t>
            </w:r>
          </w:p>
        </w:tc>
        <w:tc>
          <w:tcPr>
            <w:tcW w:w="4282" w:type="dxa"/>
            <w:shd w:val="clear" w:color="auto" w:fill="FFFFFF" w:themeFill="background1"/>
          </w:tcPr>
          <w:p w14:paraId="0C372E5F" w14:textId="77777777" w:rsidR="00CB73B8" w:rsidRPr="00A94E6B" w:rsidRDefault="00CB73B8" w:rsidP="00F134EA">
            <w:pPr>
              <w:tabs>
                <w:tab w:val="center" w:pos="2140"/>
              </w:tabs>
              <w:spacing w:after="40" w:line="220" w:lineRule="atLeast"/>
              <w:rPr>
                <w:rFonts w:eastAsia="MS Mincho"/>
                <w:b/>
                <w:szCs w:val="21"/>
              </w:rPr>
            </w:pPr>
            <w:r w:rsidRPr="00A94E6B">
              <w:rPr>
                <w:rFonts w:eastAsia="MS Mincho"/>
                <w:b/>
                <w:szCs w:val="21"/>
              </w:rPr>
              <w:t>Data item name</w:t>
            </w:r>
            <w:r w:rsidRPr="00A94E6B">
              <w:rPr>
                <w:rFonts w:eastAsia="MS Mincho"/>
                <w:b/>
                <w:szCs w:val="21"/>
              </w:rPr>
              <w:tab/>
            </w:r>
          </w:p>
        </w:tc>
        <w:tc>
          <w:tcPr>
            <w:tcW w:w="1306" w:type="dxa"/>
            <w:shd w:val="clear" w:color="auto" w:fill="FFFFFF" w:themeFill="background1"/>
          </w:tcPr>
          <w:p w14:paraId="3BFABBB8" w14:textId="77777777" w:rsidR="00CB73B8" w:rsidRPr="00A94E6B" w:rsidRDefault="00CB73B8" w:rsidP="00F134EA">
            <w:pPr>
              <w:spacing w:after="40" w:line="220" w:lineRule="atLeast"/>
              <w:rPr>
                <w:rFonts w:eastAsia="MS Mincho"/>
                <w:b/>
                <w:szCs w:val="21"/>
              </w:rPr>
            </w:pPr>
            <w:r w:rsidRPr="00A94E6B">
              <w:rPr>
                <w:rFonts w:eastAsia="MS Mincho"/>
                <w:b/>
                <w:szCs w:val="21"/>
              </w:rPr>
              <w:t>Data type</w:t>
            </w:r>
          </w:p>
        </w:tc>
        <w:tc>
          <w:tcPr>
            <w:tcW w:w="1491" w:type="dxa"/>
            <w:shd w:val="clear" w:color="auto" w:fill="FFFFFF" w:themeFill="background1"/>
          </w:tcPr>
          <w:p w14:paraId="1D004714" w14:textId="77777777" w:rsidR="00CB73B8" w:rsidRPr="00A94E6B" w:rsidRDefault="00CB73B8" w:rsidP="00F134EA">
            <w:pPr>
              <w:spacing w:after="40" w:line="220" w:lineRule="atLeast"/>
              <w:rPr>
                <w:rFonts w:eastAsia="MS Mincho"/>
                <w:b/>
                <w:szCs w:val="21"/>
              </w:rPr>
            </w:pPr>
            <w:r w:rsidRPr="00A94E6B">
              <w:rPr>
                <w:rFonts w:eastAsia="MS Mincho"/>
                <w:b/>
                <w:szCs w:val="21"/>
              </w:rPr>
              <w:t>Format</w:t>
            </w:r>
          </w:p>
        </w:tc>
        <w:tc>
          <w:tcPr>
            <w:tcW w:w="1286" w:type="dxa"/>
            <w:shd w:val="clear" w:color="auto" w:fill="FFFFFF" w:themeFill="background1"/>
          </w:tcPr>
          <w:p w14:paraId="2EB39DD0" w14:textId="77777777" w:rsidR="00CB73B8" w:rsidRPr="00A94E6B" w:rsidRDefault="00CB73B8" w:rsidP="00F134EA">
            <w:pPr>
              <w:spacing w:after="40" w:line="220" w:lineRule="atLeast"/>
              <w:rPr>
                <w:rFonts w:eastAsia="MS Mincho"/>
                <w:b/>
                <w:szCs w:val="21"/>
              </w:rPr>
            </w:pPr>
            <w:r w:rsidRPr="00A94E6B">
              <w:rPr>
                <w:rFonts w:eastAsia="MS Mincho"/>
                <w:b/>
                <w:szCs w:val="21"/>
              </w:rPr>
              <w:t>Field size</w:t>
            </w:r>
          </w:p>
        </w:tc>
      </w:tr>
      <w:tr w:rsidR="00CB73B8" w:rsidRPr="00A94E6B" w14:paraId="5DB1FAD2" w14:textId="77777777" w:rsidTr="00F134EA">
        <w:tc>
          <w:tcPr>
            <w:tcW w:w="990" w:type="dxa"/>
          </w:tcPr>
          <w:p w14:paraId="69129641" w14:textId="7DF1ACFC" w:rsidR="00CB73B8" w:rsidRPr="00A94E6B" w:rsidRDefault="00CB73B8" w:rsidP="00F134EA">
            <w:pPr>
              <w:spacing w:after="40" w:line="220" w:lineRule="atLeast"/>
              <w:rPr>
                <w:rFonts w:eastAsia="MS Mincho" w:cs="Arial"/>
                <w:szCs w:val="21"/>
              </w:rPr>
            </w:pPr>
            <w:r>
              <w:rPr>
                <w:rFonts w:eastAsia="MS Mincho" w:cs="Arial"/>
                <w:szCs w:val="21"/>
              </w:rPr>
              <w:t>…</w:t>
            </w:r>
          </w:p>
        </w:tc>
        <w:tc>
          <w:tcPr>
            <w:tcW w:w="4282" w:type="dxa"/>
          </w:tcPr>
          <w:p w14:paraId="091B3719" w14:textId="654D200F" w:rsidR="00CB73B8" w:rsidRPr="00A94E6B" w:rsidRDefault="00CB73B8" w:rsidP="00F134EA">
            <w:pPr>
              <w:spacing w:after="40" w:line="220" w:lineRule="atLeast"/>
              <w:rPr>
                <w:rFonts w:eastAsia="MS Mincho" w:cs="Arial"/>
                <w:szCs w:val="21"/>
              </w:rPr>
            </w:pPr>
            <w:r>
              <w:rPr>
                <w:rFonts w:eastAsia="MS Mincho" w:cs="Arial"/>
                <w:szCs w:val="21"/>
              </w:rPr>
              <w:t>…</w:t>
            </w:r>
          </w:p>
        </w:tc>
        <w:tc>
          <w:tcPr>
            <w:tcW w:w="1306" w:type="dxa"/>
          </w:tcPr>
          <w:p w14:paraId="741D7ABE" w14:textId="072A36F4" w:rsidR="00CB73B8" w:rsidRPr="00A94E6B" w:rsidRDefault="00CB73B8" w:rsidP="00F134EA">
            <w:pPr>
              <w:spacing w:after="40" w:line="220" w:lineRule="atLeast"/>
              <w:rPr>
                <w:rFonts w:eastAsia="MS Mincho" w:cs="Arial"/>
                <w:szCs w:val="21"/>
              </w:rPr>
            </w:pPr>
            <w:r>
              <w:rPr>
                <w:rFonts w:eastAsia="MS Mincho" w:cs="Arial"/>
                <w:szCs w:val="21"/>
              </w:rPr>
              <w:t>…</w:t>
            </w:r>
          </w:p>
        </w:tc>
        <w:tc>
          <w:tcPr>
            <w:tcW w:w="1491" w:type="dxa"/>
          </w:tcPr>
          <w:p w14:paraId="29FAC1DD" w14:textId="008FB2DA" w:rsidR="00CB73B8" w:rsidRPr="00A94E6B" w:rsidRDefault="00CB73B8" w:rsidP="00F134EA">
            <w:pPr>
              <w:spacing w:after="40" w:line="220" w:lineRule="atLeast"/>
              <w:rPr>
                <w:rFonts w:eastAsia="MS Mincho" w:cs="Arial"/>
                <w:szCs w:val="21"/>
              </w:rPr>
            </w:pPr>
            <w:r>
              <w:rPr>
                <w:rFonts w:eastAsia="MS Mincho" w:cs="Arial"/>
                <w:szCs w:val="21"/>
              </w:rPr>
              <w:t>…</w:t>
            </w:r>
          </w:p>
        </w:tc>
        <w:tc>
          <w:tcPr>
            <w:tcW w:w="1286" w:type="dxa"/>
          </w:tcPr>
          <w:p w14:paraId="13EBF210" w14:textId="6B09F07C" w:rsidR="00CB73B8" w:rsidRPr="00A94E6B" w:rsidRDefault="00CB73B8" w:rsidP="00F134EA">
            <w:pPr>
              <w:spacing w:after="40" w:line="220" w:lineRule="atLeast"/>
              <w:rPr>
                <w:rFonts w:eastAsia="MS Mincho" w:cs="Arial"/>
                <w:szCs w:val="21"/>
              </w:rPr>
            </w:pPr>
            <w:r>
              <w:rPr>
                <w:rFonts w:eastAsia="MS Mincho" w:cs="Arial"/>
                <w:szCs w:val="21"/>
              </w:rPr>
              <w:t>…</w:t>
            </w:r>
          </w:p>
        </w:tc>
      </w:tr>
      <w:tr w:rsidR="00CB73B8" w:rsidRPr="00A94E6B" w14:paraId="1EF2BA06" w14:textId="77777777" w:rsidTr="00F134EA">
        <w:trPr>
          <w:trHeight w:val="215"/>
        </w:trPr>
        <w:tc>
          <w:tcPr>
            <w:tcW w:w="990" w:type="dxa"/>
          </w:tcPr>
          <w:p w14:paraId="4D0E30B4" w14:textId="77777777" w:rsidR="00CB73B8" w:rsidRPr="006F33EA" w:rsidRDefault="00CB73B8" w:rsidP="00F134EA">
            <w:pPr>
              <w:spacing w:before="80" w:after="60" w:line="240" w:lineRule="auto"/>
              <w:rPr>
                <w:rFonts w:eastAsia="MS Mincho" w:cs="Arial"/>
                <w:szCs w:val="21"/>
                <w:highlight w:val="green"/>
              </w:rPr>
            </w:pPr>
            <w:r>
              <w:rPr>
                <w:rFonts w:eastAsia="MS Mincho" w:cs="Arial"/>
                <w:szCs w:val="21"/>
                <w:highlight w:val="green"/>
              </w:rPr>
              <w:t>163</w:t>
            </w:r>
          </w:p>
        </w:tc>
        <w:tc>
          <w:tcPr>
            <w:tcW w:w="4282" w:type="dxa"/>
          </w:tcPr>
          <w:p w14:paraId="346F42DB" w14:textId="77777777" w:rsidR="00CB73B8" w:rsidRPr="00A94E6B" w:rsidRDefault="00CB73B8" w:rsidP="00F134EA">
            <w:pPr>
              <w:spacing w:before="80" w:after="60" w:line="240" w:lineRule="auto"/>
              <w:rPr>
                <w:rFonts w:eastAsia="MS Mincho" w:cs="Arial"/>
                <w:szCs w:val="21"/>
                <w:highlight w:val="green"/>
              </w:rPr>
            </w:pPr>
            <w:r>
              <w:rPr>
                <w:rFonts w:eastAsia="MS Mincho" w:cs="Arial"/>
                <w:szCs w:val="21"/>
                <w:highlight w:val="green"/>
              </w:rPr>
              <w:t>Hypertensive disorder during pregnancy</w:t>
            </w:r>
          </w:p>
        </w:tc>
        <w:tc>
          <w:tcPr>
            <w:tcW w:w="1306" w:type="dxa"/>
          </w:tcPr>
          <w:p w14:paraId="2B64A0C1" w14:textId="77777777" w:rsidR="00CB73B8" w:rsidRPr="006F33EA" w:rsidRDefault="00CB73B8" w:rsidP="00F134EA">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4E77D3BF" w14:textId="77777777" w:rsidR="00CB73B8" w:rsidRPr="006F33EA" w:rsidRDefault="00CB73B8" w:rsidP="00F134EA">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660312BD" w14:textId="09239872" w:rsidR="00CB73B8" w:rsidRPr="006F33EA" w:rsidRDefault="00CB73B8" w:rsidP="00F134EA">
            <w:pPr>
              <w:spacing w:before="80" w:after="60" w:line="240" w:lineRule="auto"/>
              <w:rPr>
                <w:rFonts w:eastAsia="MS Mincho" w:cs="Arial"/>
                <w:szCs w:val="21"/>
                <w:highlight w:val="green"/>
              </w:rPr>
            </w:pPr>
            <w:r>
              <w:rPr>
                <w:rFonts w:eastAsia="MS Mincho" w:cs="Arial"/>
                <w:szCs w:val="21"/>
                <w:highlight w:val="green"/>
              </w:rPr>
              <w:t>1</w:t>
            </w:r>
            <w:r w:rsidR="00AB3609" w:rsidRPr="00AB3609">
              <w:rPr>
                <w:rFonts w:eastAsia="MS Mincho" w:cs="Arial"/>
                <w:szCs w:val="21"/>
                <w:highlight w:val="cyan"/>
              </w:rPr>
              <w:t xml:space="preserve"> (x3)</w:t>
            </w:r>
          </w:p>
        </w:tc>
      </w:tr>
      <w:tr w:rsidR="00CB73B8" w:rsidRPr="00A94E6B" w14:paraId="4F1E2201" w14:textId="77777777" w:rsidTr="00F134EA">
        <w:trPr>
          <w:trHeight w:val="215"/>
        </w:trPr>
        <w:tc>
          <w:tcPr>
            <w:tcW w:w="990" w:type="dxa"/>
          </w:tcPr>
          <w:p w14:paraId="60D73818" w14:textId="08B0A565" w:rsidR="00CB73B8" w:rsidRPr="00CB73B8" w:rsidRDefault="00CB73B8" w:rsidP="00F134EA">
            <w:pPr>
              <w:spacing w:before="80" w:after="60" w:line="240" w:lineRule="auto"/>
              <w:rPr>
                <w:rFonts w:eastAsia="MS Mincho" w:cs="Arial"/>
                <w:szCs w:val="21"/>
              </w:rPr>
            </w:pPr>
            <w:r w:rsidRPr="00CB73B8">
              <w:rPr>
                <w:rFonts w:eastAsia="MS Mincho" w:cs="Arial"/>
                <w:szCs w:val="21"/>
              </w:rPr>
              <w:t>…</w:t>
            </w:r>
          </w:p>
        </w:tc>
        <w:tc>
          <w:tcPr>
            <w:tcW w:w="4282" w:type="dxa"/>
          </w:tcPr>
          <w:p w14:paraId="3B8FC83C" w14:textId="0437E890" w:rsidR="00CB73B8" w:rsidRPr="00CB73B8" w:rsidRDefault="00CB73B8" w:rsidP="00F134EA">
            <w:pPr>
              <w:spacing w:before="80" w:after="60" w:line="240" w:lineRule="auto"/>
              <w:rPr>
                <w:rFonts w:eastAsia="MS Mincho" w:cs="Arial"/>
                <w:szCs w:val="21"/>
              </w:rPr>
            </w:pPr>
            <w:r w:rsidRPr="00CB73B8">
              <w:rPr>
                <w:rFonts w:eastAsia="MS Mincho" w:cs="Arial"/>
                <w:szCs w:val="21"/>
              </w:rPr>
              <w:t>…</w:t>
            </w:r>
          </w:p>
        </w:tc>
        <w:tc>
          <w:tcPr>
            <w:tcW w:w="1306" w:type="dxa"/>
          </w:tcPr>
          <w:p w14:paraId="160185A2" w14:textId="301D3296" w:rsidR="00CB73B8" w:rsidRPr="00CB73B8" w:rsidRDefault="00CB73B8" w:rsidP="00F134EA">
            <w:pPr>
              <w:spacing w:before="80" w:after="60" w:line="240" w:lineRule="auto"/>
              <w:rPr>
                <w:rFonts w:eastAsia="MS Mincho" w:cs="Arial"/>
                <w:szCs w:val="21"/>
              </w:rPr>
            </w:pPr>
            <w:r w:rsidRPr="00CB73B8">
              <w:rPr>
                <w:rFonts w:eastAsia="MS Mincho" w:cs="Arial"/>
                <w:szCs w:val="21"/>
              </w:rPr>
              <w:t>…</w:t>
            </w:r>
          </w:p>
        </w:tc>
        <w:tc>
          <w:tcPr>
            <w:tcW w:w="1491" w:type="dxa"/>
          </w:tcPr>
          <w:p w14:paraId="5370578A" w14:textId="113A832A" w:rsidR="00CB73B8" w:rsidRPr="00CB73B8" w:rsidRDefault="00CB73B8" w:rsidP="00F134EA">
            <w:pPr>
              <w:spacing w:before="80" w:after="60" w:line="240" w:lineRule="auto"/>
              <w:rPr>
                <w:rFonts w:eastAsia="MS Mincho" w:cs="Arial"/>
                <w:szCs w:val="21"/>
              </w:rPr>
            </w:pPr>
            <w:r w:rsidRPr="00CB73B8">
              <w:rPr>
                <w:rFonts w:eastAsia="MS Mincho" w:cs="Arial"/>
                <w:szCs w:val="21"/>
              </w:rPr>
              <w:t>…</w:t>
            </w:r>
          </w:p>
        </w:tc>
        <w:tc>
          <w:tcPr>
            <w:tcW w:w="1286" w:type="dxa"/>
          </w:tcPr>
          <w:p w14:paraId="17DB321C" w14:textId="1A70B30E" w:rsidR="00CB73B8" w:rsidRPr="00CB73B8" w:rsidRDefault="00CB73B8" w:rsidP="00F134EA">
            <w:pPr>
              <w:spacing w:before="80" w:after="60" w:line="240" w:lineRule="auto"/>
              <w:rPr>
                <w:rFonts w:eastAsia="MS Mincho" w:cs="Arial"/>
                <w:szCs w:val="21"/>
              </w:rPr>
            </w:pPr>
            <w:r w:rsidRPr="00CB73B8">
              <w:rPr>
                <w:rFonts w:eastAsia="MS Mincho" w:cs="Arial"/>
                <w:szCs w:val="21"/>
              </w:rPr>
              <w:t>…</w:t>
            </w:r>
          </w:p>
        </w:tc>
      </w:tr>
    </w:tbl>
    <w:p w14:paraId="4BEDA7E1" w14:textId="31264837" w:rsidR="00E3449E" w:rsidRDefault="00E3449E" w:rsidP="00CF0725">
      <w:pPr>
        <w:pStyle w:val="DHHSbody"/>
        <w:spacing w:after="240"/>
        <w:rPr>
          <w:rFonts w:cs="Arial"/>
        </w:rPr>
      </w:pPr>
    </w:p>
    <w:tbl>
      <w:tblPr>
        <w:tblStyle w:val="TableGrid"/>
        <w:tblW w:w="0" w:type="auto"/>
        <w:tblCellMar>
          <w:bottom w:w="108" w:type="dxa"/>
        </w:tblCellMar>
        <w:tblLook w:val="0600" w:firstRow="0" w:lastRow="0" w:firstColumn="0" w:lastColumn="0" w:noHBand="1" w:noVBand="1"/>
      </w:tblPr>
      <w:tblGrid>
        <w:gridCol w:w="9351"/>
      </w:tblGrid>
      <w:tr w:rsidR="0055119B" w14:paraId="130A8AD7" w14:textId="77777777" w:rsidTr="00CF0725">
        <w:tc>
          <w:tcPr>
            <w:tcW w:w="9351" w:type="dxa"/>
          </w:tcPr>
          <w:p w14:paraId="4691A354" w14:textId="34067345" w:rsidR="00816FD5" w:rsidRPr="004E5A5C" w:rsidRDefault="00816FD5" w:rsidP="00816FD5">
            <w:pPr>
              <w:pStyle w:val="DHHSaccessibilitypara"/>
            </w:pPr>
            <w:bookmarkStart w:id="56" w:name="_Hlk37240926"/>
            <w:bookmarkEnd w:id="2"/>
            <w:r w:rsidRPr="004E5A5C">
              <w:t xml:space="preserve">To receive this </w:t>
            </w:r>
            <w:r>
              <w:t xml:space="preserve">document in another </w:t>
            </w:r>
            <w:r w:rsidRPr="004E5A5C">
              <w:t>format</w:t>
            </w:r>
            <w:r>
              <w:t xml:space="preserve"> </w:t>
            </w:r>
            <w:r w:rsidRPr="004E5A5C">
              <w:t>email</w:t>
            </w:r>
            <w:r w:rsidRPr="00C03CBF">
              <w:rPr>
                <w:color w:val="D50032"/>
              </w:rPr>
              <w:t xml:space="preserve"> </w:t>
            </w:r>
            <w:r w:rsidR="007E054D" w:rsidRPr="007E054D">
              <w:t xml:space="preserve">the </w:t>
            </w:r>
            <w:hyperlink r:id="rId26" w:history="1">
              <w:r w:rsidR="007E054D" w:rsidRPr="007E054D">
                <w:rPr>
                  <w:rStyle w:val="Hyperlink"/>
                </w:rPr>
                <w:t>HDSS HelpDesk</w:t>
              </w:r>
            </w:hyperlink>
            <w:r w:rsidR="007E054D" w:rsidRPr="007E054D">
              <w:t xml:space="preserve"> </w:t>
            </w:r>
            <w:r w:rsidRPr="004E5A5C">
              <w:t>&lt;</w:t>
            </w:r>
            <w:r>
              <w:t>hdss.helpdesk@</w:t>
            </w:r>
            <w:r w:rsidR="007E054D">
              <w:t>health</w:t>
            </w:r>
            <w:r>
              <w:t>.vic.gov.au</w:t>
            </w:r>
            <w:r w:rsidRPr="004E5A5C">
              <w:t>&gt;</w:t>
            </w:r>
          </w:p>
          <w:p w14:paraId="5C33B571" w14:textId="7DA9E02C" w:rsidR="00816FD5" w:rsidRPr="004E5A5C" w:rsidRDefault="00816FD5" w:rsidP="00816FD5">
            <w:pPr>
              <w:pStyle w:val="DHHSbody"/>
            </w:pPr>
            <w:r w:rsidRPr="004E5A5C">
              <w:t>Authorised and published by the Victorian Government, 1 Treasury Place, Melbourne.</w:t>
            </w:r>
          </w:p>
          <w:p w14:paraId="46C4876B" w14:textId="7F00F123" w:rsidR="00816FD5" w:rsidRDefault="00816FD5" w:rsidP="00816FD5">
            <w:pPr>
              <w:pStyle w:val="DHHSbody"/>
            </w:pPr>
            <w:r w:rsidRPr="004E5A5C">
              <w:t>© State of Victoria, Australia, Department of Health</w:t>
            </w:r>
            <w:r w:rsidR="00A921D8">
              <w:t xml:space="preserve">, </w:t>
            </w:r>
            <w:r w:rsidR="00CB73B8">
              <w:t>May</w:t>
            </w:r>
            <w:r w:rsidR="00A921D8">
              <w:t xml:space="preserve"> 2022</w:t>
            </w:r>
          </w:p>
          <w:p w14:paraId="5117A465" w14:textId="2A5A401E" w:rsidR="00816FD5" w:rsidRDefault="00816FD5" w:rsidP="00E33237">
            <w:pPr>
              <w:pStyle w:val="Imprint"/>
            </w:pPr>
            <w:r>
              <w:t>Available at</w:t>
            </w:r>
            <w:r w:rsidR="00E3449E">
              <w:t xml:space="preserve"> the </w:t>
            </w:r>
            <w:r w:rsidR="00A921D8">
              <w:t xml:space="preserve">at the </w:t>
            </w:r>
            <w:hyperlink r:id="rId27" w:history="1">
              <w:r w:rsidR="00A921D8" w:rsidRPr="001C54EE">
                <w:rPr>
                  <w:rStyle w:val="Hyperlink"/>
                </w:rPr>
                <w:t>VPDC website</w:t>
              </w:r>
            </w:hyperlink>
            <w:r w:rsidR="00A921D8">
              <w:t xml:space="preserve"> &lt;</w:t>
            </w:r>
            <w:r w:rsidR="00A921D8" w:rsidRPr="001C54EE">
              <w:t>https://www.health.vic.gov.au/quality-safety-service/victorian-perinatal-data-collection</w:t>
            </w:r>
            <w:r w:rsidR="00A921D8">
              <w:t>&gt;</w:t>
            </w:r>
          </w:p>
        </w:tc>
      </w:tr>
      <w:bookmarkEnd w:id="56"/>
    </w:tbl>
    <w:p w14:paraId="167D0CE9" w14:textId="77777777" w:rsidR="00162CA9" w:rsidRDefault="00162CA9" w:rsidP="00162CA9">
      <w:pPr>
        <w:pStyle w:val="Body"/>
      </w:pPr>
    </w:p>
    <w:sectPr w:rsidR="00162CA9" w:rsidSect="002576CF">
      <w:type w:val="continuous"/>
      <w:pgSz w:w="11906" w:h="16838" w:code="9"/>
      <w:pgMar w:top="1135" w:right="1133" w:bottom="1134"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EB0C" w14:textId="77777777" w:rsidR="00303342" w:rsidRDefault="00303342">
      <w:r>
        <w:separator/>
      </w:r>
    </w:p>
  </w:endnote>
  <w:endnote w:type="continuationSeparator" w:id="0">
    <w:p w14:paraId="526E8360" w14:textId="77777777" w:rsidR="00303342" w:rsidRDefault="0030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E765" w14:textId="77777777" w:rsidR="007D4193" w:rsidRDefault="007D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1310" w14:textId="77777777" w:rsidR="00303342" w:rsidRPr="00F65AA9" w:rsidRDefault="00303342" w:rsidP="00F84FA0">
    <w:pPr>
      <w:pStyle w:val="Footer"/>
    </w:pPr>
    <w:r>
      <w:rPr>
        <w:noProof/>
        <w:lang w:eastAsia="en-AU"/>
      </w:rPr>
      <w:drawing>
        <wp:anchor distT="0" distB="0" distL="114300" distR="114300" simplePos="0" relativeHeight="251674112" behindDoc="1" locked="1" layoutInCell="1" allowOverlap="1" wp14:anchorId="49A135D7" wp14:editId="489B45E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8992" behindDoc="0" locked="0" layoutInCell="0" allowOverlap="1" wp14:anchorId="07D5B618" wp14:editId="2CB75DE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68A32"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D5B61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3B68A32"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FB76" w14:textId="77777777" w:rsidR="00303342" w:rsidRDefault="00303342">
    <w:pPr>
      <w:pStyle w:val="Footer"/>
    </w:pPr>
    <w:r>
      <w:rPr>
        <w:noProof/>
      </w:rPr>
      <mc:AlternateContent>
        <mc:Choice Requires="wps">
          <w:drawing>
            <wp:anchor distT="0" distB="0" distL="114300" distR="114300" simplePos="1" relativeHeight="251670016" behindDoc="0" locked="0" layoutInCell="0" allowOverlap="1" wp14:anchorId="119A670C" wp14:editId="6B70021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84B04"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9A670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7D84B04"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144C" w14:textId="77777777" w:rsidR="00303342" w:rsidRDefault="00303342" w:rsidP="002862F1">
      <w:pPr>
        <w:spacing w:before="120"/>
      </w:pPr>
      <w:r>
        <w:separator/>
      </w:r>
    </w:p>
  </w:footnote>
  <w:footnote w:type="continuationSeparator" w:id="0">
    <w:p w14:paraId="054FCA53" w14:textId="77777777" w:rsidR="00303342" w:rsidRDefault="0030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59FB" w14:textId="77777777" w:rsidR="007D4193" w:rsidRDefault="007D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7E2C" w14:textId="77777777" w:rsidR="00303342" w:rsidRDefault="00303342"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84BB" w14:textId="77777777" w:rsidR="007D4193" w:rsidRDefault="007D41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73BA" w14:textId="5FF18455" w:rsidR="00303342" w:rsidRPr="0051568D" w:rsidRDefault="00303342" w:rsidP="0011701A">
    <w:pPr>
      <w:pStyle w:val="Header"/>
    </w:pPr>
    <w:r>
      <w:rPr>
        <w:noProof/>
      </w:rPr>
      <w:drawing>
        <wp:anchor distT="0" distB="0" distL="114300" distR="114300" simplePos="0" relativeHeight="251675136" behindDoc="1" locked="1" layoutInCell="1" allowOverlap="1" wp14:anchorId="430BFD53" wp14:editId="3E022701">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Specifications for revisions to the Victorian Perinatal Data Collection (VPDC) for 1 July 2022 – </w:t>
    </w:r>
    <w:r w:rsidR="0039371B">
      <w:t>Addendum</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4EC7C70"/>
    <w:multiLevelType w:val="hybridMultilevel"/>
    <w:tmpl w:val="2C180F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4650"/>
        </w:tabs>
        <w:ind w:left="4650"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9355231"/>
    <w:multiLevelType w:val="hybridMultilevel"/>
    <w:tmpl w:val="EE94433A"/>
    <w:lvl w:ilvl="0" w:tplc="68D88CEC">
      <w:numFmt w:val="bullet"/>
      <w:pStyle w:val="BulletDanielle"/>
      <w:lvlText w:val="•"/>
      <w:lvlJc w:val="left"/>
      <w:pPr>
        <w:ind w:left="720"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8F605D"/>
    <w:multiLevelType w:val="hybridMultilevel"/>
    <w:tmpl w:val="209EB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7A124E"/>
    <w:multiLevelType w:val="hybridMultilevel"/>
    <w:tmpl w:val="F46A1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990CA5"/>
    <w:multiLevelType w:val="hybridMultilevel"/>
    <w:tmpl w:val="F2D0B506"/>
    <w:lvl w:ilvl="0" w:tplc="0C09000F">
      <w:start w:val="1"/>
      <w:numFmt w:val="decimal"/>
      <w:pStyle w:val="Healthbullet2lastlin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7F521D"/>
    <w:multiLevelType w:val="hybridMultilevel"/>
    <w:tmpl w:val="AB102B74"/>
    <w:lvl w:ilvl="0" w:tplc="7ED08A86">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1"/>
  </w:num>
  <w:num w:numId="5">
    <w:abstractNumId w:val="4"/>
  </w:num>
  <w:num w:numId="6">
    <w:abstractNumId w:val="0"/>
  </w:num>
  <w:num w:numId="7">
    <w:abstractNumId w:val="2"/>
  </w:num>
  <w:num w:numId="8">
    <w:abstractNumId w:val="9"/>
  </w:num>
  <w:num w:numId="9">
    <w:abstractNumId w:val="6"/>
  </w:num>
  <w:num w:numId="10">
    <w:abstractNumId w:val="15"/>
  </w:num>
  <w:num w:numId="11">
    <w:abstractNumId w:val="12"/>
  </w:num>
  <w:num w:numId="12">
    <w:abstractNumId w:val="1"/>
  </w:num>
  <w:num w:numId="13">
    <w:abstractNumId w:val="10"/>
  </w:num>
  <w:num w:numId="14">
    <w:abstractNumId w:val="14"/>
  </w:num>
  <w:num w:numId="15">
    <w:abstractNumId w:val="13"/>
  </w:num>
  <w:num w:numId="16">
    <w:abstractNumId w:val="5"/>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93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D5"/>
    <w:rsid w:val="00000719"/>
    <w:rsid w:val="00003403"/>
    <w:rsid w:val="00005347"/>
    <w:rsid w:val="00006797"/>
    <w:rsid w:val="00006BA3"/>
    <w:rsid w:val="000072B6"/>
    <w:rsid w:val="0001021B"/>
    <w:rsid w:val="00011D89"/>
    <w:rsid w:val="000154FD"/>
    <w:rsid w:val="00016068"/>
    <w:rsid w:val="00022271"/>
    <w:rsid w:val="000235E8"/>
    <w:rsid w:val="00024D89"/>
    <w:rsid w:val="000250B6"/>
    <w:rsid w:val="00033D81"/>
    <w:rsid w:val="00037366"/>
    <w:rsid w:val="00041BF0"/>
    <w:rsid w:val="00042C8A"/>
    <w:rsid w:val="00044E97"/>
    <w:rsid w:val="0004536B"/>
    <w:rsid w:val="0004685D"/>
    <w:rsid w:val="00046B68"/>
    <w:rsid w:val="000527DD"/>
    <w:rsid w:val="000538D2"/>
    <w:rsid w:val="000578B2"/>
    <w:rsid w:val="00060959"/>
    <w:rsid w:val="00060C8F"/>
    <w:rsid w:val="0006298A"/>
    <w:rsid w:val="000663CD"/>
    <w:rsid w:val="000733FE"/>
    <w:rsid w:val="00074219"/>
    <w:rsid w:val="00074ED5"/>
    <w:rsid w:val="0008508E"/>
    <w:rsid w:val="00087951"/>
    <w:rsid w:val="0009113B"/>
    <w:rsid w:val="00091CC2"/>
    <w:rsid w:val="00093402"/>
    <w:rsid w:val="00094DA3"/>
    <w:rsid w:val="00096CD1"/>
    <w:rsid w:val="000A012C"/>
    <w:rsid w:val="000A0EB9"/>
    <w:rsid w:val="000A186C"/>
    <w:rsid w:val="000A1EA4"/>
    <w:rsid w:val="000A2476"/>
    <w:rsid w:val="000A528C"/>
    <w:rsid w:val="000A641A"/>
    <w:rsid w:val="000B3EDB"/>
    <w:rsid w:val="000B543D"/>
    <w:rsid w:val="000B55F9"/>
    <w:rsid w:val="000B5BF7"/>
    <w:rsid w:val="000B6BC8"/>
    <w:rsid w:val="000B703F"/>
    <w:rsid w:val="000C0303"/>
    <w:rsid w:val="000C42EA"/>
    <w:rsid w:val="000C4546"/>
    <w:rsid w:val="000C737A"/>
    <w:rsid w:val="000D1242"/>
    <w:rsid w:val="000D1302"/>
    <w:rsid w:val="000E0970"/>
    <w:rsid w:val="000E0ECF"/>
    <w:rsid w:val="000E1910"/>
    <w:rsid w:val="000E3CC7"/>
    <w:rsid w:val="000E6BD4"/>
    <w:rsid w:val="000E6D6D"/>
    <w:rsid w:val="000F1F1E"/>
    <w:rsid w:val="000F2259"/>
    <w:rsid w:val="000F2DDA"/>
    <w:rsid w:val="000F5213"/>
    <w:rsid w:val="00101001"/>
    <w:rsid w:val="00101BC9"/>
    <w:rsid w:val="00103276"/>
    <w:rsid w:val="0010392D"/>
    <w:rsid w:val="0010447F"/>
    <w:rsid w:val="00104FE3"/>
    <w:rsid w:val="0010714F"/>
    <w:rsid w:val="001120C5"/>
    <w:rsid w:val="0011701A"/>
    <w:rsid w:val="00120BD3"/>
    <w:rsid w:val="00122FEA"/>
    <w:rsid w:val="001232BD"/>
    <w:rsid w:val="001242E4"/>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9A3"/>
    <w:rsid w:val="00186B33"/>
    <w:rsid w:val="00191459"/>
    <w:rsid w:val="00192F9D"/>
    <w:rsid w:val="00194119"/>
    <w:rsid w:val="00196EB8"/>
    <w:rsid w:val="00196EFB"/>
    <w:rsid w:val="001979FF"/>
    <w:rsid w:val="00197B17"/>
    <w:rsid w:val="001A1950"/>
    <w:rsid w:val="001A1C54"/>
    <w:rsid w:val="001A338A"/>
    <w:rsid w:val="001A3ACE"/>
    <w:rsid w:val="001B058F"/>
    <w:rsid w:val="001B66AB"/>
    <w:rsid w:val="001B738B"/>
    <w:rsid w:val="001C09DB"/>
    <w:rsid w:val="001C277E"/>
    <w:rsid w:val="001C2A72"/>
    <w:rsid w:val="001C31B7"/>
    <w:rsid w:val="001C54EE"/>
    <w:rsid w:val="001D0B75"/>
    <w:rsid w:val="001D39A5"/>
    <w:rsid w:val="001D3C09"/>
    <w:rsid w:val="001D44E8"/>
    <w:rsid w:val="001D60EC"/>
    <w:rsid w:val="001D6F59"/>
    <w:rsid w:val="001E0C5D"/>
    <w:rsid w:val="001E2A36"/>
    <w:rsid w:val="001E2F80"/>
    <w:rsid w:val="001E44DF"/>
    <w:rsid w:val="001E68A5"/>
    <w:rsid w:val="001E6BB0"/>
    <w:rsid w:val="001E7282"/>
    <w:rsid w:val="001F3826"/>
    <w:rsid w:val="001F6E46"/>
    <w:rsid w:val="001F7C91"/>
    <w:rsid w:val="002033B7"/>
    <w:rsid w:val="00204307"/>
    <w:rsid w:val="00206463"/>
    <w:rsid w:val="002066CA"/>
    <w:rsid w:val="00206F2F"/>
    <w:rsid w:val="0021053D"/>
    <w:rsid w:val="00210A92"/>
    <w:rsid w:val="00216C03"/>
    <w:rsid w:val="00220C04"/>
    <w:rsid w:val="0022278D"/>
    <w:rsid w:val="0022701F"/>
    <w:rsid w:val="00227C68"/>
    <w:rsid w:val="0023014E"/>
    <w:rsid w:val="00232650"/>
    <w:rsid w:val="002333F5"/>
    <w:rsid w:val="00233724"/>
    <w:rsid w:val="002365B4"/>
    <w:rsid w:val="002432E1"/>
    <w:rsid w:val="00243F38"/>
    <w:rsid w:val="00246207"/>
    <w:rsid w:val="00246C5E"/>
    <w:rsid w:val="00250960"/>
    <w:rsid w:val="00251343"/>
    <w:rsid w:val="002516A7"/>
    <w:rsid w:val="002536A4"/>
    <w:rsid w:val="00254F58"/>
    <w:rsid w:val="002576CF"/>
    <w:rsid w:val="002620BC"/>
    <w:rsid w:val="00262802"/>
    <w:rsid w:val="00263A90"/>
    <w:rsid w:val="00263C1F"/>
    <w:rsid w:val="0026408B"/>
    <w:rsid w:val="00267C3E"/>
    <w:rsid w:val="0027066B"/>
    <w:rsid w:val="002709BB"/>
    <w:rsid w:val="0027113F"/>
    <w:rsid w:val="002727AE"/>
    <w:rsid w:val="00273BAC"/>
    <w:rsid w:val="00274726"/>
    <w:rsid w:val="002763B3"/>
    <w:rsid w:val="002802E3"/>
    <w:rsid w:val="0028213D"/>
    <w:rsid w:val="002862F1"/>
    <w:rsid w:val="00291373"/>
    <w:rsid w:val="0029597D"/>
    <w:rsid w:val="002962C3"/>
    <w:rsid w:val="0029752B"/>
    <w:rsid w:val="002A0A9C"/>
    <w:rsid w:val="002A483C"/>
    <w:rsid w:val="002A5B0A"/>
    <w:rsid w:val="002A775D"/>
    <w:rsid w:val="002B000F"/>
    <w:rsid w:val="002B0C7C"/>
    <w:rsid w:val="002B1729"/>
    <w:rsid w:val="002B36C7"/>
    <w:rsid w:val="002B4DD4"/>
    <w:rsid w:val="002B5277"/>
    <w:rsid w:val="002B5375"/>
    <w:rsid w:val="002B77C1"/>
    <w:rsid w:val="002B7F4B"/>
    <w:rsid w:val="002C0ED7"/>
    <w:rsid w:val="002C1443"/>
    <w:rsid w:val="002C2728"/>
    <w:rsid w:val="002D049A"/>
    <w:rsid w:val="002D1E0D"/>
    <w:rsid w:val="002D5006"/>
    <w:rsid w:val="002E01D0"/>
    <w:rsid w:val="002E161D"/>
    <w:rsid w:val="002E3100"/>
    <w:rsid w:val="002E6C95"/>
    <w:rsid w:val="002E7C36"/>
    <w:rsid w:val="002F0107"/>
    <w:rsid w:val="002F0EB9"/>
    <w:rsid w:val="002F3146"/>
    <w:rsid w:val="002F3D32"/>
    <w:rsid w:val="002F5F31"/>
    <w:rsid w:val="002F5F46"/>
    <w:rsid w:val="00302216"/>
    <w:rsid w:val="00303342"/>
    <w:rsid w:val="00303E53"/>
    <w:rsid w:val="00305CC1"/>
    <w:rsid w:val="00306E5F"/>
    <w:rsid w:val="00307E14"/>
    <w:rsid w:val="00314054"/>
    <w:rsid w:val="00315512"/>
    <w:rsid w:val="00315BD8"/>
    <w:rsid w:val="00316F27"/>
    <w:rsid w:val="003214F1"/>
    <w:rsid w:val="00322E4B"/>
    <w:rsid w:val="00325F70"/>
    <w:rsid w:val="003263C9"/>
    <w:rsid w:val="00327870"/>
    <w:rsid w:val="00327BE4"/>
    <w:rsid w:val="0033259D"/>
    <w:rsid w:val="003333D2"/>
    <w:rsid w:val="0033343B"/>
    <w:rsid w:val="003403FA"/>
    <w:rsid w:val="003406C6"/>
    <w:rsid w:val="003418CC"/>
    <w:rsid w:val="003459BD"/>
    <w:rsid w:val="00350D38"/>
    <w:rsid w:val="00351B36"/>
    <w:rsid w:val="00353344"/>
    <w:rsid w:val="003536B2"/>
    <w:rsid w:val="00357B4E"/>
    <w:rsid w:val="00361EA1"/>
    <w:rsid w:val="00363604"/>
    <w:rsid w:val="003716FD"/>
    <w:rsid w:val="0037204B"/>
    <w:rsid w:val="003744CF"/>
    <w:rsid w:val="00374717"/>
    <w:rsid w:val="0037676C"/>
    <w:rsid w:val="00381043"/>
    <w:rsid w:val="003829E5"/>
    <w:rsid w:val="00386109"/>
    <w:rsid w:val="00386944"/>
    <w:rsid w:val="0039353D"/>
    <w:rsid w:val="0039371B"/>
    <w:rsid w:val="003956CC"/>
    <w:rsid w:val="00395C9A"/>
    <w:rsid w:val="003A0853"/>
    <w:rsid w:val="003A6B67"/>
    <w:rsid w:val="003B13B6"/>
    <w:rsid w:val="003B15E6"/>
    <w:rsid w:val="003B408A"/>
    <w:rsid w:val="003B5733"/>
    <w:rsid w:val="003B7EB8"/>
    <w:rsid w:val="003C08A2"/>
    <w:rsid w:val="003C2045"/>
    <w:rsid w:val="003C43A1"/>
    <w:rsid w:val="003C4FC0"/>
    <w:rsid w:val="003C55F4"/>
    <w:rsid w:val="003C7897"/>
    <w:rsid w:val="003C7A3F"/>
    <w:rsid w:val="003D2766"/>
    <w:rsid w:val="003D2A74"/>
    <w:rsid w:val="003D3E8F"/>
    <w:rsid w:val="003D6475"/>
    <w:rsid w:val="003E375C"/>
    <w:rsid w:val="003E4086"/>
    <w:rsid w:val="003E4638"/>
    <w:rsid w:val="003E639E"/>
    <w:rsid w:val="003E715C"/>
    <w:rsid w:val="003E71E5"/>
    <w:rsid w:val="003F0445"/>
    <w:rsid w:val="003F0498"/>
    <w:rsid w:val="003F0CF0"/>
    <w:rsid w:val="003F14B1"/>
    <w:rsid w:val="003F2B20"/>
    <w:rsid w:val="003F3289"/>
    <w:rsid w:val="003F5CB9"/>
    <w:rsid w:val="004013C7"/>
    <w:rsid w:val="00401FCF"/>
    <w:rsid w:val="0040248F"/>
    <w:rsid w:val="00406285"/>
    <w:rsid w:val="00411CBD"/>
    <w:rsid w:val="004146C6"/>
    <w:rsid w:val="004148F9"/>
    <w:rsid w:val="00414D4A"/>
    <w:rsid w:val="0042084E"/>
    <w:rsid w:val="00421EEF"/>
    <w:rsid w:val="00424D65"/>
    <w:rsid w:val="00442C6C"/>
    <w:rsid w:val="00443CBE"/>
    <w:rsid w:val="00443E8A"/>
    <w:rsid w:val="004441BC"/>
    <w:rsid w:val="004465E8"/>
    <w:rsid w:val="004468B4"/>
    <w:rsid w:val="0045230A"/>
    <w:rsid w:val="00452498"/>
    <w:rsid w:val="00454AD0"/>
    <w:rsid w:val="00455DAE"/>
    <w:rsid w:val="00457337"/>
    <w:rsid w:val="00462E3D"/>
    <w:rsid w:val="00466E79"/>
    <w:rsid w:val="00470D7D"/>
    <w:rsid w:val="0047372D"/>
    <w:rsid w:val="00473BA3"/>
    <w:rsid w:val="004743DD"/>
    <w:rsid w:val="00474CEA"/>
    <w:rsid w:val="00475186"/>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D01"/>
    <w:rsid w:val="004C11C3"/>
    <w:rsid w:val="004C5541"/>
    <w:rsid w:val="004C6EEE"/>
    <w:rsid w:val="004C702B"/>
    <w:rsid w:val="004D0033"/>
    <w:rsid w:val="004D016B"/>
    <w:rsid w:val="004D0B90"/>
    <w:rsid w:val="004D1B22"/>
    <w:rsid w:val="004D23CC"/>
    <w:rsid w:val="004D316C"/>
    <w:rsid w:val="004D36F2"/>
    <w:rsid w:val="004E1106"/>
    <w:rsid w:val="004E138F"/>
    <w:rsid w:val="004E4649"/>
    <w:rsid w:val="004E5C2B"/>
    <w:rsid w:val="004E622B"/>
    <w:rsid w:val="004F00DD"/>
    <w:rsid w:val="004F2133"/>
    <w:rsid w:val="004F5398"/>
    <w:rsid w:val="004F556D"/>
    <w:rsid w:val="004F55F1"/>
    <w:rsid w:val="004F6936"/>
    <w:rsid w:val="00502145"/>
    <w:rsid w:val="00503DC6"/>
    <w:rsid w:val="00506607"/>
    <w:rsid w:val="00506F5D"/>
    <w:rsid w:val="00510C37"/>
    <w:rsid w:val="005111D1"/>
    <w:rsid w:val="005126D0"/>
    <w:rsid w:val="0051568D"/>
    <w:rsid w:val="0051592E"/>
    <w:rsid w:val="00526AC7"/>
    <w:rsid w:val="00526C15"/>
    <w:rsid w:val="00530B02"/>
    <w:rsid w:val="00536499"/>
    <w:rsid w:val="00543903"/>
    <w:rsid w:val="00543F11"/>
    <w:rsid w:val="00546305"/>
    <w:rsid w:val="005466FE"/>
    <w:rsid w:val="00547A95"/>
    <w:rsid w:val="0055119B"/>
    <w:rsid w:val="0055304A"/>
    <w:rsid w:val="005548B5"/>
    <w:rsid w:val="00572031"/>
    <w:rsid w:val="00572282"/>
    <w:rsid w:val="00573CE3"/>
    <w:rsid w:val="00573D5A"/>
    <w:rsid w:val="00576E84"/>
    <w:rsid w:val="00580394"/>
    <w:rsid w:val="005809CD"/>
    <w:rsid w:val="00582B8C"/>
    <w:rsid w:val="0058757E"/>
    <w:rsid w:val="005948E0"/>
    <w:rsid w:val="00596A4B"/>
    <w:rsid w:val="00597507"/>
    <w:rsid w:val="005A2838"/>
    <w:rsid w:val="005A2996"/>
    <w:rsid w:val="005A479D"/>
    <w:rsid w:val="005B1699"/>
    <w:rsid w:val="005B1C6D"/>
    <w:rsid w:val="005B21B6"/>
    <w:rsid w:val="005B3A08"/>
    <w:rsid w:val="005B7A63"/>
    <w:rsid w:val="005C08B5"/>
    <w:rsid w:val="005C0955"/>
    <w:rsid w:val="005C176D"/>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6D5"/>
    <w:rsid w:val="005F21EB"/>
    <w:rsid w:val="00605908"/>
    <w:rsid w:val="00610D7C"/>
    <w:rsid w:val="00613414"/>
    <w:rsid w:val="00620154"/>
    <w:rsid w:val="00623931"/>
    <w:rsid w:val="0062408D"/>
    <w:rsid w:val="006240CC"/>
    <w:rsid w:val="00624940"/>
    <w:rsid w:val="006254F8"/>
    <w:rsid w:val="00627DA7"/>
    <w:rsid w:val="00630DA4"/>
    <w:rsid w:val="00632597"/>
    <w:rsid w:val="006358B4"/>
    <w:rsid w:val="00636744"/>
    <w:rsid w:val="006419AA"/>
    <w:rsid w:val="00644985"/>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092B"/>
    <w:rsid w:val="00673CD3"/>
    <w:rsid w:val="00677574"/>
    <w:rsid w:val="0068454C"/>
    <w:rsid w:val="0068650C"/>
    <w:rsid w:val="00691B62"/>
    <w:rsid w:val="006933B5"/>
    <w:rsid w:val="00693931"/>
    <w:rsid w:val="00693D14"/>
    <w:rsid w:val="00694260"/>
    <w:rsid w:val="00696F27"/>
    <w:rsid w:val="006A18C2"/>
    <w:rsid w:val="006A3383"/>
    <w:rsid w:val="006A3571"/>
    <w:rsid w:val="006B077C"/>
    <w:rsid w:val="006B516D"/>
    <w:rsid w:val="006B6803"/>
    <w:rsid w:val="006C2A47"/>
    <w:rsid w:val="006C6C3D"/>
    <w:rsid w:val="006C7017"/>
    <w:rsid w:val="006D0F16"/>
    <w:rsid w:val="006D2A3F"/>
    <w:rsid w:val="006D2FBC"/>
    <w:rsid w:val="006D552E"/>
    <w:rsid w:val="006D7093"/>
    <w:rsid w:val="006E0541"/>
    <w:rsid w:val="006E138B"/>
    <w:rsid w:val="006F0330"/>
    <w:rsid w:val="006F1FDC"/>
    <w:rsid w:val="006F4CAF"/>
    <w:rsid w:val="006F6B8C"/>
    <w:rsid w:val="007013EF"/>
    <w:rsid w:val="007055BD"/>
    <w:rsid w:val="007173CA"/>
    <w:rsid w:val="007216AA"/>
    <w:rsid w:val="00721AB5"/>
    <w:rsid w:val="00721CFB"/>
    <w:rsid w:val="00721DEF"/>
    <w:rsid w:val="00724A43"/>
    <w:rsid w:val="007273AC"/>
    <w:rsid w:val="00731AD4"/>
    <w:rsid w:val="007327A9"/>
    <w:rsid w:val="007346E4"/>
    <w:rsid w:val="00740F22"/>
    <w:rsid w:val="00741CF0"/>
    <w:rsid w:val="00741F1A"/>
    <w:rsid w:val="007447DA"/>
    <w:rsid w:val="007450F8"/>
    <w:rsid w:val="0074696E"/>
    <w:rsid w:val="00750135"/>
    <w:rsid w:val="00750EC2"/>
    <w:rsid w:val="00752B28"/>
    <w:rsid w:val="007541A9"/>
    <w:rsid w:val="00754E36"/>
    <w:rsid w:val="00763139"/>
    <w:rsid w:val="00766BC9"/>
    <w:rsid w:val="00770F37"/>
    <w:rsid w:val="007711A0"/>
    <w:rsid w:val="00772D5E"/>
    <w:rsid w:val="0077463E"/>
    <w:rsid w:val="00776928"/>
    <w:rsid w:val="00776E0F"/>
    <w:rsid w:val="007774B1"/>
    <w:rsid w:val="00777BE1"/>
    <w:rsid w:val="007833D8"/>
    <w:rsid w:val="00784F3A"/>
    <w:rsid w:val="00785677"/>
    <w:rsid w:val="00786F16"/>
    <w:rsid w:val="00791450"/>
    <w:rsid w:val="00791BD7"/>
    <w:rsid w:val="007933F7"/>
    <w:rsid w:val="00796E20"/>
    <w:rsid w:val="00797C32"/>
    <w:rsid w:val="007A00F9"/>
    <w:rsid w:val="007A11E8"/>
    <w:rsid w:val="007A44CE"/>
    <w:rsid w:val="007B0914"/>
    <w:rsid w:val="007B1374"/>
    <w:rsid w:val="007B32E5"/>
    <w:rsid w:val="007B3DB9"/>
    <w:rsid w:val="007B589F"/>
    <w:rsid w:val="007B6186"/>
    <w:rsid w:val="007B6EAD"/>
    <w:rsid w:val="007B73BC"/>
    <w:rsid w:val="007C1838"/>
    <w:rsid w:val="007C20B9"/>
    <w:rsid w:val="007C7301"/>
    <w:rsid w:val="007C7859"/>
    <w:rsid w:val="007C7F28"/>
    <w:rsid w:val="007D1466"/>
    <w:rsid w:val="007D24F4"/>
    <w:rsid w:val="007D2BDE"/>
    <w:rsid w:val="007D2FB6"/>
    <w:rsid w:val="007D4193"/>
    <w:rsid w:val="007D49EB"/>
    <w:rsid w:val="007D5E1C"/>
    <w:rsid w:val="007E054D"/>
    <w:rsid w:val="007E08C4"/>
    <w:rsid w:val="007E0DE2"/>
    <w:rsid w:val="007E1227"/>
    <w:rsid w:val="007E3B98"/>
    <w:rsid w:val="007E3F9B"/>
    <w:rsid w:val="007E417A"/>
    <w:rsid w:val="007F31B6"/>
    <w:rsid w:val="007F546C"/>
    <w:rsid w:val="007F625F"/>
    <w:rsid w:val="007F665E"/>
    <w:rsid w:val="007F7EA8"/>
    <w:rsid w:val="00800412"/>
    <w:rsid w:val="0080587B"/>
    <w:rsid w:val="00806468"/>
    <w:rsid w:val="008119CA"/>
    <w:rsid w:val="008130C4"/>
    <w:rsid w:val="008155F0"/>
    <w:rsid w:val="00816735"/>
    <w:rsid w:val="00816FD5"/>
    <w:rsid w:val="00817658"/>
    <w:rsid w:val="00820141"/>
    <w:rsid w:val="00820E0C"/>
    <w:rsid w:val="00823275"/>
    <w:rsid w:val="0082366F"/>
    <w:rsid w:val="00825CF6"/>
    <w:rsid w:val="008338A2"/>
    <w:rsid w:val="00835FAF"/>
    <w:rsid w:val="00841AA9"/>
    <w:rsid w:val="008450F0"/>
    <w:rsid w:val="008474FE"/>
    <w:rsid w:val="008509C2"/>
    <w:rsid w:val="00853EE4"/>
    <w:rsid w:val="00855535"/>
    <w:rsid w:val="00857C5A"/>
    <w:rsid w:val="0086255E"/>
    <w:rsid w:val="008633F0"/>
    <w:rsid w:val="00865C10"/>
    <w:rsid w:val="00867A81"/>
    <w:rsid w:val="00867D9D"/>
    <w:rsid w:val="00872E0A"/>
    <w:rsid w:val="00873594"/>
    <w:rsid w:val="00875285"/>
    <w:rsid w:val="00881E50"/>
    <w:rsid w:val="00884B62"/>
    <w:rsid w:val="0088529C"/>
    <w:rsid w:val="00887903"/>
    <w:rsid w:val="00890F18"/>
    <w:rsid w:val="0089270A"/>
    <w:rsid w:val="00893AF6"/>
    <w:rsid w:val="00894BC4"/>
    <w:rsid w:val="008A05BD"/>
    <w:rsid w:val="008A0DBD"/>
    <w:rsid w:val="008A28A8"/>
    <w:rsid w:val="008A5B32"/>
    <w:rsid w:val="008B2742"/>
    <w:rsid w:val="008B2EE4"/>
    <w:rsid w:val="008B4D3D"/>
    <w:rsid w:val="008B4F53"/>
    <w:rsid w:val="008B57C7"/>
    <w:rsid w:val="008C158E"/>
    <w:rsid w:val="008C2F92"/>
    <w:rsid w:val="008C3697"/>
    <w:rsid w:val="008C5557"/>
    <w:rsid w:val="008C589D"/>
    <w:rsid w:val="008C6D51"/>
    <w:rsid w:val="008D2846"/>
    <w:rsid w:val="008D4236"/>
    <w:rsid w:val="008D462F"/>
    <w:rsid w:val="008D530E"/>
    <w:rsid w:val="008D697D"/>
    <w:rsid w:val="008D6DCF"/>
    <w:rsid w:val="008E4376"/>
    <w:rsid w:val="008E7A0A"/>
    <w:rsid w:val="008E7B49"/>
    <w:rsid w:val="008E7D8D"/>
    <w:rsid w:val="008F0F22"/>
    <w:rsid w:val="008F11B4"/>
    <w:rsid w:val="008F59F6"/>
    <w:rsid w:val="008F5AB6"/>
    <w:rsid w:val="008F73D4"/>
    <w:rsid w:val="00900719"/>
    <w:rsid w:val="009017AC"/>
    <w:rsid w:val="00902A9A"/>
    <w:rsid w:val="00904A1C"/>
    <w:rsid w:val="00905030"/>
    <w:rsid w:val="00906490"/>
    <w:rsid w:val="009111B2"/>
    <w:rsid w:val="009151F5"/>
    <w:rsid w:val="0091615E"/>
    <w:rsid w:val="00924AE1"/>
    <w:rsid w:val="009268FD"/>
    <w:rsid w:val="009269B1"/>
    <w:rsid w:val="0092724D"/>
    <w:rsid w:val="009272B3"/>
    <w:rsid w:val="009315BE"/>
    <w:rsid w:val="0093338F"/>
    <w:rsid w:val="00933F7A"/>
    <w:rsid w:val="00936A9D"/>
    <w:rsid w:val="00937BD9"/>
    <w:rsid w:val="00945EBF"/>
    <w:rsid w:val="00950E2C"/>
    <w:rsid w:val="00951B42"/>
    <w:rsid w:val="00951D50"/>
    <w:rsid w:val="009525EB"/>
    <w:rsid w:val="0095470B"/>
    <w:rsid w:val="00954874"/>
    <w:rsid w:val="0095615A"/>
    <w:rsid w:val="0095781A"/>
    <w:rsid w:val="00961400"/>
    <w:rsid w:val="00961F96"/>
    <w:rsid w:val="00963646"/>
    <w:rsid w:val="0096632D"/>
    <w:rsid w:val="009676A4"/>
    <w:rsid w:val="009718C7"/>
    <w:rsid w:val="00972F8E"/>
    <w:rsid w:val="0097559F"/>
    <w:rsid w:val="0097761E"/>
    <w:rsid w:val="00982454"/>
    <w:rsid w:val="00982CF0"/>
    <w:rsid w:val="009853E1"/>
    <w:rsid w:val="00986E6B"/>
    <w:rsid w:val="00990032"/>
    <w:rsid w:val="00990B19"/>
    <w:rsid w:val="0099153B"/>
    <w:rsid w:val="00991769"/>
    <w:rsid w:val="0099232C"/>
    <w:rsid w:val="00994386"/>
    <w:rsid w:val="0099457C"/>
    <w:rsid w:val="009A07E8"/>
    <w:rsid w:val="009A13D8"/>
    <w:rsid w:val="009A279E"/>
    <w:rsid w:val="009A3015"/>
    <w:rsid w:val="009A3490"/>
    <w:rsid w:val="009B0A6F"/>
    <w:rsid w:val="009B0A94"/>
    <w:rsid w:val="009B2AE8"/>
    <w:rsid w:val="009B59E9"/>
    <w:rsid w:val="009B70AA"/>
    <w:rsid w:val="009C5E77"/>
    <w:rsid w:val="009C6C8D"/>
    <w:rsid w:val="009C7A7E"/>
    <w:rsid w:val="009D02E8"/>
    <w:rsid w:val="009D51D0"/>
    <w:rsid w:val="009D5B5D"/>
    <w:rsid w:val="009D70A4"/>
    <w:rsid w:val="009D7B14"/>
    <w:rsid w:val="009E08D1"/>
    <w:rsid w:val="009E1483"/>
    <w:rsid w:val="009E1B95"/>
    <w:rsid w:val="009E496F"/>
    <w:rsid w:val="009E4B0D"/>
    <w:rsid w:val="009E5250"/>
    <w:rsid w:val="009E7F92"/>
    <w:rsid w:val="009F02A3"/>
    <w:rsid w:val="009F1071"/>
    <w:rsid w:val="009F2C9B"/>
    <w:rsid w:val="009F2F27"/>
    <w:rsid w:val="009F34AA"/>
    <w:rsid w:val="009F6BCB"/>
    <w:rsid w:val="009F7B78"/>
    <w:rsid w:val="00A0057A"/>
    <w:rsid w:val="00A02FA1"/>
    <w:rsid w:val="00A04660"/>
    <w:rsid w:val="00A04CCE"/>
    <w:rsid w:val="00A07421"/>
    <w:rsid w:val="00A0776B"/>
    <w:rsid w:val="00A109EB"/>
    <w:rsid w:val="00A10FB9"/>
    <w:rsid w:val="00A11421"/>
    <w:rsid w:val="00A1389F"/>
    <w:rsid w:val="00A157B1"/>
    <w:rsid w:val="00A2117B"/>
    <w:rsid w:val="00A22229"/>
    <w:rsid w:val="00A24442"/>
    <w:rsid w:val="00A25D1D"/>
    <w:rsid w:val="00A330BB"/>
    <w:rsid w:val="00A437EA"/>
    <w:rsid w:val="00A44882"/>
    <w:rsid w:val="00A45125"/>
    <w:rsid w:val="00A54715"/>
    <w:rsid w:val="00A6061C"/>
    <w:rsid w:val="00A62D44"/>
    <w:rsid w:val="00A63636"/>
    <w:rsid w:val="00A65769"/>
    <w:rsid w:val="00A67263"/>
    <w:rsid w:val="00A7046C"/>
    <w:rsid w:val="00A704A2"/>
    <w:rsid w:val="00A7161C"/>
    <w:rsid w:val="00A758F2"/>
    <w:rsid w:val="00A77AA3"/>
    <w:rsid w:val="00A8236D"/>
    <w:rsid w:val="00A853B9"/>
    <w:rsid w:val="00A854EB"/>
    <w:rsid w:val="00A8685E"/>
    <w:rsid w:val="00A872E5"/>
    <w:rsid w:val="00A90148"/>
    <w:rsid w:val="00A91406"/>
    <w:rsid w:val="00A921D8"/>
    <w:rsid w:val="00A96E65"/>
    <w:rsid w:val="00A97C72"/>
    <w:rsid w:val="00AA25E7"/>
    <w:rsid w:val="00AA268E"/>
    <w:rsid w:val="00AA28D8"/>
    <w:rsid w:val="00AA310B"/>
    <w:rsid w:val="00AA63D4"/>
    <w:rsid w:val="00AB06E8"/>
    <w:rsid w:val="00AB1CD3"/>
    <w:rsid w:val="00AB352F"/>
    <w:rsid w:val="00AB3609"/>
    <w:rsid w:val="00AC1701"/>
    <w:rsid w:val="00AC274B"/>
    <w:rsid w:val="00AC4764"/>
    <w:rsid w:val="00AC51D1"/>
    <w:rsid w:val="00AC6D36"/>
    <w:rsid w:val="00AC6F9B"/>
    <w:rsid w:val="00AD0CBA"/>
    <w:rsid w:val="00AD177A"/>
    <w:rsid w:val="00AD26E2"/>
    <w:rsid w:val="00AD6440"/>
    <w:rsid w:val="00AD784C"/>
    <w:rsid w:val="00AE126A"/>
    <w:rsid w:val="00AE1BAE"/>
    <w:rsid w:val="00AE3005"/>
    <w:rsid w:val="00AE3BD5"/>
    <w:rsid w:val="00AE59A0"/>
    <w:rsid w:val="00AF01D3"/>
    <w:rsid w:val="00AF0C57"/>
    <w:rsid w:val="00AF26F3"/>
    <w:rsid w:val="00AF5F04"/>
    <w:rsid w:val="00AF6B60"/>
    <w:rsid w:val="00AF733A"/>
    <w:rsid w:val="00B00672"/>
    <w:rsid w:val="00B01B4D"/>
    <w:rsid w:val="00B04916"/>
    <w:rsid w:val="00B05F55"/>
    <w:rsid w:val="00B06571"/>
    <w:rsid w:val="00B06821"/>
    <w:rsid w:val="00B068BA"/>
    <w:rsid w:val="00B1169B"/>
    <w:rsid w:val="00B13851"/>
    <w:rsid w:val="00B13B1C"/>
    <w:rsid w:val="00B14780"/>
    <w:rsid w:val="00B20A1F"/>
    <w:rsid w:val="00B21F90"/>
    <w:rsid w:val="00B22291"/>
    <w:rsid w:val="00B23F68"/>
    <w:rsid w:val="00B23F9A"/>
    <w:rsid w:val="00B2417B"/>
    <w:rsid w:val="00B24E6F"/>
    <w:rsid w:val="00B26CB5"/>
    <w:rsid w:val="00B2752E"/>
    <w:rsid w:val="00B27B65"/>
    <w:rsid w:val="00B307CC"/>
    <w:rsid w:val="00B326B7"/>
    <w:rsid w:val="00B3588E"/>
    <w:rsid w:val="00B41F3D"/>
    <w:rsid w:val="00B431E8"/>
    <w:rsid w:val="00B4399A"/>
    <w:rsid w:val="00B45141"/>
    <w:rsid w:val="00B451B9"/>
    <w:rsid w:val="00B46DE7"/>
    <w:rsid w:val="00B519CD"/>
    <w:rsid w:val="00B5273A"/>
    <w:rsid w:val="00B57329"/>
    <w:rsid w:val="00B60E61"/>
    <w:rsid w:val="00B62B50"/>
    <w:rsid w:val="00B635B7"/>
    <w:rsid w:val="00B63AE8"/>
    <w:rsid w:val="00B65950"/>
    <w:rsid w:val="00B666CB"/>
    <w:rsid w:val="00B66D83"/>
    <w:rsid w:val="00B672C0"/>
    <w:rsid w:val="00B676FD"/>
    <w:rsid w:val="00B7073E"/>
    <w:rsid w:val="00B75646"/>
    <w:rsid w:val="00B85E5C"/>
    <w:rsid w:val="00B866CA"/>
    <w:rsid w:val="00B90729"/>
    <w:rsid w:val="00B907DA"/>
    <w:rsid w:val="00B917E8"/>
    <w:rsid w:val="00B950BC"/>
    <w:rsid w:val="00B96179"/>
    <w:rsid w:val="00B9714C"/>
    <w:rsid w:val="00BA0C0A"/>
    <w:rsid w:val="00BA29AD"/>
    <w:rsid w:val="00BA33CF"/>
    <w:rsid w:val="00BA3F8D"/>
    <w:rsid w:val="00BA53CE"/>
    <w:rsid w:val="00BB5B31"/>
    <w:rsid w:val="00BB7A10"/>
    <w:rsid w:val="00BC3E8F"/>
    <w:rsid w:val="00BC52CC"/>
    <w:rsid w:val="00BC60BE"/>
    <w:rsid w:val="00BC7468"/>
    <w:rsid w:val="00BC7D4F"/>
    <w:rsid w:val="00BC7ED7"/>
    <w:rsid w:val="00BD2850"/>
    <w:rsid w:val="00BE28D2"/>
    <w:rsid w:val="00BE4A64"/>
    <w:rsid w:val="00BE5E43"/>
    <w:rsid w:val="00BF557D"/>
    <w:rsid w:val="00BF7F58"/>
    <w:rsid w:val="00C00D26"/>
    <w:rsid w:val="00C01381"/>
    <w:rsid w:val="00C01AB1"/>
    <w:rsid w:val="00C026A0"/>
    <w:rsid w:val="00C03876"/>
    <w:rsid w:val="00C05775"/>
    <w:rsid w:val="00C06137"/>
    <w:rsid w:val="00C066D7"/>
    <w:rsid w:val="00C079B8"/>
    <w:rsid w:val="00C10037"/>
    <w:rsid w:val="00C123EA"/>
    <w:rsid w:val="00C12A49"/>
    <w:rsid w:val="00C133EE"/>
    <w:rsid w:val="00C149D0"/>
    <w:rsid w:val="00C26588"/>
    <w:rsid w:val="00C27DE9"/>
    <w:rsid w:val="00C32989"/>
    <w:rsid w:val="00C33388"/>
    <w:rsid w:val="00C35484"/>
    <w:rsid w:val="00C40DB3"/>
    <w:rsid w:val="00C4173A"/>
    <w:rsid w:val="00C431CC"/>
    <w:rsid w:val="00C50DED"/>
    <w:rsid w:val="00C602FF"/>
    <w:rsid w:val="00C61174"/>
    <w:rsid w:val="00C6148F"/>
    <w:rsid w:val="00C621B1"/>
    <w:rsid w:val="00C62F7A"/>
    <w:rsid w:val="00C63B9C"/>
    <w:rsid w:val="00C6682F"/>
    <w:rsid w:val="00C67BF4"/>
    <w:rsid w:val="00C705C2"/>
    <w:rsid w:val="00C7275E"/>
    <w:rsid w:val="00C74C5D"/>
    <w:rsid w:val="00C7749A"/>
    <w:rsid w:val="00C81D35"/>
    <w:rsid w:val="00C863C4"/>
    <w:rsid w:val="00C920EA"/>
    <w:rsid w:val="00C92F49"/>
    <w:rsid w:val="00C93C3E"/>
    <w:rsid w:val="00CA12E3"/>
    <w:rsid w:val="00CA1476"/>
    <w:rsid w:val="00CA6611"/>
    <w:rsid w:val="00CA6AE6"/>
    <w:rsid w:val="00CA6DB5"/>
    <w:rsid w:val="00CA782F"/>
    <w:rsid w:val="00CB0C33"/>
    <w:rsid w:val="00CB187B"/>
    <w:rsid w:val="00CB2835"/>
    <w:rsid w:val="00CB3285"/>
    <w:rsid w:val="00CB4500"/>
    <w:rsid w:val="00CB6768"/>
    <w:rsid w:val="00CB73B8"/>
    <w:rsid w:val="00CB7800"/>
    <w:rsid w:val="00CC0C72"/>
    <w:rsid w:val="00CC2BFD"/>
    <w:rsid w:val="00CD1108"/>
    <w:rsid w:val="00CD1C20"/>
    <w:rsid w:val="00CD2C40"/>
    <w:rsid w:val="00CD3476"/>
    <w:rsid w:val="00CD64DF"/>
    <w:rsid w:val="00CE225F"/>
    <w:rsid w:val="00CE4780"/>
    <w:rsid w:val="00CE4C6E"/>
    <w:rsid w:val="00CF0725"/>
    <w:rsid w:val="00CF2F50"/>
    <w:rsid w:val="00CF3E3E"/>
    <w:rsid w:val="00CF6198"/>
    <w:rsid w:val="00D02919"/>
    <w:rsid w:val="00D04C61"/>
    <w:rsid w:val="00D05B8D"/>
    <w:rsid w:val="00D065A2"/>
    <w:rsid w:val="00D079AA"/>
    <w:rsid w:val="00D07F00"/>
    <w:rsid w:val="00D10C88"/>
    <w:rsid w:val="00D1130F"/>
    <w:rsid w:val="00D13CB8"/>
    <w:rsid w:val="00D17B72"/>
    <w:rsid w:val="00D3185C"/>
    <w:rsid w:val="00D3205F"/>
    <w:rsid w:val="00D3318E"/>
    <w:rsid w:val="00D33E72"/>
    <w:rsid w:val="00D35BD6"/>
    <w:rsid w:val="00D361B5"/>
    <w:rsid w:val="00D37428"/>
    <w:rsid w:val="00D411A2"/>
    <w:rsid w:val="00D4595F"/>
    <w:rsid w:val="00D4606D"/>
    <w:rsid w:val="00D46C92"/>
    <w:rsid w:val="00D47C75"/>
    <w:rsid w:val="00D50B9C"/>
    <w:rsid w:val="00D52D73"/>
    <w:rsid w:val="00D52E58"/>
    <w:rsid w:val="00D56B20"/>
    <w:rsid w:val="00D578B3"/>
    <w:rsid w:val="00D618F4"/>
    <w:rsid w:val="00D63DCA"/>
    <w:rsid w:val="00D714CC"/>
    <w:rsid w:val="00D71C92"/>
    <w:rsid w:val="00D75EA7"/>
    <w:rsid w:val="00D81ADF"/>
    <w:rsid w:val="00D81F21"/>
    <w:rsid w:val="00D85879"/>
    <w:rsid w:val="00D864F2"/>
    <w:rsid w:val="00D92465"/>
    <w:rsid w:val="00D943F8"/>
    <w:rsid w:val="00D95470"/>
    <w:rsid w:val="00D96B55"/>
    <w:rsid w:val="00DA2619"/>
    <w:rsid w:val="00DA4239"/>
    <w:rsid w:val="00DA59FD"/>
    <w:rsid w:val="00DA65DE"/>
    <w:rsid w:val="00DB0B61"/>
    <w:rsid w:val="00DB1474"/>
    <w:rsid w:val="00DB2962"/>
    <w:rsid w:val="00DB52FB"/>
    <w:rsid w:val="00DC013B"/>
    <w:rsid w:val="00DC090B"/>
    <w:rsid w:val="00DC1679"/>
    <w:rsid w:val="00DC219B"/>
    <w:rsid w:val="00DC2CF1"/>
    <w:rsid w:val="00DC4FCF"/>
    <w:rsid w:val="00DC50E0"/>
    <w:rsid w:val="00DC6386"/>
    <w:rsid w:val="00DC6D5A"/>
    <w:rsid w:val="00DD1130"/>
    <w:rsid w:val="00DD1951"/>
    <w:rsid w:val="00DD487D"/>
    <w:rsid w:val="00DD4E83"/>
    <w:rsid w:val="00DD6628"/>
    <w:rsid w:val="00DD6945"/>
    <w:rsid w:val="00DD7B84"/>
    <w:rsid w:val="00DE1350"/>
    <w:rsid w:val="00DE2D04"/>
    <w:rsid w:val="00DE3250"/>
    <w:rsid w:val="00DE6028"/>
    <w:rsid w:val="00DE65DA"/>
    <w:rsid w:val="00DE78A3"/>
    <w:rsid w:val="00DF0289"/>
    <w:rsid w:val="00DF1A71"/>
    <w:rsid w:val="00DF50FC"/>
    <w:rsid w:val="00DF68C7"/>
    <w:rsid w:val="00DF731A"/>
    <w:rsid w:val="00E043A0"/>
    <w:rsid w:val="00E06180"/>
    <w:rsid w:val="00E06B75"/>
    <w:rsid w:val="00E11332"/>
    <w:rsid w:val="00E11352"/>
    <w:rsid w:val="00E150EE"/>
    <w:rsid w:val="00E170DC"/>
    <w:rsid w:val="00E17546"/>
    <w:rsid w:val="00E210B5"/>
    <w:rsid w:val="00E261B3"/>
    <w:rsid w:val="00E26818"/>
    <w:rsid w:val="00E27FFC"/>
    <w:rsid w:val="00E30B15"/>
    <w:rsid w:val="00E33237"/>
    <w:rsid w:val="00E33B35"/>
    <w:rsid w:val="00E3449E"/>
    <w:rsid w:val="00E40181"/>
    <w:rsid w:val="00E50F75"/>
    <w:rsid w:val="00E545EB"/>
    <w:rsid w:val="00E54950"/>
    <w:rsid w:val="00E56A01"/>
    <w:rsid w:val="00E5774B"/>
    <w:rsid w:val="00E62622"/>
    <w:rsid w:val="00E629A1"/>
    <w:rsid w:val="00E6794C"/>
    <w:rsid w:val="00E703B2"/>
    <w:rsid w:val="00E71591"/>
    <w:rsid w:val="00E71CEB"/>
    <w:rsid w:val="00E7474F"/>
    <w:rsid w:val="00E80DE3"/>
    <w:rsid w:val="00E82C55"/>
    <w:rsid w:val="00E8490B"/>
    <w:rsid w:val="00E8787E"/>
    <w:rsid w:val="00E92AC3"/>
    <w:rsid w:val="00E96CA7"/>
    <w:rsid w:val="00EA1360"/>
    <w:rsid w:val="00EA2F6A"/>
    <w:rsid w:val="00EB00E0"/>
    <w:rsid w:val="00EB3C6B"/>
    <w:rsid w:val="00EC059F"/>
    <w:rsid w:val="00EC1F24"/>
    <w:rsid w:val="00EC22F6"/>
    <w:rsid w:val="00EC40D5"/>
    <w:rsid w:val="00EC52D0"/>
    <w:rsid w:val="00EC7A48"/>
    <w:rsid w:val="00ED3CA5"/>
    <w:rsid w:val="00ED5B9B"/>
    <w:rsid w:val="00ED6BAD"/>
    <w:rsid w:val="00ED7447"/>
    <w:rsid w:val="00EE00D6"/>
    <w:rsid w:val="00EE11E7"/>
    <w:rsid w:val="00EE1488"/>
    <w:rsid w:val="00EE29AD"/>
    <w:rsid w:val="00EE3E24"/>
    <w:rsid w:val="00EE4D5D"/>
    <w:rsid w:val="00EE5131"/>
    <w:rsid w:val="00EE5A20"/>
    <w:rsid w:val="00EF109B"/>
    <w:rsid w:val="00EF201C"/>
    <w:rsid w:val="00EF36AF"/>
    <w:rsid w:val="00EF59A3"/>
    <w:rsid w:val="00EF5D21"/>
    <w:rsid w:val="00EF6675"/>
    <w:rsid w:val="00F00F9C"/>
    <w:rsid w:val="00F01E5F"/>
    <w:rsid w:val="00F024F3"/>
    <w:rsid w:val="00F02ABA"/>
    <w:rsid w:val="00F0437A"/>
    <w:rsid w:val="00F07E23"/>
    <w:rsid w:val="00F101B8"/>
    <w:rsid w:val="00F11037"/>
    <w:rsid w:val="00F16F1B"/>
    <w:rsid w:val="00F250A9"/>
    <w:rsid w:val="00F267AF"/>
    <w:rsid w:val="00F26DC5"/>
    <w:rsid w:val="00F27377"/>
    <w:rsid w:val="00F30FF4"/>
    <w:rsid w:val="00F3122E"/>
    <w:rsid w:val="00F32368"/>
    <w:rsid w:val="00F331AD"/>
    <w:rsid w:val="00F35287"/>
    <w:rsid w:val="00F40A70"/>
    <w:rsid w:val="00F43A37"/>
    <w:rsid w:val="00F451AB"/>
    <w:rsid w:val="00F4641B"/>
    <w:rsid w:val="00F46EB8"/>
    <w:rsid w:val="00F50CD1"/>
    <w:rsid w:val="00F511E4"/>
    <w:rsid w:val="00F511F2"/>
    <w:rsid w:val="00F52D09"/>
    <w:rsid w:val="00F52E08"/>
    <w:rsid w:val="00F53A66"/>
    <w:rsid w:val="00F54580"/>
    <w:rsid w:val="00F5462D"/>
    <w:rsid w:val="00F55B21"/>
    <w:rsid w:val="00F56EF6"/>
    <w:rsid w:val="00F60082"/>
    <w:rsid w:val="00F61A9F"/>
    <w:rsid w:val="00F61B5F"/>
    <w:rsid w:val="00F64696"/>
    <w:rsid w:val="00F65AA9"/>
    <w:rsid w:val="00F6768F"/>
    <w:rsid w:val="00F72C2C"/>
    <w:rsid w:val="00F748C5"/>
    <w:rsid w:val="00F76CAB"/>
    <w:rsid w:val="00F772C6"/>
    <w:rsid w:val="00F80F5A"/>
    <w:rsid w:val="00F815B5"/>
    <w:rsid w:val="00F84FA0"/>
    <w:rsid w:val="00F85195"/>
    <w:rsid w:val="00F868E3"/>
    <w:rsid w:val="00F938BA"/>
    <w:rsid w:val="00F94B21"/>
    <w:rsid w:val="00F97919"/>
    <w:rsid w:val="00FA2C46"/>
    <w:rsid w:val="00FA3525"/>
    <w:rsid w:val="00FA5A53"/>
    <w:rsid w:val="00FA5B77"/>
    <w:rsid w:val="00FB1C32"/>
    <w:rsid w:val="00FB456E"/>
    <w:rsid w:val="00FB4769"/>
    <w:rsid w:val="00FB4CDA"/>
    <w:rsid w:val="00FB6481"/>
    <w:rsid w:val="00FB6D36"/>
    <w:rsid w:val="00FC0965"/>
    <w:rsid w:val="00FC0F81"/>
    <w:rsid w:val="00FC252F"/>
    <w:rsid w:val="00FC395C"/>
    <w:rsid w:val="00FC5E8E"/>
    <w:rsid w:val="00FC7FB6"/>
    <w:rsid w:val="00FD3527"/>
    <w:rsid w:val="00FD3766"/>
    <w:rsid w:val="00FD47C4"/>
    <w:rsid w:val="00FD5147"/>
    <w:rsid w:val="00FD722A"/>
    <w:rsid w:val="00FE2DCF"/>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5299DEA8"/>
  <w15:docId w15:val="{9AE98406-2D36-41F0-90F0-62C8F90E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rsid w:val="00AD6440"/>
    <w:pPr>
      <w:spacing w:after="300" w:line="240" w:lineRule="auto"/>
    </w:pPr>
    <w:rPr>
      <w:rFonts w:cs="Arial"/>
      <w:color w:val="53565A"/>
      <w:sz w:val="18"/>
      <w:szCs w:val="18"/>
    </w:rPr>
  </w:style>
  <w:style w:type="paragraph" w:styleId="Footer">
    <w:name w:val="footer"/>
    <w:link w:val="FooterChar"/>
    <w:uiPriority w:val="99"/>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rsid w:val="00D46C92"/>
    <w:pPr>
      <w:keepLines/>
      <w:tabs>
        <w:tab w:val="right" w:leader="dot" w:pos="10206"/>
      </w:tabs>
      <w:spacing w:after="60"/>
      <w:ind w:left="284"/>
    </w:pPr>
    <w:rPr>
      <w:rFonts w:cs="Arial"/>
    </w:rPr>
  </w:style>
  <w:style w:type="paragraph" w:styleId="TOC4">
    <w:name w:val="toc 4"/>
    <w:basedOn w:val="TOC3"/>
    <w:rsid w:val="00D46C92"/>
    <w:pPr>
      <w:ind w:left="567"/>
    </w:pPr>
  </w:style>
  <w:style w:type="paragraph" w:styleId="TOC5">
    <w:name w:val="toc 5"/>
    <w:basedOn w:val="TOC4"/>
    <w:rsid w:val="00DB1474"/>
    <w:pPr>
      <w:ind w:left="851"/>
    </w:pPr>
  </w:style>
  <w:style w:type="paragraph" w:styleId="TOC6">
    <w:name w:val="toc 6"/>
    <w:basedOn w:val="Normal"/>
    <w:next w:val="Normal"/>
    <w:autoRedefine/>
    <w:rsid w:val="0021053D"/>
    <w:pPr>
      <w:ind w:left="1000"/>
    </w:pPr>
  </w:style>
  <w:style w:type="paragraph" w:styleId="TOC7">
    <w:name w:val="toc 7"/>
    <w:basedOn w:val="Normal"/>
    <w:next w:val="Normal"/>
    <w:autoRedefine/>
    <w:rsid w:val="0021053D"/>
    <w:pPr>
      <w:ind w:left="1200"/>
    </w:pPr>
  </w:style>
  <w:style w:type="paragraph" w:styleId="TOC8">
    <w:name w:val="toc 8"/>
    <w:basedOn w:val="Normal"/>
    <w:next w:val="Normal"/>
    <w:autoRedefine/>
    <w:rsid w:val="0021053D"/>
    <w:pPr>
      <w:ind w:left="1400"/>
    </w:pPr>
  </w:style>
  <w:style w:type="paragraph" w:styleId="TOC9">
    <w:name w:val="toc 9"/>
    <w:basedOn w:val="Normal"/>
    <w:next w:val="Normal"/>
    <w:autoRedefine/>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816FD5"/>
    <w:pPr>
      <w:spacing w:after="120" w:line="270" w:lineRule="atLeast"/>
    </w:pPr>
    <w:rPr>
      <w:rFonts w:ascii="Arial" w:eastAsia="Times" w:hAnsi="Arial"/>
      <w:lang w:eastAsia="en-US"/>
    </w:rPr>
  </w:style>
  <w:style w:type="paragraph" w:customStyle="1" w:styleId="DHHSaccessibilitypara">
    <w:name w:val="DHHS accessibility para"/>
    <w:uiPriority w:val="8"/>
    <w:rsid w:val="00816FD5"/>
    <w:pPr>
      <w:spacing w:after="300" w:line="300" w:lineRule="atLeast"/>
    </w:pPr>
    <w:rPr>
      <w:rFonts w:ascii="Arial" w:eastAsia="Times" w:hAnsi="Arial"/>
      <w:sz w:val="24"/>
      <w:szCs w:val="19"/>
      <w:lang w:eastAsia="en-US"/>
    </w:rPr>
  </w:style>
  <w:style w:type="character" w:customStyle="1" w:styleId="DHHSbodyChar">
    <w:name w:val="DHHS body Char"/>
    <w:basedOn w:val="DefaultParagraphFont"/>
    <w:link w:val="DHHSbody"/>
    <w:rsid w:val="00816FD5"/>
    <w:rPr>
      <w:rFonts w:ascii="Arial" w:eastAsia="Times" w:hAnsi="Arial"/>
      <w:lang w:eastAsia="en-US"/>
    </w:rPr>
  </w:style>
  <w:style w:type="paragraph" w:customStyle="1" w:styleId="DHHStabletext">
    <w:name w:val="DHHS table text"/>
    <w:uiPriority w:val="3"/>
    <w:qFormat/>
    <w:rsid w:val="00CF3E3E"/>
    <w:pPr>
      <w:spacing w:before="80" w:after="60"/>
    </w:pPr>
    <w:rPr>
      <w:rFonts w:ascii="Arial" w:hAnsi="Arial"/>
      <w:lang w:eastAsia="en-US"/>
    </w:rPr>
  </w:style>
  <w:style w:type="paragraph" w:customStyle="1" w:styleId="DHHStablebullet1">
    <w:name w:val="DHHS table bullet 1"/>
    <w:basedOn w:val="DHHStabletext"/>
    <w:uiPriority w:val="3"/>
    <w:qFormat/>
    <w:rsid w:val="00E8490B"/>
    <w:pPr>
      <w:ind w:left="227" w:hanging="227"/>
    </w:pPr>
  </w:style>
  <w:style w:type="paragraph" w:customStyle="1" w:styleId="DHHStablebullet2">
    <w:name w:val="DHHS table bullet 2"/>
    <w:basedOn w:val="DHHStabletext"/>
    <w:uiPriority w:val="11"/>
    <w:rsid w:val="00E8490B"/>
    <w:pPr>
      <w:tabs>
        <w:tab w:val="num" w:pos="227"/>
      </w:tabs>
      <w:ind w:left="454" w:hanging="227"/>
    </w:pPr>
  </w:style>
  <w:style w:type="paragraph" w:customStyle="1" w:styleId="DHHSnumberdigit">
    <w:name w:val="DHHS number digit"/>
    <w:basedOn w:val="DHHSbody"/>
    <w:uiPriority w:val="2"/>
    <w:rsid w:val="00E33B35"/>
    <w:pPr>
      <w:tabs>
        <w:tab w:val="num" w:pos="397"/>
      </w:tabs>
      <w:ind w:left="397" w:hanging="397"/>
    </w:pPr>
  </w:style>
  <w:style w:type="paragraph" w:customStyle="1" w:styleId="DHHStablecolhead">
    <w:name w:val="DHHS table col head"/>
    <w:uiPriority w:val="3"/>
    <w:qFormat/>
    <w:rsid w:val="00E33B35"/>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E33B35"/>
    <w:pPr>
      <w:spacing w:before="240"/>
    </w:pPr>
  </w:style>
  <w:style w:type="paragraph" w:customStyle="1" w:styleId="DHHSnumberdigitindent">
    <w:name w:val="DHHS number digit indent"/>
    <w:basedOn w:val="Normal"/>
    <w:uiPriority w:val="3"/>
    <w:rsid w:val="00E33B35"/>
    <w:pPr>
      <w:tabs>
        <w:tab w:val="num" w:pos="794"/>
      </w:tabs>
      <w:spacing w:line="270" w:lineRule="atLeast"/>
      <w:ind w:left="794" w:hanging="397"/>
    </w:pPr>
    <w:rPr>
      <w:rFonts w:eastAsia="Times"/>
      <w:sz w:val="20"/>
    </w:rPr>
  </w:style>
  <w:style w:type="paragraph" w:customStyle="1" w:styleId="DHHSbulletafternumbers1">
    <w:name w:val="DHHS bullet after numbers 1"/>
    <w:basedOn w:val="DHHSbody"/>
    <w:uiPriority w:val="4"/>
    <w:rsid w:val="00E33B35"/>
    <w:pPr>
      <w:ind w:left="794" w:hanging="397"/>
    </w:pPr>
  </w:style>
  <w:style w:type="paragraph" w:customStyle="1" w:styleId="DHHSbulletafternumbers2">
    <w:name w:val="DHHS bullet after numbers 2"/>
    <w:basedOn w:val="DHHSbody"/>
    <w:rsid w:val="00E33B35"/>
    <w:pPr>
      <w:ind w:left="1191" w:hanging="397"/>
    </w:pPr>
  </w:style>
  <w:style w:type="paragraph" w:customStyle="1" w:styleId="DHHSnumberloweralpha">
    <w:name w:val="DHHS number lower alpha"/>
    <w:basedOn w:val="DHHSbody"/>
    <w:uiPriority w:val="3"/>
    <w:rsid w:val="004E622B"/>
    <w:pPr>
      <w:tabs>
        <w:tab w:val="num" w:pos="397"/>
      </w:tabs>
      <w:ind w:left="397" w:hanging="397"/>
    </w:pPr>
  </w:style>
  <w:style w:type="paragraph" w:customStyle="1" w:styleId="DHHSnumberloweralphaindent">
    <w:name w:val="DHHS number lower alpha indent"/>
    <w:basedOn w:val="DHHSbody"/>
    <w:uiPriority w:val="3"/>
    <w:rsid w:val="004E622B"/>
    <w:pPr>
      <w:tabs>
        <w:tab w:val="num" w:pos="794"/>
      </w:tabs>
      <w:ind w:left="794" w:hanging="397"/>
    </w:pPr>
  </w:style>
  <w:style w:type="paragraph" w:customStyle="1" w:styleId="DHHStablecaption">
    <w:name w:val="DHHS table caption"/>
    <w:next w:val="DHHSbody"/>
    <w:uiPriority w:val="3"/>
    <w:qFormat/>
    <w:rsid w:val="004E622B"/>
    <w:pPr>
      <w:keepNext/>
      <w:keepLines/>
      <w:spacing w:before="240" w:after="120" w:line="240" w:lineRule="atLeast"/>
    </w:pPr>
    <w:rPr>
      <w:rFonts w:ascii="Arial" w:hAnsi="Arial"/>
      <w:b/>
      <w:lang w:eastAsia="en-US"/>
    </w:rPr>
  </w:style>
  <w:style w:type="paragraph" w:customStyle="1" w:styleId="DHHSbullet1">
    <w:name w:val="DHHS bullet 1"/>
    <w:basedOn w:val="DHHSbody"/>
    <w:qFormat/>
    <w:rsid w:val="00E3449E"/>
    <w:pPr>
      <w:spacing w:after="40"/>
      <w:ind w:left="284" w:hanging="284"/>
    </w:pPr>
  </w:style>
  <w:style w:type="paragraph" w:customStyle="1" w:styleId="DHHSbullet2">
    <w:name w:val="DHHS bullet 2"/>
    <w:basedOn w:val="DHHSbody"/>
    <w:uiPriority w:val="2"/>
    <w:qFormat/>
    <w:rsid w:val="00E3449E"/>
    <w:pPr>
      <w:spacing w:after="40"/>
      <w:ind w:left="567" w:hanging="283"/>
    </w:pPr>
  </w:style>
  <w:style w:type="paragraph" w:customStyle="1" w:styleId="DHHSbullet1lastline">
    <w:name w:val="DHHS bullet 1 last line"/>
    <w:basedOn w:val="DHHSbullet1"/>
    <w:qFormat/>
    <w:rsid w:val="00E3449E"/>
    <w:pPr>
      <w:spacing w:after="120"/>
    </w:pPr>
  </w:style>
  <w:style w:type="paragraph" w:customStyle="1" w:styleId="DHHSbullet2lastline">
    <w:name w:val="DHHS bullet 2 last line"/>
    <w:basedOn w:val="DHHSbullet2"/>
    <w:uiPriority w:val="2"/>
    <w:qFormat/>
    <w:rsid w:val="00E3449E"/>
    <w:pPr>
      <w:spacing w:after="120"/>
    </w:pPr>
  </w:style>
  <w:style w:type="paragraph" w:customStyle="1" w:styleId="DHHStablebullet">
    <w:name w:val="DHHS table bullet"/>
    <w:basedOn w:val="DHHStabletext"/>
    <w:uiPriority w:val="3"/>
    <w:qFormat/>
    <w:rsid w:val="00E3449E"/>
    <w:pPr>
      <w:spacing w:line="270" w:lineRule="atLeast"/>
      <w:ind w:left="227" w:hanging="227"/>
    </w:pPr>
  </w:style>
  <w:style w:type="paragraph" w:customStyle="1" w:styleId="DHHSbulletindent">
    <w:name w:val="DHHS bullet indent"/>
    <w:basedOn w:val="DHHSbody"/>
    <w:uiPriority w:val="4"/>
    <w:rsid w:val="00E3449E"/>
    <w:pPr>
      <w:spacing w:after="40"/>
      <w:ind w:left="680" w:hanging="283"/>
    </w:pPr>
  </w:style>
  <w:style w:type="paragraph" w:customStyle="1" w:styleId="DHHSbulletindentlastline">
    <w:name w:val="DHHS bullet indent last line"/>
    <w:basedOn w:val="DHHSbody"/>
    <w:uiPriority w:val="4"/>
    <w:rsid w:val="00E3449E"/>
    <w:pPr>
      <w:ind w:left="680" w:hanging="283"/>
    </w:pPr>
  </w:style>
  <w:style w:type="numbering" w:customStyle="1" w:styleId="ZZNumbers">
    <w:name w:val="ZZ Numbers"/>
    <w:rsid w:val="00E3449E"/>
    <w:pPr>
      <w:numPr>
        <w:numId w:val="7"/>
      </w:numPr>
    </w:pPr>
  </w:style>
  <w:style w:type="paragraph" w:customStyle="1" w:styleId="DHHSnumberlowerroman">
    <w:name w:val="DHHS number lower roman"/>
    <w:basedOn w:val="DHHSbody"/>
    <w:uiPriority w:val="3"/>
    <w:rsid w:val="00E3449E"/>
    <w:pPr>
      <w:tabs>
        <w:tab w:val="num" w:pos="397"/>
      </w:tabs>
      <w:ind w:left="397" w:hanging="397"/>
    </w:pPr>
  </w:style>
  <w:style w:type="paragraph" w:customStyle="1" w:styleId="DHHSnumberlowerromanindent">
    <w:name w:val="DHHS number lower roman indent"/>
    <w:basedOn w:val="DHHSbody"/>
    <w:uiPriority w:val="3"/>
    <w:rsid w:val="00E3449E"/>
    <w:pPr>
      <w:tabs>
        <w:tab w:val="num" w:pos="794"/>
      </w:tabs>
      <w:ind w:left="794" w:hanging="397"/>
    </w:pPr>
  </w:style>
  <w:style w:type="paragraph" w:styleId="ListParagraph">
    <w:name w:val="List Paragraph"/>
    <w:basedOn w:val="Normal"/>
    <w:link w:val="ListParagraphChar"/>
    <w:uiPriority w:val="34"/>
    <w:qFormat/>
    <w:rsid w:val="00E3449E"/>
    <w:pPr>
      <w:spacing w:line="270" w:lineRule="atLeast"/>
      <w:ind w:left="720"/>
      <w:contextualSpacing/>
    </w:pPr>
    <w:rPr>
      <w:rFonts w:ascii="Cambria" w:hAnsi="Cambria"/>
      <w:sz w:val="20"/>
    </w:rPr>
  </w:style>
  <w:style w:type="paragraph" w:customStyle="1" w:styleId="AttributeSubheading">
    <w:name w:val="Attribute Subheading"/>
    <w:basedOn w:val="Normal"/>
    <w:link w:val="AttributeSubheadingChar"/>
    <w:qFormat/>
    <w:rsid w:val="00E3449E"/>
    <w:pPr>
      <w:keepNext/>
      <w:keepLines/>
      <w:spacing w:line="270" w:lineRule="atLeast"/>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E3449E"/>
    <w:rPr>
      <w:i/>
      <w:color w:val="C00000"/>
      <w:szCs w:val="24"/>
    </w:rPr>
  </w:style>
  <w:style w:type="character" w:customStyle="1" w:styleId="ListParagraphChar">
    <w:name w:val="List Paragraph Char"/>
    <w:link w:val="ListParagraph"/>
    <w:uiPriority w:val="34"/>
    <w:rsid w:val="00E3449E"/>
    <w:rPr>
      <w:rFonts w:ascii="Cambria" w:hAnsi="Cambria"/>
      <w:lang w:eastAsia="en-US"/>
    </w:rPr>
  </w:style>
  <w:style w:type="paragraph" w:customStyle="1" w:styleId="Heading2-VPDC">
    <w:name w:val="Heading 2 - VPDC"/>
    <w:basedOn w:val="Heading2"/>
    <w:link w:val="Heading2-VPDCChar"/>
    <w:autoRedefine/>
    <w:qFormat/>
    <w:rsid w:val="003536B2"/>
    <w:pPr>
      <w:spacing w:line="320" w:lineRule="atLeast"/>
    </w:pPr>
    <w:rPr>
      <w:rFonts w:cs="Arial"/>
      <w:color w:val="595959" w:themeColor="text1" w:themeTint="A6"/>
      <w:sz w:val="28"/>
    </w:rPr>
  </w:style>
  <w:style w:type="character" w:customStyle="1" w:styleId="Heading2-VPDCChar">
    <w:name w:val="Heading 2 - VPDC Char"/>
    <w:basedOn w:val="DefaultParagraphFont"/>
    <w:link w:val="Heading2-VPDC"/>
    <w:rsid w:val="003536B2"/>
    <w:rPr>
      <w:rFonts w:ascii="Arial" w:hAnsi="Arial" w:cs="Arial"/>
      <w:b/>
      <w:color w:val="595959" w:themeColor="text1" w:themeTint="A6"/>
      <w:sz w:val="28"/>
      <w:szCs w:val="28"/>
      <w:lang w:eastAsia="en-US"/>
    </w:rPr>
  </w:style>
  <w:style w:type="paragraph" w:customStyle="1" w:styleId="DHHStabletext6pt">
    <w:name w:val="DHHS table text + 6pt"/>
    <w:basedOn w:val="DHHStabletext"/>
    <w:rsid w:val="00573D5A"/>
    <w:pPr>
      <w:spacing w:after="120"/>
    </w:pPr>
  </w:style>
  <w:style w:type="paragraph" w:customStyle="1" w:styleId="DHHSreportsubtitle">
    <w:name w:val="DHHS report subtitle"/>
    <w:basedOn w:val="Normal"/>
    <w:uiPriority w:val="4"/>
    <w:rsid w:val="00573D5A"/>
    <w:pPr>
      <w:spacing w:line="380" w:lineRule="atLeast"/>
    </w:pPr>
    <w:rPr>
      <w:color w:val="000000"/>
      <w:sz w:val="30"/>
      <w:szCs w:val="30"/>
    </w:rPr>
  </w:style>
  <w:style w:type="paragraph" w:customStyle="1" w:styleId="DHHSreportmaintitle">
    <w:name w:val="DHHS report main title"/>
    <w:uiPriority w:val="4"/>
    <w:rsid w:val="00573D5A"/>
    <w:pPr>
      <w:keepLines/>
      <w:spacing w:after="240" w:line="580" w:lineRule="atLeast"/>
    </w:pPr>
    <w:rPr>
      <w:rFonts w:ascii="Arial" w:hAnsi="Arial"/>
      <w:color w:val="D50032"/>
      <w:sz w:val="50"/>
      <w:szCs w:val="24"/>
      <w:lang w:eastAsia="en-US"/>
    </w:rPr>
  </w:style>
  <w:style w:type="paragraph" w:customStyle="1" w:styleId="DHHSreportmaintitlewhite">
    <w:name w:val="DHHS report main title white"/>
    <w:uiPriority w:val="4"/>
    <w:rsid w:val="00573D5A"/>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73D5A"/>
    <w:pPr>
      <w:spacing w:after="120" w:line="380" w:lineRule="atLeast"/>
    </w:pPr>
    <w:rPr>
      <w:rFonts w:ascii="Arial" w:hAnsi="Arial"/>
      <w:bCs/>
      <w:color w:val="FFFFFF"/>
      <w:sz w:val="30"/>
      <w:szCs w:val="30"/>
      <w:lang w:eastAsia="en-US"/>
    </w:rPr>
  </w:style>
  <w:style w:type="paragraph" w:customStyle="1" w:styleId="Coverinstructions">
    <w:name w:val="Cover instructions"/>
    <w:rsid w:val="00573D5A"/>
    <w:pPr>
      <w:spacing w:after="200" w:line="320" w:lineRule="atLeast"/>
    </w:pPr>
    <w:rPr>
      <w:rFonts w:ascii="Arial" w:hAnsi="Arial"/>
      <w:color w:val="FFFFFF"/>
      <w:sz w:val="24"/>
      <w:lang w:eastAsia="en-US"/>
    </w:rPr>
  </w:style>
  <w:style w:type="paragraph" w:customStyle="1" w:styleId="DHHStablefigurenote">
    <w:name w:val="DHHS table/figure note"/>
    <w:uiPriority w:val="4"/>
    <w:rsid w:val="00573D5A"/>
    <w:pPr>
      <w:spacing w:before="60" w:after="60" w:line="240" w:lineRule="exact"/>
    </w:pPr>
    <w:rPr>
      <w:rFonts w:ascii="Arial" w:hAnsi="Arial"/>
      <w:i/>
      <w:sz w:val="18"/>
      <w:lang w:eastAsia="en-US"/>
    </w:rPr>
  </w:style>
  <w:style w:type="paragraph" w:customStyle="1" w:styleId="DHHSfigurecaption">
    <w:name w:val="DHHS figure caption"/>
    <w:next w:val="DHHSbody"/>
    <w:rsid w:val="00573D5A"/>
    <w:pPr>
      <w:keepNext/>
      <w:keepLines/>
      <w:spacing w:before="240" w:after="120"/>
    </w:pPr>
    <w:rPr>
      <w:rFonts w:ascii="Arial" w:hAnsi="Arial"/>
      <w:b/>
      <w:lang w:eastAsia="en-US"/>
    </w:rPr>
  </w:style>
  <w:style w:type="paragraph" w:customStyle="1" w:styleId="DHHSfooter">
    <w:name w:val="DHHS footer"/>
    <w:uiPriority w:val="11"/>
    <w:rsid w:val="00573D5A"/>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573D5A"/>
  </w:style>
  <w:style w:type="paragraph" w:customStyle="1" w:styleId="DHHSTOCheadingreport">
    <w:name w:val="DHHS TOC heading report"/>
    <w:basedOn w:val="Heading1"/>
    <w:link w:val="DHHSTOCheadingreportChar"/>
    <w:uiPriority w:val="5"/>
    <w:rsid w:val="00573D5A"/>
    <w:pPr>
      <w:spacing w:before="0" w:after="440"/>
      <w:outlineLvl w:val="9"/>
    </w:pPr>
    <w:rPr>
      <w:rFonts w:eastAsia="Times New Roman" w:cs="Times New Roman"/>
      <w:color w:val="D50032"/>
      <w:kern w:val="0"/>
      <w:sz w:val="44"/>
      <w:szCs w:val="44"/>
    </w:rPr>
  </w:style>
  <w:style w:type="character" w:customStyle="1" w:styleId="DHHSTOCheadingreportChar">
    <w:name w:val="DHHS TOC heading report Char"/>
    <w:link w:val="DHHSTOCheadingreport"/>
    <w:uiPriority w:val="5"/>
    <w:rsid w:val="00573D5A"/>
    <w:rPr>
      <w:rFonts w:ascii="Arial" w:hAnsi="Arial"/>
      <w:bCs/>
      <w:color w:val="D50032"/>
      <w:sz w:val="44"/>
      <w:szCs w:val="44"/>
      <w:lang w:eastAsia="en-US"/>
    </w:rPr>
  </w:style>
  <w:style w:type="paragraph" w:customStyle="1" w:styleId="DHHSbodynospace">
    <w:name w:val="DHHS body no space"/>
    <w:basedOn w:val="DHHSbody"/>
    <w:uiPriority w:val="3"/>
    <w:qFormat/>
    <w:rsid w:val="00573D5A"/>
    <w:pPr>
      <w:spacing w:after="0"/>
    </w:pPr>
  </w:style>
  <w:style w:type="paragraph" w:customStyle="1" w:styleId="DHHSquote">
    <w:name w:val="DHHS quote"/>
    <w:basedOn w:val="DHHSbody"/>
    <w:uiPriority w:val="4"/>
    <w:rsid w:val="00573D5A"/>
    <w:pPr>
      <w:ind w:left="397"/>
    </w:pPr>
    <w:rPr>
      <w:szCs w:val="18"/>
    </w:rPr>
  </w:style>
  <w:style w:type="paragraph" w:customStyle="1" w:styleId="Default">
    <w:name w:val="Default"/>
    <w:rsid w:val="00573D5A"/>
    <w:pPr>
      <w:autoSpaceDE w:val="0"/>
      <w:autoSpaceDN w:val="0"/>
      <w:adjustRightInd w:val="0"/>
    </w:pPr>
    <w:rPr>
      <w:rFonts w:ascii="Arial" w:hAnsi="Arial" w:cs="Arial"/>
      <w:color w:val="000000"/>
      <w:sz w:val="24"/>
      <w:szCs w:val="24"/>
    </w:rPr>
  </w:style>
  <w:style w:type="paragraph" w:customStyle="1" w:styleId="Healthheading2">
    <w:name w:val="Health heading 2"/>
    <w:next w:val="Normal"/>
    <w:link w:val="Healthheading2Char"/>
    <w:rsid w:val="00573D5A"/>
    <w:pPr>
      <w:keepNext/>
      <w:keepLines/>
      <w:pageBreakBefore/>
      <w:spacing w:before="240" w:after="90" w:line="320" w:lineRule="atLeast"/>
    </w:pPr>
    <w:rPr>
      <w:rFonts w:ascii="Arial" w:hAnsi="Arial"/>
      <w:b/>
      <w:bCs/>
      <w:color w:val="F26B73"/>
      <w:sz w:val="32"/>
      <w:szCs w:val="32"/>
      <w:lang w:eastAsia="en-US"/>
    </w:rPr>
  </w:style>
  <w:style w:type="character" w:customStyle="1" w:styleId="Healthheading2Char">
    <w:name w:val="Health heading 2 Char"/>
    <w:link w:val="Healthheading2"/>
    <w:rsid w:val="00573D5A"/>
    <w:rPr>
      <w:rFonts w:ascii="Arial" w:hAnsi="Arial"/>
      <w:b/>
      <w:bCs/>
      <w:color w:val="F26B73"/>
      <w:sz w:val="32"/>
      <w:szCs w:val="32"/>
      <w:lang w:eastAsia="en-US"/>
    </w:rPr>
  </w:style>
  <w:style w:type="paragraph" w:customStyle="1" w:styleId="Healthtablebullet">
    <w:name w:val="Health table bullet"/>
    <w:basedOn w:val="Normal"/>
    <w:qFormat/>
    <w:rsid w:val="00573D5A"/>
    <w:pPr>
      <w:numPr>
        <w:numId w:val="8"/>
      </w:numPr>
      <w:spacing w:after="40" w:line="220" w:lineRule="atLeast"/>
    </w:pPr>
    <w:rPr>
      <w:rFonts w:eastAsia="MS Mincho"/>
      <w:sz w:val="18"/>
      <w:szCs w:val="24"/>
    </w:rPr>
  </w:style>
  <w:style w:type="paragraph" w:customStyle="1" w:styleId="Healthbullet2">
    <w:name w:val="Health bullet 2"/>
    <w:basedOn w:val="Normal"/>
    <w:qFormat/>
    <w:rsid w:val="00573D5A"/>
    <w:pPr>
      <w:numPr>
        <w:numId w:val="9"/>
      </w:numPr>
      <w:spacing w:after="40" w:line="270" w:lineRule="atLeast"/>
    </w:pPr>
    <w:rPr>
      <w:rFonts w:eastAsia="MS Mincho"/>
      <w:sz w:val="20"/>
      <w:szCs w:val="24"/>
    </w:rPr>
  </w:style>
  <w:style w:type="paragraph" w:customStyle="1" w:styleId="VPDC">
    <w:name w:val="VPDC"/>
    <w:basedOn w:val="Healthheading2"/>
    <w:next w:val="Healthheading2"/>
    <w:link w:val="VPDCChar"/>
    <w:qFormat/>
    <w:rsid w:val="00573D5A"/>
  </w:style>
  <w:style w:type="character" w:customStyle="1" w:styleId="VPDCChar">
    <w:name w:val="VPDC Char"/>
    <w:basedOn w:val="Healthheading2Char"/>
    <w:link w:val="VPDC"/>
    <w:rsid w:val="00573D5A"/>
    <w:rPr>
      <w:rFonts w:ascii="Arial" w:hAnsi="Arial"/>
      <w:b/>
      <w:bCs/>
      <w:color w:val="F26B73"/>
      <w:sz w:val="32"/>
      <w:szCs w:val="32"/>
      <w:lang w:eastAsia="en-US"/>
    </w:rPr>
  </w:style>
  <w:style w:type="paragraph" w:customStyle="1" w:styleId="Arial10">
    <w:name w:val="Arial 10"/>
    <w:basedOn w:val="AttributeSubheading"/>
    <w:link w:val="Arial10Char"/>
    <w:qFormat/>
    <w:rsid w:val="00573D5A"/>
    <w:pPr>
      <w:keepNext w:val="0"/>
      <w:spacing w:after="0" w:line="240" w:lineRule="auto"/>
    </w:pPr>
    <w:rPr>
      <w:rFonts w:ascii="Arial" w:hAnsi="Arial" w:cs="Arial"/>
      <w:i w:val="0"/>
      <w:color w:val="000000" w:themeColor="text1"/>
    </w:rPr>
  </w:style>
  <w:style w:type="character" w:customStyle="1" w:styleId="Arial10Char">
    <w:name w:val="Arial 10 Char"/>
    <w:basedOn w:val="AttributeSubheadingChar"/>
    <w:link w:val="Arial10"/>
    <w:rsid w:val="00573D5A"/>
    <w:rPr>
      <w:rFonts w:ascii="Arial" w:hAnsi="Arial" w:cs="Arial"/>
      <w:i w:val="0"/>
      <w:color w:val="000000" w:themeColor="text1"/>
      <w:szCs w:val="24"/>
    </w:rPr>
  </w:style>
  <w:style w:type="paragraph" w:styleId="BodyText">
    <w:name w:val="Body Text"/>
    <w:basedOn w:val="Normal"/>
    <w:link w:val="BodyTextChar"/>
    <w:rsid w:val="00573D5A"/>
    <w:pPr>
      <w:spacing w:after="0" w:line="240" w:lineRule="auto"/>
    </w:pPr>
    <w:rPr>
      <w:rFonts w:ascii="Verdana" w:hAnsi="Verdana"/>
      <w:sz w:val="18"/>
      <w:szCs w:val="24"/>
    </w:rPr>
  </w:style>
  <w:style w:type="character" w:customStyle="1" w:styleId="BodyTextChar">
    <w:name w:val="Body Text Char"/>
    <w:basedOn w:val="DefaultParagraphFont"/>
    <w:link w:val="BodyText"/>
    <w:rsid w:val="00573D5A"/>
    <w:rPr>
      <w:rFonts w:ascii="Verdana" w:hAnsi="Verdana"/>
      <w:sz w:val="18"/>
      <w:szCs w:val="24"/>
      <w:lang w:eastAsia="en-US"/>
    </w:rPr>
  </w:style>
  <w:style w:type="paragraph" w:customStyle="1" w:styleId="Healthheading1">
    <w:name w:val="Health heading 1"/>
    <w:qFormat/>
    <w:rsid w:val="00573D5A"/>
    <w:pPr>
      <w:keepNext/>
      <w:keepLines/>
      <w:pageBreakBefore/>
      <w:spacing w:after="560" w:line="440" w:lineRule="atLeast"/>
    </w:pPr>
    <w:rPr>
      <w:rFonts w:ascii="Arial" w:hAnsi="Arial"/>
      <w:color w:val="F26B73"/>
      <w:sz w:val="44"/>
      <w:szCs w:val="24"/>
      <w:lang w:eastAsia="en-US"/>
    </w:rPr>
  </w:style>
  <w:style w:type="paragraph" w:customStyle="1" w:styleId="Healthbody">
    <w:name w:val="Health body"/>
    <w:link w:val="HealthbodyChar"/>
    <w:uiPriority w:val="99"/>
    <w:rsid w:val="00573D5A"/>
    <w:pPr>
      <w:spacing w:after="120" w:line="270" w:lineRule="atLeast"/>
    </w:pPr>
    <w:rPr>
      <w:rFonts w:ascii="Arial" w:eastAsia="Times" w:hAnsi="Arial"/>
      <w:sz w:val="24"/>
      <w:szCs w:val="24"/>
      <w:lang w:eastAsia="en-US"/>
    </w:rPr>
  </w:style>
  <w:style w:type="paragraph" w:customStyle="1" w:styleId="Healthbodynospace">
    <w:name w:val="Health body no space"/>
    <w:basedOn w:val="Healthbody"/>
    <w:rsid w:val="00573D5A"/>
    <w:pPr>
      <w:spacing w:after="0"/>
    </w:pPr>
  </w:style>
  <w:style w:type="paragraph" w:customStyle="1" w:styleId="Healthbullet2lastline">
    <w:name w:val="Health bullet 2 last line"/>
    <w:basedOn w:val="Healthbullet2"/>
    <w:rsid w:val="00573D5A"/>
    <w:pPr>
      <w:numPr>
        <w:numId w:val="10"/>
      </w:numPr>
      <w:spacing w:after="120"/>
    </w:pPr>
    <w:rPr>
      <w:sz w:val="24"/>
    </w:rPr>
  </w:style>
  <w:style w:type="paragraph" w:customStyle="1" w:styleId="Healthbullet1">
    <w:name w:val="Health bullet 1"/>
    <w:basedOn w:val="Normal"/>
    <w:qFormat/>
    <w:rsid w:val="00573D5A"/>
    <w:pPr>
      <w:spacing w:after="40" w:line="270" w:lineRule="atLeast"/>
      <w:ind w:left="284" w:hanging="284"/>
    </w:pPr>
    <w:rPr>
      <w:rFonts w:eastAsia="MS Mincho"/>
      <w:sz w:val="24"/>
      <w:szCs w:val="24"/>
    </w:rPr>
  </w:style>
  <w:style w:type="paragraph" w:customStyle="1" w:styleId="Healthheading4">
    <w:name w:val="Health heading 4"/>
    <w:next w:val="Healthbody"/>
    <w:rsid w:val="00573D5A"/>
    <w:pPr>
      <w:keepNext/>
      <w:keepLines/>
      <w:spacing w:before="240" w:after="120" w:line="240" w:lineRule="atLeast"/>
    </w:pPr>
    <w:rPr>
      <w:rFonts w:ascii="Arial" w:hAnsi="Arial"/>
      <w:b/>
      <w:bCs/>
      <w:sz w:val="24"/>
      <w:szCs w:val="24"/>
      <w:lang w:eastAsia="en-US"/>
    </w:rPr>
  </w:style>
  <w:style w:type="paragraph" w:customStyle="1" w:styleId="Healthheading3">
    <w:name w:val="Health heading 3"/>
    <w:rsid w:val="00573D5A"/>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73D5A"/>
    <w:pPr>
      <w:spacing w:before="240" w:line="320" w:lineRule="atLeast"/>
    </w:pPr>
    <w:rPr>
      <w:b/>
      <w:bCs/>
      <w:color w:val="000000"/>
      <w:sz w:val="28"/>
      <w:szCs w:val="28"/>
    </w:rPr>
  </w:style>
  <w:style w:type="paragraph" w:customStyle="1" w:styleId="Healthreportmaintitle">
    <w:name w:val="Health report main title"/>
    <w:rsid w:val="00573D5A"/>
    <w:pPr>
      <w:keepLines/>
      <w:spacing w:after="560" w:line="440" w:lineRule="atLeast"/>
    </w:pPr>
    <w:rPr>
      <w:rFonts w:ascii="Arial" w:hAnsi="Arial"/>
      <w:color w:val="F26B73"/>
      <w:sz w:val="44"/>
      <w:szCs w:val="24"/>
      <w:lang w:eastAsia="en-US"/>
    </w:rPr>
  </w:style>
  <w:style w:type="paragraph" w:customStyle="1" w:styleId="Healthfooter">
    <w:name w:val="Health footer"/>
    <w:rsid w:val="00573D5A"/>
    <w:pPr>
      <w:tabs>
        <w:tab w:val="right" w:pos="9299"/>
      </w:tabs>
    </w:pPr>
    <w:rPr>
      <w:rFonts w:ascii="Arial" w:hAnsi="Arial" w:cs="Arial"/>
      <w:color w:val="808080"/>
      <w:sz w:val="24"/>
      <w:szCs w:val="24"/>
      <w:lang w:eastAsia="en-US"/>
    </w:rPr>
  </w:style>
  <w:style w:type="paragraph" w:customStyle="1" w:styleId="Healthfootnote">
    <w:name w:val="Health footnote"/>
    <w:rsid w:val="00573D5A"/>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73D5A"/>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573D5A"/>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573D5A"/>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573D5A"/>
    <w:pPr>
      <w:spacing w:after="40" w:line="220" w:lineRule="atLeast"/>
    </w:pPr>
    <w:rPr>
      <w:rFonts w:ascii="Arial" w:eastAsia="MS Mincho" w:hAnsi="Arial"/>
      <w:sz w:val="18"/>
      <w:szCs w:val="24"/>
      <w:lang w:eastAsia="en-US"/>
    </w:rPr>
  </w:style>
  <w:style w:type="paragraph" w:customStyle="1" w:styleId="HealthTOC1">
    <w:name w:val="Health TOC 1"/>
    <w:rsid w:val="00573D5A"/>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573D5A"/>
    <w:pPr>
      <w:spacing w:before="0"/>
    </w:pPr>
    <w:rPr>
      <w:b w:val="0"/>
    </w:rPr>
  </w:style>
  <w:style w:type="paragraph" w:customStyle="1" w:styleId="HealthTOChead">
    <w:name w:val="Health TOC head"/>
    <w:basedOn w:val="Healthheading1"/>
    <w:rsid w:val="00573D5A"/>
  </w:style>
  <w:style w:type="paragraph" w:customStyle="1" w:styleId="Healthreportmaintitlewhite">
    <w:name w:val="Health report main title white"/>
    <w:rsid w:val="00573D5A"/>
    <w:pPr>
      <w:keepLines/>
      <w:spacing w:after="320" w:line="440" w:lineRule="atLeast"/>
    </w:pPr>
    <w:rPr>
      <w:rFonts w:ascii="Arial" w:hAnsi="Arial"/>
      <w:bCs/>
      <w:color w:val="FFFFFF"/>
      <w:sz w:val="44"/>
      <w:szCs w:val="44"/>
      <w:lang w:eastAsia="en-US"/>
    </w:rPr>
  </w:style>
  <w:style w:type="paragraph" w:customStyle="1" w:styleId="Healthaccessibilitypara">
    <w:name w:val="Health accessibility para"/>
    <w:basedOn w:val="Healthbody"/>
    <w:qFormat/>
    <w:rsid w:val="00573D5A"/>
    <w:pPr>
      <w:spacing w:after="300" w:line="300" w:lineRule="atLeast"/>
    </w:pPr>
    <w:rPr>
      <w:szCs w:val="19"/>
    </w:rPr>
  </w:style>
  <w:style w:type="paragraph" w:customStyle="1" w:styleId="Healthreportsubtitlewhite">
    <w:name w:val="Health report subtitle white"/>
    <w:rsid w:val="00573D5A"/>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573D5A"/>
    <w:pPr>
      <w:ind w:right="-476"/>
      <w:jc w:val="right"/>
    </w:pPr>
    <w:rPr>
      <w:rFonts w:ascii="Arial" w:hAnsi="Arial"/>
      <w:color w:val="808080"/>
      <w:sz w:val="22"/>
      <w:szCs w:val="24"/>
      <w:lang w:eastAsia="en-US"/>
    </w:rPr>
  </w:style>
  <w:style w:type="paragraph" w:customStyle="1" w:styleId="Healthheader">
    <w:name w:val="Health header"/>
    <w:basedOn w:val="Healthfooter"/>
    <w:rsid w:val="00573D5A"/>
  </w:style>
  <w:style w:type="character" w:customStyle="1" w:styleId="HeaderChar">
    <w:name w:val="Header Char"/>
    <w:link w:val="Header"/>
    <w:rsid w:val="00573D5A"/>
    <w:rPr>
      <w:rFonts w:ascii="Arial" w:hAnsi="Arial" w:cs="Arial"/>
      <w:color w:val="53565A"/>
      <w:sz w:val="18"/>
      <w:szCs w:val="18"/>
      <w:lang w:eastAsia="en-US"/>
    </w:rPr>
  </w:style>
  <w:style w:type="character" w:customStyle="1" w:styleId="FooterChar">
    <w:name w:val="Footer Char"/>
    <w:link w:val="Footer"/>
    <w:uiPriority w:val="99"/>
    <w:rsid w:val="00573D5A"/>
    <w:rPr>
      <w:rFonts w:ascii="Arial" w:hAnsi="Arial" w:cs="Arial"/>
      <w:szCs w:val="18"/>
      <w:lang w:eastAsia="en-US"/>
    </w:rPr>
  </w:style>
  <w:style w:type="paragraph" w:customStyle="1" w:styleId="HealthHeading2DC">
    <w:name w:val="Health Heading 2 DC"/>
    <w:basedOn w:val="Healthheading2"/>
    <w:link w:val="HealthHeading2DCChar"/>
    <w:qFormat/>
    <w:rsid w:val="00573D5A"/>
    <w:pPr>
      <w:pageBreakBefore w:val="0"/>
    </w:pPr>
    <w:rPr>
      <w:sz w:val="28"/>
      <w:szCs w:val="24"/>
    </w:rPr>
  </w:style>
  <w:style w:type="character" w:customStyle="1" w:styleId="HealthHeading2DCChar">
    <w:name w:val="Health Heading 2 DC Char"/>
    <w:link w:val="HealthHeading2DC"/>
    <w:rsid w:val="00573D5A"/>
    <w:rPr>
      <w:rFonts w:ascii="Arial" w:hAnsi="Arial"/>
      <w:b/>
      <w:bCs/>
      <w:color w:val="F26B73"/>
      <w:sz w:val="28"/>
      <w:szCs w:val="24"/>
      <w:lang w:eastAsia="en-US"/>
    </w:rPr>
  </w:style>
  <w:style w:type="paragraph" w:customStyle="1" w:styleId="DHbody">
    <w:name w:val="DH body"/>
    <w:link w:val="DHbodyChar"/>
    <w:rsid w:val="00573D5A"/>
    <w:pPr>
      <w:spacing w:after="120" w:line="270" w:lineRule="exact"/>
    </w:pPr>
    <w:rPr>
      <w:rFonts w:ascii="Arial" w:eastAsia="Times" w:hAnsi="Arial"/>
      <w:sz w:val="24"/>
      <w:szCs w:val="24"/>
      <w:lang w:eastAsia="en-US"/>
    </w:rPr>
  </w:style>
  <w:style w:type="character" w:customStyle="1" w:styleId="DHbodyChar">
    <w:name w:val="DH body Char"/>
    <w:link w:val="DHbody"/>
    <w:rsid w:val="00573D5A"/>
    <w:rPr>
      <w:rFonts w:ascii="Arial" w:eastAsia="Times" w:hAnsi="Arial"/>
      <w:sz w:val="24"/>
      <w:szCs w:val="24"/>
      <w:lang w:eastAsia="en-US"/>
    </w:rPr>
  </w:style>
  <w:style w:type="character" w:customStyle="1" w:styleId="HealthbodyChar">
    <w:name w:val="Health body Char"/>
    <w:basedOn w:val="DefaultParagraphFont"/>
    <w:link w:val="Healthbody"/>
    <w:uiPriority w:val="99"/>
    <w:rsid w:val="00573D5A"/>
    <w:rPr>
      <w:rFonts w:ascii="Arial" w:eastAsia="Times" w:hAnsi="Arial"/>
      <w:sz w:val="24"/>
      <w:szCs w:val="24"/>
      <w:lang w:eastAsia="en-US"/>
    </w:rPr>
  </w:style>
  <w:style w:type="paragraph" w:customStyle="1" w:styleId="Tempheader2">
    <w:name w:val="Temp header2"/>
    <w:basedOn w:val="Healthheading2"/>
    <w:link w:val="Tempheader2Char"/>
    <w:qFormat/>
    <w:rsid w:val="00573D5A"/>
    <w:pPr>
      <w:pageBreakBefore w:val="0"/>
      <w:spacing w:after="240"/>
    </w:pPr>
    <w:rPr>
      <w:rFonts w:cs="Arial"/>
      <w:sz w:val="28"/>
      <w:szCs w:val="24"/>
    </w:rPr>
  </w:style>
  <w:style w:type="character" w:customStyle="1" w:styleId="Tempheader2Char">
    <w:name w:val="Temp header2 Char"/>
    <w:link w:val="Tempheader2"/>
    <w:rsid w:val="00573D5A"/>
    <w:rPr>
      <w:rFonts w:ascii="Arial" w:hAnsi="Arial" w:cs="Arial"/>
      <w:b/>
      <w:bCs/>
      <w:color w:val="F26B73"/>
      <w:sz w:val="28"/>
      <w:szCs w:val="24"/>
      <w:lang w:eastAsia="en-US"/>
    </w:rPr>
  </w:style>
  <w:style w:type="paragraph" w:customStyle="1" w:styleId="BulletDanielle">
    <w:name w:val="Bullet Danielle"/>
    <w:basedOn w:val="ListParagraph"/>
    <w:link w:val="BulletDanielleChar"/>
    <w:qFormat/>
    <w:rsid w:val="00573D5A"/>
    <w:pPr>
      <w:keepNext/>
      <w:keepLines/>
      <w:numPr>
        <w:numId w:val="11"/>
      </w:numPr>
      <w:spacing w:after="0" w:line="240" w:lineRule="auto"/>
      <w:ind w:left="459" w:hanging="284"/>
    </w:pPr>
    <w:rPr>
      <w:rFonts w:ascii="Times New Roman" w:hAnsi="Times New Roman"/>
      <w:noProof/>
      <w:szCs w:val="24"/>
    </w:rPr>
  </w:style>
  <w:style w:type="character" w:customStyle="1" w:styleId="BulletDanielleChar">
    <w:name w:val="Bullet Danielle Char"/>
    <w:link w:val="BulletDanielle"/>
    <w:rsid w:val="00573D5A"/>
    <w:rPr>
      <w:noProof/>
      <w:szCs w:val="24"/>
      <w:lang w:eastAsia="en-US"/>
    </w:rPr>
  </w:style>
  <w:style w:type="paragraph" w:customStyle="1" w:styleId="Heading3-VPDC">
    <w:name w:val="Heading 3 - VPDC"/>
    <w:basedOn w:val="AttributeSubheading"/>
    <w:link w:val="Heading3-VPDCChar"/>
    <w:qFormat/>
    <w:rsid w:val="00573D5A"/>
    <w:pPr>
      <w:keepNext w:val="0"/>
      <w:spacing w:after="0" w:line="240" w:lineRule="auto"/>
    </w:pPr>
    <w:rPr>
      <w:rFonts w:ascii="Arial" w:hAnsi="Arial" w:cs="Arial"/>
      <w:i w:val="0"/>
    </w:rPr>
  </w:style>
  <w:style w:type="character" w:customStyle="1" w:styleId="Heading3-VPDCChar">
    <w:name w:val="Heading 3 - VPDC Char"/>
    <w:basedOn w:val="AttributeSubheadingChar"/>
    <w:link w:val="Heading3-VPDC"/>
    <w:rsid w:val="00573D5A"/>
    <w:rPr>
      <w:rFonts w:ascii="Arial" w:hAnsi="Arial" w:cs="Arial"/>
      <w:i w:val="0"/>
      <w:color w:val="C00000"/>
      <w:szCs w:val="24"/>
    </w:rPr>
  </w:style>
  <w:style w:type="numbering" w:customStyle="1" w:styleId="ZZBullets1">
    <w:name w:val="ZZ Bullets1"/>
    <w:rsid w:val="00E043A0"/>
  </w:style>
  <w:style w:type="numbering" w:customStyle="1" w:styleId="ZZBullets11">
    <w:name w:val="ZZ Bullets11"/>
    <w:rsid w:val="000D1302"/>
  </w:style>
  <w:style w:type="numbering" w:customStyle="1" w:styleId="ZZBullets12">
    <w:name w:val="ZZ Bullets12"/>
    <w:rsid w:val="000D1302"/>
  </w:style>
  <w:style w:type="numbering" w:customStyle="1" w:styleId="ZZBullets13">
    <w:name w:val="ZZ Bullets13"/>
    <w:rsid w:val="000D1302"/>
  </w:style>
  <w:style w:type="paragraph" w:styleId="Caption">
    <w:name w:val="caption"/>
    <w:basedOn w:val="Normal"/>
    <w:next w:val="Normal"/>
    <w:qFormat/>
    <w:rsid w:val="00C7749A"/>
    <w:pPr>
      <w:spacing w:before="120" w:after="0" w:line="240" w:lineRule="auto"/>
    </w:pPr>
    <w:rPr>
      <w:rFonts w:ascii="Verdana" w:hAnsi="Verdana"/>
      <w:sz w:val="28"/>
    </w:rPr>
  </w:style>
  <w:style w:type="paragraph" w:customStyle="1" w:styleId="TOCheadingreport">
    <w:name w:val="TOC heading report"/>
    <w:basedOn w:val="Heading1"/>
    <w:next w:val="Body"/>
    <w:link w:val="TOCheadingreportChar"/>
    <w:uiPriority w:val="4"/>
    <w:rsid w:val="00CB73B8"/>
    <w:pPr>
      <w:pageBreakBefore/>
      <w:spacing w:before="0" w:after="240" w:line="480" w:lineRule="atLeast"/>
      <w:outlineLvl w:val="9"/>
    </w:pPr>
    <w:rPr>
      <w:sz w:val="44"/>
      <w:szCs w:val="44"/>
    </w:rPr>
  </w:style>
  <w:style w:type="character" w:customStyle="1" w:styleId="TOCheadingreportChar">
    <w:name w:val="TOC heading report Char"/>
    <w:link w:val="TOCheadingreport"/>
    <w:uiPriority w:val="4"/>
    <w:rsid w:val="00CB73B8"/>
    <w:rPr>
      <w:rFonts w:ascii="Arial" w:eastAsia="MS Gothic" w:hAnsi="Arial" w:cs="Arial"/>
      <w:bCs/>
      <w:color w:val="53565A"/>
      <w:kern w:val="32"/>
      <w:sz w:val="44"/>
      <w:szCs w:val="44"/>
      <w:lang w:eastAsia="en-US"/>
    </w:rPr>
  </w:style>
  <w:style w:type="table" w:customStyle="1" w:styleId="TableGrid1">
    <w:name w:val="Table Grid1"/>
    <w:basedOn w:val="TableNormal"/>
    <w:next w:val="TableGrid"/>
    <w:uiPriority w:val="59"/>
    <w:rsid w:val="00CB73B8"/>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MDSubheadingnotTOC">
    <w:name w:val="VEMD Sub heading not TOC"/>
    <w:basedOn w:val="Normal"/>
    <w:qFormat/>
    <w:rsid w:val="00CB73B8"/>
    <w:pPr>
      <w:spacing w:before="120"/>
    </w:pPr>
    <w:rPr>
      <w:rFonts w:eastAsia="Times"/>
      <w:b/>
      <w:bCs/>
      <w:sz w:val="22"/>
    </w:rPr>
  </w:style>
  <w:style w:type="numbering" w:customStyle="1" w:styleId="Bullets">
    <w:name w:val="Bullets"/>
    <w:rsid w:val="00CB73B8"/>
    <w:pPr>
      <w:numPr>
        <w:numId w:val="16"/>
      </w:numPr>
    </w:pPr>
  </w:style>
  <w:style w:type="paragraph" w:styleId="TOCHeading">
    <w:name w:val="TOC Heading"/>
    <w:basedOn w:val="Heading1"/>
    <w:next w:val="Normal"/>
    <w:uiPriority w:val="39"/>
    <w:semiHidden/>
    <w:unhideWhenUsed/>
    <w:qFormat/>
    <w:rsid w:val="00CB73B8"/>
    <w:pPr>
      <w:pageBreakBefore/>
      <w:spacing w:before="480" w:after="0" w:line="276" w:lineRule="auto"/>
      <w:outlineLvl w:val="9"/>
    </w:pPr>
    <w:rPr>
      <w:rFonts w:asciiTheme="majorHAnsi" w:eastAsiaTheme="majorEastAsia" w:hAnsiTheme="majorHAnsi" w:cstheme="majorBidi"/>
      <w:b/>
      <w:bCs w:val="0"/>
      <w:color w:val="365F91" w:themeColor="accent1" w:themeShade="BF"/>
      <w:kern w:val="0"/>
      <w:sz w:val="28"/>
      <w:szCs w:val="28"/>
      <w:lang w:val="en-US" w:eastAsia="ja-JP"/>
    </w:rPr>
  </w:style>
  <w:style w:type="paragraph" w:customStyle="1" w:styleId="DHHSTOCheadingfactsheet">
    <w:name w:val="DHHS TOC heading fact sheet"/>
    <w:basedOn w:val="Heading2"/>
    <w:next w:val="Normal"/>
    <w:link w:val="DHHSTOCheadingfactsheetChar"/>
    <w:uiPriority w:val="4"/>
    <w:rsid w:val="00CB73B8"/>
    <w:pPr>
      <w:spacing w:before="0" w:after="200" w:line="320" w:lineRule="atLeast"/>
      <w:outlineLvl w:val="9"/>
    </w:pPr>
    <w:rPr>
      <w:noProof/>
      <w:color w:val="D50032"/>
      <w:sz w:val="28"/>
    </w:rPr>
  </w:style>
  <w:style w:type="character" w:customStyle="1" w:styleId="DHHSTOCheadingfactsheetChar">
    <w:name w:val="DHHS TOC heading fact sheet Char"/>
    <w:link w:val="DHHSTOCheadingfactsheet"/>
    <w:uiPriority w:val="4"/>
    <w:rsid w:val="00CB73B8"/>
    <w:rPr>
      <w:rFonts w:ascii="Arial" w:hAnsi="Arial"/>
      <w:b/>
      <w:noProof/>
      <w:color w:val="D50032"/>
      <w:sz w:val="28"/>
      <w:szCs w:val="28"/>
      <w:lang w:eastAsia="en-US"/>
    </w:rPr>
  </w:style>
  <w:style w:type="paragraph" w:styleId="NoSpacing">
    <w:name w:val="No Spacing"/>
    <w:uiPriority w:val="99"/>
    <w:qFormat/>
    <w:rsid w:val="00CB73B8"/>
    <w:rPr>
      <w:rFonts w:ascii="Verdana" w:hAnsi="Verda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s2np-mft.prod.servic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hyperlink" Target="https://www.health.vic.gov.au/quality-safety-service/victorian-perinatal-data-colle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Specifications for revisions to the Victorian Admitted Episodes Dataset (VAED) for 2021-22 Part C</vt:lpstr>
    </vt:vector>
  </TitlesOfParts>
  <Company>Victoria State Government, Department of Health</Company>
  <LinksUpToDate>false</LinksUpToDate>
  <CharactersWithSpaces>18773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Admitted Episodes Dataset (VAED) for 2021-22 Part C</dc:title>
  <dc:subject>Specifications for revisions to the Victorian Admitted Episodes Dataset (VAED) for 2021-22 Part C</dc:subject>
  <dc:creator>Health and System Performance Reporting</dc:creator>
  <dc:description>VAED annual changes 2021-22 Part C</dc:description>
  <cp:lastModifiedBy>Tyler McPherson (Health)</cp:lastModifiedBy>
  <cp:revision>2</cp:revision>
  <cp:lastPrinted>2022-04-02T07:04:00Z</cp:lastPrinted>
  <dcterms:created xsi:type="dcterms:W3CDTF">2022-05-26T04:33:00Z</dcterms:created>
  <dcterms:modified xsi:type="dcterms:W3CDTF">2022-05-26T04:33:00Z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2022-05-26T04:33:11Z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819ab9c7-bd87-483b-a2b0-12234fbed261</vt:lpwstr>
  </property>
  <property fmtid="{D5CDD505-2E9C-101B-9397-08002B2CF9AE}" pid="11" name="MSIP_Label_43e64453-338c-4f93-8a4d-0039a0a41f2a_ContentBits">
    <vt:lpwstr>2</vt:lpwstr>
  </property>
</Properties>
</file>