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729E" w14:textId="4EEC28B0" w:rsidR="0074696E" w:rsidRPr="004C6EEE" w:rsidRDefault="0001677A" w:rsidP="00EC40D5">
      <w:pPr>
        <w:pStyle w:val="Sectionbreakfirstpage"/>
      </w:pPr>
      <w:r>
        <w:drawing>
          <wp:anchor distT="0" distB="0" distL="114300" distR="114300" simplePos="0" relativeHeight="251658240" behindDoc="1" locked="1" layoutInCell="1" allowOverlap="1" wp14:anchorId="176DA2E9" wp14:editId="76DEBDEA">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610F48"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FDADCED" w14:textId="77777777" w:rsidTr="00B07FF7">
        <w:trPr>
          <w:trHeight w:val="622"/>
        </w:trPr>
        <w:tc>
          <w:tcPr>
            <w:tcW w:w="10348" w:type="dxa"/>
            <w:tcMar>
              <w:top w:w="1531" w:type="dxa"/>
              <w:left w:w="0" w:type="dxa"/>
              <w:right w:w="0" w:type="dxa"/>
            </w:tcMar>
          </w:tcPr>
          <w:p w14:paraId="40942EF9" w14:textId="77777777" w:rsidR="003B5733" w:rsidRPr="003B5733" w:rsidRDefault="00886938" w:rsidP="003B5733">
            <w:pPr>
              <w:pStyle w:val="Documenttitle"/>
            </w:pPr>
            <w:r>
              <w:t>Blood Matters on the Bench and Beyond</w:t>
            </w:r>
          </w:p>
        </w:tc>
      </w:tr>
      <w:tr w:rsidR="003B5733" w14:paraId="529A2777" w14:textId="77777777" w:rsidTr="00B07FF7">
        <w:tc>
          <w:tcPr>
            <w:tcW w:w="10348" w:type="dxa"/>
          </w:tcPr>
          <w:p w14:paraId="5A5A3B19" w14:textId="1D58B9CB" w:rsidR="003B5733" w:rsidRPr="00A1389F" w:rsidRDefault="00886938" w:rsidP="005F44C0">
            <w:pPr>
              <w:pStyle w:val="Documentsubtitle"/>
            </w:pPr>
            <w:r>
              <w:t xml:space="preserve">Issue </w:t>
            </w:r>
            <w:r w:rsidR="001360A8">
              <w:t>10</w:t>
            </w:r>
            <w:r>
              <w:t xml:space="preserve"> – </w:t>
            </w:r>
            <w:r w:rsidR="001360A8">
              <w:t>April</w:t>
            </w:r>
            <w:r>
              <w:t xml:space="preserve"> 202</w:t>
            </w:r>
            <w:r w:rsidR="00BD5345">
              <w:t>2</w:t>
            </w:r>
          </w:p>
        </w:tc>
      </w:tr>
      <w:tr w:rsidR="003B5733" w14:paraId="477E2524" w14:textId="77777777" w:rsidTr="00B07FF7">
        <w:tc>
          <w:tcPr>
            <w:tcW w:w="10348" w:type="dxa"/>
          </w:tcPr>
          <w:p w14:paraId="7EE8E3F5" w14:textId="52CA47C8" w:rsidR="003B5733" w:rsidRPr="001E5058" w:rsidRDefault="00C367AE" w:rsidP="001E5058">
            <w:pPr>
              <w:pStyle w:val="Bannermarking"/>
            </w:pPr>
            <w:fldSimple w:instr=" FILLIN  &quot;Type the protective marking&quot; \d OFFICIAL \o  \* MERGEFORMAT ">
              <w:r w:rsidR="006B55FB">
                <w:t>OFFICIAL</w:t>
              </w:r>
            </w:fldSimple>
          </w:p>
        </w:tc>
      </w:tr>
    </w:tbl>
    <w:p w14:paraId="4D63A8B9"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034CA876" w14:textId="65A010FF" w:rsidR="0050221C" w:rsidRPr="0067506D" w:rsidRDefault="0050221C" w:rsidP="0050221C">
      <w:pPr>
        <w:pStyle w:val="Body"/>
        <w:rPr>
          <w:rFonts w:eastAsia="MS Mincho"/>
          <w:b/>
          <w:bCs/>
          <w:noProof/>
          <w:sz w:val="28"/>
          <w:szCs w:val="28"/>
          <w:lang w:eastAsia="en-AU"/>
        </w:rPr>
      </w:pPr>
      <w:r w:rsidRPr="0067506D">
        <w:rPr>
          <w:sz w:val="22"/>
          <w:szCs w:val="22"/>
        </w:rPr>
        <w:t xml:space="preserve">Welcome to the Blood Matters newsletter for Scientists. It will </w:t>
      </w:r>
      <w:r w:rsidR="00BC39C7" w:rsidRPr="0067506D">
        <w:rPr>
          <w:sz w:val="22"/>
          <w:szCs w:val="22"/>
        </w:rPr>
        <w:t>be distributed throughout the year to share information that may be helpful to you, and to let you know of upcoming activities which may be of interest.</w:t>
      </w:r>
      <w:r w:rsidR="00BC39C7" w:rsidRPr="0067506D">
        <w:rPr>
          <w:rFonts w:eastAsia="MS Mincho"/>
          <w:b/>
          <w:bCs/>
          <w:noProof/>
          <w:sz w:val="28"/>
          <w:szCs w:val="28"/>
          <w:lang w:eastAsia="en-AU"/>
        </w:rPr>
        <w:t xml:space="preserve"> </w:t>
      </w:r>
    </w:p>
    <w:p w14:paraId="2EE775E2" w14:textId="1496EF97" w:rsidR="008770B1" w:rsidRDefault="008770B1" w:rsidP="00633B21">
      <w:pPr>
        <w:pStyle w:val="Heading2"/>
        <w:rPr>
          <w:noProof/>
          <w:lang w:eastAsia="en-AU"/>
        </w:rPr>
      </w:pPr>
      <w:r>
        <w:rPr>
          <w:noProof/>
          <w:lang w:eastAsia="en-AU"/>
        </w:rPr>
        <w:t>Blood Matters online events</w:t>
      </w:r>
      <w:r w:rsidR="005206B7">
        <w:rPr>
          <w:noProof/>
          <w:lang w:eastAsia="en-AU"/>
        </w:rPr>
        <w:t xml:space="preserve"> 2022</w:t>
      </w:r>
    </w:p>
    <w:p w14:paraId="064FA2B7" w14:textId="77BF7910" w:rsidR="005206B7" w:rsidRPr="0067506D" w:rsidRDefault="005206B7" w:rsidP="005206B7">
      <w:pPr>
        <w:pStyle w:val="Body"/>
        <w:rPr>
          <w:sz w:val="22"/>
          <w:szCs w:val="22"/>
          <w:lang w:eastAsia="en-AU"/>
        </w:rPr>
      </w:pPr>
      <w:r w:rsidRPr="0067506D">
        <w:rPr>
          <w:sz w:val="22"/>
          <w:szCs w:val="22"/>
          <w:lang w:eastAsia="en-AU"/>
        </w:rPr>
        <w:t xml:space="preserve">We have been </w:t>
      </w:r>
      <w:r w:rsidR="009F4906" w:rsidRPr="0067506D">
        <w:rPr>
          <w:sz w:val="22"/>
          <w:szCs w:val="22"/>
          <w:lang w:eastAsia="en-AU"/>
        </w:rPr>
        <w:t>thrilled</w:t>
      </w:r>
      <w:r w:rsidRPr="0067506D">
        <w:rPr>
          <w:sz w:val="22"/>
          <w:szCs w:val="22"/>
          <w:lang w:eastAsia="en-AU"/>
        </w:rPr>
        <w:t xml:space="preserve"> with the </w:t>
      </w:r>
      <w:r w:rsidR="009F4906" w:rsidRPr="0067506D">
        <w:rPr>
          <w:sz w:val="22"/>
          <w:szCs w:val="22"/>
          <w:lang w:eastAsia="en-AU"/>
        </w:rPr>
        <w:t xml:space="preserve">level of </w:t>
      </w:r>
      <w:r w:rsidRPr="0067506D">
        <w:rPr>
          <w:sz w:val="22"/>
          <w:szCs w:val="22"/>
          <w:lang w:eastAsia="en-AU"/>
        </w:rPr>
        <w:t xml:space="preserve">interest and participation in Blood Matters online events since they began in 2020. These </w:t>
      </w:r>
      <w:r w:rsidR="009F4906" w:rsidRPr="0067506D">
        <w:rPr>
          <w:sz w:val="22"/>
          <w:szCs w:val="22"/>
          <w:lang w:eastAsia="en-AU"/>
        </w:rPr>
        <w:t>have</w:t>
      </w:r>
      <w:r w:rsidRPr="0067506D">
        <w:rPr>
          <w:sz w:val="22"/>
          <w:szCs w:val="22"/>
          <w:lang w:eastAsia="en-AU"/>
        </w:rPr>
        <w:t xml:space="preserve"> become a regular fixture </w:t>
      </w:r>
      <w:r w:rsidR="009F4906" w:rsidRPr="0067506D">
        <w:rPr>
          <w:sz w:val="22"/>
          <w:szCs w:val="22"/>
          <w:lang w:eastAsia="en-AU"/>
        </w:rPr>
        <w:t xml:space="preserve">in our education calendar, continuing to </w:t>
      </w:r>
      <w:r w:rsidRPr="0067506D">
        <w:rPr>
          <w:sz w:val="22"/>
          <w:szCs w:val="22"/>
          <w:lang w:eastAsia="en-AU"/>
        </w:rPr>
        <w:t>support scientists and our multidisciplinary network</w:t>
      </w:r>
      <w:r w:rsidR="009F4906" w:rsidRPr="0067506D">
        <w:rPr>
          <w:sz w:val="22"/>
          <w:szCs w:val="22"/>
          <w:lang w:eastAsia="en-AU"/>
        </w:rPr>
        <w:t xml:space="preserve"> of transfusion professionals</w:t>
      </w:r>
      <w:r w:rsidRPr="0067506D">
        <w:rPr>
          <w:sz w:val="22"/>
          <w:szCs w:val="22"/>
          <w:lang w:eastAsia="en-AU"/>
        </w:rPr>
        <w:t xml:space="preserve">. </w:t>
      </w:r>
    </w:p>
    <w:p w14:paraId="0013989F" w14:textId="2A8A33C1" w:rsidR="005206B7" w:rsidRPr="0067506D" w:rsidRDefault="00C5780E" w:rsidP="005206B7">
      <w:pPr>
        <w:pStyle w:val="Heading3"/>
        <w:rPr>
          <w:color w:val="C00000"/>
          <w:sz w:val="28"/>
          <w:szCs w:val="28"/>
        </w:rPr>
      </w:pPr>
      <w:r>
        <w:rPr>
          <w:color w:val="C00000"/>
          <w:sz w:val="28"/>
          <w:szCs w:val="28"/>
        </w:rPr>
        <w:t>Blood management in the time of crisis</w:t>
      </w:r>
    </w:p>
    <w:p w14:paraId="0AD2AE4F" w14:textId="3B9EA986" w:rsidR="005206B7" w:rsidRPr="0067506D" w:rsidRDefault="005206B7" w:rsidP="005206B7">
      <w:pPr>
        <w:pStyle w:val="Heading3"/>
        <w:ind w:left="1701"/>
        <w:rPr>
          <w:sz w:val="28"/>
          <w:szCs w:val="28"/>
        </w:rPr>
      </w:pPr>
      <w:r w:rsidRPr="0067506D">
        <w:rPr>
          <w:noProof/>
          <w:sz w:val="28"/>
          <w:szCs w:val="28"/>
        </w:rPr>
        <w:drawing>
          <wp:anchor distT="0" distB="0" distL="114300" distR="114300" simplePos="0" relativeHeight="251666432" behindDoc="0" locked="0" layoutInCell="1" allowOverlap="1" wp14:anchorId="45A6B261" wp14:editId="174CDCD8">
            <wp:simplePos x="0" y="0"/>
            <wp:positionH relativeFrom="column">
              <wp:posOffset>0</wp:posOffset>
            </wp:positionH>
            <wp:positionV relativeFrom="paragraph">
              <wp:posOffset>-635</wp:posOffset>
            </wp:positionV>
            <wp:extent cx="914400" cy="943309"/>
            <wp:effectExtent l="0" t="0" r="0" b="9525"/>
            <wp:wrapNone/>
            <wp:docPr id="10" name="Picture 10" descr="Image of calendar and clock" title="Calenda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motion\2020\Icons\Blood Maters Icon and PNG formats\Blood Maters Icon and PNG formats\Calendar_black.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0208" cy="9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780E">
        <w:rPr>
          <w:noProof/>
          <w:sz w:val="28"/>
          <w:szCs w:val="28"/>
        </w:rPr>
        <w:t xml:space="preserve">Wednesday 25 </w:t>
      </w:r>
      <w:r w:rsidRPr="0067506D">
        <w:rPr>
          <w:noProof/>
          <w:sz w:val="28"/>
          <w:szCs w:val="28"/>
        </w:rPr>
        <w:t>May</w:t>
      </w:r>
      <w:r w:rsidRPr="0067506D">
        <w:rPr>
          <w:sz w:val="28"/>
          <w:szCs w:val="28"/>
        </w:rPr>
        <w:t xml:space="preserve"> 2022</w:t>
      </w:r>
    </w:p>
    <w:p w14:paraId="4F75B60F" w14:textId="67508096" w:rsidR="005206B7" w:rsidRPr="0067506D" w:rsidRDefault="00C5780E" w:rsidP="005206B7">
      <w:pPr>
        <w:pStyle w:val="Body"/>
        <w:ind w:left="1701"/>
        <w:rPr>
          <w:sz w:val="22"/>
          <w:szCs w:val="22"/>
        </w:rPr>
      </w:pPr>
      <w:r>
        <w:rPr>
          <w:sz w:val="22"/>
          <w:szCs w:val="22"/>
        </w:rPr>
        <w:t xml:space="preserve">12.00pm – 1.00pm </w:t>
      </w:r>
      <w:r w:rsidR="00B80CA1" w:rsidRPr="0067506D">
        <w:rPr>
          <w:sz w:val="22"/>
          <w:szCs w:val="22"/>
        </w:rPr>
        <w:t xml:space="preserve"> </w:t>
      </w:r>
    </w:p>
    <w:p w14:paraId="71D64F22" w14:textId="50DA5E28" w:rsidR="005206B7" w:rsidRDefault="005206B7" w:rsidP="005206B7">
      <w:pPr>
        <w:pStyle w:val="Body"/>
        <w:ind w:left="1701"/>
        <w:rPr>
          <w:sz w:val="22"/>
          <w:szCs w:val="22"/>
        </w:rPr>
      </w:pPr>
      <w:r w:rsidRPr="0067506D">
        <w:rPr>
          <w:sz w:val="22"/>
          <w:szCs w:val="22"/>
        </w:rPr>
        <w:t>Virtual education session via Webex</w:t>
      </w:r>
    </w:p>
    <w:p w14:paraId="645B149F" w14:textId="642D4AB8" w:rsidR="00C5780E" w:rsidRDefault="00C5780E" w:rsidP="005206B7">
      <w:pPr>
        <w:pStyle w:val="Body"/>
        <w:ind w:left="1701"/>
        <w:rPr>
          <w:b/>
          <w:bCs/>
          <w:color w:val="C00000"/>
          <w:sz w:val="22"/>
          <w:szCs w:val="22"/>
        </w:rPr>
      </w:pPr>
      <w:r>
        <w:rPr>
          <w:sz w:val="22"/>
          <w:szCs w:val="22"/>
        </w:rPr>
        <w:t xml:space="preserve">Registration is required – </w:t>
      </w:r>
      <w:hyperlink r:id="rId17" w:history="1">
        <w:r w:rsidRPr="006C5B8F">
          <w:rPr>
            <w:rStyle w:val="Hyperlink"/>
            <w:b/>
            <w:bCs/>
            <w:color w:val="C00000"/>
            <w:sz w:val="24"/>
            <w:szCs w:val="24"/>
          </w:rPr>
          <w:t>Click here to register</w:t>
        </w:r>
      </w:hyperlink>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8"/>
        <w:gridCol w:w="4472"/>
      </w:tblGrid>
      <w:tr w:rsidR="00160460" w:rsidRPr="004B4FD8" w14:paraId="6D600D03" w14:textId="77777777" w:rsidTr="00160460">
        <w:tc>
          <w:tcPr>
            <w:tcW w:w="6018" w:type="dxa"/>
            <w:shd w:val="clear" w:color="auto" w:fill="auto"/>
          </w:tcPr>
          <w:p w14:paraId="3F3CF967" w14:textId="77777777" w:rsidR="00160460" w:rsidRPr="00160460" w:rsidRDefault="00160460" w:rsidP="00C971EA">
            <w:pPr>
              <w:spacing w:before="120"/>
              <w:rPr>
                <w:rFonts w:cs="Arial"/>
                <w:b/>
                <w:bCs/>
                <w:color w:val="000000"/>
                <w:sz w:val="22"/>
                <w:szCs w:val="22"/>
                <w:lang w:eastAsia="ja-JP"/>
              </w:rPr>
            </w:pPr>
            <w:r w:rsidRPr="00160460">
              <w:rPr>
                <w:rFonts w:cs="Arial"/>
                <w:b/>
                <w:bCs/>
                <w:color w:val="000000"/>
                <w:sz w:val="22"/>
                <w:szCs w:val="22"/>
                <w:lang w:eastAsia="ja-JP"/>
              </w:rPr>
              <w:t>Blood supply from a national perspective</w:t>
            </w:r>
          </w:p>
          <w:p w14:paraId="2138B438" w14:textId="77777777" w:rsidR="00160460" w:rsidRPr="00160460" w:rsidRDefault="00160460" w:rsidP="00C971EA">
            <w:pPr>
              <w:numPr>
                <w:ilvl w:val="0"/>
                <w:numId w:val="40"/>
              </w:numPr>
              <w:spacing w:line="240" w:lineRule="auto"/>
              <w:rPr>
                <w:rFonts w:cs="Arial"/>
                <w:sz w:val="22"/>
                <w:szCs w:val="22"/>
              </w:rPr>
            </w:pPr>
            <w:r w:rsidRPr="00160460">
              <w:rPr>
                <w:rFonts w:cs="Arial"/>
                <w:sz w:val="22"/>
                <w:szCs w:val="22"/>
              </w:rPr>
              <w:t>Logistics of blood supply</w:t>
            </w:r>
          </w:p>
          <w:p w14:paraId="17668CFB" w14:textId="77777777" w:rsidR="00160460" w:rsidRPr="00160460" w:rsidRDefault="00160460" w:rsidP="00C971EA">
            <w:pPr>
              <w:numPr>
                <w:ilvl w:val="0"/>
                <w:numId w:val="40"/>
              </w:numPr>
              <w:spacing w:line="240" w:lineRule="auto"/>
              <w:rPr>
                <w:rFonts w:cs="Arial"/>
                <w:sz w:val="22"/>
                <w:szCs w:val="22"/>
              </w:rPr>
            </w:pPr>
            <w:r w:rsidRPr="00160460">
              <w:rPr>
                <w:rFonts w:cs="Arial"/>
                <w:sz w:val="22"/>
                <w:szCs w:val="22"/>
              </w:rPr>
              <w:t>Response to supply shortages</w:t>
            </w:r>
          </w:p>
          <w:p w14:paraId="543B3B58" w14:textId="77777777" w:rsidR="00160460" w:rsidRPr="00160460" w:rsidRDefault="00160460" w:rsidP="00C971EA">
            <w:pPr>
              <w:numPr>
                <w:ilvl w:val="0"/>
                <w:numId w:val="40"/>
              </w:numPr>
              <w:spacing w:line="240" w:lineRule="auto"/>
              <w:rPr>
                <w:rFonts w:cs="Arial"/>
                <w:sz w:val="22"/>
                <w:szCs w:val="22"/>
              </w:rPr>
            </w:pPr>
            <w:r w:rsidRPr="00160460">
              <w:rPr>
                <w:rFonts w:cs="Arial"/>
                <w:sz w:val="22"/>
                <w:szCs w:val="22"/>
              </w:rPr>
              <w:t>Disaster/contingency planning</w:t>
            </w:r>
          </w:p>
        </w:tc>
        <w:tc>
          <w:tcPr>
            <w:tcW w:w="4472" w:type="dxa"/>
            <w:shd w:val="clear" w:color="auto" w:fill="auto"/>
          </w:tcPr>
          <w:p w14:paraId="7F6087B7" w14:textId="77777777" w:rsidR="00160460" w:rsidRPr="00160460" w:rsidRDefault="00160460" w:rsidP="00C971EA">
            <w:pPr>
              <w:spacing w:before="120"/>
              <w:rPr>
                <w:rFonts w:cs="Arial"/>
                <w:b/>
                <w:color w:val="C00000"/>
                <w:sz w:val="22"/>
                <w:szCs w:val="22"/>
              </w:rPr>
            </w:pPr>
            <w:r w:rsidRPr="00160460">
              <w:rPr>
                <w:rFonts w:cs="Arial"/>
                <w:b/>
                <w:color w:val="C00000"/>
                <w:sz w:val="22"/>
                <w:szCs w:val="22"/>
              </w:rPr>
              <w:t>Stuart Chesneau</w:t>
            </w:r>
          </w:p>
          <w:p w14:paraId="35437523" w14:textId="77777777" w:rsidR="00160460" w:rsidRPr="00160460" w:rsidRDefault="00160460" w:rsidP="00C971EA">
            <w:pPr>
              <w:spacing w:after="0" w:line="264" w:lineRule="auto"/>
              <w:rPr>
                <w:sz w:val="22"/>
                <w:szCs w:val="22"/>
              </w:rPr>
            </w:pPr>
            <w:r w:rsidRPr="00160460">
              <w:rPr>
                <w:sz w:val="22"/>
                <w:szCs w:val="22"/>
              </w:rPr>
              <w:t>Chief Strategic Supply and Growth Officer</w:t>
            </w:r>
          </w:p>
          <w:p w14:paraId="77F18AB7" w14:textId="77777777" w:rsidR="00160460" w:rsidRPr="00160460" w:rsidRDefault="00160460" w:rsidP="00C971EA">
            <w:pPr>
              <w:spacing w:after="0" w:line="264" w:lineRule="auto"/>
              <w:rPr>
                <w:sz w:val="22"/>
                <w:szCs w:val="22"/>
              </w:rPr>
            </w:pPr>
            <w:r w:rsidRPr="00160460">
              <w:rPr>
                <w:sz w:val="22"/>
                <w:szCs w:val="22"/>
              </w:rPr>
              <w:t>Business Growth &amp; Innovation</w:t>
            </w:r>
          </w:p>
          <w:p w14:paraId="086387DE" w14:textId="77777777" w:rsidR="00160460" w:rsidRPr="00160460" w:rsidRDefault="00160460" w:rsidP="00C971EA">
            <w:pPr>
              <w:spacing w:line="264" w:lineRule="auto"/>
              <w:rPr>
                <w:sz w:val="22"/>
                <w:szCs w:val="22"/>
              </w:rPr>
            </w:pPr>
            <w:r w:rsidRPr="00160460">
              <w:rPr>
                <w:sz w:val="22"/>
                <w:szCs w:val="22"/>
              </w:rPr>
              <w:t>Australian Red Cross Lifeblood</w:t>
            </w:r>
          </w:p>
        </w:tc>
      </w:tr>
      <w:tr w:rsidR="00160460" w:rsidRPr="004B4FD8" w14:paraId="45AFB24A" w14:textId="77777777" w:rsidTr="00160460">
        <w:tc>
          <w:tcPr>
            <w:tcW w:w="6018" w:type="dxa"/>
            <w:shd w:val="clear" w:color="auto" w:fill="auto"/>
          </w:tcPr>
          <w:p w14:paraId="18E0233B" w14:textId="77777777" w:rsidR="00160460" w:rsidRPr="00160460" w:rsidRDefault="00160460" w:rsidP="00C971EA">
            <w:pPr>
              <w:spacing w:before="120"/>
              <w:rPr>
                <w:rFonts w:cs="Arial"/>
                <w:b/>
                <w:bCs/>
                <w:color w:val="000000"/>
                <w:sz w:val="22"/>
                <w:szCs w:val="22"/>
                <w:lang w:eastAsia="ja-JP"/>
              </w:rPr>
            </w:pPr>
            <w:r w:rsidRPr="00160460">
              <w:rPr>
                <w:rFonts w:cs="Arial"/>
                <w:b/>
                <w:bCs/>
                <w:color w:val="000000"/>
                <w:sz w:val="22"/>
                <w:szCs w:val="22"/>
                <w:lang w:eastAsia="ja-JP"/>
              </w:rPr>
              <w:t>Role of Lifeblood Transfusion Medicine Specialists in time of shortage</w:t>
            </w:r>
          </w:p>
          <w:p w14:paraId="69B43AB7" w14:textId="77777777" w:rsidR="00160460" w:rsidRPr="00160460" w:rsidRDefault="00160460" w:rsidP="00160460">
            <w:pPr>
              <w:pStyle w:val="ListParagraph"/>
              <w:numPr>
                <w:ilvl w:val="0"/>
                <w:numId w:val="49"/>
              </w:numPr>
              <w:spacing w:before="120" w:after="0" w:line="240" w:lineRule="auto"/>
              <w:ind w:left="319" w:hanging="283"/>
              <w:contextualSpacing w:val="0"/>
              <w:rPr>
                <w:rFonts w:cs="Arial"/>
                <w:color w:val="000000"/>
                <w:sz w:val="22"/>
                <w:szCs w:val="22"/>
                <w:lang w:eastAsia="ja-JP"/>
              </w:rPr>
            </w:pPr>
            <w:r w:rsidRPr="00160460">
              <w:rPr>
                <w:rFonts w:cs="Arial"/>
                <w:color w:val="000000"/>
                <w:sz w:val="22"/>
                <w:szCs w:val="22"/>
                <w:lang w:eastAsia="ja-JP"/>
              </w:rPr>
              <w:t>How provision of blood and blood products is prioritised</w:t>
            </w:r>
          </w:p>
          <w:p w14:paraId="423D65BB" w14:textId="77777777" w:rsidR="00160460" w:rsidRPr="00160460" w:rsidRDefault="00160460" w:rsidP="00160460">
            <w:pPr>
              <w:pStyle w:val="ListParagraph"/>
              <w:numPr>
                <w:ilvl w:val="0"/>
                <w:numId w:val="49"/>
              </w:numPr>
              <w:spacing w:before="120" w:after="0" w:line="240" w:lineRule="auto"/>
              <w:ind w:left="319" w:hanging="283"/>
              <w:contextualSpacing w:val="0"/>
              <w:rPr>
                <w:rFonts w:cs="Arial"/>
                <w:color w:val="000000"/>
                <w:sz w:val="22"/>
                <w:szCs w:val="22"/>
                <w:lang w:eastAsia="ja-JP"/>
              </w:rPr>
            </w:pPr>
            <w:r w:rsidRPr="00160460">
              <w:rPr>
                <w:rFonts w:cs="Arial"/>
                <w:color w:val="000000"/>
                <w:sz w:val="22"/>
                <w:szCs w:val="22"/>
                <w:lang w:eastAsia="ja-JP"/>
              </w:rPr>
              <w:t>How to select best alternatives</w:t>
            </w:r>
          </w:p>
          <w:p w14:paraId="48749C50" w14:textId="77777777" w:rsidR="00160460" w:rsidRPr="00160460" w:rsidRDefault="00160460" w:rsidP="00160460">
            <w:pPr>
              <w:pStyle w:val="ListParagraph"/>
              <w:numPr>
                <w:ilvl w:val="0"/>
                <w:numId w:val="49"/>
              </w:numPr>
              <w:spacing w:before="120" w:line="240" w:lineRule="auto"/>
              <w:ind w:left="318" w:hanging="284"/>
              <w:contextualSpacing w:val="0"/>
              <w:rPr>
                <w:rFonts w:cs="Arial"/>
                <w:color w:val="000000"/>
                <w:sz w:val="22"/>
                <w:szCs w:val="22"/>
                <w:lang w:eastAsia="ja-JP"/>
              </w:rPr>
            </w:pPr>
            <w:r w:rsidRPr="00160460">
              <w:rPr>
                <w:rFonts w:cs="Arial"/>
                <w:color w:val="000000"/>
                <w:sz w:val="22"/>
                <w:szCs w:val="22"/>
                <w:lang w:eastAsia="ja-JP"/>
              </w:rPr>
              <w:t>How scientists/clinicians can help Lifeblood with triaging of orders</w:t>
            </w:r>
          </w:p>
        </w:tc>
        <w:tc>
          <w:tcPr>
            <w:tcW w:w="4472" w:type="dxa"/>
            <w:shd w:val="clear" w:color="auto" w:fill="auto"/>
          </w:tcPr>
          <w:p w14:paraId="3C9D79B0" w14:textId="77777777" w:rsidR="00160460" w:rsidRPr="00160460" w:rsidRDefault="00160460" w:rsidP="00C971EA">
            <w:pPr>
              <w:spacing w:before="120"/>
              <w:rPr>
                <w:rFonts w:cs="Arial"/>
                <w:b/>
                <w:bCs/>
                <w:color w:val="C00000"/>
                <w:sz w:val="22"/>
                <w:szCs w:val="22"/>
              </w:rPr>
            </w:pPr>
            <w:r w:rsidRPr="00160460">
              <w:rPr>
                <w:rFonts w:cs="Arial"/>
                <w:b/>
                <w:bCs/>
                <w:color w:val="C00000"/>
                <w:sz w:val="22"/>
                <w:szCs w:val="22"/>
              </w:rPr>
              <w:t>Dr Kobie Von Wielligh</w:t>
            </w:r>
          </w:p>
          <w:p w14:paraId="00521980" w14:textId="77777777" w:rsidR="00160460" w:rsidRPr="00160460" w:rsidRDefault="00160460" w:rsidP="00C971EA">
            <w:pPr>
              <w:spacing w:after="0" w:line="264" w:lineRule="auto"/>
              <w:rPr>
                <w:rFonts w:cs="Arial"/>
                <w:sz w:val="22"/>
                <w:szCs w:val="22"/>
              </w:rPr>
            </w:pPr>
            <w:r w:rsidRPr="00160460">
              <w:rPr>
                <w:rFonts w:cs="Arial"/>
                <w:sz w:val="22"/>
                <w:szCs w:val="22"/>
              </w:rPr>
              <w:t>Transfusion Medicine Specialist</w:t>
            </w:r>
          </w:p>
          <w:p w14:paraId="68A8FEB1" w14:textId="77777777" w:rsidR="00160460" w:rsidRPr="00160460" w:rsidRDefault="00160460" w:rsidP="00C971EA">
            <w:pPr>
              <w:spacing w:after="0" w:line="264" w:lineRule="auto"/>
              <w:rPr>
                <w:rFonts w:cs="Arial"/>
                <w:bCs/>
                <w:sz w:val="22"/>
                <w:szCs w:val="22"/>
              </w:rPr>
            </w:pPr>
            <w:r w:rsidRPr="00160460">
              <w:rPr>
                <w:rFonts w:cs="Arial"/>
                <w:bCs/>
                <w:sz w:val="22"/>
                <w:szCs w:val="22"/>
              </w:rPr>
              <w:t>Pathology Services</w:t>
            </w:r>
          </w:p>
          <w:p w14:paraId="363FB92D" w14:textId="77777777" w:rsidR="00160460" w:rsidRPr="00160460" w:rsidRDefault="00160460" w:rsidP="00C971EA">
            <w:pPr>
              <w:spacing w:after="0" w:line="264" w:lineRule="auto"/>
              <w:rPr>
                <w:rFonts w:cs="Arial"/>
                <w:b/>
                <w:color w:val="C00000"/>
                <w:sz w:val="22"/>
                <w:szCs w:val="22"/>
              </w:rPr>
            </w:pPr>
            <w:r w:rsidRPr="00160460">
              <w:rPr>
                <w:rFonts w:cs="Arial"/>
                <w:bCs/>
                <w:sz w:val="22"/>
                <w:szCs w:val="22"/>
              </w:rPr>
              <w:t>Australian Red Cross Lifeblood</w:t>
            </w:r>
            <w:r w:rsidRPr="00160460">
              <w:rPr>
                <w:rFonts w:cs="Arial"/>
                <w:b/>
                <w:sz w:val="22"/>
                <w:szCs w:val="22"/>
              </w:rPr>
              <w:t xml:space="preserve"> </w:t>
            </w:r>
          </w:p>
        </w:tc>
      </w:tr>
    </w:tbl>
    <w:p w14:paraId="7D2828B9" w14:textId="77777777" w:rsidR="00160460" w:rsidRDefault="00160460" w:rsidP="006C5B8F">
      <w:pPr>
        <w:pStyle w:val="Body"/>
        <w:spacing w:before="120"/>
      </w:pPr>
      <w:r>
        <w:t xml:space="preserve">Including time for questions at the end of the meeting. </w:t>
      </w:r>
    </w:p>
    <w:p w14:paraId="17ED65E8" w14:textId="5BE50CC7" w:rsidR="00160460" w:rsidRDefault="00160460" w:rsidP="00FD5A71">
      <w:pPr>
        <w:pStyle w:val="Body"/>
      </w:pPr>
      <w:r>
        <w:t>This education session is aimed at transfusion scientists but would be of interest to all clinical staff.</w:t>
      </w:r>
    </w:p>
    <w:p w14:paraId="4C9E34AA" w14:textId="488340A1" w:rsidR="00837648" w:rsidRDefault="00957D8E" w:rsidP="001E09F0">
      <w:pPr>
        <w:pStyle w:val="Heading2"/>
      </w:pPr>
      <w:bookmarkStart w:id="0" w:name="_Hlk84949942"/>
      <w:r>
        <w:t>2021/22 ‘STOP the waste’ f</w:t>
      </w:r>
      <w:r w:rsidR="005206B7">
        <w:t>estive season</w:t>
      </w:r>
      <w:r>
        <w:t xml:space="preserve"> campaign</w:t>
      </w:r>
      <w:r w:rsidR="005206B7">
        <w:t xml:space="preserve"> results</w:t>
      </w:r>
    </w:p>
    <w:p w14:paraId="2D56526A" w14:textId="41C236A7" w:rsidR="000F5F32" w:rsidRDefault="000F5F32" w:rsidP="000F5F32">
      <w:pPr>
        <w:pStyle w:val="Body"/>
        <w:rPr>
          <w:sz w:val="22"/>
          <w:szCs w:val="22"/>
        </w:rPr>
      </w:pPr>
      <w:r w:rsidRPr="0067506D">
        <w:rPr>
          <w:sz w:val="22"/>
          <w:szCs w:val="22"/>
        </w:rPr>
        <w:t>The 2021</w:t>
      </w:r>
      <w:r w:rsidR="00957D8E" w:rsidRPr="0067506D">
        <w:rPr>
          <w:sz w:val="22"/>
          <w:szCs w:val="22"/>
        </w:rPr>
        <w:t>/</w:t>
      </w:r>
      <w:r w:rsidRPr="0067506D">
        <w:rPr>
          <w:sz w:val="22"/>
          <w:szCs w:val="22"/>
        </w:rPr>
        <w:t xml:space="preserve">22 ‘STOP the waste’ festive campaign has once again been extremely successful. We would like to </w:t>
      </w:r>
      <w:r w:rsidR="00026A57" w:rsidRPr="0067506D">
        <w:rPr>
          <w:sz w:val="22"/>
          <w:szCs w:val="22"/>
        </w:rPr>
        <w:t>pass on our thanks for the</w:t>
      </w:r>
      <w:r w:rsidRPr="0067506D">
        <w:rPr>
          <w:sz w:val="22"/>
          <w:szCs w:val="22"/>
        </w:rPr>
        <w:t xml:space="preserve"> </w:t>
      </w:r>
      <w:r w:rsidR="001A73C6" w:rsidRPr="0067506D">
        <w:rPr>
          <w:sz w:val="22"/>
          <w:szCs w:val="22"/>
        </w:rPr>
        <w:t>diligence</w:t>
      </w:r>
      <w:r w:rsidRPr="0067506D">
        <w:rPr>
          <w:sz w:val="22"/>
          <w:szCs w:val="22"/>
        </w:rPr>
        <w:t xml:space="preserve"> and dedication in celebrating the donor’s gift this festive period.</w:t>
      </w:r>
    </w:p>
    <w:p w14:paraId="46FFC45F" w14:textId="77777777" w:rsidR="00160460" w:rsidRPr="0067506D" w:rsidRDefault="00160460" w:rsidP="000F5F32">
      <w:pPr>
        <w:pStyle w:val="Body"/>
        <w:rPr>
          <w:sz w:val="22"/>
          <w:szCs w:val="22"/>
        </w:rPr>
      </w:pPr>
    </w:p>
    <w:p w14:paraId="1C8E0935" w14:textId="52B7760A" w:rsidR="001A73C6" w:rsidRPr="0067506D" w:rsidRDefault="00160460" w:rsidP="001A73C6">
      <w:pPr>
        <w:pStyle w:val="Body"/>
        <w:rPr>
          <w:sz w:val="22"/>
          <w:szCs w:val="22"/>
        </w:rPr>
      </w:pPr>
      <w:r w:rsidRPr="0067506D">
        <w:rPr>
          <w:noProof/>
          <w:sz w:val="22"/>
          <w:szCs w:val="22"/>
        </w:rPr>
        <w:lastRenderedPageBreak/>
        <w:drawing>
          <wp:anchor distT="0" distB="0" distL="114300" distR="114300" simplePos="0" relativeHeight="251667456" behindDoc="1" locked="0" layoutInCell="1" allowOverlap="1" wp14:anchorId="4578886D" wp14:editId="3377C951">
            <wp:simplePos x="0" y="0"/>
            <wp:positionH relativeFrom="column">
              <wp:posOffset>4133850</wp:posOffset>
            </wp:positionH>
            <wp:positionV relativeFrom="paragraph">
              <wp:posOffset>19417</wp:posOffset>
            </wp:positionV>
            <wp:extent cx="2390775" cy="3384183"/>
            <wp:effectExtent l="19050" t="19050" r="9525" b="26035"/>
            <wp:wrapTight wrapText="bothSides">
              <wp:wrapPolygon edited="0">
                <wp:start x="-172" y="-122"/>
                <wp:lineTo x="-172" y="21645"/>
                <wp:lineTo x="21514" y="21645"/>
                <wp:lineTo x="21514" y="-122"/>
                <wp:lineTo x="-172" y="-122"/>
              </wp:wrapPolygon>
            </wp:wrapTight>
            <wp:docPr id="12" name="Content Placeholder 3" descr="Image of poster from Blood Matters 'STOP the waste' festive campaign 2021-22&#10;&#10;&quot;Let's celebrate the donor's precious gift this festive season.&quot;">
              <a:extLst xmlns:a="http://schemas.openxmlformats.org/drawingml/2006/main">
                <a:ext uri="{FF2B5EF4-FFF2-40B4-BE49-F238E27FC236}">
                  <a16:creationId xmlns:a16="http://schemas.microsoft.com/office/drawing/2014/main" id="{D3FFEBC8-C2D8-4C86-A5BD-F0D1B0F8476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Content Placeholder 3" descr="Image of poster from Blood Matters 'STOP the waste' festive campaign 2021-22&#10;&#10;&quot;Let's celebrate the donor's precious gift this festive season.&quot;">
                      <a:extLst>
                        <a:ext uri="{FF2B5EF4-FFF2-40B4-BE49-F238E27FC236}">
                          <a16:creationId xmlns:a16="http://schemas.microsoft.com/office/drawing/2014/main" id="{D3FFEBC8-C2D8-4C86-A5BD-F0D1B0F8476B}"/>
                        </a:ext>
                      </a:extLst>
                    </pic:cNvPr>
                    <pic:cNvPicPr>
                      <a:picLocks noGrp="1" noChangeAspect="1"/>
                    </pic:cNvPicPr>
                  </pic:nvPicPr>
                  <pic:blipFill>
                    <a:blip r:embed="rId18"/>
                    <a:stretch>
                      <a:fillRect/>
                    </a:stretch>
                  </pic:blipFill>
                  <pic:spPr bwMode="auto">
                    <a:xfrm>
                      <a:off x="0" y="0"/>
                      <a:ext cx="2392376" cy="3386449"/>
                    </a:xfrm>
                    <a:prstGeom prst="rect">
                      <a:avLst/>
                    </a:prstGeom>
                    <a:noFill/>
                    <a:ln>
                      <a:solidFill>
                        <a:schemeClr val="tx1"/>
                      </a:solid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w="9525">
                          <a:solidFill>
                            <a:srgbClr val="000000"/>
                          </a:solidFill>
                          <a:miter lim="800000"/>
                          <a:headEnd/>
                          <a:tailEnd/>
                        </a14:hiddenLine>
                      </a:ext>
                    </a:extLst>
                  </pic:spPr>
                </pic:pic>
              </a:graphicData>
            </a:graphic>
            <wp14:sizeRelH relativeFrom="margin">
              <wp14:pctWidth>0</wp14:pctWidth>
            </wp14:sizeRelH>
            <wp14:sizeRelV relativeFrom="margin">
              <wp14:pctHeight>0</wp14:pctHeight>
            </wp14:sizeRelV>
          </wp:anchor>
        </w:drawing>
      </w:r>
      <w:r w:rsidR="000F5F32" w:rsidRPr="0067506D">
        <w:rPr>
          <w:sz w:val="22"/>
          <w:szCs w:val="22"/>
        </w:rPr>
        <w:t>The last two festive periods have seen record low RBC wastage rates in Victoria. An outstanding wastage rate of 1.2% was achieved twice during this most recent festive period, with an average wastage rate of 1.3%. The awareness of all stakeholders has been a major factor in the success of the ‘STOP the waste’ festive campaign.</w:t>
      </w:r>
      <w:r w:rsidR="001A73C6" w:rsidRPr="0067506D">
        <w:rPr>
          <w:sz w:val="22"/>
          <w:szCs w:val="22"/>
        </w:rPr>
        <w:t xml:space="preserve"> This is a </w:t>
      </w:r>
      <w:r w:rsidR="00B80CA1" w:rsidRPr="0067506D">
        <w:rPr>
          <w:sz w:val="22"/>
          <w:szCs w:val="22"/>
        </w:rPr>
        <w:t>remarkable</w:t>
      </w:r>
      <w:r w:rsidR="001A73C6" w:rsidRPr="0067506D">
        <w:rPr>
          <w:sz w:val="22"/>
          <w:szCs w:val="22"/>
        </w:rPr>
        <w:t xml:space="preserve"> result</w:t>
      </w:r>
      <w:r w:rsidR="00B80CA1" w:rsidRPr="0067506D">
        <w:rPr>
          <w:sz w:val="22"/>
          <w:szCs w:val="22"/>
        </w:rPr>
        <w:t>, and</w:t>
      </w:r>
      <w:r w:rsidR="001A73C6" w:rsidRPr="0067506D">
        <w:rPr>
          <w:sz w:val="22"/>
          <w:szCs w:val="22"/>
        </w:rPr>
        <w:t xml:space="preserve"> we celebrate your </w:t>
      </w:r>
      <w:r w:rsidR="00B80CA1" w:rsidRPr="0067506D">
        <w:rPr>
          <w:sz w:val="22"/>
          <w:szCs w:val="22"/>
        </w:rPr>
        <w:t>achievement</w:t>
      </w:r>
      <w:r w:rsidR="001A73C6" w:rsidRPr="0067506D">
        <w:rPr>
          <w:sz w:val="22"/>
          <w:szCs w:val="22"/>
        </w:rPr>
        <w:t xml:space="preserve"> in keeping wastage to a minimum.</w:t>
      </w:r>
    </w:p>
    <w:p w14:paraId="3B3F3F8F" w14:textId="77777777" w:rsidR="000F5F32" w:rsidRPr="0067506D" w:rsidRDefault="000F5F32" w:rsidP="000F5F32">
      <w:pPr>
        <w:pStyle w:val="Body"/>
        <w:rPr>
          <w:sz w:val="22"/>
          <w:szCs w:val="22"/>
        </w:rPr>
      </w:pPr>
      <w:r w:rsidRPr="0067506D">
        <w:rPr>
          <w:sz w:val="22"/>
          <w:szCs w:val="22"/>
        </w:rPr>
        <w:t>Extra care was required this year with shortages being experienced across the blood supply, so the record low wastage rates have had more impact than ever on maintaining the sufficiency of the blood supply.</w:t>
      </w:r>
    </w:p>
    <w:p w14:paraId="78917FF1" w14:textId="77777777" w:rsidR="001A73C6" w:rsidRPr="0067506D" w:rsidRDefault="001A73C6" w:rsidP="001A73C6">
      <w:pPr>
        <w:pStyle w:val="Body"/>
        <w:rPr>
          <w:sz w:val="22"/>
          <w:szCs w:val="22"/>
        </w:rPr>
      </w:pPr>
      <w:r w:rsidRPr="0067506D">
        <w:rPr>
          <w:sz w:val="22"/>
          <w:szCs w:val="22"/>
        </w:rPr>
        <w:t>Your continued support of the ‘STOP the waste’ festive campaign is appreciated.</w:t>
      </w:r>
    </w:p>
    <w:p w14:paraId="25BE0EDF" w14:textId="3538D1D6" w:rsidR="001A73C6" w:rsidRPr="0067506D" w:rsidRDefault="001A73C6" w:rsidP="001A73C6">
      <w:pPr>
        <w:pStyle w:val="Body"/>
        <w:rPr>
          <w:sz w:val="22"/>
          <w:szCs w:val="22"/>
        </w:rPr>
      </w:pPr>
      <w:r w:rsidRPr="0067506D">
        <w:rPr>
          <w:sz w:val="22"/>
          <w:szCs w:val="22"/>
        </w:rPr>
        <w:t xml:space="preserve">As we continue into 2022, please remember to monitor changes to activity within your organisation which may impact on blood use and adjust </w:t>
      </w:r>
      <w:r w:rsidR="00B80CA1" w:rsidRPr="0067506D">
        <w:rPr>
          <w:sz w:val="22"/>
          <w:szCs w:val="22"/>
        </w:rPr>
        <w:t>your</w:t>
      </w:r>
      <w:r w:rsidRPr="0067506D">
        <w:rPr>
          <w:sz w:val="22"/>
          <w:szCs w:val="22"/>
        </w:rPr>
        <w:t xml:space="preserve"> inventory accordingly. </w:t>
      </w:r>
    </w:p>
    <w:p w14:paraId="7973FF50" w14:textId="7D93138F" w:rsidR="001360A8" w:rsidRDefault="001360A8" w:rsidP="00837648">
      <w:pPr>
        <w:pStyle w:val="Body"/>
      </w:pPr>
    </w:p>
    <w:p w14:paraId="4838B12E" w14:textId="54B03BD4" w:rsidR="0068584D" w:rsidRPr="00837648" w:rsidRDefault="000F5F32" w:rsidP="0068584D">
      <w:pPr>
        <w:pStyle w:val="Body"/>
      </w:pPr>
      <w:r w:rsidRPr="000F5F32">
        <w:rPr>
          <w:noProof/>
        </w:rPr>
        <w:drawing>
          <wp:inline distT="0" distB="0" distL="0" distR="0" wp14:anchorId="07F41ECB" wp14:editId="1AF4C858">
            <wp:extent cx="6645910" cy="3248025"/>
            <wp:effectExtent l="0" t="0" r="2540" b="9525"/>
            <wp:docPr id="11" name="Chart 11" descr="Graph titled &quot;Festive period RBC wastage 2014/15 - 2021/22&quot; showing the ongoing decrease in wastage over this period. This latest festive period saw Victorian wastage rates of 1.3% in November 2021, 1.2% in December 2021, 1.6% in January 2022 and 1.2% in February 2022">
              <a:extLst xmlns:a="http://schemas.openxmlformats.org/drawingml/2006/main">
                <a:ext uri="{FF2B5EF4-FFF2-40B4-BE49-F238E27FC236}">
                  <a16:creationId xmlns:a16="http://schemas.microsoft.com/office/drawing/2014/main" id="{F81D4313-1E85-42FD-BCEB-52BA535F76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bookmarkEnd w:id="0"/>
    <w:p w14:paraId="7CAA730F" w14:textId="5D4E9D43" w:rsidR="00B650D2" w:rsidRDefault="000928F5" w:rsidP="001E09F0">
      <w:pPr>
        <w:pStyle w:val="Heading2"/>
      </w:pPr>
      <w:r>
        <w:t>Changing blood groups in the Australian population</w:t>
      </w:r>
    </w:p>
    <w:p w14:paraId="763AD43A" w14:textId="767705ED" w:rsidR="009446D3" w:rsidRPr="0067506D" w:rsidRDefault="000928F5" w:rsidP="009446D3">
      <w:pPr>
        <w:spacing w:line="276" w:lineRule="auto"/>
        <w:ind w:right="600"/>
        <w:rPr>
          <w:rFonts w:cs="Arial"/>
          <w:sz w:val="22"/>
          <w:szCs w:val="22"/>
        </w:rPr>
      </w:pPr>
      <w:r w:rsidRPr="0067506D">
        <w:rPr>
          <w:rFonts w:cs="Arial"/>
          <w:i/>
          <w:iCs/>
          <w:sz w:val="22"/>
          <w:szCs w:val="22"/>
        </w:rPr>
        <w:t>The distribution of ABO RhD blood groups in Australia, based on blood donor and blood sample pathology data</w:t>
      </w:r>
      <w:r w:rsidR="00625F2C" w:rsidRPr="0067506D">
        <w:rPr>
          <w:rFonts w:cs="Arial"/>
          <w:i/>
          <w:iCs/>
          <w:sz w:val="22"/>
          <w:szCs w:val="22"/>
        </w:rPr>
        <w:t>,</w:t>
      </w:r>
      <w:r w:rsidRPr="0067506D">
        <w:rPr>
          <w:rFonts w:cs="Arial"/>
          <w:sz w:val="22"/>
          <w:szCs w:val="22"/>
        </w:rPr>
        <w:t xml:space="preserve"> </w:t>
      </w:r>
      <w:r w:rsidR="00625F2C" w:rsidRPr="0067506D">
        <w:rPr>
          <w:rFonts w:cs="Arial"/>
          <w:sz w:val="22"/>
          <w:szCs w:val="22"/>
        </w:rPr>
        <w:t xml:space="preserve">written by Rena Hirani, Natalie Weinert and David Irving from Australian Red Cross Lifeblood has recently been published </w:t>
      </w:r>
      <w:r w:rsidRPr="0067506D">
        <w:rPr>
          <w:rFonts w:cs="Arial"/>
          <w:sz w:val="22"/>
          <w:szCs w:val="22"/>
        </w:rPr>
        <w:t xml:space="preserve">in </w:t>
      </w:r>
      <w:r w:rsidR="00957D8E" w:rsidRPr="0067506D">
        <w:rPr>
          <w:rFonts w:cs="Arial"/>
          <w:sz w:val="22"/>
          <w:szCs w:val="22"/>
        </w:rPr>
        <w:t>The Medical Journal of Australia (</w:t>
      </w:r>
      <w:r w:rsidRPr="0067506D">
        <w:rPr>
          <w:rFonts w:cs="Arial"/>
          <w:sz w:val="22"/>
          <w:szCs w:val="22"/>
        </w:rPr>
        <w:t>MJA</w:t>
      </w:r>
      <w:r w:rsidR="00957D8E" w:rsidRPr="0067506D">
        <w:rPr>
          <w:rFonts w:cs="Arial"/>
          <w:sz w:val="22"/>
          <w:szCs w:val="22"/>
        </w:rPr>
        <w:t>)</w:t>
      </w:r>
      <w:r w:rsidRPr="0067506D">
        <w:rPr>
          <w:rFonts w:cs="Arial"/>
          <w:sz w:val="22"/>
          <w:szCs w:val="22"/>
        </w:rPr>
        <w:t>.</w:t>
      </w:r>
    </w:p>
    <w:p w14:paraId="56A267F7" w14:textId="049AAC18" w:rsidR="000928F5" w:rsidRPr="0067506D" w:rsidRDefault="000928F5" w:rsidP="009446D3">
      <w:pPr>
        <w:spacing w:line="276" w:lineRule="auto"/>
        <w:ind w:right="600"/>
        <w:rPr>
          <w:rFonts w:cs="Arial"/>
          <w:sz w:val="22"/>
          <w:szCs w:val="22"/>
        </w:rPr>
      </w:pPr>
      <w:r w:rsidRPr="0067506D">
        <w:rPr>
          <w:rFonts w:cs="Arial"/>
          <w:sz w:val="22"/>
          <w:szCs w:val="22"/>
        </w:rPr>
        <w:t xml:space="preserve">The distribution of blood groups </w:t>
      </w:r>
      <w:r w:rsidR="00893AD8" w:rsidRPr="0067506D">
        <w:rPr>
          <w:rFonts w:cs="Arial"/>
          <w:sz w:val="22"/>
          <w:szCs w:val="22"/>
        </w:rPr>
        <w:t xml:space="preserve">in Australia </w:t>
      </w:r>
      <w:r w:rsidRPr="0067506D">
        <w:rPr>
          <w:rFonts w:cs="Arial"/>
          <w:sz w:val="22"/>
          <w:szCs w:val="22"/>
        </w:rPr>
        <w:t xml:space="preserve">has changed since </w:t>
      </w:r>
      <w:r w:rsidR="00893AD8" w:rsidRPr="0067506D">
        <w:rPr>
          <w:rFonts w:cs="Arial"/>
          <w:sz w:val="22"/>
          <w:szCs w:val="22"/>
        </w:rPr>
        <w:t>the data published on the Lifeblood website</w:t>
      </w:r>
      <w:r w:rsidR="006D6BFF" w:rsidRPr="0067506D">
        <w:rPr>
          <w:rFonts w:cs="Arial"/>
          <w:sz w:val="22"/>
          <w:szCs w:val="22"/>
        </w:rPr>
        <w:t>,</w:t>
      </w:r>
      <w:r w:rsidR="00893AD8" w:rsidRPr="0067506D">
        <w:rPr>
          <w:rFonts w:cs="Arial"/>
          <w:sz w:val="22"/>
          <w:szCs w:val="22"/>
        </w:rPr>
        <w:t xml:space="preserve"> which reflects the groups of first-time blood donors in 1993-1994. This change echoes the</w:t>
      </w:r>
      <w:r w:rsidRPr="0067506D">
        <w:rPr>
          <w:rFonts w:cs="Arial"/>
          <w:sz w:val="22"/>
          <w:szCs w:val="22"/>
        </w:rPr>
        <w:t xml:space="preserve"> changes in the demographic of the Australian population</w:t>
      </w:r>
      <w:r w:rsidR="00893AD8" w:rsidRPr="0067506D">
        <w:rPr>
          <w:rFonts w:cs="Arial"/>
          <w:sz w:val="22"/>
          <w:szCs w:val="22"/>
        </w:rPr>
        <w:t xml:space="preserve"> over time</w:t>
      </w:r>
      <w:r w:rsidRPr="0067506D">
        <w:rPr>
          <w:rFonts w:cs="Arial"/>
          <w:sz w:val="22"/>
          <w:szCs w:val="22"/>
        </w:rPr>
        <w:t xml:space="preserve">. </w:t>
      </w:r>
      <w:r w:rsidR="00893AD8" w:rsidRPr="0067506D">
        <w:rPr>
          <w:rFonts w:cs="Arial"/>
          <w:sz w:val="22"/>
          <w:szCs w:val="22"/>
        </w:rPr>
        <w:t>Of</w:t>
      </w:r>
      <w:r w:rsidRPr="0067506D">
        <w:rPr>
          <w:rFonts w:cs="Arial"/>
          <w:sz w:val="22"/>
          <w:szCs w:val="22"/>
        </w:rPr>
        <w:t xml:space="preserve"> particular</w:t>
      </w:r>
      <w:r w:rsidR="00893AD8" w:rsidRPr="0067506D">
        <w:rPr>
          <w:rFonts w:cs="Arial"/>
          <w:sz w:val="22"/>
          <w:szCs w:val="22"/>
        </w:rPr>
        <w:t xml:space="preserve"> interest</w:t>
      </w:r>
      <w:r w:rsidRPr="0067506D">
        <w:rPr>
          <w:rFonts w:cs="Arial"/>
          <w:sz w:val="22"/>
          <w:szCs w:val="22"/>
        </w:rPr>
        <w:t>, the proportion of RhD positive first</w:t>
      </w:r>
      <w:r w:rsidR="00510261" w:rsidRPr="0067506D">
        <w:rPr>
          <w:rFonts w:cs="Arial"/>
          <w:sz w:val="22"/>
          <w:szCs w:val="22"/>
        </w:rPr>
        <w:t>-</w:t>
      </w:r>
      <w:r w:rsidRPr="0067506D">
        <w:rPr>
          <w:rFonts w:cs="Arial"/>
          <w:sz w:val="22"/>
          <w:szCs w:val="22"/>
        </w:rPr>
        <w:t xml:space="preserve">time blood </w:t>
      </w:r>
      <w:r w:rsidR="00510261" w:rsidRPr="0067506D">
        <w:rPr>
          <w:rFonts w:cs="Arial"/>
          <w:sz w:val="22"/>
          <w:szCs w:val="22"/>
        </w:rPr>
        <w:t>donors</w:t>
      </w:r>
      <w:r w:rsidRPr="0067506D">
        <w:rPr>
          <w:rFonts w:cs="Arial"/>
          <w:sz w:val="22"/>
          <w:szCs w:val="22"/>
        </w:rPr>
        <w:t xml:space="preserve"> has increased from 81% to 83.8%.</w:t>
      </w:r>
    </w:p>
    <w:p w14:paraId="2A73ADAF" w14:textId="3CC8CBA4" w:rsidR="00893AD8" w:rsidRPr="0067506D" w:rsidRDefault="00893AD8" w:rsidP="00893AD8">
      <w:pPr>
        <w:spacing w:line="276" w:lineRule="auto"/>
        <w:ind w:right="600"/>
        <w:rPr>
          <w:rFonts w:cs="Arial"/>
          <w:sz w:val="22"/>
          <w:szCs w:val="22"/>
        </w:rPr>
      </w:pPr>
      <w:r w:rsidRPr="0067506D">
        <w:rPr>
          <w:rFonts w:cs="Arial"/>
          <w:sz w:val="22"/>
          <w:szCs w:val="22"/>
        </w:rPr>
        <w:t xml:space="preserve">Hirani et </w:t>
      </w:r>
      <w:proofErr w:type="spellStart"/>
      <w:r w:rsidRPr="0067506D">
        <w:rPr>
          <w:rFonts w:cs="Arial"/>
          <w:sz w:val="22"/>
          <w:szCs w:val="22"/>
        </w:rPr>
        <w:t>al’s</w:t>
      </w:r>
      <w:proofErr w:type="spellEnd"/>
      <w:r w:rsidR="000928F5" w:rsidRPr="0067506D">
        <w:rPr>
          <w:rFonts w:cs="Arial"/>
          <w:sz w:val="22"/>
          <w:szCs w:val="22"/>
        </w:rPr>
        <w:t xml:space="preserve"> findings can support supply planning of blood and blood products, </w:t>
      </w:r>
      <w:proofErr w:type="gramStart"/>
      <w:r w:rsidR="000928F5" w:rsidRPr="0067506D">
        <w:rPr>
          <w:rFonts w:cs="Arial"/>
          <w:sz w:val="22"/>
          <w:szCs w:val="22"/>
        </w:rPr>
        <w:t>and also</w:t>
      </w:r>
      <w:proofErr w:type="gramEnd"/>
      <w:r w:rsidR="000928F5" w:rsidRPr="0067506D">
        <w:rPr>
          <w:rFonts w:cs="Arial"/>
          <w:sz w:val="22"/>
          <w:szCs w:val="22"/>
        </w:rPr>
        <w:t xml:space="preserve"> highlight</w:t>
      </w:r>
      <w:r w:rsidR="006D6BFF" w:rsidRPr="0067506D">
        <w:rPr>
          <w:rFonts w:cs="Arial"/>
          <w:sz w:val="22"/>
          <w:szCs w:val="22"/>
        </w:rPr>
        <w:t>s</w:t>
      </w:r>
      <w:r w:rsidR="000928F5" w:rsidRPr="0067506D">
        <w:rPr>
          <w:rFonts w:cs="Arial"/>
          <w:sz w:val="22"/>
          <w:szCs w:val="22"/>
        </w:rPr>
        <w:t xml:space="preserve"> the challenge of meeting the increasing demand for RhD negative red blood cells.</w:t>
      </w:r>
      <w:r w:rsidRPr="0067506D">
        <w:rPr>
          <w:rFonts w:cs="Arial"/>
          <w:sz w:val="22"/>
          <w:szCs w:val="22"/>
        </w:rPr>
        <w:t xml:space="preserve"> </w:t>
      </w:r>
    </w:p>
    <w:p w14:paraId="4D2076DF" w14:textId="1563C8AB" w:rsidR="00893AD8" w:rsidRDefault="00893AD8" w:rsidP="00893AD8">
      <w:pPr>
        <w:spacing w:line="276" w:lineRule="auto"/>
        <w:ind w:right="600"/>
        <w:rPr>
          <w:rFonts w:cs="Arial"/>
          <w:sz w:val="22"/>
        </w:rPr>
      </w:pPr>
      <w:r w:rsidRPr="00510261">
        <w:rPr>
          <w:rFonts w:cs="Arial"/>
          <w:sz w:val="22"/>
        </w:rPr>
        <w:lastRenderedPageBreak/>
        <w:t>“As 85.9% of patients blood-typed by pathology services during 2019 were RhD positive, diversifying blood holdings to encompass more RhD positive stock would be adequate for meeting clinical requirements”</w:t>
      </w:r>
      <w:r>
        <w:rPr>
          <w:rFonts w:cs="Arial"/>
          <w:sz w:val="22"/>
        </w:rPr>
        <w:t xml:space="preserve"> (Hirani, 2022).</w:t>
      </w:r>
    </w:p>
    <w:p w14:paraId="6495E945" w14:textId="301600D8" w:rsidR="000928F5" w:rsidRDefault="000928F5" w:rsidP="009446D3">
      <w:pPr>
        <w:spacing w:line="276" w:lineRule="auto"/>
        <w:ind w:right="600"/>
        <w:rPr>
          <w:rFonts w:cs="Arial"/>
        </w:rPr>
      </w:pPr>
      <w:r>
        <w:rPr>
          <w:rFonts w:cs="Arial"/>
        </w:rPr>
        <w:t xml:space="preserve">Blood group </w:t>
      </w:r>
      <w:r w:rsidR="00510261">
        <w:rPr>
          <w:rFonts w:cs="Arial"/>
        </w:rPr>
        <w:t>prevalence</w:t>
      </w:r>
      <w:r>
        <w:rPr>
          <w:rFonts w:cs="Arial"/>
        </w:rPr>
        <w:t>:</w:t>
      </w:r>
    </w:p>
    <w:tbl>
      <w:tblPr>
        <w:tblStyle w:val="TableGrid"/>
        <w:tblW w:w="10094" w:type="dxa"/>
        <w:tblInd w:w="137" w:type="dxa"/>
        <w:tblLook w:val="04A0" w:firstRow="1" w:lastRow="0" w:firstColumn="1" w:lastColumn="0" w:noHBand="0" w:noVBand="1"/>
      </w:tblPr>
      <w:tblGrid>
        <w:gridCol w:w="2113"/>
        <w:gridCol w:w="1868"/>
        <w:gridCol w:w="2003"/>
        <w:gridCol w:w="2169"/>
        <w:gridCol w:w="1941"/>
      </w:tblGrid>
      <w:tr w:rsidR="00957D8E" w14:paraId="1F6C5368" w14:textId="04FDE8F6" w:rsidTr="00C367AE">
        <w:tc>
          <w:tcPr>
            <w:tcW w:w="2113" w:type="dxa"/>
          </w:tcPr>
          <w:p w14:paraId="358130E5" w14:textId="77777777" w:rsidR="00957D8E" w:rsidRPr="00510261" w:rsidRDefault="00957D8E" w:rsidP="009446D3">
            <w:pPr>
              <w:spacing w:line="276" w:lineRule="auto"/>
              <w:ind w:right="600"/>
              <w:rPr>
                <w:rFonts w:cs="Arial"/>
                <w:sz w:val="22"/>
              </w:rPr>
            </w:pPr>
          </w:p>
        </w:tc>
        <w:tc>
          <w:tcPr>
            <w:tcW w:w="1868" w:type="dxa"/>
          </w:tcPr>
          <w:p w14:paraId="6D2A5BDD" w14:textId="77777777" w:rsidR="00957D8E" w:rsidRPr="00957D8E" w:rsidRDefault="00957D8E" w:rsidP="009446D3">
            <w:pPr>
              <w:spacing w:line="276" w:lineRule="auto"/>
              <w:ind w:right="600"/>
              <w:rPr>
                <w:rFonts w:cs="Arial"/>
                <w:b/>
                <w:bCs/>
                <w:sz w:val="22"/>
              </w:rPr>
            </w:pPr>
            <w:r w:rsidRPr="00957D8E">
              <w:rPr>
                <w:rFonts w:cs="Arial"/>
                <w:b/>
                <w:bCs/>
                <w:sz w:val="22"/>
              </w:rPr>
              <w:t>Typed by pathology services</w:t>
            </w:r>
          </w:p>
          <w:p w14:paraId="383D976F" w14:textId="4AA1440F" w:rsidR="00957D8E" w:rsidRPr="00957D8E" w:rsidRDefault="00957D8E" w:rsidP="009446D3">
            <w:pPr>
              <w:spacing w:line="276" w:lineRule="auto"/>
              <w:ind w:right="600"/>
              <w:rPr>
                <w:rFonts w:cs="Arial"/>
                <w:b/>
                <w:bCs/>
                <w:sz w:val="22"/>
              </w:rPr>
            </w:pPr>
            <w:r w:rsidRPr="00957D8E">
              <w:rPr>
                <w:rFonts w:cs="Arial"/>
                <w:b/>
                <w:bCs/>
                <w:sz w:val="22"/>
              </w:rPr>
              <w:t>2019</w:t>
            </w:r>
          </w:p>
        </w:tc>
        <w:tc>
          <w:tcPr>
            <w:tcW w:w="2003" w:type="dxa"/>
          </w:tcPr>
          <w:p w14:paraId="0F53561F" w14:textId="282CB17C" w:rsidR="00957D8E" w:rsidRPr="00957D8E" w:rsidRDefault="00957D8E" w:rsidP="009446D3">
            <w:pPr>
              <w:spacing w:line="276" w:lineRule="auto"/>
              <w:ind w:right="600"/>
              <w:rPr>
                <w:rFonts w:cs="Arial"/>
                <w:b/>
                <w:bCs/>
                <w:sz w:val="22"/>
              </w:rPr>
            </w:pPr>
            <w:r w:rsidRPr="00957D8E">
              <w:rPr>
                <w:rFonts w:cs="Arial"/>
                <w:b/>
                <w:bCs/>
                <w:sz w:val="22"/>
              </w:rPr>
              <w:t>Typed by first-time blood donors</w:t>
            </w:r>
          </w:p>
          <w:p w14:paraId="2DE759CA" w14:textId="28B0CC64" w:rsidR="00957D8E" w:rsidRPr="00957D8E" w:rsidRDefault="00957D8E" w:rsidP="009446D3">
            <w:pPr>
              <w:spacing w:line="276" w:lineRule="auto"/>
              <w:ind w:right="600"/>
              <w:rPr>
                <w:rFonts w:cs="Arial"/>
                <w:b/>
                <w:bCs/>
                <w:sz w:val="22"/>
              </w:rPr>
            </w:pPr>
            <w:r w:rsidRPr="00957D8E">
              <w:rPr>
                <w:rFonts w:cs="Arial"/>
                <w:b/>
                <w:bCs/>
                <w:sz w:val="22"/>
              </w:rPr>
              <w:t>2019</w:t>
            </w:r>
          </w:p>
        </w:tc>
        <w:tc>
          <w:tcPr>
            <w:tcW w:w="2169" w:type="dxa"/>
          </w:tcPr>
          <w:p w14:paraId="4C80B708" w14:textId="1741025D" w:rsidR="00957D8E" w:rsidRPr="00957D8E" w:rsidRDefault="00957D8E" w:rsidP="009446D3">
            <w:pPr>
              <w:spacing w:line="276" w:lineRule="auto"/>
              <w:ind w:right="600"/>
              <w:rPr>
                <w:rFonts w:cs="Arial"/>
                <w:b/>
                <w:bCs/>
                <w:sz w:val="22"/>
              </w:rPr>
            </w:pPr>
            <w:r w:rsidRPr="00957D8E">
              <w:rPr>
                <w:rFonts w:cs="Arial"/>
                <w:b/>
                <w:bCs/>
                <w:sz w:val="22"/>
              </w:rPr>
              <w:t>First-time blood donors 1993-94 (for comparison)</w:t>
            </w:r>
          </w:p>
        </w:tc>
        <w:tc>
          <w:tcPr>
            <w:tcW w:w="1941" w:type="dxa"/>
          </w:tcPr>
          <w:p w14:paraId="1BDEE5F5" w14:textId="1857E7DE" w:rsidR="00957D8E" w:rsidRPr="00957D8E" w:rsidRDefault="00957D8E" w:rsidP="009446D3">
            <w:pPr>
              <w:spacing w:line="276" w:lineRule="auto"/>
              <w:ind w:right="600"/>
              <w:rPr>
                <w:rFonts w:cs="Arial"/>
                <w:b/>
                <w:bCs/>
                <w:sz w:val="22"/>
              </w:rPr>
            </w:pPr>
            <w:r>
              <w:rPr>
                <w:rFonts w:cs="Arial"/>
                <w:b/>
                <w:bCs/>
                <w:sz w:val="22"/>
              </w:rPr>
              <w:t>Change in general population</w:t>
            </w:r>
          </w:p>
        </w:tc>
      </w:tr>
      <w:tr w:rsidR="00957D8E" w14:paraId="0F11A49E" w14:textId="5128B182" w:rsidTr="00C367AE">
        <w:tc>
          <w:tcPr>
            <w:tcW w:w="2113" w:type="dxa"/>
          </w:tcPr>
          <w:p w14:paraId="19C87907" w14:textId="48FA6E7A" w:rsidR="00957D8E" w:rsidRPr="00957D8E" w:rsidRDefault="00957D8E" w:rsidP="009446D3">
            <w:pPr>
              <w:spacing w:line="276" w:lineRule="auto"/>
              <w:ind w:right="600"/>
              <w:rPr>
                <w:rFonts w:cs="Arial"/>
                <w:b/>
                <w:bCs/>
                <w:sz w:val="22"/>
              </w:rPr>
            </w:pPr>
            <w:r w:rsidRPr="00957D8E">
              <w:rPr>
                <w:rFonts w:cs="Arial"/>
                <w:b/>
                <w:bCs/>
                <w:sz w:val="22"/>
              </w:rPr>
              <w:t>O RhD positive</w:t>
            </w:r>
          </w:p>
        </w:tc>
        <w:tc>
          <w:tcPr>
            <w:tcW w:w="1868" w:type="dxa"/>
          </w:tcPr>
          <w:p w14:paraId="3AD7B685" w14:textId="7106FFA8" w:rsidR="00957D8E" w:rsidRPr="00510261" w:rsidRDefault="00957D8E" w:rsidP="009446D3">
            <w:pPr>
              <w:spacing w:line="276" w:lineRule="auto"/>
              <w:ind w:right="600"/>
              <w:rPr>
                <w:rFonts w:cs="Arial"/>
                <w:sz w:val="22"/>
              </w:rPr>
            </w:pPr>
            <w:r w:rsidRPr="00510261">
              <w:rPr>
                <w:rFonts w:cs="Arial"/>
                <w:sz w:val="22"/>
              </w:rPr>
              <w:t>38.4%</w:t>
            </w:r>
          </w:p>
        </w:tc>
        <w:tc>
          <w:tcPr>
            <w:tcW w:w="2003" w:type="dxa"/>
          </w:tcPr>
          <w:p w14:paraId="0081CFE8" w14:textId="41EAEBD2" w:rsidR="00957D8E" w:rsidRPr="00510261" w:rsidRDefault="00957D8E" w:rsidP="009446D3">
            <w:pPr>
              <w:spacing w:line="276" w:lineRule="auto"/>
              <w:ind w:right="600"/>
              <w:rPr>
                <w:rFonts w:cs="Arial"/>
                <w:sz w:val="22"/>
              </w:rPr>
            </w:pPr>
            <w:r w:rsidRPr="00510261">
              <w:rPr>
                <w:rFonts w:cs="Arial"/>
                <w:sz w:val="22"/>
              </w:rPr>
              <w:t>37.8%</w:t>
            </w:r>
          </w:p>
        </w:tc>
        <w:tc>
          <w:tcPr>
            <w:tcW w:w="2169" w:type="dxa"/>
          </w:tcPr>
          <w:p w14:paraId="289500C6" w14:textId="39BF9F69" w:rsidR="00957D8E" w:rsidRPr="00510261" w:rsidRDefault="00957D8E" w:rsidP="009446D3">
            <w:pPr>
              <w:spacing w:line="276" w:lineRule="auto"/>
              <w:ind w:right="600"/>
              <w:rPr>
                <w:rFonts w:cs="Arial"/>
                <w:sz w:val="22"/>
              </w:rPr>
            </w:pPr>
            <w:r w:rsidRPr="00510261">
              <w:rPr>
                <w:rFonts w:cs="Arial"/>
                <w:sz w:val="22"/>
              </w:rPr>
              <w:t>40%</w:t>
            </w:r>
          </w:p>
        </w:tc>
        <w:tc>
          <w:tcPr>
            <w:tcW w:w="1941" w:type="dxa"/>
          </w:tcPr>
          <w:p w14:paraId="212EA956" w14:textId="5A5756A6" w:rsidR="00957D8E" w:rsidRPr="00957D8E" w:rsidRDefault="00957D8E" w:rsidP="009446D3">
            <w:pPr>
              <w:spacing w:line="276" w:lineRule="auto"/>
              <w:ind w:right="600"/>
              <w:rPr>
                <w:rFonts w:cs="Arial"/>
                <w:b/>
                <w:bCs/>
                <w:sz w:val="22"/>
              </w:rPr>
            </w:pPr>
            <w:r w:rsidRPr="00957D8E">
              <w:rPr>
                <w:rFonts w:cs="Arial"/>
                <w:b/>
                <w:bCs/>
                <w:sz w:val="22"/>
              </w:rPr>
              <w:t>↓</w:t>
            </w:r>
            <w:r>
              <w:rPr>
                <w:rFonts w:cs="Arial"/>
                <w:b/>
                <w:bCs/>
                <w:sz w:val="22"/>
              </w:rPr>
              <w:t xml:space="preserve"> </w:t>
            </w:r>
          </w:p>
        </w:tc>
      </w:tr>
      <w:tr w:rsidR="00957D8E" w14:paraId="72684709" w14:textId="16230B4E" w:rsidTr="00C367AE">
        <w:tc>
          <w:tcPr>
            <w:tcW w:w="2113" w:type="dxa"/>
          </w:tcPr>
          <w:p w14:paraId="32E4F0C1" w14:textId="785E327E" w:rsidR="00957D8E" w:rsidRPr="00957D8E" w:rsidRDefault="00957D8E" w:rsidP="009446D3">
            <w:pPr>
              <w:spacing w:line="276" w:lineRule="auto"/>
              <w:ind w:right="600"/>
              <w:rPr>
                <w:rFonts w:cs="Arial"/>
                <w:b/>
                <w:bCs/>
                <w:sz w:val="22"/>
              </w:rPr>
            </w:pPr>
            <w:r w:rsidRPr="00957D8E">
              <w:rPr>
                <w:rFonts w:cs="Arial"/>
                <w:b/>
                <w:bCs/>
                <w:sz w:val="22"/>
              </w:rPr>
              <w:t>O RhD negative</w:t>
            </w:r>
          </w:p>
        </w:tc>
        <w:tc>
          <w:tcPr>
            <w:tcW w:w="1868" w:type="dxa"/>
          </w:tcPr>
          <w:p w14:paraId="13F4F9AA" w14:textId="6C201A65" w:rsidR="00957D8E" w:rsidRPr="00510261" w:rsidRDefault="00957D8E" w:rsidP="009446D3">
            <w:pPr>
              <w:spacing w:line="276" w:lineRule="auto"/>
              <w:ind w:right="600"/>
              <w:rPr>
                <w:rFonts w:cs="Arial"/>
                <w:sz w:val="22"/>
              </w:rPr>
            </w:pPr>
            <w:r w:rsidRPr="00510261">
              <w:rPr>
                <w:rFonts w:cs="Arial"/>
                <w:sz w:val="22"/>
              </w:rPr>
              <w:t>6.5%</w:t>
            </w:r>
          </w:p>
        </w:tc>
        <w:tc>
          <w:tcPr>
            <w:tcW w:w="2003" w:type="dxa"/>
          </w:tcPr>
          <w:p w14:paraId="381AACE9" w14:textId="00CCCAC2" w:rsidR="00957D8E" w:rsidRPr="00510261" w:rsidRDefault="00957D8E" w:rsidP="009446D3">
            <w:pPr>
              <w:spacing w:line="276" w:lineRule="auto"/>
              <w:ind w:right="600"/>
              <w:rPr>
                <w:rFonts w:cs="Arial"/>
                <w:sz w:val="22"/>
              </w:rPr>
            </w:pPr>
            <w:r w:rsidRPr="00510261">
              <w:rPr>
                <w:rFonts w:cs="Arial"/>
                <w:sz w:val="22"/>
              </w:rPr>
              <w:t>8.7%</w:t>
            </w:r>
          </w:p>
        </w:tc>
        <w:tc>
          <w:tcPr>
            <w:tcW w:w="2169" w:type="dxa"/>
          </w:tcPr>
          <w:p w14:paraId="2372409E" w14:textId="1FF1B69B" w:rsidR="00957D8E" w:rsidRPr="00510261" w:rsidRDefault="00957D8E" w:rsidP="009446D3">
            <w:pPr>
              <w:spacing w:line="276" w:lineRule="auto"/>
              <w:ind w:right="600"/>
              <w:rPr>
                <w:rFonts w:cs="Arial"/>
                <w:sz w:val="22"/>
              </w:rPr>
            </w:pPr>
            <w:r w:rsidRPr="00510261">
              <w:rPr>
                <w:rFonts w:cs="Arial"/>
                <w:sz w:val="22"/>
              </w:rPr>
              <w:t>9%</w:t>
            </w:r>
          </w:p>
        </w:tc>
        <w:tc>
          <w:tcPr>
            <w:tcW w:w="1941" w:type="dxa"/>
          </w:tcPr>
          <w:p w14:paraId="5975789D" w14:textId="30536E6C" w:rsidR="00957D8E" w:rsidRPr="00957D8E" w:rsidRDefault="00957D8E" w:rsidP="009446D3">
            <w:pPr>
              <w:spacing w:line="276" w:lineRule="auto"/>
              <w:ind w:right="600"/>
              <w:rPr>
                <w:rFonts w:cs="Arial"/>
                <w:b/>
                <w:bCs/>
                <w:sz w:val="22"/>
              </w:rPr>
            </w:pPr>
            <w:r w:rsidRPr="00957D8E">
              <w:rPr>
                <w:rFonts w:cs="Arial"/>
                <w:b/>
                <w:bCs/>
                <w:sz w:val="22"/>
              </w:rPr>
              <w:t>↓</w:t>
            </w:r>
          </w:p>
        </w:tc>
      </w:tr>
      <w:tr w:rsidR="00957D8E" w14:paraId="6C829CD1" w14:textId="0AA1119B" w:rsidTr="00C367AE">
        <w:tc>
          <w:tcPr>
            <w:tcW w:w="2113" w:type="dxa"/>
          </w:tcPr>
          <w:p w14:paraId="257A2B71" w14:textId="1C3A7704" w:rsidR="00957D8E" w:rsidRPr="00957D8E" w:rsidRDefault="00957D8E" w:rsidP="009446D3">
            <w:pPr>
              <w:spacing w:line="276" w:lineRule="auto"/>
              <w:ind w:right="600"/>
              <w:rPr>
                <w:rFonts w:cs="Arial"/>
                <w:b/>
                <w:bCs/>
                <w:sz w:val="22"/>
              </w:rPr>
            </w:pPr>
            <w:r w:rsidRPr="00957D8E">
              <w:rPr>
                <w:rFonts w:cs="Arial"/>
                <w:b/>
                <w:bCs/>
                <w:sz w:val="22"/>
              </w:rPr>
              <w:t>A RhD positive</w:t>
            </w:r>
          </w:p>
        </w:tc>
        <w:tc>
          <w:tcPr>
            <w:tcW w:w="1868" w:type="dxa"/>
          </w:tcPr>
          <w:p w14:paraId="5AE15B9A" w14:textId="324902C9" w:rsidR="00957D8E" w:rsidRPr="00510261" w:rsidRDefault="00957D8E" w:rsidP="009446D3">
            <w:pPr>
              <w:spacing w:line="276" w:lineRule="auto"/>
              <w:ind w:right="600"/>
              <w:rPr>
                <w:rFonts w:cs="Arial"/>
                <w:sz w:val="22"/>
              </w:rPr>
            </w:pPr>
            <w:r w:rsidRPr="00510261">
              <w:rPr>
                <w:rFonts w:cs="Arial"/>
                <w:sz w:val="22"/>
              </w:rPr>
              <w:t>32.0%</w:t>
            </w:r>
          </w:p>
        </w:tc>
        <w:tc>
          <w:tcPr>
            <w:tcW w:w="2003" w:type="dxa"/>
          </w:tcPr>
          <w:p w14:paraId="1283FCB6" w14:textId="266E21DB" w:rsidR="00957D8E" w:rsidRPr="00510261" w:rsidRDefault="00957D8E" w:rsidP="009446D3">
            <w:pPr>
              <w:spacing w:line="276" w:lineRule="auto"/>
              <w:ind w:right="600"/>
              <w:rPr>
                <w:rFonts w:cs="Arial"/>
                <w:sz w:val="22"/>
              </w:rPr>
            </w:pPr>
            <w:r w:rsidRPr="00510261">
              <w:rPr>
                <w:rFonts w:cs="Arial"/>
                <w:sz w:val="22"/>
              </w:rPr>
              <w:t>29.6%</w:t>
            </w:r>
          </w:p>
        </w:tc>
        <w:tc>
          <w:tcPr>
            <w:tcW w:w="2169" w:type="dxa"/>
          </w:tcPr>
          <w:p w14:paraId="4F53D81C" w14:textId="18A0225B" w:rsidR="00957D8E" w:rsidRPr="00510261" w:rsidRDefault="00957D8E" w:rsidP="009446D3">
            <w:pPr>
              <w:spacing w:line="276" w:lineRule="auto"/>
              <w:ind w:right="600"/>
              <w:rPr>
                <w:rFonts w:cs="Arial"/>
                <w:sz w:val="22"/>
              </w:rPr>
            </w:pPr>
            <w:r w:rsidRPr="00510261">
              <w:rPr>
                <w:rFonts w:cs="Arial"/>
                <w:sz w:val="22"/>
              </w:rPr>
              <w:t>31%</w:t>
            </w:r>
          </w:p>
        </w:tc>
        <w:tc>
          <w:tcPr>
            <w:tcW w:w="1941" w:type="dxa"/>
          </w:tcPr>
          <w:p w14:paraId="602D105E" w14:textId="328662FE" w:rsidR="00957D8E" w:rsidRPr="00957D8E" w:rsidRDefault="00957D8E" w:rsidP="009446D3">
            <w:pPr>
              <w:spacing w:line="276" w:lineRule="auto"/>
              <w:ind w:right="600"/>
              <w:rPr>
                <w:rFonts w:cs="Arial"/>
                <w:b/>
                <w:bCs/>
                <w:sz w:val="22"/>
              </w:rPr>
            </w:pPr>
            <w:r w:rsidRPr="00957D8E">
              <w:rPr>
                <w:rFonts w:cs="Arial"/>
                <w:b/>
                <w:bCs/>
                <w:sz w:val="22"/>
              </w:rPr>
              <w:t>↑</w:t>
            </w:r>
          </w:p>
        </w:tc>
      </w:tr>
      <w:tr w:rsidR="00957D8E" w14:paraId="0068542F" w14:textId="3BD9D4AB" w:rsidTr="00C367AE">
        <w:tc>
          <w:tcPr>
            <w:tcW w:w="2113" w:type="dxa"/>
          </w:tcPr>
          <w:p w14:paraId="69C701CC" w14:textId="21E81ABF" w:rsidR="00957D8E" w:rsidRPr="00957D8E" w:rsidRDefault="00957D8E" w:rsidP="009446D3">
            <w:pPr>
              <w:spacing w:line="276" w:lineRule="auto"/>
              <w:ind w:right="600"/>
              <w:rPr>
                <w:rFonts w:cs="Arial"/>
                <w:b/>
                <w:bCs/>
                <w:sz w:val="22"/>
              </w:rPr>
            </w:pPr>
            <w:r w:rsidRPr="00957D8E">
              <w:rPr>
                <w:rFonts w:cs="Arial"/>
                <w:b/>
                <w:bCs/>
                <w:sz w:val="22"/>
              </w:rPr>
              <w:t>A RhD negative</w:t>
            </w:r>
          </w:p>
        </w:tc>
        <w:tc>
          <w:tcPr>
            <w:tcW w:w="1868" w:type="dxa"/>
          </w:tcPr>
          <w:p w14:paraId="129CE354" w14:textId="614CDFA2" w:rsidR="00957D8E" w:rsidRPr="00510261" w:rsidRDefault="00957D8E" w:rsidP="009446D3">
            <w:pPr>
              <w:spacing w:line="276" w:lineRule="auto"/>
              <w:ind w:right="600"/>
              <w:rPr>
                <w:rFonts w:cs="Arial"/>
                <w:sz w:val="22"/>
              </w:rPr>
            </w:pPr>
            <w:r w:rsidRPr="00510261">
              <w:rPr>
                <w:rFonts w:cs="Arial"/>
                <w:sz w:val="22"/>
              </w:rPr>
              <w:t>5.6%</w:t>
            </w:r>
          </w:p>
        </w:tc>
        <w:tc>
          <w:tcPr>
            <w:tcW w:w="2003" w:type="dxa"/>
          </w:tcPr>
          <w:p w14:paraId="27C9B66E" w14:textId="65BC9B14" w:rsidR="00957D8E" w:rsidRPr="00510261" w:rsidRDefault="00957D8E" w:rsidP="009446D3">
            <w:pPr>
              <w:spacing w:line="276" w:lineRule="auto"/>
              <w:ind w:right="600"/>
              <w:rPr>
                <w:rFonts w:cs="Arial"/>
                <w:sz w:val="22"/>
              </w:rPr>
            </w:pPr>
            <w:r w:rsidRPr="00510261">
              <w:rPr>
                <w:rFonts w:cs="Arial"/>
                <w:sz w:val="22"/>
              </w:rPr>
              <w:t>5.3%</w:t>
            </w:r>
          </w:p>
        </w:tc>
        <w:tc>
          <w:tcPr>
            <w:tcW w:w="2169" w:type="dxa"/>
          </w:tcPr>
          <w:p w14:paraId="51362309" w14:textId="4C3F476E" w:rsidR="00957D8E" w:rsidRPr="00510261" w:rsidRDefault="00957D8E" w:rsidP="009446D3">
            <w:pPr>
              <w:spacing w:line="276" w:lineRule="auto"/>
              <w:ind w:right="600"/>
              <w:rPr>
                <w:rFonts w:cs="Arial"/>
                <w:sz w:val="22"/>
              </w:rPr>
            </w:pPr>
            <w:r w:rsidRPr="00510261">
              <w:rPr>
                <w:rFonts w:cs="Arial"/>
                <w:sz w:val="22"/>
              </w:rPr>
              <w:t>7%</w:t>
            </w:r>
          </w:p>
        </w:tc>
        <w:tc>
          <w:tcPr>
            <w:tcW w:w="1941" w:type="dxa"/>
          </w:tcPr>
          <w:p w14:paraId="2EC07AE4" w14:textId="7F66E704" w:rsidR="00957D8E" w:rsidRPr="00957D8E" w:rsidRDefault="00957D8E" w:rsidP="009446D3">
            <w:pPr>
              <w:spacing w:line="276" w:lineRule="auto"/>
              <w:ind w:right="600"/>
              <w:rPr>
                <w:rFonts w:cs="Arial"/>
                <w:b/>
                <w:bCs/>
                <w:sz w:val="22"/>
              </w:rPr>
            </w:pPr>
            <w:r w:rsidRPr="00957D8E">
              <w:rPr>
                <w:rFonts w:cs="Arial"/>
                <w:b/>
                <w:bCs/>
                <w:sz w:val="22"/>
              </w:rPr>
              <w:t>↓</w:t>
            </w:r>
          </w:p>
        </w:tc>
      </w:tr>
      <w:tr w:rsidR="00957D8E" w14:paraId="29573584" w14:textId="29373D58" w:rsidTr="00C367AE">
        <w:tc>
          <w:tcPr>
            <w:tcW w:w="2113" w:type="dxa"/>
          </w:tcPr>
          <w:p w14:paraId="3D7247B8" w14:textId="2333152D" w:rsidR="00957D8E" w:rsidRPr="00957D8E" w:rsidRDefault="00957D8E" w:rsidP="009446D3">
            <w:pPr>
              <w:spacing w:line="276" w:lineRule="auto"/>
              <w:ind w:right="600"/>
              <w:rPr>
                <w:rFonts w:cs="Arial"/>
                <w:b/>
                <w:bCs/>
                <w:sz w:val="22"/>
              </w:rPr>
            </w:pPr>
            <w:r w:rsidRPr="00957D8E">
              <w:rPr>
                <w:rFonts w:cs="Arial"/>
                <w:b/>
                <w:bCs/>
                <w:sz w:val="22"/>
              </w:rPr>
              <w:t>B RhD positive</w:t>
            </w:r>
          </w:p>
        </w:tc>
        <w:tc>
          <w:tcPr>
            <w:tcW w:w="1868" w:type="dxa"/>
          </w:tcPr>
          <w:p w14:paraId="643643F8" w14:textId="737539A8" w:rsidR="00957D8E" w:rsidRPr="00510261" w:rsidRDefault="00957D8E" w:rsidP="009446D3">
            <w:pPr>
              <w:spacing w:line="276" w:lineRule="auto"/>
              <w:ind w:right="600"/>
              <w:rPr>
                <w:rFonts w:cs="Arial"/>
                <w:sz w:val="22"/>
              </w:rPr>
            </w:pPr>
            <w:r w:rsidRPr="00510261">
              <w:rPr>
                <w:rFonts w:cs="Arial"/>
                <w:sz w:val="22"/>
              </w:rPr>
              <w:t>11.8%</w:t>
            </w:r>
          </w:p>
        </w:tc>
        <w:tc>
          <w:tcPr>
            <w:tcW w:w="2003" w:type="dxa"/>
          </w:tcPr>
          <w:p w14:paraId="10DA7F6D" w14:textId="1FA71ED6" w:rsidR="00957D8E" w:rsidRPr="00510261" w:rsidRDefault="00957D8E" w:rsidP="009446D3">
            <w:pPr>
              <w:spacing w:line="276" w:lineRule="auto"/>
              <w:ind w:right="600"/>
              <w:rPr>
                <w:rFonts w:cs="Arial"/>
                <w:sz w:val="22"/>
              </w:rPr>
            </w:pPr>
            <w:r w:rsidRPr="00510261">
              <w:rPr>
                <w:rFonts w:cs="Arial"/>
                <w:sz w:val="22"/>
              </w:rPr>
              <w:t>12.4%</w:t>
            </w:r>
          </w:p>
        </w:tc>
        <w:tc>
          <w:tcPr>
            <w:tcW w:w="2169" w:type="dxa"/>
          </w:tcPr>
          <w:p w14:paraId="62CDC9B9" w14:textId="5C071B9A" w:rsidR="00957D8E" w:rsidRPr="00510261" w:rsidRDefault="00957D8E" w:rsidP="009446D3">
            <w:pPr>
              <w:spacing w:line="276" w:lineRule="auto"/>
              <w:ind w:right="600"/>
              <w:rPr>
                <w:rFonts w:cs="Arial"/>
                <w:sz w:val="22"/>
              </w:rPr>
            </w:pPr>
            <w:r w:rsidRPr="00510261">
              <w:rPr>
                <w:rFonts w:cs="Arial"/>
                <w:sz w:val="22"/>
              </w:rPr>
              <w:t>8%</w:t>
            </w:r>
          </w:p>
        </w:tc>
        <w:tc>
          <w:tcPr>
            <w:tcW w:w="1941" w:type="dxa"/>
          </w:tcPr>
          <w:p w14:paraId="47391B81" w14:textId="01FF199E" w:rsidR="00957D8E" w:rsidRPr="00957D8E" w:rsidRDefault="00957D8E" w:rsidP="009446D3">
            <w:pPr>
              <w:spacing w:line="276" w:lineRule="auto"/>
              <w:ind w:right="600"/>
              <w:rPr>
                <w:rFonts w:cs="Arial"/>
                <w:b/>
                <w:bCs/>
                <w:sz w:val="22"/>
              </w:rPr>
            </w:pPr>
            <w:r w:rsidRPr="00957D8E">
              <w:rPr>
                <w:rFonts w:cs="Arial"/>
                <w:b/>
                <w:bCs/>
                <w:sz w:val="22"/>
              </w:rPr>
              <w:t>↑</w:t>
            </w:r>
          </w:p>
        </w:tc>
      </w:tr>
      <w:tr w:rsidR="00957D8E" w14:paraId="10C5A84A" w14:textId="74E10917" w:rsidTr="00C367AE">
        <w:tc>
          <w:tcPr>
            <w:tcW w:w="2113" w:type="dxa"/>
          </w:tcPr>
          <w:p w14:paraId="4CD284AD" w14:textId="55BC4E4E" w:rsidR="00957D8E" w:rsidRPr="00957D8E" w:rsidRDefault="00957D8E" w:rsidP="009446D3">
            <w:pPr>
              <w:spacing w:line="276" w:lineRule="auto"/>
              <w:ind w:right="600"/>
              <w:rPr>
                <w:rFonts w:cs="Arial"/>
                <w:b/>
                <w:bCs/>
                <w:sz w:val="22"/>
              </w:rPr>
            </w:pPr>
            <w:r w:rsidRPr="00957D8E">
              <w:rPr>
                <w:rFonts w:cs="Arial"/>
                <w:b/>
                <w:bCs/>
                <w:sz w:val="22"/>
              </w:rPr>
              <w:t>B RhD negative</w:t>
            </w:r>
          </w:p>
        </w:tc>
        <w:tc>
          <w:tcPr>
            <w:tcW w:w="1868" w:type="dxa"/>
          </w:tcPr>
          <w:p w14:paraId="4338C8EC" w14:textId="0F87BD2A" w:rsidR="00957D8E" w:rsidRPr="00510261" w:rsidRDefault="00957D8E" w:rsidP="009446D3">
            <w:pPr>
              <w:spacing w:line="276" w:lineRule="auto"/>
              <w:ind w:right="600"/>
              <w:rPr>
                <w:rFonts w:cs="Arial"/>
                <w:sz w:val="22"/>
              </w:rPr>
            </w:pPr>
            <w:r w:rsidRPr="00510261">
              <w:rPr>
                <w:rFonts w:cs="Arial"/>
                <w:sz w:val="22"/>
              </w:rPr>
              <w:t>1.5%</w:t>
            </w:r>
          </w:p>
        </w:tc>
        <w:tc>
          <w:tcPr>
            <w:tcW w:w="2003" w:type="dxa"/>
          </w:tcPr>
          <w:p w14:paraId="7480EB09" w14:textId="1C60CFA9" w:rsidR="00957D8E" w:rsidRPr="00510261" w:rsidRDefault="00957D8E" w:rsidP="009446D3">
            <w:pPr>
              <w:spacing w:line="276" w:lineRule="auto"/>
              <w:ind w:right="600"/>
              <w:rPr>
                <w:rFonts w:cs="Arial"/>
                <w:sz w:val="22"/>
              </w:rPr>
            </w:pPr>
            <w:r w:rsidRPr="00510261">
              <w:rPr>
                <w:rFonts w:cs="Arial"/>
                <w:sz w:val="22"/>
              </w:rPr>
              <w:t>1.6%</w:t>
            </w:r>
          </w:p>
        </w:tc>
        <w:tc>
          <w:tcPr>
            <w:tcW w:w="2169" w:type="dxa"/>
          </w:tcPr>
          <w:p w14:paraId="77CC4810" w14:textId="74BABC3A" w:rsidR="00957D8E" w:rsidRPr="00510261" w:rsidRDefault="00957D8E" w:rsidP="009446D3">
            <w:pPr>
              <w:spacing w:line="276" w:lineRule="auto"/>
              <w:ind w:right="600"/>
              <w:rPr>
                <w:rFonts w:cs="Arial"/>
                <w:sz w:val="22"/>
              </w:rPr>
            </w:pPr>
            <w:r w:rsidRPr="00510261">
              <w:rPr>
                <w:rFonts w:cs="Arial"/>
                <w:sz w:val="22"/>
              </w:rPr>
              <w:t>2%</w:t>
            </w:r>
          </w:p>
        </w:tc>
        <w:tc>
          <w:tcPr>
            <w:tcW w:w="1941" w:type="dxa"/>
          </w:tcPr>
          <w:p w14:paraId="7826A067" w14:textId="74DF51D4" w:rsidR="00957D8E" w:rsidRPr="00957D8E" w:rsidRDefault="00957D8E" w:rsidP="009446D3">
            <w:pPr>
              <w:spacing w:line="276" w:lineRule="auto"/>
              <w:ind w:right="600"/>
              <w:rPr>
                <w:rFonts w:cs="Arial"/>
                <w:b/>
                <w:bCs/>
                <w:sz w:val="22"/>
              </w:rPr>
            </w:pPr>
            <w:r w:rsidRPr="00957D8E">
              <w:rPr>
                <w:rFonts w:cs="Arial"/>
                <w:b/>
                <w:bCs/>
                <w:sz w:val="22"/>
              </w:rPr>
              <w:t>↓</w:t>
            </w:r>
          </w:p>
        </w:tc>
      </w:tr>
      <w:tr w:rsidR="00957D8E" w14:paraId="33A4F897" w14:textId="7CE482BB" w:rsidTr="00C367AE">
        <w:tc>
          <w:tcPr>
            <w:tcW w:w="2113" w:type="dxa"/>
          </w:tcPr>
          <w:p w14:paraId="2449C5F1" w14:textId="2432700B" w:rsidR="00957D8E" w:rsidRPr="00957D8E" w:rsidRDefault="00957D8E" w:rsidP="009446D3">
            <w:pPr>
              <w:spacing w:line="276" w:lineRule="auto"/>
              <w:ind w:right="600"/>
              <w:rPr>
                <w:rFonts w:cs="Arial"/>
                <w:b/>
                <w:bCs/>
                <w:sz w:val="22"/>
              </w:rPr>
            </w:pPr>
            <w:r w:rsidRPr="00957D8E">
              <w:rPr>
                <w:rFonts w:cs="Arial"/>
                <w:b/>
                <w:bCs/>
                <w:sz w:val="22"/>
              </w:rPr>
              <w:t>AB RhD positive</w:t>
            </w:r>
          </w:p>
        </w:tc>
        <w:tc>
          <w:tcPr>
            <w:tcW w:w="1868" w:type="dxa"/>
          </w:tcPr>
          <w:p w14:paraId="3D3B7DFA" w14:textId="505B8A77" w:rsidR="00957D8E" w:rsidRPr="00510261" w:rsidRDefault="00957D8E" w:rsidP="009446D3">
            <w:pPr>
              <w:spacing w:line="276" w:lineRule="auto"/>
              <w:ind w:right="600"/>
              <w:rPr>
                <w:rFonts w:cs="Arial"/>
                <w:sz w:val="22"/>
              </w:rPr>
            </w:pPr>
            <w:r w:rsidRPr="00510261">
              <w:rPr>
                <w:rFonts w:cs="Arial"/>
                <w:sz w:val="22"/>
              </w:rPr>
              <w:t>3.7%</w:t>
            </w:r>
          </w:p>
        </w:tc>
        <w:tc>
          <w:tcPr>
            <w:tcW w:w="2003" w:type="dxa"/>
          </w:tcPr>
          <w:p w14:paraId="2E5CA7FA" w14:textId="1D7F5B77" w:rsidR="00957D8E" w:rsidRPr="00510261" w:rsidRDefault="00957D8E" w:rsidP="009446D3">
            <w:pPr>
              <w:spacing w:line="276" w:lineRule="auto"/>
              <w:ind w:right="600"/>
              <w:rPr>
                <w:rFonts w:cs="Arial"/>
                <w:sz w:val="22"/>
              </w:rPr>
            </w:pPr>
            <w:r w:rsidRPr="00510261">
              <w:rPr>
                <w:rFonts w:cs="Arial"/>
                <w:sz w:val="22"/>
              </w:rPr>
              <w:t>3.9%</w:t>
            </w:r>
          </w:p>
        </w:tc>
        <w:tc>
          <w:tcPr>
            <w:tcW w:w="2169" w:type="dxa"/>
          </w:tcPr>
          <w:p w14:paraId="4DCF69CF" w14:textId="71CD966B" w:rsidR="00957D8E" w:rsidRPr="00510261" w:rsidRDefault="00957D8E" w:rsidP="009446D3">
            <w:pPr>
              <w:spacing w:line="276" w:lineRule="auto"/>
              <w:ind w:right="600"/>
              <w:rPr>
                <w:rFonts w:cs="Arial"/>
                <w:sz w:val="22"/>
              </w:rPr>
            </w:pPr>
            <w:r w:rsidRPr="00510261">
              <w:rPr>
                <w:rFonts w:cs="Arial"/>
                <w:sz w:val="22"/>
              </w:rPr>
              <w:t>2%</w:t>
            </w:r>
          </w:p>
        </w:tc>
        <w:tc>
          <w:tcPr>
            <w:tcW w:w="1941" w:type="dxa"/>
          </w:tcPr>
          <w:p w14:paraId="65782EC0" w14:textId="7B297F21" w:rsidR="00957D8E" w:rsidRPr="00957D8E" w:rsidRDefault="00957D8E" w:rsidP="009446D3">
            <w:pPr>
              <w:spacing w:line="276" w:lineRule="auto"/>
              <w:ind w:right="600"/>
              <w:rPr>
                <w:rFonts w:cs="Arial"/>
                <w:b/>
                <w:bCs/>
                <w:sz w:val="22"/>
              </w:rPr>
            </w:pPr>
            <w:r w:rsidRPr="00957D8E">
              <w:rPr>
                <w:rFonts w:cs="Arial"/>
                <w:b/>
                <w:bCs/>
                <w:sz w:val="22"/>
              </w:rPr>
              <w:t>↑</w:t>
            </w:r>
          </w:p>
        </w:tc>
      </w:tr>
      <w:tr w:rsidR="00957D8E" w14:paraId="1051E5B2" w14:textId="4EA66E77" w:rsidTr="00C367AE">
        <w:tc>
          <w:tcPr>
            <w:tcW w:w="2113" w:type="dxa"/>
          </w:tcPr>
          <w:p w14:paraId="38B6497D" w14:textId="10741249" w:rsidR="00957D8E" w:rsidRPr="00957D8E" w:rsidRDefault="00957D8E" w:rsidP="009446D3">
            <w:pPr>
              <w:spacing w:line="276" w:lineRule="auto"/>
              <w:ind w:right="600"/>
              <w:rPr>
                <w:rFonts w:cs="Arial"/>
                <w:b/>
                <w:bCs/>
                <w:sz w:val="22"/>
              </w:rPr>
            </w:pPr>
            <w:r w:rsidRPr="00957D8E">
              <w:rPr>
                <w:rFonts w:cs="Arial"/>
                <w:b/>
                <w:bCs/>
                <w:sz w:val="22"/>
              </w:rPr>
              <w:t>AB RhD negative</w:t>
            </w:r>
          </w:p>
        </w:tc>
        <w:tc>
          <w:tcPr>
            <w:tcW w:w="1868" w:type="dxa"/>
          </w:tcPr>
          <w:p w14:paraId="442E080B" w14:textId="502C8083" w:rsidR="00957D8E" w:rsidRPr="00510261" w:rsidRDefault="00957D8E" w:rsidP="009446D3">
            <w:pPr>
              <w:spacing w:line="276" w:lineRule="auto"/>
              <w:ind w:right="600"/>
              <w:rPr>
                <w:rFonts w:cs="Arial"/>
                <w:sz w:val="22"/>
              </w:rPr>
            </w:pPr>
            <w:r w:rsidRPr="00510261">
              <w:rPr>
                <w:rFonts w:cs="Arial"/>
                <w:sz w:val="22"/>
              </w:rPr>
              <w:t>0.5%</w:t>
            </w:r>
          </w:p>
        </w:tc>
        <w:tc>
          <w:tcPr>
            <w:tcW w:w="2003" w:type="dxa"/>
          </w:tcPr>
          <w:p w14:paraId="34F75A59" w14:textId="0103B82B" w:rsidR="00957D8E" w:rsidRPr="00510261" w:rsidRDefault="00957D8E" w:rsidP="009446D3">
            <w:pPr>
              <w:spacing w:line="276" w:lineRule="auto"/>
              <w:ind w:right="600"/>
              <w:rPr>
                <w:rFonts w:cs="Arial"/>
                <w:sz w:val="22"/>
              </w:rPr>
            </w:pPr>
            <w:r w:rsidRPr="00510261">
              <w:rPr>
                <w:rFonts w:cs="Arial"/>
                <w:sz w:val="22"/>
              </w:rPr>
              <w:t>0.6%</w:t>
            </w:r>
          </w:p>
        </w:tc>
        <w:tc>
          <w:tcPr>
            <w:tcW w:w="2169" w:type="dxa"/>
          </w:tcPr>
          <w:p w14:paraId="0BE70BC6" w14:textId="4DC1F0C1" w:rsidR="00957D8E" w:rsidRPr="00510261" w:rsidRDefault="00957D8E" w:rsidP="009446D3">
            <w:pPr>
              <w:spacing w:line="276" w:lineRule="auto"/>
              <w:ind w:right="600"/>
              <w:rPr>
                <w:rFonts w:cs="Arial"/>
                <w:sz w:val="22"/>
              </w:rPr>
            </w:pPr>
            <w:r w:rsidRPr="00510261">
              <w:rPr>
                <w:rFonts w:cs="Arial"/>
                <w:sz w:val="22"/>
              </w:rPr>
              <w:t>1%</w:t>
            </w:r>
          </w:p>
        </w:tc>
        <w:tc>
          <w:tcPr>
            <w:tcW w:w="1941" w:type="dxa"/>
          </w:tcPr>
          <w:p w14:paraId="61E8A897" w14:textId="31EE2ECB" w:rsidR="00957D8E" w:rsidRPr="00957D8E" w:rsidRDefault="00957D8E" w:rsidP="009446D3">
            <w:pPr>
              <w:spacing w:line="276" w:lineRule="auto"/>
              <w:ind w:right="600"/>
              <w:rPr>
                <w:rFonts w:cs="Arial"/>
                <w:b/>
                <w:bCs/>
                <w:sz w:val="22"/>
              </w:rPr>
            </w:pPr>
            <w:r w:rsidRPr="00957D8E">
              <w:rPr>
                <w:rFonts w:cs="Arial"/>
                <w:b/>
                <w:bCs/>
                <w:sz w:val="22"/>
              </w:rPr>
              <w:t>↓</w:t>
            </w:r>
          </w:p>
        </w:tc>
      </w:tr>
    </w:tbl>
    <w:p w14:paraId="7420F55F" w14:textId="78B3951B" w:rsidR="00957D8E" w:rsidRDefault="00957D8E" w:rsidP="00893AD8">
      <w:pPr>
        <w:spacing w:before="120" w:line="276" w:lineRule="auto"/>
        <w:ind w:right="601"/>
      </w:pPr>
      <w:r>
        <w:rPr>
          <w:rFonts w:cs="Arial"/>
          <w:sz w:val="22"/>
        </w:rPr>
        <w:t xml:space="preserve">Read the full article at: </w:t>
      </w:r>
      <w:hyperlink r:id="rId20" w:history="1">
        <w:r>
          <w:rPr>
            <w:rStyle w:val="Hyperlink"/>
            <w:rFonts w:eastAsia="MS Gothic"/>
          </w:rPr>
          <w:t>The distribution of ABO RhD blood groups in Australia, based on blood donor and blood sample pathology data - Hirani - - Medical Journal of Australia - Wiley Online Library</w:t>
        </w:r>
      </w:hyperlink>
      <w:r>
        <w:t xml:space="preserve"> </w:t>
      </w:r>
    </w:p>
    <w:p w14:paraId="7E329062" w14:textId="77777777" w:rsidR="004D1791" w:rsidRDefault="004D1791" w:rsidP="004D1791">
      <w:pPr>
        <w:pStyle w:val="Heading2"/>
        <w:rPr>
          <w:rFonts w:eastAsia="Calibri"/>
          <w:lang w:eastAsia="en-AU"/>
        </w:rPr>
      </w:pPr>
      <w:r>
        <w:rPr>
          <w:rFonts w:eastAsia="Calibri"/>
          <w:lang w:eastAsia="en-AU"/>
        </w:rPr>
        <w:t>AB cryoprecipitate shortages</w:t>
      </w:r>
    </w:p>
    <w:p w14:paraId="74D9FFBA" w14:textId="77777777" w:rsidR="004D1791" w:rsidRPr="0067506D" w:rsidRDefault="004D1791" w:rsidP="004D1791">
      <w:pPr>
        <w:pStyle w:val="Body"/>
        <w:rPr>
          <w:rFonts w:cs="Arial"/>
          <w:sz w:val="22"/>
          <w:szCs w:val="22"/>
          <w:lang w:eastAsia="en-AU"/>
        </w:rPr>
      </w:pPr>
      <w:r w:rsidRPr="0067506D">
        <w:rPr>
          <w:rFonts w:cs="Arial"/>
          <w:sz w:val="22"/>
          <w:szCs w:val="22"/>
          <w:lang w:eastAsia="en-AU"/>
        </w:rPr>
        <w:t>With AB cryoprecipitate on frequent medical officer approval only (MO) due to inventory shortages, it is a good time to start/refresh the conversation about giving group A cryoprecipitate to patients of unknown blood group.</w:t>
      </w:r>
    </w:p>
    <w:p w14:paraId="6A3473C9" w14:textId="77777777" w:rsidR="004D1791" w:rsidRPr="0067506D" w:rsidRDefault="004D1791" w:rsidP="004D1791">
      <w:pPr>
        <w:pStyle w:val="Body"/>
        <w:rPr>
          <w:rFonts w:cs="Arial"/>
          <w:sz w:val="22"/>
          <w:szCs w:val="22"/>
          <w:lang w:eastAsia="en-AU"/>
        </w:rPr>
      </w:pPr>
      <w:r w:rsidRPr="0067506D">
        <w:rPr>
          <w:rFonts w:cs="Arial"/>
          <w:sz w:val="22"/>
          <w:szCs w:val="22"/>
          <w:lang w:eastAsia="en-AU"/>
        </w:rPr>
        <w:t>This is common practice around the world, and literature supports the safety of using group A cryoprecipitate.</w:t>
      </w:r>
    </w:p>
    <w:p w14:paraId="794AD18A" w14:textId="77777777" w:rsidR="004D1791" w:rsidRPr="0067506D" w:rsidRDefault="00AD0FB2" w:rsidP="004D1791">
      <w:pPr>
        <w:pStyle w:val="Body"/>
        <w:rPr>
          <w:rFonts w:cs="Arial"/>
          <w:sz w:val="22"/>
          <w:szCs w:val="22"/>
          <w:lang w:eastAsia="en-AU"/>
        </w:rPr>
      </w:pPr>
      <w:hyperlink r:id="rId21" w:history="1">
        <w:r w:rsidR="004D1791" w:rsidRPr="0067506D">
          <w:rPr>
            <w:rStyle w:val="Hyperlink"/>
            <w:sz w:val="22"/>
            <w:szCs w:val="22"/>
          </w:rPr>
          <w:t>Time to stop worrying about ABO incompatible cryoprecipitate transfusions in adults - Khan - 2021 - Transfusion - Wiley Online Library</w:t>
        </w:r>
      </w:hyperlink>
    </w:p>
    <w:p w14:paraId="46558E13" w14:textId="77777777" w:rsidR="004D1791" w:rsidRPr="0067506D" w:rsidRDefault="004D1791" w:rsidP="004D1791">
      <w:pPr>
        <w:pStyle w:val="Body"/>
        <w:rPr>
          <w:rFonts w:cs="Arial"/>
          <w:sz w:val="22"/>
          <w:szCs w:val="22"/>
          <w:lang w:eastAsia="en-AU"/>
        </w:rPr>
      </w:pPr>
      <w:r w:rsidRPr="0067506D">
        <w:rPr>
          <w:rFonts w:cs="Arial"/>
          <w:sz w:val="22"/>
          <w:szCs w:val="22"/>
          <w:lang w:eastAsia="en-AU"/>
        </w:rPr>
        <w:t xml:space="preserve">This change will also result in pressure on AB FFP supply being eased (as less demand </w:t>
      </w:r>
      <w:r>
        <w:rPr>
          <w:rFonts w:cs="Arial"/>
          <w:sz w:val="22"/>
          <w:szCs w:val="22"/>
          <w:lang w:eastAsia="en-AU"/>
        </w:rPr>
        <w:t>for</w:t>
      </w:r>
      <w:r w:rsidRPr="0067506D">
        <w:rPr>
          <w:rFonts w:cs="Arial"/>
          <w:sz w:val="22"/>
          <w:szCs w:val="22"/>
          <w:lang w:eastAsia="en-AU"/>
        </w:rPr>
        <w:t xml:space="preserve"> AB cryoprecipitate results in less AB </w:t>
      </w:r>
      <w:r>
        <w:rPr>
          <w:rFonts w:cs="Arial"/>
          <w:sz w:val="22"/>
          <w:szCs w:val="22"/>
          <w:lang w:eastAsia="en-AU"/>
        </w:rPr>
        <w:t xml:space="preserve">plasma needed for </w:t>
      </w:r>
      <w:proofErr w:type="spellStart"/>
      <w:r>
        <w:rPr>
          <w:rFonts w:cs="Arial"/>
          <w:sz w:val="22"/>
          <w:szCs w:val="22"/>
          <w:lang w:eastAsia="en-AU"/>
        </w:rPr>
        <w:t>cryo</w:t>
      </w:r>
      <w:proofErr w:type="spellEnd"/>
      <w:r>
        <w:rPr>
          <w:rFonts w:cs="Arial"/>
          <w:sz w:val="22"/>
          <w:szCs w:val="22"/>
          <w:lang w:eastAsia="en-AU"/>
        </w:rPr>
        <w:t xml:space="preserve"> manufacture and less </w:t>
      </w:r>
      <w:r w:rsidRPr="0067506D">
        <w:rPr>
          <w:rFonts w:cs="Arial"/>
          <w:sz w:val="22"/>
          <w:szCs w:val="22"/>
          <w:lang w:eastAsia="en-AU"/>
        </w:rPr>
        <w:t xml:space="preserve">cryo-depleted plasma as a by-product). </w:t>
      </w:r>
    </w:p>
    <w:p w14:paraId="5B383AF4" w14:textId="77777777" w:rsidR="004D1791" w:rsidRPr="0067506D" w:rsidRDefault="004D1791" w:rsidP="004D1791">
      <w:pPr>
        <w:pStyle w:val="Body"/>
        <w:rPr>
          <w:rFonts w:cs="Arial"/>
          <w:sz w:val="22"/>
          <w:szCs w:val="22"/>
          <w:lang w:eastAsia="en-AU"/>
        </w:rPr>
      </w:pPr>
      <w:r w:rsidRPr="0067506D">
        <w:rPr>
          <w:rFonts w:cs="Arial"/>
          <w:sz w:val="22"/>
          <w:szCs w:val="22"/>
          <w:lang w:eastAsia="en-AU"/>
        </w:rPr>
        <w:t xml:space="preserve">It may also a good time to also investigate using </w:t>
      </w:r>
      <w:r>
        <w:rPr>
          <w:rFonts w:cs="Arial"/>
          <w:sz w:val="22"/>
          <w:szCs w:val="22"/>
          <w:lang w:eastAsia="en-AU"/>
        </w:rPr>
        <w:t xml:space="preserve">group </w:t>
      </w:r>
      <w:r w:rsidRPr="0067506D">
        <w:rPr>
          <w:rFonts w:cs="Arial"/>
          <w:sz w:val="22"/>
          <w:szCs w:val="22"/>
          <w:lang w:eastAsia="en-AU"/>
        </w:rPr>
        <w:t xml:space="preserve">A </w:t>
      </w:r>
      <w:r>
        <w:rPr>
          <w:rFonts w:cs="Arial"/>
          <w:sz w:val="22"/>
          <w:szCs w:val="22"/>
          <w:lang w:eastAsia="en-AU"/>
        </w:rPr>
        <w:t xml:space="preserve">(low titre anti-B) </w:t>
      </w:r>
      <w:r w:rsidRPr="0067506D">
        <w:rPr>
          <w:rFonts w:cs="Arial"/>
          <w:sz w:val="22"/>
          <w:szCs w:val="22"/>
          <w:lang w:eastAsia="en-AU"/>
        </w:rPr>
        <w:t>FFP for patients of unknown group.</w:t>
      </w:r>
    </w:p>
    <w:p w14:paraId="173A8A7E" w14:textId="77777777" w:rsidR="004D1791" w:rsidRDefault="004D1791" w:rsidP="004D1791">
      <w:pPr>
        <w:pStyle w:val="Body"/>
        <w:rPr>
          <w:rFonts w:cs="Arial"/>
          <w:lang w:eastAsia="en-AU"/>
        </w:rPr>
      </w:pPr>
      <w:r>
        <w:rPr>
          <w:noProof/>
        </w:rPr>
        <w:lastRenderedPageBreak/>
        <w:drawing>
          <wp:inline distT="0" distB="0" distL="0" distR="0" wp14:anchorId="3BDFD42C" wp14:editId="14DB7201">
            <wp:extent cx="6645910" cy="2103755"/>
            <wp:effectExtent l="19050" t="19050" r="21590" b="10795"/>
            <wp:docPr id="1" name="Picture 1" descr="Table outlining group compatibility for plasma.&#10;Sourced from transfusion.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outlining group compatibility for plasma.&#10;Sourced from transfusion.com.au"/>
                    <pic:cNvPicPr/>
                  </pic:nvPicPr>
                  <pic:blipFill>
                    <a:blip r:embed="rId22"/>
                    <a:stretch>
                      <a:fillRect/>
                    </a:stretch>
                  </pic:blipFill>
                  <pic:spPr>
                    <a:xfrm>
                      <a:off x="0" y="0"/>
                      <a:ext cx="6645910" cy="2103755"/>
                    </a:xfrm>
                    <a:prstGeom prst="rect">
                      <a:avLst/>
                    </a:prstGeom>
                    <a:ln>
                      <a:solidFill>
                        <a:schemeClr val="tx1"/>
                      </a:solidFill>
                    </a:ln>
                  </pic:spPr>
                </pic:pic>
              </a:graphicData>
            </a:graphic>
          </wp:inline>
        </w:drawing>
      </w:r>
    </w:p>
    <w:p w14:paraId="392C7257" w14:textId="01526306" w:rsidR="00236210" w:rsidRPr="00C335AA" w:rsidRDefault="00236210" w:rsidP="0067151A">
      <w:pPr>
        <w:pStyle w:val="Heading2"/>
      </w:pPr>
      <w:r w:rsidRPr="00C335AA">
        <w:rPr>
          <w:noProof/>
          <w:lang w:eastAsia="en-AU"/>
        </w:rPr>
        <w:drawing>
          <wp:anchor distT="0" distB="0" distL="114300" distR="114300" simplePos="0" relativeHeight="251664384" behindDoc="1" locked="0" layoutInCell="1" allowOverlap="1" wp14:anchorId="77ADF910" wp14:editId="7949CC27">
            <wp:simplePos x="0" y="0"/>
            <wp:positionH relativeFrom="column">
              <wp:posOffset>-6985</wp:posOffset>
            </wp:positionH>
            <wp:positionV relativeFrom="paragraph">
              <wp:posOffset>119177</wp:posOffset>
            </wp:positionV>
            <wp:extent cx="733425" cy="847725"/>
            <wp:effectExtent l="0" t="0" r="9525" b="9525"/>
            <wp:wrapTight wrapText="bothSides">
              <wp:wrapPolygon edited="0">
                <wp:start x="0" y="0"/>
                <wp:lineTo x="0" y="21357"/>
                <wp:lineTo x="21319" y="21357"/>
                <wp:lineTo x="21319" y="0"/>
                <wp:lineTo x="0" y="0"/>
              </wp:wrapPolygon>
            </wp:wrapTight>
            <wp:docPr id="8" name="Picture 8" descr="image of a certification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5E0F2.D78F070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733425" cy="847725"/>
                    </a:xfrm>
                    <a:prstGeom prst="rect">
                      <a:avLst/>
                    </a:prstGeom>
                    <a:noFill/>
                    <a:ln>
                      <a:noFill/>
                    </a:ln>
                  </pic:spPr>
                </pic:pic>
              </a:graphicData>
            </a:graphic>
          </wp:anchor>
        </w:drawing>
      </w:r>
      <w:r w:rsidRPr="00C335AA">
        <w:t>National certification of the medical scientist profession</w:t>
      </w:r>
    </w:p>
    <w:p w14:paraId="0B0AD9D3" w14:textId="6A72ABCA" w:rsidR="00236210" w:rsidRPr="004340C6" w:rsidRDefault="00236210" w:rsidP="0067151A">
      <w:pPr>
        <w:pStyle w:val="Body"/>
      </w:pPr>
      <w:r w:rsidRPr="0067506D">
        <w:rPr>
          <w:sz w:val="22"/>
          <w:szCs w:val="22"/>
        </w:rPr>
        <w:t xml:space="preserve">The Australian Council for </w:t>
      </w:r>
      <w:r w:rsidRPr="0067506D">
        <w:rPr>
          <w:b/>
          <w:sz w:val="22"/>
          <w:szCs w:val="22"/>
        </w:rPr>
        <w:t>C</w:t>
      </w:r>
      <w:r w:rsidRPr="0067506D">
        <w:rPr>
          <w:sz w:val="22"/>
          <w:szCs w:val="22"/>
        </w:rPr>
        <w:t xml:space="preserve">ertification of the </w:t>
      </w:r>
      <w:r w:rsidRPr="0067506D">
        <w:rPr>
          <w:b/>
          <w:sz w:val="22"/>
          <w:szCs w:val="22"/>
        </w:rPr>
        <w:t>M</w:t>
      </w:r>
      <w:r w:rsidRPr="0067506D">
        <w:rPr>
          <w:sz w:val="22"/>
          <w:szCs w:val="22"/>
        </w:rPr>
        <w:t xml:space="preserve">edical </w:t>
      </w:r>
      <w:r w:rsidRPr="0067506D">
        <w:rPr>
          <w:b/>
          <w:sz w:val="22"/>
          <w:szCs w:val="22"/>
        </w:rPr>
        <w:t>L</w:t>
      </w:r>
      <w:r w:rsidRPr="0067506D">
        <w:rPr>
          <w:sz w:val="22"/>
          <w:szCs w:val="22"/>
        </w:rPr>
        <w:t xml:space="preserve">aboratory </w:t>
      </w:r>
      <w:r w:rsidRPr="0067506D">
        <w:rPr>
          <w:b/>
          <w:sz w:val="22"/>
          <w:szCs w:val="22"/>
        </w:rPr>
        <w:t>S</w:t>
      </w:r>
      <w:r w:rsidRPr="0067506D">
        <w:rPr>
          <w:sz w:val="22"/>
          <w:szCs w:val="22"/>
        </w:rPr>
        <w:t xml:space="preserve">cientific Workforce </w:t>
      </w:r>
      <w:r w:rsidR="00633B21" w:rsidRPr="0067506D">
        <w:rPr>
          <w:sz w:val="22"/>
          <w:szCs w:val="22"/>
        </w:rPr>
        <w:t xml:space="preserve">has simplified its acronym to CMLS. Join now at </w:t>
      </w:r>
      <w:hyperlink r:id="rId25" w:history="1">
        <w:r w:rsidR="00633B21" w:rsidRPr="0067506D">
          <w:rPr>
            <w:rStyle w:val="Hyperlink"/>
            <w:rFonts w:cs="Arial"/>
            <w:sz w:val="22"/>
            <w:szCs w:val="22"/>
          </w:rPr>
          <w:t>www.cmls.org.au</w:t>
        </w:r>
      </w:hyperlink>
      <w:r w:rsidR="00633B21" w:rsidRPr="00633B21">
        <w:rPr>
          <w:rStyle w:val="Hyperlink"/>
          <w:rFonts w:cs="Arial"/>
          <w:color w:val="auto"/>
          <w:szCs w:val="21"/>
          <w:u w:val="none"/>
        </w:rPr>
        <w:t>.</w:t>
      </w:r>
    </w:p>
    <w:p w14:paraId="24E4910A" w14:textId="77777777" w:rsidR="00633B21" w:rsidRDefault="00633B21" w:rsidP="0067151A">
      <w:pPr>
        <w:pStyle w:val="DHHSbody"/>
      </w:pPr>
    </w:p>
    <w:p w14:paraId="1DB3B103" w14:textId="77777777" w:rsidR="00236210" w:rsidRPr="006258B2" w:rsidRDefault="00236210" w:rsidP="00633B21">
      <w:pPr>
        <w:pStyle w:val="Heading4"/>
      </w:pPr>
      <w:r w:rsidRPr="006258B2">
        <w:t xml:space="preserve">Why </w:t>
      </w:r>
      <w:proofErr w:type="gramStart"/>
      <w:r w:rsidRPr="006258B2">
        <w:t>become</w:t>
      </w:r>
      <w:proofErr w:type="gramEnd"/>
      <w:r w:rsidRPr="006258B2">
        <w:t xml:space="preserve"> certified?</w:t>
      </w:r>
    </w:p>
    <w:p w14:paraId="119A8CF8" w14:textId="02D51899" w:rsidR="00236210" w:rsidRPr="0067506D" w:rsidRDefault="00633B21" w:rsidP="00633B21">
      <w:pPr>
        <w:pStyle w:val="DHHSbody"/>
        <w:numPr>
          <w:ilvl w:val="0"/>
          <w:numId w:val="45"/>
        </w:numPr>
        <w:ind w:left="284" w:hanging="284"/>
        <w:rPr>
          <w:sz w:val="22"/>
          <w:szCs w:val="22"/>
        </w:rPr>
      </w:pPr>
      <w:r w:rsidRPr="0067506D">
        <w:rPr>
          <w:sz w:val="22"/>
          <w:szCs w:val="22"/>
        </w:rPr>
        <w:t>D</w:t>
      </w:r>
      <w:r w:rsidR="00236210" w:rsidRPr="0067506D">
        <w:rPr>
          <w:sz w:val="22"/>
          <w:szCs w:val="22"/>
        </w:rPr>
        <w:t xml:space="preserve">emand recognition of our professional standing as part of Australia’s health service workforce. </w:t>
      </w:r>
    </w:p>
    <w:p w14:paraId="711EC781" w14:textId="77777777" w:rsidR="00236210" w:rsidRPr="0067506D" w:rsidRDefault="00236210" w:rsidP="00633B21">
      <w:pPr>
        <w:pStyle w:val="DHHSbody"/>
        <w:numPr>
          <w:ilvl w:val="0"/>
          <w:numId w:val="45"/>
        </w:numPr>
        <w:ind w:left="284" w:hanging="284"/>
        <w:rPr>
          <w:sz w:val="22"/>
          <w:szCs w:val="22"/>
        </w:rPr>
      </w:pPr>
      <w:r w:rsidRPr="0067506D">
        <w:rPr>
          <w:sz w:val="22"/>
          <w:szCs w:val="22"/>
        </w:rPr>
        <w:t>Certification will be the best benchmark available to assure competent professional practice.</w:t>
      </w:r>
    </w:p>
    <w:p w14:paraId="44D88FA8" w14:textId="77777777" w:rsidR="00236210" w:rsidRPr="0067506D" w:rsidRDefault="00236210" w:rsidP="00633B21">
      <w:pPr>
        <w:pStyle w:val="DHHSbody"/>
        <w:numPr>
          <w:ilvl w:val="0"/>
          <w:numId w:val="45"/>
        </w:numPr>
        <w:ind w:left="284" w:hanging="284"/>
        <w:rPr>
          <w:sz w:val="22"/>
          <w:szCs w:val="22"/>
        </w:rPr>
      </w:pPr>
      <w:r w:rsidRPr="0067506D">
        <w:rPr>
          <w:sz w:val="22"/>
          <w:szCs w:val="22"/>
        </w:rPr>
        <w:t>With a certified workforce there will be more obligation on the employer to ensure staff have professional development opportunities afforded to them.</w:t>
      </w:r>
    </w:p>
    <w:p w14:paraId="430BFA2C" w14:textId="77777777" w:rsidR="00236210" w:rsidRPr="0067506D" w:rsidRDefault="00236210" w:rsidP="00633B21">
      <w:pPr>
        <w:pStyle w:val="DHHSbody"/>
        <w:numPr>
          <w:ilvl w:val="0"/>
          <w:numId w:val="45"/>
        </w:numPr>
        <w:ind w:left="284" w:hanging="284"/>
        <w:rPr>
          <w:sz w:val="22"/>
          <w:szCs w:val="22"/>
        </w:rPr>
      </w:pPr>
      <w:r w:rsidRPr="0067506D">
        <w:rPr>
          <w:sz w:val="22"/>
          <w:szCs w:val="22"/>
        </w:rPr>
        <w:t xml:space="preserve">As a nationally certified medical scientist you can demonstrate your ongoing commitment to professional development and self-improvement and be recognised as passionate, </w:t>
      </w:r>
      <w:proofErr w:type="gramStart"/>
      <w:r w:rsidRPr="0067506D">
        <w:rPr>
          <w:sz w:val="22"/>
          <w:szCs w:val="22"/>
        </w:rPr>
        <w:t>progressive</w:t>
      </w:r>
      <w:proofErr w:type="gramEnd"/>
      <w:r w:rsidRPr="0067506D">
        <w:rPr>
          <w:sz w:val="22"/>
          <w:szCs w:val="22"/>
        </w:rPr>
        <w:t xml:space="preserve"> and pro-active.</w:t>
      </w:r>
    </w:p>
    <w:p w14:paraId="3D89312B" w14:textId="77777777" w:rsidR="00236210" w:rsidRPr="0067506D" w:rsidRDefault="00AD0FB2" w:rsidP="00633B21">
      <w:pPr>
        <w:pStyle w:val="Body"/>
        <w:rPr>
          <w:sz w:val="22"/>
          <w:szCs w:val="22"/>
        </w:rPr>
      </w:pPr>
      <w:hyperlink r:id="rId26" w:history="1">
        <w:r w:rsidR="00236210" w:rsidRPr="0067506D">
          <w:rPr>
            <w:rStyle w:val="Hyperlink"/>
            <w:rFonts w:cs="Arial"/>
            <w:sz w:val="22"/>
            <w:szCs w:val="22"/>
          </w:rPr>
          <w:t>Click here to view a short video about the certification scheme</w:t>
        </w:r>
      </w:hyperlink>
      <w:r w:rsidR="00236210" w:rsidRPr="0067506D">
        <w:rPr>
          <w:sz w:val="22"/>
          <w:szCs w:val="22"/>
        </w:rPr>
        <w:t xml:space="preserve"> </w:t>
      </w:r>
    </w:p>
    <w:p w14:paraId="749D95C4" w14:textId="77777777" w:rsidR="00236210" w:rsidRPr="0067506D" w:rsidRDefault="00236210" w:rsidP="00633B21">
      <w:pPr>
        <w:pStyle w:val="Body"/>
        <w:rPr>
          <w:rStyle w:val="Hyperlink"/>
          <w:rFonts w:cs="Arial"/>
          <w:color w:val="0070C0"/>
          <w:sz w:val="24"/>
          <w:szCs w:val="24"/>
        </w:rPr>
      </w:pPr>
      <w:r w:rsidRPr="0067506D">
        <w:rPr>
          <w:sz w:val="22"/>
          <w:szCs w:val="22"/>
        </w:rPr>
        <w:t xml:space="preserve">A Blood Matters education session was held in May 2021 which included information about the certification scheme. </w:t>
      </w:r>
      <w:hyperlink r:id="rId27" w:history="1">
        <w:r w:rsidRPr="0067506D">
          <w:rPr>
            <w:rStyle w:val="Hyperlink"/>
            <w:rFonts w:cs="Arial"/>
            <w:color w:val="0070C0"/>
            <w:sz w:val="22"/>
            <w:szCs w:val="22"/>
          </w:rPr>
          <w:t>Click here for to view meeting recording</w:t>
        </w:r>
      </w:hyperlink>
      <w:r w:rsidRPr="0067506D">
        <w:rPr>
          <w:sz w:val="22"/>
          <w:szCs w:val="22"/>
        </w:rPr>
        <w:t xml:space="preserve"> (the certification presentation begins at time point 20:38).</w:t>
      </w:r>
    </w:p>
    <w:p w14:paraId="5C87643B" w14:textId="77777777" w:rsidR="00236210" w:rsidRPr="0067506D" w:rsidRDefault="00236210" w:rsidP="00633B21">
      <w:pPr>
        <w:pStyle w:val="Body"/>
        <w:rPr>
          <w:sz w:val="22"/>
          <w:szCs w:val="22"/>
        </w:rPr>
      </w:pPr>
      <w:r w:rsidRPr="0067506D">
        <w:rPr>
          <w:sz w:val="22"/>
          <w:szCs w:val="22"/>
        </w:rPr>
        <w:t>Blood Matters is committed to providing support and education to assist in the early stages of this scheme.</w:t>
      </w:r>
    </w:p>
    <w:p w14:paraId="511D1827" w14:textId="77777777" w:rsidR="00236210" w:rsidRPr="00C335AA" w:rsidRDefault="00236210" w:rsidP="00633B21">
      <w:pPr>
        <w:pStyle w:val="Heading2"/>
      </w:pPr>
      <w:r w:rsidRPr="00C335AA">
        <w:t>How can Blood Matters help you?</w:t>
      </w:r>
    </w:p>
    <w:p w14:paraId="64347F82" w14:textId="77777777" w:rsidR="00236210" w:rsidRPr="0067506D" w:rsidRDefault="00236210" w:rsidP="00633B21">
      <w:pPr>
        <w:pStyle w:val="Body"/>
        <w:rPr>
          <w:sz w:val="22"/>
          <w:szCs w:val="22"/>
        </w:rPr>
      </w:pPr>
      <w:r w:rsidRPr="0067506D">
        <w:rPr>
          <w:sz w:val="22"/>
          <w:szCs w:val="22"/>
        </w:rPr>
        <w:t xml:space="preserve">The Blood Matters team are here to assist health services and laboratories through education and providing resources. </w:t>
      </w:r>
    </w:p>
    <w:p w14:paraId="4B86BE1E" w14:textId="77777777" w:rsidR="00236210" w:rsidRDefault="00236210" w:rsidP="00633B21">
      <w:pPr>
        <w:pStyle w:val="DHHSbody"/>
        <w:rPr>
          <w:rFonts w:eastAsia="Times New Roman" w:cs="Arial"/>
          <w:sz w:val="21"/>
          <w:szCs w:val="21"/>
        </w:rPr>
      </w:pPr>
      <w:r w:rsidRPr="0067506D">
        <w:rPr>
          <w:rFonts w:eastAsia="Times New Roman" w:cs="Arial"/>
          <w:sz w:val="22"/>
          <w:szCs w:val="22"/>
        </w:rPr>
        <w:t xml:space="preserve">If you have suggestions for tools and resources that could assist in day to day activities and towards achieving accreditation please let Rae French or any of the Blood Matters team know by email to at </w:t>
      </w:r>
      <w:hyperlink r:id="rId28" w:history="1">
        <w:r w:rsidRPr="0067506D">
          <w:rPr>
            <w:rStyle w:val="Hyperlink"/>
            <w:rFonts w:eastAsia="Times New Roman" w:cs="Arial"/>
            <w:sz w:val="22"/>
            <w:szCs w:val="22"/>
          </w:rPr>
          <w:t>rfrench@redcrossblood.org.au</w:t>
        </w:r>
      </w:hyperlink>
      <w:r w:rsidRPr="0067506D">
        <w:rPr>
          <w:rFonts w:eastAsia="Times New Roman" w:cs="Arial"/>
          <w:sz w:val="22"/>
          <w:szCs w:val="22"/>
        </w:rPr>
        <w:t xml:space="preserve"> or </w:t>
      </w:r>
      <w:hyperlink r:id="rId29" w:history="1">
        <w:r w:rsidRPr="0067506D">
          <w:rPr>
            <w:rStyle w:val="Hyperlink"/>
            <w:rFonts w:eastAsia="Times New Roman" w:cs="Arial"/>
            <w:sz w:val="22"/>
            <w:szCs w:val="22"/>
          </w:rPr>
          <w:t>bloodmatters@redcrossblood.org.au</w:t>
        </w:r>
      </w:hyperlink>
      <w:r w:rsidRPr="0067506D">
        <w:rPr>
          <w:rFonts w:eastAsia="Times New Roman" w:cs="Arial"/>
          <w:sz w:val="22"/>
          <w:szCs w:val="22"/>
        </w:rPr>
        <w:t xml:space="preserve"> or phone 03 9694 3524</w:t>
      </w:r>
      <w:r w:rsidRPr="00BE7F06">
        <w:rPr>
          <w:rFonts w:eastAsia="Times New Roman" w:cs="Arial"/>
          <w:sz w:val="21"/>
          <w:szCs w:val="21"/>
        </w:rPr>
        <w:t>.</w:t>
      </w:r>
    </w:p>
    <w:p w14:paraId="0DBC7D25" w14:textId="77777777" w:rsidR="004D1791" w:rsidRPr="004D1791" w:rsidRDefault="004D1791" w:rsidP="004D1791">
      <w:pPr>
        <w:pStyle w:val="DHHSbody"/>
        <w:spacing w:after="0" w:line="240" w:lineRule="auto"/>
        <w:rPr>
          <w:rFonts w:eastAsia="Times New Roman" w:cs="Arial"/>
          <w:sz w:val="16"/>
          <w:szCs w:val="16"/>
        </w:rPr>
      </w:pPr>
    </w:p>
    <w:p w14:paraId="4D0C9B48" w14:textId="0B386662" w:rsidR="004D1791" w:rsidRPr="004D1791" w:rsidRDefault="004D1791" w:rsidP="004D1791">
      <w:pPr>
        <w:pStyle w:val="DHHSbody"/>
        <w:spacing w:after="0" w:line="240" w:lineRule="auto"/>
        <w:rPr>
          <w:rFonts w:cs="Arial"/>
          <w:sz w:val="16"/>
          <w:szCs w:val="16"/>
        </w:rPr>
        <w:sectPr w:rsidR="004D1791" w:rsidRPr="004D1791" w:rsidSect="00633B21">
          <w:headerReference w:type="default" r:id="rId30"/>
          <w:footerReference w:type="default" r:id="rId31"/>
          <w:type w:val="continuous"/>
          <w:pgSz w:w="11906" w:h="16838" w:code="9"/>
          <w:pgMar w:top="720" w:right="720" w:bottom="1418" w:left="720" w:header="567" w:footer="510" w:gutter="0"/>
          <w:cols w:space="340"/>
          <w:titlePg/>
          <w:docGrid w:linePitch="360"/>
        </w:sectPr>
      </w:pPr>
    </w:p>
    <w:tbl>
      <w:tblPr>
        <w:tblStyle w:val="TableGrid"/>
        <w:tblW w:w="0" w:type="auto"/>
        <w:tblCellMar>
          <w:bottom w:w="108" w:type="dxa"/>
        </w:tblCellMar>
        <w:tblLook w:val="0600" w:firstRow="0" w:lastRow="0" w:firstColumn="0" w:lastColumn="0" w:noHBand="1" w:noVBand="1"/>
      </w:tblPr>
      <w:tblGrid>
        <w:gridCol w:w="10194"/>
      </w:tblGrid>
      <w:tr w:rsidR="0055119B" w14:paraId="45111B43" w14:textId="77777777" w:rsidTr="00EC40D5">
        <w:tc>
          <w:tcPr>
            <w:tcW w:w="10194" w:type="dxa"/>
          </w:tcPr>
          <w:p w14:paraId="46FD3620" w14:textId="77777777" w:rsidR="0055119B" w:rsidRPr="0055119B" w:rsidRDefault="0055119B" w:rsidP="0055119B">
            <w:pPr>
              <w:pStyle w:val="Accessibilitypara"/>
            </w:pPr>
            <w:bookmarkStart w:id="1" w:name="_Hlk37240926"/>
            <w:r w:rsidRPr="0055119B">
              <w:t>To receive this document in another format</w:t>
            </w:r>
            <w:r>
              <w:t>,</w:t>
            </w:r>
            <w:r w:rsidRPr="0055119B">
              <w:t xml:space="preserve"> phone </w:t>
            </w:r>
            <w:r w:rsidR="00B650D2">
              <w:rPr>
                <w:color w:val="004C97"/>
              </w:rPr>
              <w:t>03 9694 0102</w:t>
            </w:r>
            <w:r w:rsidRPr="0055119B">
              <w:t xml:space="preserve">, using the National Relay Service 13 36 77 if required, or </w:t>
            </w:r>
            <w:hyperlink r:id="rId32" w:history="1">
              <w:r w:rsidRPr="00B650D2">
                <w:rPr>
                  <w:rStyle w:val="Hyperlink"/>
                </w:rPr>
                <w:t xml:space="preserve">email </w:t>
              </w:r>
              <w:r w:rsidR="00B650D2" w:rsidRPr="00B650D2">
                <w:rPr>
                  <w:rStyle w:val="Hyperlink"/>
                </w:rPr>
                <w:t>Blood Matters</w:t>
              </w:r>
            </w:hyperlink>
            <w:r w:rsidRPr="0055119B">
              <w:rPr>
                <w:color w:val="004C97"/>
              </w:rPr>
              <w:t xml:space="preserve"> </w:t>
            </w:r>
            <w:r w:rsidRPr="0055119B">
              <w:t>&lt;</w:t>
            </w:r>
            <w:r w:rsidR="00B650D2">
              <w:t>bloodmatters@redcrossblood.org.au</w:t>
            </w:r>
            <w:r w:rsidRPr="0055119B">
              <w:t>&gt;.</w:t>
            </w:r>
          </w:p>
          <w:p w14:paraId="7B1251D9" w14:textId="77777777" w:rsidR="0055119B" w:rsidRPr="0067506D" w:rsidRDefault="0055119B" w:rsidP="00E33237">
            <w:pPr>
              <w:pStyle w:val="Imprint"/>
              <w:rPr>
                <w:sz w:val="22"/>
                <w:szCs w:val="22"/>
              </w:rPr>
            </w:pPr>
            <w:r w:rsidRPr="0067506D">
              <w:rPr>
                <w:sz w:val="22"/>
                <w:szCs w:val="22"/>
              </w:rPr>
              <w:t>Authorised and published by the Victorian Government, 1 Treasury Place, Melbourne.</w:t>
            </w:r>
          </w:p>
          <w:p w14:paraId="08DAE513" w14:textId="77777777" w:rsidR="0055119B" w:rsidRPr="0067506D" w:rsidRDefault="0055119B" w:rsidP="00E33237">
            <w:pPr>
              <w:pStyle w:val="Imprint"/>
              <w:rPr>
                <w:sz w:val="22"/>
                <w:szCs w:val="22"/>
              </w:rPr>
            </w:pPr>
            <w:r w:rsidRPr="0067506D">
              <w:rPr>
                <w:sz w:val="22"/>
                <w:szCs w:val="22"/>
              </w:rPr>
              <w:t xml:space="preserve">© State of Victoria, Australia, </w:t>
            </w:r>
            <w:r w:rsidR="001E2A36" w:rsidRPr="0067506D">
              <w:rPr>
                <w:sz w:val="22"/>
                <w:szCs w:val="22"/>
              </w:rPr>
              <w:t>Department of Health</w:t>
            </w:r>
            <w:r w:rsidRPr="0067506D">
              <w:rPr>
                <w:color w:val="auto"/>
                <w:sz w:val="22"/>
                <w:szCs w:val="22"/>
              </w:rPr>
              <w:t xml:space="preserve">, </w:t>
            </w:r>
            <w:r w:rsidR="00E601B1" w:rsidRPr="0067506D">
              <w:rPr>
                <w:color w:val="auto"/>
                <w:sz w:val="22"/>
                <w:szCs w:val="22"/>
              </w:rPr>
              <w:t>October 2021</w:t>
            </w:r>
            <w:r w:rsidRPr="0067506D">
              <w:rPr>
                <w:color w:val="auto"/>
                <w:sz w:val="22"/>
                <w:szCs w:val="22"/>
              </w:rPr>
              <w:t>.</w:t>
            </w:r>
          </w:p>
          <w:p w14:paraId="1AF09E7B" w14:textId="266E0037" w:rsidR="0055119B" w:rsidRPr="0067506D" w:rsidRDefault="0055119B" w:rsidP="00E33237">
            <w:pPr>
              <w:pStyle w:val="Imprint"/>
              <w:rPr>
                <w:sz w:val="22"/>
                <w:szCs w:val="22"/>
              </w:rPr>
            </w:pPr>
            <w:r w:rsidRPr="0067506D">
              <w:rPr>
                <w:b/>
                <w:sz w:val="22"/>
                <w:szCs w:val="22"/>
              </w:rPr>
              <w:t>ISSN</w:t>
            </w:r>
            <w:r w:rsidRPr="0067506D">
              <w:rPr>
                <w:sz w:val="22"/>
                <w:szCs w:val="22"/>
              </w:rPr>
              <w:t xml:space="preserve"> </w:t>
            </w:r>
            <w:r w:rsidR="00E601B1" w:rsidRPr="0067506D">
              <w:rPr>
                <w:sz w:val="22"/>
                <w:szCs w:val="22"/>
              </w:rPr>
              <w:t>2652-7278</w:t>
            </w:r>
            <w:r w:rsidR="009446D3" w:rsidRPr="0067506D">
              <w:rPr>
                <w:sz w:val="22"/>
                <w:szCs w:val="22"/>
              </w:rPr>
              <w:t xml:space="preserve"> –</w:t>
            </w:r>
            <w:r w:rsidRPr="0067506D">
              <w:rPr>
                <w:color w:val="004C97"/>
                <w:sz w:val="22"/>
                <w:szCs w:val="22"/>
              </w:rPr>
              <w:t xml:space="preserve"> </w:t>
            </w:r>
            <w:r w:rsidR="009446D3" w:rsidRPr="0067506D">
              <w:rPr>
                <w:b/>
                <w:color w:val="auto"/>
                <w:sz w:val="22"/>
                <w:szCs w:val="22"/>
              </w:rPr>
              <w:t>O</w:t>
            </w:r>
            <w:r w:rsidRPr="0067506D">
              <w:rPr>
                <w:b/>
                <w:color w:val="auto"/>
                <w:sz w:val="22"/>
                <w:szCs w:val="22"/>
              </w:rPr>
              <w:t>nline</w:t>
            </w:r>
            <w:r w:rsidR="009446D3" w:rsidRPr="0067506D">
              <w:rPr>
                <w:b/>
                <w:color w:val="auto"/>
                <w:sz w:val="22"/>
                <w:szCs w:val="22"/>
              </w:rPr>
              <w:t xml:space="preserve"> (pdf </w:t>
            </w:r>
            <w:r w:rsidRPr="0067506D">
              <w:rPr>
                <w:b/>
                <w:color w:val="auto"/>
                <w:sz w:val="22"/>
                <w:szCs w:val="22"/>
              </w:rPr>
              <w:t>/</w:t>
            </w:r>
            <w:r w:rsidR="009446D3" w:rsidRPr="0067506D">
              <w:rPr>
                <w:b/>
                <w:color w:val="auto"/>
                <w:sz w:val="22"/>
                <w:szCs w:val="22"/>
              </w:rPr>
              <w:t xml:space="preserve"> w</w:t>
            </w:r>
            <w:r w:rsidRPr="0067506D">
              <w:rPr>
                <w:b/>
                <w:color w:val="auto"/>
                <w:sz w:val="22"/>
                <w:szCs w:val="22"/>
              </w:rPr>
              <w:t>ord)</w:t>
            </w:r>
            <w:r w:rsidRPr="0067506D">
              <w:rPr>
                <w:color w:val="auto"/>
                <w:sz w:val="22"/>
                <w:szCs w:val="22"/>
              </w:rPr>
              <w:t xml:space="preserve"> </w:t>
            </w:r>
          </w:p>
          <w:p w14:paraId="1BFC9C9E" w14:textId="77777777" w:rsidR="0055119B" w:rsidRDefault="0055119B" w:rsidP="00E33237">
            <w:pPr>
              <w:pStyle w:val="Imprint"/>
            </w:pPr>
            <w:r w:rsidRPr="0067506D">
              <w:rPr>
                <w:sz w:val="22"/>
                <w:szCs w:val="22"/>
              </w:rPr>
              <w:t xml:space="preserve">Available at </w:t>
            </w:r>
            <w:hyperlink r:id="rId33" w:history="1">
              <w:r w:rsidR="00E601B1" w:rsidRPr="0067506D">
                <w:rPr>
                  <w:rStyle w:val="Hyperlink"/>
                  <w:sz w:val="22"/>
                  <w:szCs w:val="22"/>
                </w:rPr>
                <w:t>Blood Matters</w:t>
              </w:r>
            </w:hyperlink>
            <w:r w:rsidR="00E601B1" w:rsidRPr="0067506D">
              <w:rPr>
                <w:sz w:val="22"/>
                <w:szCs w:val="22"/>
              </w:rPr>
              <w:t xml:space="preserve"> </w:t>
            </w:r>
            <w:r w:rsidRPr="0067506D">
              <w:rPr>
                <w:sz w:val="22"/>
                <w:szCs w:val="22"/>
              </w:rPr>
              <w:t>&lt;</w:t>
            </w:r>
            <w:r w:rsidR="00E601B1" w:rsidRPr="0067506D">
              <w:rPr>
                <w:color w:val="004C97"/>
                <w:sz w:val="22"/>
                <w:szCs w:val="22"/>
              </w:rPr>
              <w:t>https://www2.health.vic.gov.au/hospitals-and-health-services/patient-care/speciality-diagnostics-therapeutics/blood-matters/transfusion-science-blood-stewardship</w:t>
            </w:r>
            <w:r w:rsidRPr="0067506D">
              <w:rPr>
                <w:sz w:val="22"/>
                <w:szCs w:val="22"/>
              </w:rPr>
              <w:t>&gt;</w:t>
            </w:r>
          </w:p>
        </w:tc>
      </w:tr>
      <w:bookmarkEnd w:id="1"/>
    </w:tbl>
    <w:p w14:paraId="56A873C1" w14:textId="77777777" w:rsidR="008173B4" w:rsidRDefault="008173B4" w:rsidP="00162CA9">
      <w:pPr>
        <w:pStyle w:val="Body"/>
      </w:pPr>
    </w:p>
    <w:sectPr w:rsidR="008173B4" w:rsidSect="0001677A">
      <w:footerReference w:type="default" r:id="rId34"/>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D8652" w14:textId="77777777" w:rsidR="00FD7A5B" w:rsidRDefault="00FD7A5B">
      <w:r>
        <w:separator/>
      </w:r>
    </w:p>
  </w:endnote>
  <w:endnote w:type="continuationSeparator" w:id="0">
    <w:p w14:paraId="0088A12A" w14:textId="77777777" w:rsidR="00FD7A5B" w:rsidRDefault="00FD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0305"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279BBFA8" wp14:editId="1D145844">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08AE014" wp14:editId="5AC31BA8">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02BA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8AE014"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002BA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E69E"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0A08E54F" wp14:editId="1251C30C">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55580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08E54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855580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D8AA" w14:textId="77777777" w:rsidR="00236210" w:rsidRPr="00A11421" w:rsidRDefault="00236210" w:rsidP="0051568D">
    <w:pPr>
      <w:pStyle w:val="DHHSfooter"/>
    </w:pPr>
    <w:r>
      <w:rPr>
        <w:noProof/>
        <w:lang w:eastAsia="en-AU"/>
      </w:rPr>
      <w:drawing>
        <wp:anchor distT="0" distB="0" distL="114300" distR="114300" simplePos="0" relativeHeight="251680256" behindDoc="1" locked="1" layoutInCell="1" allowOverlap="1" wp14:anchorId="1BEB9708" wp14:editId="380DC701">
          <wp:simplePos x="0" y="0"/>
          <wp:positionH relativeFrom="page">
            <wp:posOffset>13335</wp:posOffset>
          </wp:positionH>
          <wp:positionV relativeFrom="page">
            <wp:posOffset>9610090</wp:posOffset>
          </wp:positionV>
          <wp:extent cx="7559040" cy="1060450"/>
          <wp:effectExtent l="0" t="0" r="381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Information sheet Blood Matters footerbranding.png"/>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6DA5" w14:textId="77777777" w:rsidR="00373890" w:rsidRPr="00F65AA9" w:rsidRDefault="0001677A" w:rsidP="00F84FA0">
    <w:pPr>
      <w:pStyle w:val="Footer"/>
    </w:pPr>
    <w:r>
      <w:rPr>
        <w:noProof/>
        <w:lang w:eastAsia="en-AU"/>
      </w:rPr>
      <w:drawing>
        <wp:anchor distT="0" distB="0" distL="114300" distR="114300" simplePos="0" relativeHeight="251678208" behindDoc="1" locked="1" layoutInCell="1" allowOverlap="1" wp14:anchorId="65B45170" wp14:editId="51A52ABA">
          <wp:simplePos x="0" y="0"/>
          <wp:positionH relativeFrom="page">
            <wp:align>left</wp:align>
          </wp:positionH>
          <wp:positionV relativeFrom="page">
            <wp:align>bottom</wp:align>
          </wp:positionV>
          <wp:extent cx="7560000" cy="1155600"/>
          <wp:effectExtent l="0" t="0" r="0" b="0"/>
          <wp:wrapNone/>
          <wp:docPr id="9" name="Picture 9"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10;Australian Red Cross&#10;Blood Matters"/>
                  <pic:cNvPicPr/>
                </pic:nvPicPr>
                <pic:blipFill rotWithShape="1">
                  <a:blip r:embed="rId1"/>
                  <a:srcRect t="89176"/>
                  <a:stretch/>
                </pic:blipFill>
                <pic:spPr bwMode="auto">
                  <a:xfrm>
                    <a:off x="0" y="0"/>
                    <a:ext cx="7560000" cy="11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7FF7">
      <w:rPr>
        <w:noProof/>
      </w:rPr>
      <mc:AlternateContent>
        <mc:Choice Requires="wps">
          <w:drawing>
            <wp:anchor distT="0" distB="0" distL="114300" distR="114300" simplePos="0" relativeHeight="251675136" behindDoc="0" locked="0" layoutInCell="0" allowOverlap="1" wp14:anchorId="4864F0C5" wp14:editId="63758F2E">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22F70"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64F0C5"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E022F70"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AC363" w14:textId="77777777" w:rsidR="00FD7A5B" w:rsidRDefault="00FD7A5B" w:rsidP="002862F1">
      <w:pPr>
        <w:spacing w:before="120"/>
      </w:pPr>
      <w:r>
        <w:separator/>
      </w:r>
    </w:p>
  </w:footnote>
  <w:footnote w:type="continuationSeparator" w:id="0">
    <w:p w14:paraId="1F86E32A" w14:textId="77777777" w:rsidR="00FD7A5B" w:rsidRDefault="00FD7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F1CB"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29EA" w14:textId="77777777" w:rsidR="00E261B3" w:rsidRPr="0051568D" w:rsidRDefault="00B650D2" w:rsidP="0011701A">
    <w:pPr>
      <w:pStyle w:val="Header"/>
    </w:pPr>
    <w:r>
      <w:t>Blood Matters on the Bench and Beyond. Issue 8 – October 2021.</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1B4E" w14:textId="77777777" w:rsidR="00236210" w:rsidRPr="0051568D" w:rsidRDefault="00236210"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60E68DC"/>
    <w:multiLevelType w:val="hybridMultilevel"/>
    <w:tmpl w:val="CE784A54"/>
    <w:lvl w:ilvl="0" w:tplc="256AA394">
      <w:start w:val="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FAD00F1"/>
    <w:multiLevelType w:val="hybridMultilevel"/>
    <w:tmpl w:val="90AED5EA"/>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811E81"/>
    <w:multiLevelType w:val="hybridMultilevel"/>
    <w:tmpl w:val="F0DA76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3A4024"/>
    <w:multiLevelType w:val="hybridMultilevel"/>
    <w:tmpl w:val="EA903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8C4F94"/>
    <w:multiLevelType w:val="hybridMultilevel"/>
    <w:tmpl w:val="01D0E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90F3FDD"/>
    <w:multiLevelType w:val="hybridMultilevel"/>
    <w:tmpl w:val="47144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CCA0192"/>
    <w:multiLevelType w:val="hybridMultilevel"/>
    <w:tmpl w:val="C1FC66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5201FD4"/>
    <w:multiLevelType w:val="multilevel"/>
    <w:tmpl w:val="8EFE1918"/>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136627"/>
    <w:multiLevelType w:val="hybridMultilevel"/>
    <w:tmpl w:val="755CB0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856127"/>
    <w:multiLevelType w:val="hybridMultilevel"/>
    <w:tmpl w:val="F25C45A6"/>
    <w:lvl w:ilvl="0" w:tplc="C0727EF0">
      <w:start w:val="1"/>
      <w:numFmt w:val="bullet"/>
      <w:lvlText w:val=""/>
      <w:lvlJc w:val="left"/>
      <w:pPr>
        <w:ind w:left="360" w:hanging="360"/>
      </w:pPr>
      <w:rPr>
        <w:rFonts w:ascii="Wingdings" w:hAnsi="Wingdings" w:hint="default"/>
        <w:color w:val="C60C30"/>
        <w:sz w:val="18"/>
      </w:rPr>
    </w:lvl>
    <w:lvl w:ilvl="1" w:tplc="C0727EF0">
      <w:start w:val="1"/>
      <w:numFmt w:val="bullet"/>
      <w:lvlText w:val=""/>
      <w:lvlJc w:val="left"/>
      <w:pPr>
        <w:ind w:left="1080" w:hanging="360"/>
      </w:pPr>
      <w:rPr>
        <w:rFonts w:ascii="Wingdings" w:hAnsi="Wingdings" w:hint="default"/>
        <w:color w:val="C60C30"/>
        <w:sz w:val="18"/>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1"/>
  </w:num>
  <w:num w:numId="9">
    <w:abstractNumId w:val="2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4"/>
  </w:num>
  <w:num w:numId="25">
    <w:abstractNumId w:val="30"/>
  </w:num>
  <w:num w:numId="26">
    <w:abstractNumId w:val="25"/>
  </w:num>
  <w:num w:numId="27">
    <w:abstractNumId w:val="11"/>
  </w:num>
  <w:num w:numId="28">
    <w:abstractNumId w:val="3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19"/>
  </w:num>
  <w:num w:numId="42">
    <w:abstractNumId w:val="28"/>
  </w:num>
  <w:num w:numId="43">
    <w:abstractNumId w:val="17"/>
  </w:num>
  <w:num w:numId="44">
    <w:abstractNumId w:val="32"/>
  </w:num>
  <w:num w:numId="45">
    <w:abstractNumId w:val="22"/>
  </w:num>
  <w:num w:numId="46">
    <w:abstractNumId w:val="20"/>
  </w:num>
  <w:num w:numId="47">
    <w:abstractNumId w:val="33"/>
  </w:num>
  <w:num w:numId="48">
    <w:abstractNumId w:val="13"/>
  </w:num>
  <w:num w:numId="4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FB"/>
    <w:rsid w:val="00000719"/>
    <w:rsid w:val="00003403"/>
    <w:rsid w:val="00005347"/>
    <w:rsid w:val="000058C2"/>
    <w:rsid w:val="000072B6"/>
    <w:rsid w:val="0001021B"/>
    <w:rsid w:val="00011D89"/>
    <w:rsid w:val="000154FD"/>
    <w:rsid w:val="0001677A"/>
    <w:rsid w:val="00016FBF"/>
    <w:rsid w:val="00022271"/>
    <w:rsid w:val="00022560"/>
    <w:rsid w:val="000235E8"/>
    <w:rsid w:val="00024D89"/>
    <w:rsid w:val="000250B6"/>
    <w:rsid w:val="00026A57"/>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7309"/>
    <w:rsid w:val="000835C6"/>
    <w:rsid w:val="0008508E"/>
    <w:rsid w:val="000865AF"/>
    <w:rsid w:val="00087951"/>
    <w:rsid w:val="0009113B"/>
    <w:rsid w:val="000928F5"/>
    <w:rsid w:val="00093402"/>
    <w:rsid w:val="00094DA3"/>
    <w:rsid w:val="00096A20"/>
    <w:rsid w:val="00096CD1"/>
    <w:rsid w:val="000A012C"/>
    <w:rsid w:val="000A0EB9"/>
    <w:rsid w:val="000A186C"/>
    <w:rsid w:val="000A1E4E"/>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0F5F32"/>
    <w:rsid w:val="00101001"/>
    <w:rsid w:val="001031A1"/>
    <w:rsid w:val="00103276"/>
    <w:rsid w:val="0010392D"/>
    <w:rsid w:val="0010447F"/>
    <w:rsid w:val="00104FE3"/>
    <w:rsid w:val="0010714F"/>
    <w:rsid w:val="001120C5"/>
    <w:rsid w:val="0011701A"/>
    <w:rsid w:val="00120BD3"/>
    <w:rsid w:val="00122771"/>
    <w:rsid w:val="00122FEA"/>
    <w:rsid w:val="001232BD"/>
    <w:rsid w:val="00124ED5"/>
    <w:rsid w:val="001276FA"/>
    <w:rsid w:val="001360A8"/>
    <w:rsid w:val="0014255B"/>
    <w:rsid w:val="001447B3"/>
    <w:rsid w:val="00152073"/>
    <w:rsid w:val="00154E2D"/>
    <w:rsid w:val="00156598"/>
    <w:rsid w:val="00160460"/>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73C6"/>
    <w:rsid w:val="001B058F"/>
    <w:rsid w:val="001B6B82"/>
    <w:rsid w:val="001B738B"/>
    <w:rsid w:val="001C09DB"/>
    <w:rsid w:val="001C277E"/>
    <w:rsid w:val="001C2A72"/>
    <w:rsid w:val="001C31B7"/>
    <w:rsid w:val="001D0B75"/>
    <w:rsid w:val="001D39A5"/>
    <w:rsid w:val="001D3C09"/>
    <w:rsid w:val="001D44E8"/>
    <w:rsid w:val="001D5D56"/>
    <w:rsid w:val="001D60EC"/>
    <w:rsid w:val="001D6F59"/>
    <w:rsid w:val="001E09F0"/>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181E"/>
    <w:rsid w:val="0022278D"/>
    <w:rsid w:val="0022701F"/>
    <w:rsid w:val="00227C68"/>
    <w:rsid w:val="002333F5"/>
    <w:rsid w:val="00233724"/>
    <w:rsid w:val="00236210"/>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597D"/>
    <w:rsid w:val="002962C3"/>
    <w:rsid w:val="0029752B"/>
    <w:rsid w:val="002A0A9C"/>
    <w:rsid w:val="002A483C"/>
    <w:rsid w:val="002A5D39"/>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12D9"/>
    <w:rsid w:val="00302216"/>
    <w:rsid w:val="00303E53"/>
    <w:rsid w:val="00305CC1"/>
    <w:rsid w:val="00306E5F"/>
    <w:rsid w:val="00307E14"/>
    <w:rsid w:val="00314054"/>
    <w:rsid w:val="00315BD8"/>
    <w:rsid w:val="00316F27"/>
    <w:rsid w:val="003214F1"/>
    <w:rsid w:val="00322E4B"/>
    <w:rsid w:val="00327870"/>
    <w:rsid w:val="0033259D"/>
    <w:rsid w:val="003333D2"/>
    <w:rsid w:val="00335D70"/>
    <w:rsid w:val="003406C6"/>
    <w:rsid w:val="003418CC"/>
    <w:rsid w:val="003451C7"/>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52C"/>
    <w:rsid w:val="003D3E8F"/>
    <w:rsid w:val="003D6475"/>
    <w:rsid w:val="003E254E"/>
    <w:rsid w:val="003E375C"/>
    <w:rsid w:val="003E4086"/>
    <w:rsid w:val="003E639E"/>
    <w:rsid w:val="003E71E5"/>
    <w:rsid w:val="003F0445"/>
    <w:rsid w:val="003F0CF0"/>
    <w:rsid w:val="003F14B1"/>
    <w:rsid w:val="003F2B20"/>
    <w:rsid w:val="003F3289"/>
    <w:rsid w:val="003F5CB9"/>
    <w:rsid w:val="004013C7"/>
    <w:rsid w:val="00401FCF"/>
    <w:rsid w:val="0040248F"/>
    <w:rsid w:val="00404A62"/>
    <w:rsid w:val="00406285"/>
    <w:rsid w:val="004112C6"/>
    <w:rsid w:val="00413D07"/>
    <w:rsid w:val="004148F9"/>
    <w:rsid w:val="00414D4A"/>
    <w:rsid w:val="0042084E"/>
    <w:rsid w:val="00421EEF"/>
    <w:rsid w:val="00424917"/>
    <w:rsid w:val="00424D65"/>
    <w:rsid w:val="00427A56"/>
    <w:rsid w:val="004364C5"/>
    <w:rsid w:val="00442C6C"/>
    <w:rsid w:val="00443CBE"/>
    <w:rsid w:val="00443E8A"/>
    <w:rsid w:val="004441BC"/>
    <w:rsid w:val="004442FF"/>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791"/>
    <w:rsid w:val="004D1B22"/>
    <w:rsid w:val="004D23CC"/>
    <w:rsid w:val="004D36F2"/>
    <w:rsid w:val="004E1106"/>
    <w:rsid w:val="004E138F"/>
    <w:rsid w:val="004E4649"/>
    <w:rsid w:val="004E5C2B"/>
    <w:rsid w:val="004F00DD"/>
    <w:rsid w:val="004F2133"/>
    <w:rsid w:val="004F5398"/>
    <w:rsid w:val="004F55F1"/>
    <w:rsid w:val="004F5B3A"/>
    <w:rsid w:val="004F6936"/>
    <w:rsid w:val="0050221C"/>
    <w:rsid w:val="00503DC6"/>
    <w:rsid w:val="00506426"/>
    <w:rsid w:val="00506F5D"/>
    <w:rsid w:val="00510261"/>
    <w:rsid w:val="00510C37"/>
    <w:rsid w:val="005126D0"/>
    <w:rsid w:val="00513AF5"/>
    <w:rsid w:val="00515614"/>
    <w:rsid w:val="0051568D"/>
    <w:rsid w:val="005206B7"/>
    <w:rsid w:val="00520B4F"/>
    <w:rsid w:val="00521C34"/>
    <w:rsid w:val="00526AC7"/>
    <w:rsid w:val="00526C15"/>
    <w:rsid w:val="00536395"/>
    <w:rsid w:val="00536499"/>
    <w:rsid w:val="00543903"/>
    <w:rsid w:val="00543F11"/>
    <w:rsid w:val="00546305"/>
    <w:rsid w:val="00547A95"/>
    <w:rsid w:val="0055119B"/>
    <w:rsid w:val="005548B5"/>
    <w:rsid w:val="0057060F"/>
    <w:rsid w:val="00572031"/>
    <w:rsid w:val="00572282"/>
    <w:rsid w:val="00573CE3"/>
    <w:rsid w:val="00576E84"/>
    <w:rsid w:val="00580394"/>
    <w:rsid w:val="005809CD"/>
    <w:rsid w:val="00582B8C"/>
    <w:rsid w:val="0058757E"/>
    <w:rsid w:val="00596A4B"/>
    <w:rsid w:val="00597507"/>
    <w:rsid w:val="005A3612"/>
    <w:rsid w:val="005A479D"/>
    <w:rsid w:val="005A68CE"/>
    <w:rsid w:val="005B1C6D"/>
    <w:rsid w:val="005B21B6"/>
    <w:rsid w:val="005B3A08"/>
    <w:rsid w:val="005B7A63"/>
    <w:rsid w:val="005C0955"/>
    <w:rsid w:val="005C49DA"/>
    <w:rsid w:val="005C50F3"/>
    <w:rsid w:val="005C54B5"/>
    <w:rsid w:val="005C5D80"/>
    <w:rsid w:val="005C5D91"/>
    <w:rsid w:val="005D07B8"/>
    <w:rsid w:val="005D6597"/>
    <w:rsid w:val="005D6A94"/>
    <w:rsid w:val="005D7E48"/>
    <w:rsid w:val="005E14E7"/>
    <w:rsid w:val="005E26A3"/>
    <w:rsid w:val="005E2ECB"/>
    <w:rsid w:val="005E447E"/>
    <w:rsid w:val="005E4FD1"/>
    <w:rsid w:val="005F0775"/>
    <w:rsid w:val="005F0CF5"/>
    <w:rsid w:val="005F21EB"/>
    <w:rsid w:val="005F7303"/>
    <w:rsid w:val="00605908"/>
    <w:rsid w:val="00610D7C"/>
    <w:rsid w:val="00613414"/>
    <w:rsid w:val="00620154"/>
    <w:rsid w:val="0062408D"/>
    <w:rsid w:val="006240CC"/>
    <w:rsid w:val="00624940"/>
    <w:rsid w:val="006254F8"/>
    <w:rsid w:val="00625A7C"/>
    <w:rsid w:val="00625F2C"/>
    <w:rsid w:val="00627DA7"/>
    <w:rsid w:val="00630DA4"/>
    <w:rsid w:val="00632597"/>
    <w:rsid w:val="00633B21"/>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66AD"/>
    <w:rsid w:val="00667770"/>
    <w:rsid w:val="00670597"/>
    <w:rsid w:val="006706D0"/>
    <w:rsid w:val="0067151A"/>
    <w:rsid w:val="0067506D"/>
    <w:rsid w:val="00677574"/>
    <w:rsid w:val="0068454C"/>
    <w:rsid w:val="0068584D"/>
    <w:rsid w:val="00691B62"/>
    <w:rsid w:val="006933B5"/>
    <w:rsid w:val="00693D14"/>
    <w:rsid w:val="00696F27"/>
    <w:rsid w:val="006A18C2"/>
    <w:rsid w:val="006A3383"/>
    <w:rsid w:val="006B077C"/>
    <w:rsid w:val="006B55FB"/>
    <w:rsid w:val="006B6803"/>
    <w:rsid w:val="006C5B8F"/>
    <w:rsid w:val="006D0F16"/>
    <w:rsid w:val="006D2A3F"/>
    <w:rsid w:val="006D2FBC"/>
    <w:rsid w:val="006D6BFF"/>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33D8"/>
    <w:rsid w:val="00785677"/>
    <w:rsid w:val="00785CD8"/>
    <w:rsid w:val="00786F16"/>
    <w:rsid w:val="00791BD7"/>
    <w:rsid w:val="007933F7"/>
    <w:rsid w:val="00796E20"/>
    <w:rsid w:val="00797C32"/>
    <w:rsid w:val="007A11E8"/>
    <w:rsid w:val="007A3DE9"/>
    <w:rsid w:val="007B0883"/>
    <w:rsid w:val="007B0914"/>
    <w:rsid w:val="007B1374"/>
    <w:rsid w:val="007B32E5"/>
    <w:rsid w:val="007B3DB9"/>
    <w:rsid w:val="007B589F"/>
    <w:rsid w:val="007B6186"/>
    <w:rsid w:val="007B73BC"/>
    <w:rsid w:val="007C1838"/>
    <w:rsid w:val="007C1930"/>
    <w:rsid w:val="007C20B9"/>
    <w:rsid w:val="007C5264"/>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4DF5"/>
    <w:rsid w:val="008155F0"/>
    <w:rsid w:val="00816735"/>
    <w:rsid w:val="008173B4"/>
    <w:rsid w:val="00820141"/>
    <w:rsid w:val="008201B8"/>
    <w:rsid w:val="00820E0C"/>
    <w:rsid w:val="008213F0"/>
    <w:rsid w:val="00823275"/>
    <w:rsid w:val="0082366F"/>
    <w:rsid w:val="008338A2"/>
    <w:rsid w:val="00835FAF"/>
    <w:rsid w:val="00837648"/>
    <w:rsid w:val="00841AA9"/>
    <w:rsid w:val="008474FE"/>
    <w:rsid w:val="00853EE4"/>
    <w:rsid w:val="00855535"/>
    <w:rsid w:val="00855920"/>
    <w:rsid w:val="00857C5A"/>
    <w:rsid w:val="0086255E"/>
    <w:rsid w:val="008633F0"/>
    <w:rsid w:val="00867D9D"/>
    <w:rsid w:val="00872E0A"/>
    <w:rsid w:val="00873594"/>
    <w:rsid w:val="00875285"/>
    <w:rsid w:val="008770B1"/>
    <w:rsid w:val="00884B62"/>
    <w:rsid w:val="0088529C"/>
    <w:rsid w:val="00886938"/>
    <w:rsid w:val="00887903"/>
    <w:rsid w:val="0089270A"/>
    <w:rsid w:val="00893AD8"/>
    <w:rsid w:val="00893AF6"/>
    <w:rsid w:val="00894BC4"/>
    <w:rsid w:val="008A28A8"/>
    <w:rsid w:val="008A5B32"/>
    <w:rsid w:val="008A77B8"/>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6AF4"/>
    <w:rsid w:val="008E7A0A"/>
    <w:rsid w:val="008E7B49"/>
    <w:rsid w:val="008F59F6"/>
    <w:rsid w:val="00900719"/>
    <w:rsid w:val="009017AC"/>
    <w:rsid w:val="00902A9A"/>
    <w:rsid w:val="00904A1C"/>
    <w:rsid w:val="00905030"/>
    <w:rsid w:val="00906490"/>
    <w:rsid w:val="009111B2"/>
    <w:rsid w:val="009131A8"/>
    <w:rsid w:val="009151F5"/>
    <w:rsid w:val="009220CA"/>
    <w:rsid w:val="00924AE1"/>
    <w:rsid w:val="009269B1"/>
    <w:rsid w:val="0092724D"/>
    <w:rsid w:val="009272B3"/>
    <w:rsid w:val="009315BE"/>
    <w:rsid w:val="0093338F"/>
    <w:rsid w:val="00937BD9"/>
    <w:rsid w:val="009446D3"/>
    <w:rsid w:val="00950E2C"/>
    <w:rsid w:val="00951D50"/>
    <w:rsid w:val="009525EB"/>
    <w:rsid w:val="0095427F"/>
    <w:rsid w:val="0095470B"/>
    <w:rsid w:val="00954874"/>
    <w:rsid w:val="0095615A"/>
    <w:rsid w:val="00957D8E"/>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16F7"/>
    <w:rsid w:val="009A279E"/>
    <w:rsid w:val="009A3015"/>
    <w:rsid w:val="009A3490"/>
    <w:rsid w:val="009B0A6F"/>
    <w:rsid w:val="009B0A94"/>
    <w:rsid w:val="009B2AE8"/>
    <w:rsid w:val="009B3E0B"/>
    <w:rsid w:val="009B59E9"/>
    <w:rsid w:val="009B70AA"/>
    <w:rsid w:val="009C1787"/>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4374"/>
    <w:rsid w:val="009F4906"/>
    <w:rsid w:val="009F6BCB"/>
    <w:rsid w:val="009F7B78"/>
    <w:rsid w:val="00A0057A"/>
    <w:rsid w:val="00A02FA1"/>
    <w:rsid w:val="00A03633"/>
    <w:rsid w:val="00A04CCE"/>
    <w:rsid w:val="00A07421"/>
    <w:rsid w:val="00A0776B"/>
    <w:rsid w:val="00A10FB9"/>
    <w:rsid w:val="00A11421"/>
    <w:rsid w:val="00A1389F"/>
    <w:rsid w:val="00A157B1"/>
    <w:rsid w:val="00A16AA8"/>
    <w:rsid w:val="00A22229"/>
    <w:rsid w:val="00A24442"/>
    <w:rsid w:val="00A330BB"/>
    <w:rsid w:val="00A3584B"/>
    <w:rsid w:val="00A44882"/>
    <w:rsid w:val="00A45125"/>
    <w:rsid w:val="00A54715"/>
    <w:rsid w:val="00A6061C"/>
    <w:rsid w:val="00A62D44"/>
    <w:rsid w:val="00A67263"/>
    <w:rsid w:val="00A7161C"/>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5007"/>
    <w:rsid w:val="00AC6D36"/>
    <w:rsid w:val="00AD0CBA"/>
    <w:rsid w:val="00AD0FB2"/>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576D3"/>
    <w:rsid w:val="00B603C4"/>
    <w:rsid w:val="00B60E61"/>
    <w:rsid w:val="00B62B50"/>
    <w:rsid w:val="00B635B7"/>
    <w:rsid w:val="00B63AE8"/>
    <w:rsid w:val="00B650D2"/>
    <w:rsid w:val="00B65950"/>
    <w:rsid w:val="00B66D83"/>
    <w:rsid w:val="00B672C0"/>
    <w:rsid w:val="00B676FD"/>
    <w:rsid w:val="00B75646"/>
    <w:rsid w:val="00B80CA1"/>
    <w:rsid w:val="00B90729"/>
    <w:rsid w:val="00B907DA"/>
    <w:rsid w:val="00B94CD5"/>
    <w:rsid w:val="00B950BC"/>
    <w:rsid w:val="00B9714C"/>
    <w:rsid w:val="00BA29AD"/>
    <w:rsid w:val="00BA33CF"/>
    <w:rsid w:val="00BA3F8D"/>
    <w:rsid w:val="00BB7A10"/>
    <w:rsid w:val="00BC39C7"/>
    <w:rsid w:val="00BC3E8F"/>
    <w:rsid w:val="00BC60BE"/>
    <w:rsid w:val="00BC7468"/>
    <w:rsid w:val="00BC7D4F"/>
    <w:rsid w:val="00BC7ED7"/>
    <w:rsid w:val="00BD2850"/>
    <w:rsid w:val="00BD5345"/>
    <w:rsid w:val="00BE28D2"/>
    <w:rsid w:val="00BE4A64"/>
    <w:rsid w:val="00BE5E43"/>
    <w:rsid w:val="00BE7F06"/>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367AE"/>
    <w:rsid w:val="00C4173A"/>
    <w:rsid w:val="00C4692C"/>
    <w:rsid w:val="00C50DED"/>
    <w:rsid w:val="00C5780E"/>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5A41"/>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261F"/>
    <w:rsid w:val="00D66B79"/>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38C6"/>
    <w:rsid w:val="00E40181"/>
    <w:rsid w:val="00E419C8"/>
    <w:rsid w:val="00E54950"/>
    <w:rsid w:val="00E56A01"/>
    <w:rsid w:val="00E601B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C5DF4"/>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592"/>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24C"/>
    <w:rsid w:val="00F53A66"/>
    <w:rsid w:val="00F53DDD"/>
    <w:rsid w:val="00F5462D"/>
    <w:rsid w:val="00F55B21"/>
    <w:rsid w:val="00F56EF6"/>
    <w:rsid w:val="00F60082"/>
    <w:rsid w:val="00F61A9F"/>
    <w:rsid w:val="00F61B5F"/>
    <w:rsid w:val="00F62248"/>
    <w:rsid w:val="00F64696"/>
    <w:rsid w:val="00F65AA9"/>
    <w:rsid w:val="00F6768F"/>
    <w:rsid w:val="00F72C2C"/>
    <w:rsid w:val="00F76CAB"/>
    <w:rsid w:val="00F772C6"/>
    <w:rsid w:val="00F815B5"/>
    <w:rsid w:val="00F84FA0"/>
    <w:rsid w:val="00F85195"/>
    <w:rsid w:val="00F868E3"/>
    <w:rsid w:val="00F938BA"/>
    <w:rsid w:val="00F97919"/>
    <w:rsid w:val="00FA1B81"/>
    <w:rsid w:val="00FA2C46"/>
    <w:rsid w:val="00FA3525"/>
    <w:rsid w:val="00FA5A53"/>
    <w:rsid w:val="00FB1756"/>
    <w:rsid w:val="00FB2551"/>
    <w:rsid w:val="00FB4769"/>
    <w:rsid w:val="00FB4CDA"/>
    <w:rsid w:val="00FB6481"/>
    <w:rsid w:val="00FB6D36"/>
    <w:rsid w:val="00FC0965"/>
    <w:rsid w:val="00FC0F81"/>
    <w:rsid w:val="00FC252F"/>
    <w:rsid w:val="00FC395C"/>
    <w:rsid w:val="00FC5E8E"/>
    <w:rsid w:val="00FC6D26"/>
    <w:rsid w:val="00FD3766"/>
    <w:rsid w:val="00FD47C4"/>
    <w:rsid w:val="00FD5A71"/>
    <w:rsid w:val="00FD722A"/>
    <w:rsid w:val="00FD7A5B"/>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F5F7F0"/>
  <w15:docId w15:val="{96B4B3F3-0E5E-4D4C-8B07-A90BC2D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ody">
    <w:name w:val="DHHS body"/>
    <w:uiPriority w:val="99"/>
    <w:qFormat/>
    <w:rsid w:val="008173B4"/>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236210"/>
    <w:pPr>
      <w:spacing w:after="40"/>
      <w:ind w:left="284" w:hanging="284"/>
    </w:pPr>
  </w:style>
  <w:style w:type="paragraph" w:customStyle="1" w:styleId="DHHSbullet2">
    <w:name w:val="DHHS bullet 2"/>
    <w:basedOn w:val="DHHSbody"/>
    <w:uiPriority w:val="2"/>
    <w:qFormat/>
    <w:rsid w:val="00236210"/>
    <w:pPr>
      <w:spacing w:after="40"/>
      <w:ind w:left="567" w:hanging="283"/>
    </w:pPr>
  </w:style>
  <w:style w:type="paragraph" w:customStyle="1" w:styleId="DHHSfooter">
    <w:name w:val="DHHS footer"/>
    <w:uiPriority w:val="11"/>
    <w:rsid w:val="00236210"/>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236210"/>
  </w:style>
  <w:style w:type="paragraph" w:styleId="ListParagraph">
    <w:name w:val="List Paragraph"/>
    <w:basedOn w:val="Normal"/>
    <w:uiPriority w:val="34"/>
    <w:qFormat/>
    <w:rsid w:val="000865AF"/>
    <w:pPr>
      <w:ind w:left="720"/>
      <w:contextualSpacing/>
    </w:pPr>
  </w:style>
  <w:style w:type="paragraph" w:styleId="NormalWeb">
    <w:name w:val="Normal (Web)"/>
    <w:basedOn w:val="Normal"/>
    <w:uiPriority w:val="99"/>
    <w:semiHidden/>
    <w:unhideWhenUsed/>
    <w:rsid w:val="009F4906"/>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891218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4577777">
      <w:bodyDiv w:val="1"/>
      <w:marLeft w:val="0"/>
      <w:marRight w:val="0"/>
      <w:marTop w:val="0"/>
      <w:marBottom w:val="0"/>
      <w:divBdr>
        <w:top w:val="none" w:sz="0" w:space="0" w:color="auto"/>
        <w:left w:val="none" w:sz="0" w:space="0" w:color="auto"/>
        <w:bottom w:val="none" w:sz="0" w:space="0" w:color="auto"/>
        <w:right w:val="none" w:sz="0" w:space="0" w:color="auto"/>
      </w:divBdr>
    </w:div>
    <w:div w:id="553009307">
      <w:bodyDiv w:val="1"/>
      <w:marLeft w:val="0"/>
      <w:marRight w:val="0"/>
      <w:marTop w:val="0"/>
      <w:marBottom w:val="0"/>
      <w:divBdr>
        <w:top w:val="none" w:sz="0" w:space="0" w:color="auto"/>
        <w:left w:val="none" w:sz="0" w:space="0" w:color="auto"/>
        <w:bottom w:val="none" w:sz="0" w:space="0" w:color="auto"/>
        <w:right w:val="none" w:sz="0" w:space="0" w:color="auto"/>
      </w:divBdr>
    </w:div>
    <w:div w:id="81194227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47471709">
      <w:bodyDiv w:val="1"/>
      <w:marLeft w:val="0"/>
      <w:marRight w:val="0"/>
      <w:marTop w:val="0"/>
      <w:marBottom w:val="0"/>
      <w:divBdr>
        <w:top w:val="none" w:sz="0" w:space="0" w:color="auto"/>
        <w:left w:val="none" w:sz="0" w:space="0" w:color="auto"/>
        <w:bottom w:val="none" w:sz="0" w:space="0" w:color="auto"/>
        <w:right w:val="none" w:sz="0" w:space="0" w:color="auto"/>
      </w:divBdr>
    </w:div>
    <w:div w:id="1212305228">
      <w:bodyDiv w:val="1"/>
      <w:marLeft w:val="0"/>
      <w:marRight w:val="0"/>
      <w:marTop w:val="0"/>
      <w:marBottom w:val="0"/>
      <w:divBdr>
        <w:top w:val="none" w:sz="0" w:space="0" w:color="auto"/>
        <w:left w:val="none" w:sz="0" w:space="0" w:color="auto"/>
        <w:bottom w:val="none" w:sz="0" w:space="0" w:color="auto"/>
        <w:right w:val="none" w:sz="0" w:space="0" w:color="auto"/>
      </w:divBdr>
    </w:div>
    <w:div w:id="137789574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2230095">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s://www.youtube.com/watch?v=6Zc4QQJEijs" TargetMode="External"/><Relationship Id="rId3" Type="http://schemas.openxmlformats.org/officeDocument/2006/relationships/customXml" Target="../customXml/item3.xml"/><Relationship Id="rId21" Type="http://schemas.openxmlformats.org/officeDocument/2006/relationships/hyperlink" Target="https://onlinelibrary.wiley.com/doi/10.1111/trf.16228"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lifeblood.webex.com/lifeblood/j.php?RGID=r2422f702ffaaf9774aebd6d8e9b727b1" TargetMode="External"/><Relationship Id="rId25" Type="http://schemas.openxmlformats.org/officeDocument/2006/relationships/hyperlink" Target="http://www.cmls.org.au/" TargetMode="External"/><Relationship Id="rId33" Type="http://schemas.openxmlformats.org/officeDocument/2006/relationships/hyperlink" Target="https://www2.health.vic.gov.au/hospitals-and-health-services/patient-care/speciality-diagnostics-therapeutics/blood-matters/transfusion-science-blood-stewardship"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onlinelibrary.wiley.com/doi/10.5694/mja2.51429" TargetMode="External"/><Relationship Id="rId29" Type="http://schemas.openxmlformats.org/officeDocument/2006/relationships/hyperlink" Target="mailto:bloodmatters@redcrossblood.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cid:image003.jpg@01D5E0F2.D78F0700" TargetMode="External"/><Relationship Id="rId32" Type="http://schemas.openxmlformats.org/officeDocument/2006/relationships/hyperlink" Target="mailto:bloodmatters@redcrossblood.org.au?subject=Accessible%20documen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6.jpeg"/><Relationship Id="rId28" Type="http://schemas.openxmlformats.org/officeDocument/2006/relationships/hyperlink" Target="mailto:rfrench@redcrossblood.org.a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hyperlink" Target="https://urldefense.com/v3/__https:/lifeblood.webex.com/recordingservice/sites/lifeblood/recording/3d6d869b9a801039b77f005056baad9d/playback__;!!FNSAje27EPQO!9z4B_6kTDzMvUPqe14jyDtZuJza4nzuaLDPUzZhE7LJH45b0vpBE8c-eKrkcEPPKP-NdJ8UR$" TargetMode="Externa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1\Branding%20and%20templates\New%20templates%20July%202021\Blood%20Matters%20DH%20red%20factsheet.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100" b="0" i="0" u="none" strike="noStrike" baseline="0">
                <a:effectLst/>
                <a:latin typeface="Arial" panose="020B0604020202020204" pitchFamily="34" charset="0"/>
                <a:cs typeface="Arial" panose="020B0604020202020204" pitchFamily="34" charset="0"/>
              </a:rPr>
              <a:t>Festive period RBC wastage 2014/15 – 2021/22</a:t>
            </a:r>
            <a:endParaRPr lang="en-AU" sz="11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2810131799185631E-2"/>
          <c:y val="0.10954102877902723"/>
          <c:w val="0.92542789800763092"/>
          <c:h val="0.63748831982512455"/>
        </c:manualLayout>
      </c:layout>
      <c:lineChart>
        <c:grouping val="standard"/>
        <c:varyColors val="0"/>
        <c:ser>
          <c:idx val="0"/>
          <c:order val="0"/>
          <c:tx>
            <c:strRef>
              <c:f>'Loss Rate'!$C$1</c:f>
              <c:strCache>
                <c:ptCount val="1"/>
                <c:pt idx="0">
                  <c:v>Victorian RBC Waste</c:v>
                </c:pt>
              </c:strCache>
            </c:strRef>
          </c:tx>
          <c:spPr>
            <a:ln w="28575" cap="rnd">
              <a:solidFill>
                <a:srgbClr val="C00000"/>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241E-4DFA-B464-B3A61725DE98}"/>
                </c:ext>
              </c:extLst>
            </c:dLbl>
            <c:dLbl>
              <c:idx val="1"/>
              <c:delete val="1"/>
              <c:extLst>
                <c:ext xmlns:c15="http://schemas.microsoft.com/office/drawing/2012/chart" uri="{CE6537A1-D6FC-4f65-9D91-7224C49458BB}"/>
                <c:ext xmlns:c16="http://schemas.microsoft.com/office/drawing/2014/chart" uri="{C3380CC4-5D6E-409C-BE32-E72D297353CC}">
                  <c16:uniqueId val="{00000001-241E-4DFA-B464-B3A61725DE98}"/>
                </c:ext>
              </c:extLst>
            </c:dLbl>
            <c:dLbl>
              <c:idx val="2"/>
              <c:delete val="1"/>
              <c:extLst>
                <c:ext xmlns:c15="http://schemas.microsoft.com/office/drawing/2012/chart" uri="{CE6537A1-D6FC-4f65-9D91-7224C49458BB}"/>
                <c:ext xmlns:c16="http://schemas.microsoft.com/office/drawing/2014/chart" uri="{C3380CC4-5D6E-409C-BE32-E72D297353CC}">
                  <c16:uniqueId val="{00000002-241E-4DFA-B464-B3A61725DE98}"/>
                </c:ext>
              </c:extLst>
            </c:dLbl>
            <c:dLbl>
              <c:idx val="3"/>
              <c:delete val="1"/>
              <c:extLst>
                <c:ext xmlns:c15="http://schemas.microsoft.com/office/drawing/2012/chart" uri="{CE6537A1-D6FC-4f65-9D91-7224C49458BB}"/>
                <c:ext xmlns:c16="http://schemas.microsoft.com/office/drawing/2014/chart" uri="{C3380CC4-5D6E-409C-BE32-E72D297353CC}">
                  <c16:uniqueId val="{00000003-241E-4DFA-B464-B3A61725DE98}"/>
                </c:ext>
              </c:extLst>
            </c:dLbl>
            <c:dLbl>
              <c:idx val="4"/>
              <c:delete val="1"/>
              <c:extLst>
                <c:ext xmlns:c15="http://schemas.microsoft.com/office/drawing/2012/chart" uri="{CE6537A1-D6FC-4f65-9D91-7224C49458BB}"/>
                <c:ext xmlns:c16="http://schemas.microsoft.com/office/drawing/2014/chart" uri="{C3380CC4-5D6E-409C-BE32-E72D297353CC}">
                  <c16:uniqueId val="{00000004-241E-4DFA-B464-B3A61725DE98}"/>
                </c:ext>
              </c:extLst>
            </c:dLbl>
            <c:dLbl>
              <c:idx val="5"/>
              <c:delete val="1"/>
              <c:extLst>
                <c:ext xmlns:c15="http://schemas.microsoft.com/office/drawing/2012/chart" uri="{CE6537A1-D6FC-4f65-9D91-7224C49458BB}"/>
                <c:ext xmlns:c16="http://schemas.microsoft.com/office/drawing/2014/chart" uri="{C3380CC4-5D6E-409C-BE32-E72D297353CC}">
                  <c16:uniqueId val="{00000005-241E-4DFA-B464-B3A61725DE98}"/>
                </c:ext>
              </c:extLst>
            </c:dLbl>
            <c:dLbl>
              <c:idx val="6"/>
              <c:delete val="1"/>
              <c:extLst>
                <c:ext xmlns:c15="http://schemas.microsoft.com/office/drawing/2012/chart" uri="{CE6537A1-D6FC-4f65-9D91-7224C49458BB}"/>
                <c:ext xmlns:c16="http://schemas.microsoft.com/office/drawing/2014/chart" uri="{C3380CC4-5D6E-409C-BE32-E72D297353CC}">
                  <c16:uniqueId val="{00000006-241E-4DFA-B464-B3A61725DE98}"/>
                </c:ext>
              </c:extLst>
            </c:dLbl>
            <c:dLbl>
              <c:idx val="7"/>
              <c:delete val="1"/>
              <c:extLst>
                <c:ext xmlns:c15="http://schemas.microsoft.com/office/drawing/2012/chart" uri="{CE6537A1-D6FC-4f65-9D91-7224C49458BB}"/>
                <c:ext xmlns:c16="http://schemas.microsoft.com/office/drawing/2014/chart" uri="{C3380CC4-5D6E-409C-BE32-E72D297353CC}">
                  <c16:uniqueId val="{00000007-241E-4DFA-B464-B3A61725DE98}"/>
                </c:ext>
              </c:extLst>
            </c:dLbl>
            <c:dLbl>
              <c:idx val="8"/>
              <c:delete val="1"/>
              <c:extLst>
                <c:ext xmlns:c15="http://schemas.microsoft.com/office/drawing/2012/chart" uri="{CE6537A1-D6FC-4f65-9D91-7224C49458BB}"/>
                <c:ext xmlns:c16="http://schemas.microsoft.com/office/drawing/2014/chart" uri="{C3380CC4-5D6E-409C-BE32-E72D297353CC}">
                  <c16:uniqueId val="{00000008-241E-4DFA-B464-B3A61725DE98}"/>
                </c:ext>
              </c:extLst>
            </c:dLbl>
            <c:dLbl>
              <c:idx val="9"/>
              <c:delete val="1"/>
              <c:extLst>
                <c:ext xmlns:c15="http://schemas.microsoft.com/office/drawing/2012/chart" uri="{CE6537A1-D6FC-4f65-9D91-7224C49458BB}"/>
                <c:ext xmlns:c16="http://schemas.microsoft.com/office/drawing/2014/chart" uri="{C3380CC4-5D6E-409C-BE32-E72D297353CC}">
                  <c16:uniqueId val="{00000009-241E-4DFA-B464-B3A61725DE98}"/>
                </c:ext>
              </c:extLst>
            </c:dLbl>
            <c:dLbl>
              <c:idx val="10"/>
              <c:delete val="1"/>
              <c:extLst>
                <c:ext xmlns:c15="http://schemas.microsoft.com/office/drawing/2012/chart" uri="{CE6537A1-D6FC-4f65-9D91-7224C49458BB}"/>
                <c:ext xmlns:c16="http://schemas.microsoft.com/office/drawing/2014/chart" uri="{C3380CC4-5D6E-409C-BE32-E72D297353CC}">
                  <c16:uniqueId val="{0000000A-241E-4DFA-B464-B3A61725DE98}"/>
                </c:ext>
              </c:extLst>
            </c:dLbl>
            <c:dLbl>
              <c:idx val="11"/>
              <c:delete val="1"/>
              <c:extLst>
                <c:ext xmlns:c15="http://schemas.microsoft.com/office/drawing/2012/chart" uri="{CE6537A1-D6FC-4f65-9D91-7224C49458BB}"/>
                <c:ext xmlns:c16="http://schemas.microsoft.com/office/drawing/2014/chart" uri="{C3380CC4-5D6E-409C-BE32-E72D297353CC}">
                  <c16:uniqueId val="{0000000B-241E-4DFA-B464-B3A61725DE98}"/>
                </c:ext>
              </c:extLst>
            </c:dLbl>
            <c:dLbl>
              <c:idx val="12"/>
              <c:delete val="1"/>
              <c:extLst>
                <c:ext xmlns:c15="http://schemas.microsoft.com/office/drawing/2012/chart" uri="{CE6537A1-D6FC-4f65-9D91-7224C49458BB}"/>
                <c:ext xmlns:c16="http://schemas.microsoft.com/office/drawing/2014/chart" uri="{C3380CC4-5D6E-409C-BE32-E72D297353CC}">
                  <c16:uniqueId val="{0000000C-241E-4DFA-B464-B3A61725DE98}"/>
                </c:ext>
              </c:extLst>
            </c:dLbl>
            <c:dLbl>
              <c:idx val="13"/>
              <c:delete val="1"/>
              <c:extLst>
                <c:ext xmlns:c15="http://schemas.microsoft.com/office/drawing/2012/chart" uri="{CE6537A1-D6FC-4f65-9D91-7224C49458BB}"/>
                <c:ext xmlns:c16="http://schemas.microsoft.com/office/drawing/2014/chart" uri="{C3380CC4-5D6E-409C-BE32-E72D297353CC}">
                  <c16:uniqueId val="{0000000D-241E-4DFA-B464-B3A61725DE98}"/>
                </c:ext>
              </c:extLst>
            </c:dLbl>
            <c:dLbl>
              <c:idx val="14"/>
              <c:delete val="1"/>
              <c:extLst>
                <c:ext xmlns:c15="http://schemas.microsoft.com/office/drawing/2012/chart" uri="{CE6537A1-D6FC-4f65-9D91-7224C49458BB}"/>
                <c:ext xmlns:c16="http://schemas.microsoft.com/office/drawing/2014/chart" uri="{C3380CC4-5D6E-409C-BE32-E72D297353CC}">
                  <c16:uniqueId val="{0000000E-241E-4DFA-B464-B3A61725DE98}"/>
                </c:ext>
              </c:extLst>
            </c:dLbl>
            <c:dLbl>
              <c:idx val="15"/>
              <c:delete val="1"/>
              <c:extLst>
                <c:ext xmlns:c15="http://schemas.microsoft.com/office/drawing/2012/chart" uri="{CE6537A1-D6FC-4f65-9D91-7224C49458BB}"/>
                <c:ext xmlns:c16="http://schemas.microsoft.com/office/drawing/2014/chart" uri="{C3380CC4-5D6E-409C-BE32-E72D297353CC}">
                  <c16:uniqueId val="{0000000F-241E-4DFA-B464-B3A61725DE98}"/>
                </c:ext>
              </c:extLst>
            </c:dLbl>
            <c:dLbl>
              <c:idx val="16"/>
              <c:delete val="1"/>
              <c:extLst>
                <c:ext xmlns:c15="http://schemas.microsoft.com/office/drawing/2012/chart" uri="{CE6537A1-D6FC-4f65-9D91-7224C49458BB}"/>
                <c:ext xmlns:c16="http://schemas.microsoft.com/office/drawing/2014/chart" uri="{C3380CC4-5D6E-409C-BE32-E72D297353CC}">
                  <c16:uniqueId val="{00000010-241E-4DFA-B464-B3A61725DE98}"/>
                </c:ext>
              </c:extLst>
            </c:dLbl>
            <c:dLbl>
              <c:idx val="17"/>
              <c:delete val="1"/>
              <c:extLst>
                <c:ext xmlns:c15="http://schemas.microsoft.com/office/drawing/2012/chart" uri="{CE6537A1-D6FC-4f65-9D91-7224C49458BB}"/>
                <c:ext xmlns:c16="http://schemas.microsoft.com/office/drawing/2014/chart" uri="{C3380CC4-5D6E-409C-BE32-E72D297353CC}">
                  <c16:uniqueId val="{00000011-241E-4DFA-B464-B3A61725DE98}"/>
                </c:ext>
              </c:extLst>
            </c:dLbl>
            <c:dLbl>
              <c:idx val="18"/>
              <c:delete val="1"/>
              <c:extLst>
                <c:ext xmlns:c15="http://schemas.microsoft.com/office/drawing/2012/chart" uri="{CE6537A1-D6FC-4f65-9D91-7224C49458BB}"/>
                <c:ext xmlns:c16="http://schemas.microsoft.com/office/drawing/2014/chart" uri="{C3380CC4-5D6E-409C-BE32-E72D297353CC}">
                  <c16:uniqueId val="{00000012-241E-4DFA-B464-B3A61725DE98}"/>
                </c:ext>
              </c:extLst>
            </c:dLbl>
            <c:dLbl>
              <c:idx val="19"/>
              <c:delete val="1"/>
              <c:extLst>
                <c:ext xmlns:c15="http://schemas.microsoft.com/office/drawing/2012/chart" uri="{CE6537A1-D6FC-4f65-9D91-7224C49458BB}"/>
                <c:ext xmlns:c16="http://schemas.microsoft.com/office/drawing/2014/chart" uri="{C3380CC4-5D6E-409C-BE32-E72D297353CC}">
                  <c16:uniqueId val="{00000013-241E-4DFA-B464-B3A61725DE98}"/>
                </c:ext>
              </c:extLst>
            </c:dLbl>
            <c:dLbl>
              <c:idx val="20"/>
              <c:delete val="1"/>
              <c:extLst>
                <c:ext xmlns:c15="http://schemas.microsoft.com/office/drawing/2012/chart" uri="{CE6537A1-D6FC-4f65-9D91-7224C49458BB}"/>
                <c:ext xmlns:c16="http://schemas.microsoft.com/office/drawing/2014/chart" uri="{C3380CC4-5D6E-409C-BE32-E72D297353CC}">
                  <c16:uniqueId val="{00000014-241E-4DFA-B464-B3A61725DE98}"/>
                </c:ext>
              </c:extLst>
            </c:dLbl>
            <c:dLbl>
              <c:idx val="21"/>
              <c:delete val="1"/>
              <c:extLst>
                <c:ext xmlns:c15="http://schemas.microsoft.com/office/drawing/2012/chart" uri="{CE6537A1-D6FC-4f65-9D91-7224C49458BB}"/>
                <c:ext xmlns:c16="http://schemas.microsoft.com/office/drawing/2014/chart" uri="{C3380CC4-5D6E-409C-BE32-E72D297353CC}">
                  <c16:uniqueId val="{00000015-241E-4DFA-B464-B3A61725DE98}"/>
                </c:ext>
              </c:extLst>
            </c:dLbl>
            <c:dLbl>
              <c:idx val="22"/>
              <c:delete val="1"/>
              <c:extLst>
                <c:ext xmlns:c15="http://schemas.microsoft.com/office/drawing/2012/chart" uri="{CE6537A1-D6FC-4f65-9D91-7224C49458BB}"/>
                <c:ext xmlns:c16="http://schemas.microsoft.com/office/drawing/2014/chart" uri="{C3380CC4-5D6E-409C-BE32-E72D297353CC}">
                  <c16:uniqueId val="{00000016-241E-4DFA-B464-B3A61725DE98}"/>
                </c:ext>
              </c:extLst>
            </c:dLbl>
            <c:dLbl>
              <c:idx val="23"/>
              <c:delete val="1"/>
              <c:extLst>
                <c:ext xmlns:c15="http://schemas.microsoft.com/office/drawing/2012/chart" uri="{CE6537A1-D6FC-4f65-9D91-7224C49458BB}"/>
                <c:ext xmlns:c16="http://schemas.microsoft.com/office/drawing/2014/chart" uri="{C3380CC4-5D6E-409C-BE32-E72D297353CC}">
                  <c16:uniqueId val="{00000017-241E-4DFA-B464-B3A61725DE98}"/>
                </c:ext>
              </c:extLst>
            </c:dLbl>
            <c:dLbl>
              <c:idx val="24"/>
              <c:delete val="1"/>
              <c:extLst>
                <c:ext xmlns:c15="http://schemas.microsoft.com/office/drawing/2012/chart" uri="{CE6537A1-D6FC-4f65-9D91-7224C49458BB}"/>
                <c:ext xmlns:c16="http://schemas.microsoft.com/office/drawing/2014/chart" uri="{C3380CC4-5D6E-409C-BE32-E72D297353CC}">
                  <c16:uniqueId val="{00000018-241E-4DFA-B464-B3A61725DE98}"/>
                </c:ext>
              </c:extLst>
            </c:dLbl>
            <c:dLbl>
              <c:idx val="25"/>
              <c:delete val="1"/>
              <c:extLst>
                <c:ext xmlns:c15="http://schemas.microsoft.com/office/drawing/2012/chart" uri="{CE6537A1-D6FC-4f65-9D91-7224C49458BB}"/>
                <c:ext xmlns:c16="http://schemas.microsoft.com/office/drawing/2014/chart" uri="{C3380CC4-5D6E-409C-BE32-E72D297353CC}">
                  <c16:uniqueId val="{00000019-241E-4DFA-B464-B3A61725DE98}"/>
                </c:ext>
              </c:extLst>
            </c:dLbl>
            <c:dLbl>
              <c:idx val="26"/>
              <c:delete val="1"/>
              <c:extLst>
                <c:ext xmlns:c15="http://schemas.microsoft.com/office/drawing/2012/chart" uri="{CE6537A1-D6FC-4f65-9D91-7224C49458BB}"/>
                <c:ext xmlns:c16="http://schemas.microsoft.com/office/drawing/2014/chart" uri="{C3380CC4-5D6E-409C-BE32-E72D297353CC}">
                  <c16:uniqueId val="{0000001A-241E-4DFA-B464-B3A61725DE98}"/>
                </c:ext>
              </c:extLst>
            </c:dLbl>
            <c:dLbl>
              <c:idx val="27"/>
              <c:delete val="1"/>
              <c:extLst>
                <c:ext xmlns:c15="http://schemas.microsoft.com/office/drawing/2012/chart" uri="{CE6537A1-D6FC-4f65-9D91-7224C49458BB}"/>
                <c:ext xmlns:c16="http://schemas.microsoft.com/office/drawing/2014/chart" uri="{C3380CC4-5D6E-409C-BE32-E72D297353CC}">
                  <c16:uniqueId val="{0000001B-241E-4DFA-B464-B3A61725DE98}"/>
                </c:ext>
              </c:extLst>
            </c:dLbl>
            <c:dLbl>
              <c:idx val="28"/>
              <c:layout>
                <c:manualLayout>
                  <c:x val="-3.2108620188958319E-2"/>
                  <c:y val="0.106277814979872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41E-4DFA-B464-B3A61725DE98}"/>
                </c:ext>
              </c:extLst>
            </c:dLbl>
            <c:dLbl>
              <c:idx val="29"/>
              <c:layout>
                <c:manualLayout>
                  <c:x val="-3.7841469415023678E-2"/>
                  <c:y val="-0.140119611148313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41E-4DFA-B464-B3A61725DE98}"/>
                </c:ext>
              </c:extLst>
            </c:dLbl>
            <c:dLbl>
              <c:idx val="30"/>
              <c:layout>
                <c:manualLayout>
                  <c:x val="-3.4465257579473829E-2"/>
                  <c:y val="0.132014685847553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41E-4DFA-B464-B3A61725DE98}"/>
                </c:ext>
              </c:extLst>
            </c:dLbl>
            <c:dLbl>
              <c:idx val="31"/>
              <c:layout>
                <c:manualLayout>
                  <c:x val="-2.1534146565331157E-2"/>
                  <c:y val="-0.131098128862924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41E-4DFA-B464-B3A61725DE9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AF272F"/>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C00000"/>
                </a:solidFill>
                <a:prstDash val="sysDot"/>
              </a:ln>
              <a:effectLst/>
            </c:spPr>
            <c:trendlineType val="linear"/>
            <c:dispRSqr val="0"/>
            <c:dispEq val="0"/>
          </c:trendline>
          <c:cat>
            <c:multiLvlStrRef>
              <c:f>'Loss Rate'!$A$2:$B$33</c:f>
              <c:multiLvlStrCache>
                <c:ptCount val="32"/>
                <c:lvl>
                  <c:pt idx="0">
                    <c:v>Nov</c:v>
                  </c:pt>
                  <c:pt idx="1">
                    <c:v>Dec</c:v>
                  </c:pt>
                  <c:pt idx="2">
                    <c:v>Jan</c:v>
                  </c:pt>
                  <c:pt idx="3">
                    <c:v>Feb</c:v>
                  </c:pt>
                  <c:pt idx="4">
                    <c:v>Nov</c:v>
                  </c:pt>
                  <c:pt idx="5">
                    <c:v>Dec</c:v>
                  </c:pt>
                  <c:pt idx="6">
                    <c:v>Jan</c:v>
                  </c:pt>
                  <c:pt idx="7">
                    <c:v>Feb</c:v>
                  </c:pt>
                  <c:pt idx="8">
                    <c:v>Nov</c:v>
                  </c:pt>
                  <c:pt idx="9">
                    <c:v>Dec</c:v>
                  </c:pt>
                  <c:pt idx="10">
                    <c:v>Jan</c:v>
                  </c:pt>
                  <c:pt idx="11">
                    <c:v>Feb</c:v>
                  </c:pt>
                  <c:pt idx="12">
                    <c:v>Nov</c:v>
                  </c:pt>
                  <c:pt idx="13">
                    <c:v>Dec</c:v>
                  </c:pt>
                  <c:pt idx="14">
                    <c:v>Jan</c:v>
                  </c:pt>
                  <c:pt idx="15">
                    <c:v>Feb</c:v>
                  </c:pt>
                  <c:pt idx="16">
                    <c:v>Nov</c:v>
                  </c:pt>
                  <c:pt idx="17">
                    <c:v>Dec</c:v>
                  </c:pt>
                  <c:pt idx="18">
                    <c:v>Jan</c:v>
                  </c:pt>
                  <c:pt idx="19">
                    <c:v>Feb</c:v>
                  </c:pt>
                  <c:pt idx="20">
                    <c:v>Nov</c:v>
                  </c:pt>
                  <c:pt idx="21">
                    <c:v>Dec</c:v>
                  </c:pt>
                  <c:pt idx="22">
                    <c:v>Jan</c:v>
                  </c:pt>
                  <c:pt idx="23">
                    <c:v>Feb</c:v>
                  </c:pt>
                  <c:pt idx="24">
                    <c:v>Nov</c:v>
                  </c:pt>
                  <c:pt idx="25">
                    <c:v>Dec</c:v>
                  </c:pt>
                  <c:pt idx="26">
                    <c:v>Jan</c:v>
                  </c:pt>
                  <c:pt idx="27">
                    <c:v>Feb</c:v>
                  </c:pt>
                  <c:pt idx="28">
                    <c:v>Nov</c:v>
                  </c:pt>
                  <c:pt idx="29">
                    <c:v>Dec</c:v>
                  </c:pt>
                  <c:pt idx="30">
                    <c:v>Jan</c:v>
                  </c:pt>
                  <c:pt idx="31">
                    <c:v>Feb</c:v>
                  </c:pt>
                </c:lvl>
                <c:lvl>
                  <c:pt idx="0">
                    <c:v>2014-15</c:v>
                  </c:pt>
                  <c:pt idx="4">
                    <c:v>2015-16</c:v>
                  </c:pt>
                  <c:pt idx="8">
                    <c:v>2016-17</c:v>
                  </c:pt>
                  <c:pt idx="12">
                    <c:v>2017-18</c:v>
                  </c:pt>
                  <c:pt idx="16">
                    <c:v>2018-19</c:v>
                  </c:pt>
                  <c:pt idx="20">
                    <c:v>2019-20</c:v>
                  </c:pt>
                  <c:pt idx="24">
                    <c:v>2020-21</c:v>
                  </c:pt>
                  <c:pt idx="28">
                    <c:v>2021-22</c:v>
                  </c:pt>
                </c:lvl>
              </c:multiLvlStrCache>
            </c:multiLvlStrRef>
          </c:cat>
          <c:val>
            <c:numRef>
              <c:f>'Loss Rate'!$C$2:$C$33</c:f>
              <c:numCache>
                <c:formatCode>0.0%</c:formatCode>
                <c:ptCount val="32"/>
                <c:pt idx="0">
                  <c:v>4.2999999999999997E-2</c:v>
                </c:pt>
                <c:pt idx="1">
                  <c:v>4.9000000000000002E-2</c:v>
                </c:pt>
                <c:pt idx="2">
                  <c:v>5.5E-2</c:v>
                </c:pt>
                <c:pt idx="3">
                  <c:v>4.8000000000000001E-2</c:v>
                </c:pt>
                <c:pt idx="4">
                  <c:v>3.5000000000000003E-2</c:v>
                </c:pt>
                <c:pt idx="5">
                  <c:v>3.5000000000000003E-2</c:v>
                </c:pt>
                <c:pt idx="6">
                  <c:v>4.1000000000000002E-2</c:v>
                </c:pt>
                <c:pt idx="7">
                  <c:v>3.5999999999999997E-2</c:v>
                </c:pt>
                <c:pt idx="8">
                  <c:v>1.9E-2</c:v>
                </c:pt>
                <c:pt idx="9">
                  <c:v>2.1000000000000001E-2</c:v>
                </c:pt>
                <c:pt idx="10">
                  <c:v>1.7999999999999999E-2</c:v>
                </c:pt>
                <c:pt idx="11">
                  <c:v>2.1999999999999999E-2</c:v>
                </c:pt>
                <c:pt idx="12">
                  <c:v>2.1000000000000001E-2</c:v>
                </c:pt>
                <c:pt idx="13">
                  <c:v>2.1999999999999999E-2</c:v>
                </c:pt>
                <c:pt idx="14">
                  <c:v>2.1000000000000001E-2</c:v>
                </c:pt>
                <c:pt idx="15">
                  <c:v>1.7000000000000001E-2</c:v>
                </c:pt>
                <c:pt idx="16">
                  <c:v>1.7999999999999999E-2</c:v>
                </c:pt>
                <c:pt idx="17">
                  <c:v>1.9E-2</c:v>
                </c:pt>
                <c:pt idx="18">
                  <c:v>0.02</c:v>
                </c:pt>
                <c:pt idx="19">
                  <c:v>1.9E-2</c:v>
                </c:pt>
                <c:pt idx="20">
                  <c:v>2.1000000000000001E-2</c:v>
                </c:pt>
                <c:pt idx="21">
                  <c:v>1.6E-2</c:v>
                </c:pt>
                <c:pt idx="22">
                  <c:v>2.1999999999999999E-2</c:v>
                </c:pt>
                <c:pt idx="23">
                  <c:v>0.02</c:v>
                </c:pt>
                <c:pt idx="24">
                  <c:v>1.4E-2</c:v>
                </c:pt>
                <c:pt idx="25">
                  <c:v>1.4E-2</c:v>
                </c:pt>
                <c:pt idx="26">
                  <c:v>1.7000000000000001E-2</c:v>
                </c:pt>
                <c:pt idx="27">
                  <c:v>1.4999999999999999E-2</c:v>
                </c:pt>
                <c:pt idx="28">
                  <c:v>1.32E-2</c:v>
                </c:pt>
                <c:pt idx="29">
                  <c:v>1.2E-2</c:v>
                </c:pt>
                <c:pt idx="30">
                  <c:v>1.6E-2</c:v>
                </c:pt>
                <c:pt idx="31">
                  <c:v>1.2E-2</c:v>
                </c:pt>
              </c:numCache>
            </c:numRef>
          </c:val>
          <c:smooth val="0"/>
          <c:extLst>
            <c:ext xmlns:c16="http://schemas.microsoft.com/office/drawing/2014/chart" uri="{C3380CC4-5D6E-409C-BE32-E72D297353CC}">
              <c16:uniqueId val="{00000021-241E-4DFA-B464-B3A61725DE98}"/>
            </c:ext>
          </c:extLst>
        </c:ser>
        <c:ser>
          <c:idx val="1"/>
          <c:order val="1"/>
          <c:tx>
            <c:strRef>
              <c:f>'Loss Rate'!$D$1</c:f>
              <c:strCache>
                <c:ptCount val="1"/>
                <c:pt idx="0">
                  <c:v>National RBC waste</c:v>
                </c:pt>
              </c:strCache>
            </c:strRef>
          </c:tx>
          <c:spPr>
            <a:ln w="28575" cap="rnd">
              <a:solidFill>
                <a:srgbClr val="0070C0"/>
              </a:solidFill>
              <a:round/>
            </a:ln>
            <a:effectLst/>
          </c:spPr>
          <c:marker>
            <c:symbol val="none"/>
          </c:marker>
          <c:cat>
            <c:multiLvlStrRef>
              <c:f>'Loss Rate'!$A$2:$B$33</c:f>
              <c:multiLvlStrCache>
                <c:ptCount val="32"/>
                <c:lvl>
                  <c:pt idx="0">
                    <c:v>Nov</c:v>
                  </c:pt>
                  <c:pt idx="1">
                    <c:v>Dec</c:v>
                  </c:pt>
                  <c:pt idx="2">
                    <c:v>Jan</c:v>
                  </c:pt>
                  <c:pt idx="3">
                    <c:v>Feb</c:v>
                  </c:pt>
                  <c:pt idx="4">
                    <c:v>Nov</c:v>
                  </c:pt>
                  <c:pt idx="5">
                    <c:v>Dec</c:v>
                  </c:pt>
                  <c:pt idx="6">
                    <c:v>Jan</c:v>
                  </c:pt>
                  <c:pt idx="7">
                    <c:v>Feb</c:v>
                  </c:pt>
                  <c:pt idx="8">
                    <c:v>Nov</c:v>
                  </c:pt>
                  <c:pt idx="9">
                    <c:v>Dec</c:v>
                  </c:pt>
                  <c:pt idx="10">
                    <c:v>Jan</c:v>
                  </c:pt>
                  <c:pt idx="11">
                    <c:v>Feb</c:v>
                  </c:pt>
                  <c:pt idx="12">
                    <c:v>Nov</c:v>
                  </c:pt>
                  <c:pt idx="13">
                    <c:v>Dec</c:v>
                  </c:pt>
                  <c:pt idx="14">
                    <c:v>Jan</c:v>
                  </c:pt>
                  <c:pt idx="15">
                    <c:v>Feb</c:v>
                  </c:pt>
                  <c:pt idx="16">
                    <c:v>Nov</c:v>
                  </c:pt>
                  <c:pt idx="17">
                    <c:v>Dec</c:v>
                  </c:pt>
                  <c:pt idx="18">
                    <c:v>Jan</c:v>
                  </c:pt>
                  <c:pt idx="19">
                    <c:v>Feb</c:v>
                  </c:pt>
                  <c:pt idx="20">
                    <c:v>Nov</c:v>
                  </c:pt>
                  <c:pt idx="21">
                    <c:v>Dec</c:v>
                  </c:pt>
                  <c:pt idx="22">
                    <c:v>Jan</c:v>
                  </c:pt>
                  <c:pt idx="23">
                    <c:v>Feb</c:v>
                  </c:pt>
                  <c:pt idx="24">
                    <c:v>Nov</c:v>
                  </c:pt>
                  <c:pt idx="25">
                    <c:v>Dec</c:v>
                  </c:pt>
                  <c:pt idx="26">
                    <c:v>Jan</c:v>
                  </c:pt>
                  <c:pt idx="27">
                    <c:v>Feb</c:v>
                  </c:pt>
                  <c:pt idx="28">
                    <c:v>Nov</c:v>
                  </c:pt>
                  <c:pt idx="29">
                    <c:v>Dec</c:v>
                  </c:pt>
                  <c:pt idx="30">
                    <c:v>Jan</c:v>
                  </c:pt>
                  <c:pt idx="31">
                    <c:v>Feb</c:v>
                  </c:pt>
                </c:lvl>
                <c:lvl>
                  <c:pt idx="0">
                    <c:v>2014-15</c:v>
                  </c:pt>
                  <c:pt idx="4">
                    <c:v>2015-16</c:v>
                  </c:pt>
                  <c:pt idx="8">
                    <c:v>2016-17</c:v>
                  </c:pt>
                  <c:pt idx="12">
                    <c:v>2017-18</c:v>
                  </c:pt>
                  <c:pt idx="16">
                    <c:v>2018-19</c:v>
                  </c:pt>
                  <c:pt idx="20">
                    <c:v>2019-20</c:v>
                  </c:pt>
                  <c:pt idx="24">
                    <c:v>2020-21</c:v>
                  </c:pt>
                  <c:pt idx="28">
                    <c:v>2021-22</c:v>
                  </c:pt>
                </c:lvl>
              </c:multiLvlStrCache>
            </c:multiLvlStrRef>
          </c:cat>
          <c:val>
            <c:numRef>
              <c:f>'Loss Rate'!$D$2:$D$33</c:f>
              <c:numCache>
                <c:formatCode>0.0%</c:formatCode>
                <c:ptCount val="32"/>
                <c:pt idx="0">
                  <c:v>3.9E-2</c:v>
                </c:pt>
                <c:pt idx="1">
                  <c:v>4.3999999999999997E-2</c:v>
                </c:pt>
                <c:pt idx="2">
                  <c:v>5.0999999999999997E-2</c:v>
                </c:pt>
                <c:pt idx="3">
                  <c:v>4.1000000000000002E-2</c:v>
                </c:pt>
                <c:pt idx="4">
                  <c:v>2.9000000000000001E-2</c:v>
                </c:pt>
                <c:pt idx="5">
                  <c:v>0.03</c:v>
                </c:pt>
                <c:pt idx="6">
                  <c:v>3.6999999999999998E-2</c:v>
                </c:pt>
                <c:pt idx="7">
                  <c:v>0.03</c:v>
                </c:pt>
                <c:pt idx="8">
                  <c:v>2.4E-2</c:v>
                </c:pt>
                <c:pt idx="9">
                  <c:v>2.1999999999999999E-2</c:v>
                </c:pt>
                <c:pt idx="10">
                  <c:v>2.5999999999999999E-2</c:v>
                </c:pt>
                <c:pt idx="11">
                  <c:v>2.5000000000000001E-2</c:v>
                </c:pt>
                <c:pt idx="12">
                  <c:v>2.3E-2</c:v>
                </c:pt>
                <c:pt idx="13">
                  <c:v>2.4E-2</c:v>
                </c:pt>
                <c:pt idx="14">
                  <c:v>2.7E-2</c:v>
                </c:pt>
                <c:pt idx="15">
                  <c:v>2.5000000000000001E-2</c:v>
                </c:pt>
                <c:pt idx="16">
                  <c:v>2.1000000000000001E-2</c:v>
                </c:pt>
                <c:pt idx="17">
                  <c:v>2.1999999999999999E-2</c:v>
                </c:pt>
                <c:pt idx="18">
                  <c:v>2.3E-2</c:v>
                </c:pt>
                <c:pt idx="19">
                  <c:v>2.1999999999999999E-2</c:v>
                </c:pt>
                <c:pt idx="20">
                  <c:v>2.1000000000000001E-2</c:v>
                </c:pt>
                <c:pt idx="21">
                  <c:v>1.9E-2</c:v>
                </c:pt>
                <c:pt idx="22">
                  <c:v>2.5000000000000001E-2</c:v>
                </c:pt>
                <c:pt idx="23">
                  <c:v>2.1000000000000001E-2</c:v>
                </c:pt>
                <c:pt idx="24">
                  <c:v>1.6E-2</c:v>
                </c:pt>
                <c:pt idx="25">
                  <c:v>1.4999999999999999E-2</c:v>
                </c:pt>
                <c:pt idx="26">
                  <c:v>1.9E-2</c:v>
                </c:pt>
                <c:pt idx="27">
                  <c:v>1.7000000000000001E-2</c:v>
                </c:pt>
                <c:pt idx="28">
                  <c:v>1.7000000000000001E-2</c:v>
                </c:pt>
                <c:pt idx="29">
                  <c:v>1.7999999999999999E-2</c:v>
                </c:pt>
                <c:pt idx="30">
                  <c:v>0.02</c:v>
                </c:pt>
                <c:pt idx="31">
                  <c:v>1.6E-2</c:v>
                </c:pt>
              </c:numCache>
            </c:numRef>
          </c:val>
          <c:smooth val="0"/>
          <c:extLst>
            <c:ext xmlns:c16="http://schemas.microsoft.com/office/drawing/2014/chart" uri="{C3380CC4-5D6E-409C-BE32-E72D297353CC}">
              <c16:uniqueId val="{00000022-241E-4DFA-B464-B3A61725DE98}"/>
            </c:ext>
          </c:extLst>
        </c:ser>
        <c:dLbls>
          <c:showLegendKey val="0"/>
          <c:showVal val="0"/>
          <c:showCatName val="0"/>
          <c:showSerName val="0"/>
          <c:showPercent val="0"/>
          <c:showBubbleSize val="0"/>
        </c:dLbls>
        <c:smooth val="0"/>
        <c:axId val="1975862240"/>
        <c:axId val="1977442528"/>
      </c:lineChart>
      <c:catAx>
        <c:axId val="197586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77442528"/>
        <c:crosses val="autoZero"/>
        <c:auto val="1"/>
        <c:lblAlgn val="ctr"/>
        <c:lblOffset val="100"/>
        <c:noMultiLvlLbl val="0"/>
      </c:catAx>
      <c:valAx>
        <c:axId val="19774425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75862240"/>
        <c:crosses val="autoZero"/>
        <c:crossBetween val="between"/>
      </c:valAx>
      <c:spPr>
        <a:noFill/>
        <a:ln>
          <a:noFill/>
        </a:ln>
        <a:effectLst/>
      </c:spPr>
    </c:plotArea>
    <c:legend>
      <c:legendPos val="b"/>
      <c:layout>
        <c:manualLayout>
          <c:xMode val="edge"/>
          <c:yMode val="edge"/>
          <c:x val="0.16802477982990521"/>
          <c:y val="0.90591993121251913"/>
          <c:w val="0.6639503249606642"/>
          <c:h val="5.782504696738161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0.51059</cdr:x>
      <cdr:y>0.09737</cdr:y>
    </cdr:from>
    <cdr:to>
      <cdr:x>0.51147</cdr:x>
      <cdr:y>0.83747</cdr:y>
    </cdr:to>
    <cdr:cxnSp macro="">
      <cdr:nvCxnSpPr>
        <cdr:cNvPr id="5" name="Straight Connector 4">
          <a:extLst xmlns:a="http://schemas.openxmlformats.org/drawingml/2006/main">
            <a:ext uri="{FF2B5EF4-FFF2-40B4-BE49-F238E27FC236}">
              <a16:creationId xmlns:a16="http://schemas.microsoft.com/office/drawing/2014/main" id="{9E8D7C3D-FBAC-4DE6-8F23-56C10BEA1C67}"/>
            </a:ext>
          </a:extLst>
        </cdr:cNvPr>
        <cdr:cNvCxnSpPr/>
      </cdr:nvCxnSpPr>
      <cdr:spPr>
        <a:xfrm xmlns:a="http://schemas.openxmlformats.org/drawingml/2006/main" flipH="1">
          <a:off x="4425351" y="341085"/>
          <a:ext cx="7627" cy="2592543"/>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0.39789</cdr:x>
      <cdr:y>0.09496</cdr:y>
    </cdr:from>
    <cdr:to>
      <cdr:x>0.39877</cdr:x>
      <cdr:y>0.83507</cdr:y>
    </cdr:to>
    <cdr:cxnSp macro="">
      <cdr:nvCxnSpPr>
        <cdr:cNvPr id="6" name="Straight Connector 5">
          <a:extLst xmlns:a="http://schemas.openxmlformats.org/drawingml/2006/main">
            <a:ext uri="{FF2B5EF4-FFF2-40B4-BE49-F238E27FC236}">
              <a16:creationId xmlns:a16="http://schemas.microsoft.com/office/drawing/2014/main" id="{52F23008-0F2A-4D55-83CA-FDDAE04BAE8F}"/>
            </a:ext>
          </a:extLst>
        </cdr:cNvPr>
        <cdr:cNvCxnSpPr/>
      </cdr:nvCxnSpPr>
      <cdr:spPr>
        <a:xfrm xmlns:a="http://schemas.openxmlformats.org/drawingml/2006/main" flipH="1">
          <a:off x="3448498" y="332641"/>
          <a:ext cx="7627" cy="2592578"/>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0.63037</cdr:x>
      <cdr:y>0.09386</cdr:y>
    </cdr:from>
    <cdr:to>
      <cdr:x>0.63125</cdr:x>
      <cdr:y>0.83396</cdr:y>
    </cdr:to>
    <cdr:cxnSp macro="">
      <cdr:nvCxnSpPr>
        <cdr:cNvPr id="7" name="Straight Connector 6">
          <a:extLst xmlns:a="http://schemas.openxmlformats.org/drawingml/2006/main">
            <a:ext uri="{FF2B5EF4-FFF2-40B4-BE49-F238E27FC236}">
              <a16:creationId xmlns:a16="http://schemas.microsoft.com/office/drawing/2014/main" id="{52F23008-0F2A-4D55-83CA-FDDAE04BAE8F}"/>
            </a:ext>
          </a:extLst>
        </cdr:cNvPr>
        <cdr:cNvCxnSpPr/>
      </cdr:nvCxnSpPr>
      <cdr:spPr>
        <a:xfrm xmlns:a="http://schemas.openxmlformats.org/drawingml/2006/main" flipH="1">
          <a:off x="5463412" y="328779"/>
          <a:ext cx="7627" cy="2592543"/>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0.74618</cdr:x>
      <cdr:y>0.09624</cdr:y>
    </cdr:from>
    <cdr:to>
      <cdr:x>0.74706</cdr:x>
      <cdr:y>0.83634</cdr:y>
    </cdr:to>
    <cdr:cxnSp macro="">
      <cdr:nvCxnSpPr>
        <cdr:cNvPr id="8" name="Straight Connector 7">
          <a:extLst xmlns:a="http://schemas.openxmlformats.org/drawingml/2006/main">
            <a:ext uri="{FF2B5EF4-FFF2-40B4-BE49-F238E27FC236}">
              <a16:creationId xmlns:a16="http://schemas.microsoft.com/office/drawing/2014/main" id="{52F23008-0F2A-4D55-83CA-FDDAE04BAE8F}"/>
            </a:ext>
          </a:extLst>
        </cdr:cNvPr>
        <cdr:cNvCxnSpPr/>
      </cdr:nvCxnSpPr>
      <cdr:spPr>
        <a:xfrm xmlns:a="http://schemas.openxmlformats.org/drawingml/2006/main" flipH="1">
          <a:off x="6467143" y="337125"/>
          <a:ext cx="7627" cy="2592543"/>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0.86199</cdr:x>
      <cdr:y>0.09735</cdr:y>
    </cdr:from>
    <cdr:to>
      <cdr:x>0.86287</cdr:x>
      <cdr:y>0.83745</cdr:y>
    </cdr:to>
    <cdr:cxnSp macro="">
      <cdr:nvCxnSpPr>
        <cdr:cNvPr id="9" name="Straight Connector 8">
          <a:extLst xmlns:a="http://schemas.openxmlformats.org/drawingml/2006/main">
            <a:ext uri="{FF2B5EF4-FFF2-40B4-BE49-F238E27FC236}">
              <a16:creationId xmlns:a16="http://schemas.microsoft.com/office/drawing/2014/main" id="{52F23008-0F2A-4D55-83CA-FDDAE04BAE8F}"/>
            </a:ext>
          </a:extLst>
        </cdr:cNvPr>
        <cdr:cNvCxnSpPr/>
      </cdr:nvCxnSpPr>
      <cdr:spPr>
        <a:xfrm xmlns:a="http://schemas.openxmlformats.org/drawingml/2006/main" flipH="1">
          <a:off x="7470921" y="341023"/>
          <a:ext cx="7627" cy="2592543"/>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0.97768</cdr:x>
      <cdr:y>0.09496</cdr:y>
    </cdr:from>
    <cdr:to>
      <cdr:x>0.97857</cdr:x>
      <cdr:y>0.83507</cdr:y>
    </cdr:to>
    <cdr:cxnSp macro="">
      <cdr:nvCxnSpPr>
        <cdr:cNvPr id="10" name="Straight Connector 9">
          <a:extLst xmlns:a="http://schemas.openxmlformats.org/drawingml/2006/main">
            <a:ext uri="{FF2B5EF4-FFF2-40B4-BE49-F238E27FC236}">
              <a16:creationId xmlns:a16="http://schemas.microsoft.com/office/drawing/2014/main" id="{52F23008-0F2A-4D55-83CA-FDDAE04BAE8F}"/>
            </a:ext>
          </a:extLst>
        </cdr:cNvPr>
        <cdr:cNvCxnSpPr/>
      </cdr:nvCxnSpPr>
      <cdr:spPr>
        <a:xfrm xmlns:a="http://schemas.openxmlformats.org/drawingml/2006/main" flipH="1">
          <a:off x="8473565" y="332641"/>
          <a:ext cx="7714" cy="2592578"/>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0.16788</cdr:x>
      <cdr:y>0.0949</cdr:y>
    </cdr:from>
    <cdr:to>
      <cdr:x>0.16876</cdr:x>
      <cdr:y>0.83501</cdr:y>
    </cdr:to>
    <cdr:cxnSp macro="">
      <cdr:nvCxnSpPr>
        <cdr:cNvPr id="11" name="Straight Connector 10">
          <a:extLst xmlns:a="http://schemas.openxmlformats.org/drawingml/2006/main">
            <a:ext uri="{FF2B5EF4-FFF2-40B4-BE49-F238E27FC236}">
              <a16:creationId xmlns:a16="http://schemas.microsoft.com/office/drawing/2014/main" id="{D6575ED3-20D7-4C27-9146-135C68386F36}"/>
            </a:ext>
          </a:extLst>
        </cdr:cNvPr>
        <cdr:cNvCxnSpPr/>
      </cdr:nvCxnSpPr>
      <cdr:spPr>
        <a:xfrm xmlns:a="http://schemas.openxmlformats.org/drawingml/2006/main" flipH="1">
          <a:off x="1455035" y="332441"/>
          <a:ext cx="7627" cy="2592578"/>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0.28223</cdr:x>
      <cdr:y>0.09463</cdr:y>
    </cdr:from>
    <cdr:to>
      <cdr:x>0.28311</cdr:x>
      <cdr:y>0.83474</cdr:y>
    </cdr:to>
    <cdr:cxnSp macro="">
      <cdr:nvCxnSpPr>
        <cdr:cNvPr id="13" name="Straight Connector 12">
          <a:extLst xmlns:a="http://schemas.openxmlformats.org/drawingml/2006/main">
            <a:ext uri="{FF2B5EF4-FFF2-40B4-BE49-F238E27FC236}">
              <a16:creationId xmlns:a16="http://schemas.microsoft.com/office/drawing/2014/main" id="{EA7F938C-BC5D-4958-85EF-CF34A8417D02}"/>
            </a:ext>
          </a:extLst>
        </cdr:cNvPr>
        <cdr:cNvCxnSpPr/>
      </cdr:nvCxnSpPr>
      <cdr:spPr>
        <a:xfrm xmlns:a="http://schemas.openxmlformats.org/drawingml/2006/main" flipH="1">
          <a:off x="2446115" y="331483"/>
          <a:ext cx="7627" cy="2592578"/>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Rae">
    <a:dk1>
      <a:sysClr val="windowText" lastClr="000000"/>
    </a:dk1>
    <a:lt1>
      <a:sysClr val="window" lastClr="FFFFFF"/>
    </a:lt1>
    <a:dk2>
      <a:srgbClr val="44546A"/>
    </a:dk2>
    <a:lt2>
      <a:srgbClr val="E7E6E6"/>
    </a:lt2>
    <a:accent1>
      <a:srgbClr val="4472C4"/>
    </a:accent1>
    <a:accent2>
      <a:srgbClr val="C00000"/>
    </a:accent2>
    <a:accent3>
      <a:srgbClr val="A5A5A5"/>
    </a:accent3>
    <a:accent4>
      <a:srgbClr val="FFC000"/>
    </a:accent4>
    <a:accent5>
      <a:srgbClr val="70AD47"/>
    </a:accent5>
    <a:accent6>
      <a:srgbClr val="ED7D31"/>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2BD63BA-B351-43B1-A975-E7FD9CE6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Blood Matters DH red factsheet</Template>
  <TotalTime>1</TotalTime>
  <Pages>4</Pages>
  <Words>1121</Words>
  <Characters>7323</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Blood Matters on the Bench and Beyond February 2022</vt:lpstr>
    </vt:vector>
  </TitlesOfParts>
  <Manager/>
  <Company>Victoria State Government, Department of Health, Blood Matters</Company>
  <LinksUpToDate>false</LinksUpToDate>
  <CharactersWithSpaces>8428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on the Bench and Beyond February 2022</dc:title>
  <dc:subject/>
  <dc:creator>Blood Matters (VIC)</dc:creator>
  <cp:keywords/>
  <dc:description/>
  <cp:lastModifiedBy>Rae French</cp:lastModifiedBy>
  <cp:revision>2</cp:revision>
  <cp:lastPrinted>2020-03-30T03:28:00Z</cp:lastPrinted>
  <dcterms:created xsi:type="dcterms:W3CDTF">2022-04-27T03:25:00Z</dcterms:created>
  <dcterms:modified xsi:type="dcterms:W3CDTF">2022-04-27T03:25:00Z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