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96BAE" w14:textId="77777777" w:rsidR="0074696E" w:rsidRPr="004C6EEE" w:rsidRDefault="0001677A" w:rsidP="00EC40D5">
      <w:pPr>
        <w:pStyle w:val="Sectionbreakfirstpage"/>
      </w:pPr>
      <w:r>
        <w:drawing>
          <wp:anchor distT="0" distB="0" distL="114300" distR="114300" simplePos="0" relativeHeight="251658240" behindDoc="1" locked="1" layoutInCell="1" allowOverlap="1" wp14:anchorId="7B0F22F9" wp14:editId="0EBDA5CB">
            <wp:simplePos x="0" y="0"/>
            <wp:positionH relativeFrom="page">
              <wp:align>left</wp:align>
            </wp:positionH>
            <wp:positionV relativeFrom="page">
              <wp:align>top</wp:align>
            </wp:positionV>
            <wp:extent cx="7559675" cy="1419225"/>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7560000" cy="14193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374C740"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2446E33B" w14:textId="77777777" w:rsidTr="00B07FF7">
        <w:trPr>
          <w:trHeight w:val="622"/>
        </w:trPr>
        <w:tc>
          <w:tcPr>
            <w:tcW w:w="10348" w:type="dxa"/>
            <w:tcMar>
              <w:top w:w="1531" w:type="dxa"/>
              <w:left w:w="0" w:type="dxa"/>
              <w:right w:w="0" w:type="dxa"/>
            </w:tcMar>
          </w:tcPr>
          <w:p w14:paraId="620CE8AB" w14:textId="62FDEB5E" w:rsidR="003B5733" w:rsidRPr="003B5733" w:rsidRDefault="005F6859" w:rsidP="003B5733">
            <w:pPr>
              <w:pStyle w:val="Documenttitle"/>
            </w:pPr>
            <w:r w:rsidRPr="005F6859">
              <w:t>Blood transfusion consent audit instructions</w:t>
            </w:r>
          </w:p>
        </w:tc>
      </w:tr>
      <w:tr w:rsidR="003B5733" w14:paraId="553F1C7A" w14:textId="77777777" w:rsidTr="00B07FF7">
        <w:tc>
          <w:tcPr>
            <w:tcW w:w="10348" w:type="dxa"/>
          </w:tcPr>
          <w:p w14:paraId="4E88129E" w14:textId="2CB93905" w:rsidR="003B5733" w:rsidRPr="00A1389F" w:rsidRDefault="003B5733" w:rsidP="005F44C0">
            <w:pPr>
              <w:pStyle w:val="Documentsubtitle"/>
            </w:pPr>
          </w:p>
        </w:tc>
      </w:tr>
      <w:tr w:rsidR="003B5733" w14:paraId="7ED82A5D" w14:textId="77777777" w:rsidTr="00B07FF7">
        <w:tc>
          <w:tcPr>
            <w:tcW w:w="10348" w:type="dxa"/>
          </w:tcPr>
          <w:p w14:paraId="71344F6E" w14:textId="77777777" w:rsidR="003B5733" w:rsidRPr="001E5058" w:rsidRDefault="00A371F9" w:rsidP="001E5058">
            <w:pPr>
              <w:pStyle w:val="Bannermarking"/>
            </w:pPr>
            <w:fldSimple w:instr=" FILLIN  &quot;Type the protective marking&quot; \d OFFICIAL \o  \* MERGEFORMAT ">
              <w:r w:rsidR="005C1E7F">
                <w:t>OFFICIAL</w:t>
              </w:r>
            </w:fldSimple>
          </w:p>
        </w:tc>
      </w:tr>
    </w:tbl>
    <w:p w14:paraId="664A959F" w14:textId="77777777" w:rsidR="005F6859" w:rsidRDefault="005F6859" w:rsidP="00D079AA">
      <w:pPr>
        <w:pStyle w:val="Body"/>
      </w:pPr>
    </w:p>
    <w:p w14:paraId="13F6B859" w14:textId="77777777" w:rsidR="005F6859" w:rsidRPr="005F6859" w:rsidRDefault="005F6859" w:rsidP="005F6859">
      <w:pPr>
        <w:pStyle w:val="Body"/>
        <w:rPr>
          <w:b/>
          <w:bCs/>
          <w:sz w:val="24"/>
          <w:szCs w:val="24"/>
        </w:rPr>
      </w:pPr>
      <w:r w:rsidRPr="005F6859">
        <w:rPr>
          <w:b/>
          <w:bCs/>
          <w:sz w:val="24"/>
          <w:szCs w:val="24"/>
        </w:rPr>
        <w:t xml:space="preserve">Background </w:t>
      </w:r>
    </w:p>
    <w:p w14:paraId="74D32E7E" w14:textId="77777777" w:rsidR="003264DB" w:rsidRDefault="005F6859" w:rsidP="005F6859">
      <w:pPr>
        <w:pStyle w:val="Body"/>
        <w:rPr>
          <w:sz w:val="22"/>
          <w:szCs w:val="22"/>
        </w:rPr>
      </w:pPr>
      <w:r w:rsidRPr="005F6859">
        <w:rPr>
          <w:sz w:val="22"/>
          <w:szCs w:val="22"/>
        </w:rPr>
        <w:t>The Blood Matters Program assists health services to ensure that blood components and products are administered to patients appropriately and safely. The Australian Commission on Safety and Quality in Healthcare (ACSQHC), National Safety and Quality Health Service (NSQS) Standards emphasise the need to partner with consumers</w:t>
      </w:r>
      <w:r w:rsidRPr="005F6859">
        <w:rPr>
          <w:sz w:val="22"/>
          <w:szCs w:val="22"/>
          <w:vertAlign w:val="superscript"/>
        </w:rPr>
        <w:t>1</w:t>
      </w:r>
      <w:r w:rsidRPr="005F6859">
        <w:rPr>
          <w:sz w:val="22"/>
          <w:szCs w:val="22"/>
        </w:rPr>
        <w:t>. Under the Blood Management standard this includes actively involving patients in their own care, meeting their information needs and shared decision making.</w:t>
      </w:r>
      <w:r w:rsidR="003264DB">
        <w:rPr>
          <w:sz w:val="22"/>
          <w:szCs w:val="22"/>
        </w:rPr>
        <w:t xml:space="preserve"> </w:t>
      </w:r>
    </w:p>
    <w:p w14:paraId="7B0AFB94" w14:textId="7310883B" w:rsidR="005F6859" w:rsidRPr="005F6859" w:rsidRDefault="003264DB" w:rsidP="005F6859">
      <w:pPr>
        <w:pStyle w:val="Body"/>
        <w:rPr>
          <w:sz w:val="22"/>
          <w:szCs w:val="22"/>
        </w:rPr>
      </w:pPr>
      <w:r>
        <w:rPr>
          <w:sz w:val="22"/>
          <w:szCs w:val="22"/>
        </w:rPr>
        <w:t>Blood stewardship principles include the requirement that informed patient consent is implemented for all patients</w:t>
      </w:r>
      <w:r w:rsidRPr="00091506">
        <w:rPr>
          <w:sz w:val="22"/>
          <w:szCs w:val="22"/>
          <w:vertAlign w:val="superscript"/>
        </w:rPr>
        <w:t>2</w:t>
      </w:r>
      <w:r>
        <w:rPr>
          <w:sz w:val="22"/>
          <w:szCs w:val="22"/>
        </w:rPr>
        <w:t>.</w:t>
      </w:r>
    </w:p>
    <w:p w14:paraId="6F626761" w14:textId="77777777" w:rsidR="005F6859" w:rsidRPr="005F6859" w:rsidRDefault="005F6859" w:rsidP="005F6859">
      <w:pPr>
        <w:pStyle w:val="Body"/>
        <w:rPr>
          <w:sz w:val="22"/>
          <w:szCs w:val="22"/>
        </w:rPr>
      </w:pPr>
      <w:r w:rsidRPr="005F6859">
        <w:rPr>
          <w:sz w:val="22"/>
          <w:szCs w:val="22"/>
        </w:rPr>
        <w:t xml:space="preserve">Blood component and product transfusions are not without risk. Patients should be informed of the potential risks, expected benefits and any available alternatives/strategies to reduce the need for transfusion. </w:t>
      </w:r>
    </w:p>
    <w:p w14:paraId="2D24F5F1" w14:textId="1385893C" w:rsidR="005F6859" w:rsidRPr="005F6859" w:rsidRDefault="005F6859" w:rsidP="005F6859">
      <w:pPr>
        <w:pStyle w:val="Body"/>
        <w:rPr>
          <w:sz w:val="22"/>
          <w:szCs w:val="22"/>
        </w:rPr>
      </w:pPr>
      <w:r w:rsidRPr="005F6859">
        <w:rPr>
          <w:sz w:val="22"/>
          <w:szCs w:val="22"/>
        </w:rPr>
        <w:t>Informed consent is the process by which the patient is provided with information, advice and warnings about the treatment, risks, benefits, and alternatives. The process involves a two-way conversation with the patient</w:t>
      </w:r>
      <w:r w:rsidR="006834D6">
        <w:rPr>
          <w:sz w:val="22"/>
          <w:szCs w:val="22"/>
        </w:rPr>
        <w:t xml:space="preserve">, carer and/or medical </w:t>
      </w:r>
      <w:r w:rsidR="00091506">
        <w:rPr>
          <w:sz w:val="22"/>
          <w:szCs w:val="22"/>
        </w:rPr>
        <w:t xml:space="preserve">treatment </w:t>
      </w:r>
      <w:r w:rsidR="006834D6">
        <w:rPr>
          <w:sz w:val="22"/>
          <w:szCs w:val="22"/>
        </w:rPr>
        <w:t>decision maker</w:t>
      </w:r>
      <w:r w:rsidRPr="005F6859">
        <w:rPr>
          <w:sz w:val="22"/>
          <w:szCs w:val="22"/>
        </w:rPr>
        <w:t xml:space="preserve"> that takes into consideration </w:t>
      </w:r>
      <w:r w:rsidR="006834D6">
        <w:rPr>
          <w:sz w:val="22"/>
          <w:szCs w:val="22"/>
        </w:rPr>
        <w:t>their</w:t>
      </w:r>
      <w:r w:rsidR="006834D6" w:rsidRPr="005F6859">
        <w:rPr>
          <w:sz w:val="22"/>
          <w:szCs w:val="22"/>
        </w:rPr>
        <w:t xml:space="preserve"> </w:t>
      </w:r>
      <w:r w:rsidRPr="005F6859">
        <w:rPr>
          <w:sz w:val="22"/>
          <w:szCs w:val="22"/>
        </w:rPr>
        <w:t xml:space="preserve">language and cognitive ability, giving them the opportunity to ask questions and make statements about what is important to them. Provision of written material is also recommended to supplement verbal </w:t>
      </w:r>
      <w:r w:rsidR="003264DB" w:rsidRPr="005F6859">
        <w:rPr>
          <w:sz w:val="22"/>
          <w:szCs w:val="22"/>
        </w:rPr>
        <w:t>information</w:t>
      </w:r>
      <w:r w:rsidR="003264DB">
        <w:rPr>
          <w:sz w:val="22"/>
          <w:szCs w:val="22"/>
          <w:vertAlign w:val="superscript"/>
        </w:rPr>
        <w:t>3</w:t>
      </w:r>
      <w:r w:rsidRPr="005F6859">
        <w:rPr>
          <w:sz w:val="22"/>
          <w:szCs w:val="22"/>
        </w:rPr>
        <w:t xml:space="preserve">. </w:t>
      </w:r>
    </w:p>
    <w:p w14:paraId="214DFD74" w14:textId="77777777" w:rsidR="005F6859" w:rsidRDefault="005F6859" w:rsidP="007173CA">
      <w:pPr>
        <w:pStyle w:val="Body"/>
      </w:pPr>
    </w:p>
    <w:p w14:paraId="4798C555" w14:textId="77777777" w:rsidR="005F6859" w:rsidRPr="005F6859" w:rsidRDefault="005F6859" w:rsidP="005F6859">
      <w:pPr>
        <w:pStyle w:val="Body"/>
        <w:rPr>
          <w:b/>
          <w:bCs/>
          <w:sz w:val="24"/>
          <w:szCs w:val="24"/>
        </w:rPr>
      </w:pPr>
      <w:r w:rsidRPr="005F6859">
        <w:rPr>
          <w:b/>
          <w:bCs/>
          <w:sz w:val="24"/>
          <w:szCs w:val="24"/>
        </w:rPr>
        <w:t>Aims:</w:t>
      </w:r>
    </w:p>
    <w:p w14:paraId="4AD735BB" w14:textId="77777777" w:rsidR="005F6859" w:rsidRPr="005F6859" w:rsidRDefault="005F6859" w:rsidP="005F6859">
      <w:pPr>
        <w:pStyle w:val="Body"/>
        <w:rPr>
          <w:sz w:val="22"/>
          <w:szCs w:val="22"/>
        </w:rPr>
      </w:pPr>
      <w:r w:rsidRPr="005F6859">
        <w:rPr>
          <w:sz w:val="22"/>
          <w:szCs w:val="22"/>
        </w:rPr>
        <w:t>The aims are to identify if health service blood transfusion consent policies are:</w:t>
      </w:r>
    </w:p>
    <w:p w14:paraId="3D351755" w14:textId="77777777" w:rsidR="005F6859" w:rsidRPr="005F6859" w:rsidRDefault="005F6859" w:rsidP="005F6859">
      <w:pPr>
        <w:pStyle w:val="Body"/>
        <w:numPr>
          <w:ilvl w:val="0"/>
          <w:numId w:val="40"/>
        </w:numPr>
        <w:rPr>
          <w:sz w:val="22"/>
          <w:szCs w:val="22"/>
        </w:rPr>
      </w:pPr>
      <w:r w:rsidRPr="005F6859">
        <w:rPr>
          <w:sz w:val="22"/>
          <w:szCs w:val="22"/>
        </w:rPr>
        <w:t>available, understood and practiced</w:t>
      </w:r>
    </w:p>
    <w:p w14:paraId="38CCEDE6" w14:textId="77777777" w:rsidR="005F6859" w:rsidRPr="005F6859" w:rsidRDefault="005F6859" w:rsidP="005F6859">
      <w:pPr>
        <w:pStyle w:val="Body"/>
        <w:numPr>
          <w:ilvl w:val="0"/>
          <w:numId w:val="40"/>
        </w:numPr>
        <w:rPr>
          <w:sz w:val="22"/>
          <w:szCs w:val="22"/>
        </w:rPr>
      </w:pPr>
      <w:r w:rsidRPr="005F6859">
        <w:rPr>
          <w:sz w:val="22"/>
          <w:szCs w:val="22"/>
        </w:rPr>
        <w:t xml:space="preserve">consistent with the </w:t>
      </w:r>
      <w:bookmarkStart w:id="0" w:name="_Hlk103768565"/>
      <w:r w:rsidRPr="005F6859">
        <w:rPr>
          <w:sz w:val="22"/>
          <w:szCs w:val="22"/>
        </w:rPr>
        <w:t>Australian and New Zealand Society of Blood Transfusion (ANZSBT)/Australian College of Nursing (ACN) Guidelines for the administration of blood products 3</w:t>
      </w:r>
      <w:r w:rsidRPr="005F6859">
        <w:rPr>
          <w:sz w:val="22"/>
          <w:szCs w:val="22"/>
          <w:vertAlign w:val="superscript"/>
        </w:rPr>
        <w:t>rd</w:t>
      </w:r>
      <w:r w:rsidRPr="005F6859">
        <w:rPr>
          <w:sz w:val="22"/>
          <w:szCs w:val="22"/>
        </w:rPr>
        <w:t xml:space="preserve"> edition (2019)</w:t>
      </w:r>
      <w:bookmarkEnd w:id="0"/>
      <w:r w:rsidRPr="005F6859">
        <w:rPr>
          <w:sz w:val="22"/>
          <w:szCs w:val="22"/>
        </w:rPr>
        <w:t>.</w:t>
      </w:r>
    </w:p>
    <w:p w14:paraId="28CF581D" w14:textId="77777777" w:rsidR="005F6859" w:rsidRPr="005F6859" w:rsidRDefault="005F6859" w:rsidP="005F6859">
      <w:pPr>
        <w:pStyle w:val="Body"/>
        <w:rPr>
          <w:sz w:val="22"/>
          <w:szCs w:val="22"/>
        </w:rPr>
      </w:pPr>
      <w:r w:rsidRPr="005F6859">
        <w:rPr>
          <w:sz w:val="22"/>
          <w:szCs w:val="22"/>
        </w:rPr>
        <w:t xml:space="preserve">The blood transfusion consent policy document and subsequent practices should facilitate meeting the NSQS Standard for accreditation against action 7.03 of the Blood Management Standard.  </w:t>
      </w:r>
    </w:p>
    <w:p w14:paraId="4D626A3D" w14:textId="5E55EC10" w:rsidR="005F6859" w:rsidRPr="00B519CD" w:rsidRDefault="005F6859" w:rsidP="007173CA">
      <w:pPr>
        <w:pStyle w:val="Body"/>
        <w:sectPr w:rsidR="005F6859" w:rsidRPr="00B519CD" w:rsidSect="00E62622">
          <w:headerReference w:type="default" r:id="rId15"/>
          <w:type w:val="continuous"/>
          <w:pgSz w:w="11906" w:h="16838" w:code="9"/>
          <w:pgMar w:top="1418" w:right="851" w:bottom="1418" w:left="851" w:header="851" w:footer="851" w:gutter="0"/>
          <w:cols w:space="340"/>
          <w:titlePg/>
          <w:docGrid w:linePitch="360"/>
        </w:sectPr>
      </w:pPr>
    </w:p>
    <w:p w14:paraId="53928698" w14:textId="596AA81A" w:rsidR="00F32368" w:rsidRDefault="00F32368" w:rsidP="00F32368">
      <w:pPr>
        <w:pStyle w:val="Body"/>
      </w:pPr>
      <w:bookmarkStart w:id="1" w:name="_Hlk41913885"/>
    </w:p>
    <w:p w14:paraId="6E178F7F" w14:textId="77777777" w:rsidR="005F6859" w:rsidRPr="005F6859" w:rsidRDefault="005F6859" w:rsidP="005F6859">
      <w:pPr>
        <w:pStyle w:val="Body"/>
        <w:rPr>
          <w:b/>
          <w:bCs/>
          <w:sz w:val="24"/>
          <w:szCs w:val="24"/>
        </w:rPr>
      </w:pPr>
      <w:r w:rsidRPr="005F6859">
        <w:rPr>
          <w:b/>
          <w:bCs/>
          <w:sz w:val="24"/>
          <w:szCs w:val="24"/>
        </w:rPr>
        <w:t>Objectives:</w:t>
      </w:r>
    </w:p>
    <w:p w14:paraId="18E8FA4B" w14:textId="77777777" w:rsidR="005F6859" w:rsidRPr="005F6859" w:rsidRDefault="005F6859" w:rsidP="005F6859">
      <w:pPr>
        <w:pStyle w:val="Body"/>
        <w:rPr>
          <w:sz w:val="22"/>
          <w:szCs w:val="22"/>
        </w:rPr>
      </w:pPr>
      <w:r w:rsidRPr="005F6859">
        <w:rPr>
          <w:sz w:val="22"/>
          <w:szCs w:val="22"/>
        </w:rPr>
        <w:t>To determine if:</w:t>
      </w:r>
    </w:p>
    <w:p w14:paraId="3CD6CC2A" w14:textId="77777777" w:rsidR="005F6859" w:rsidRPr="005F6859" w:rsidRDefault="005F6859" w:rsidP="005F6859">
      <w:pPr>
        <w:pStyle w:val="Body"/>
        <w:numPr>
          <w:ilvl w:val="0"/>
          <w:numId w:val="41"/>
        </w:numPr>
        <w:rPr>
          <w:sz w:val="22"/>
          <w:szCs w:val="22"/>
        </w:rPr>
      </w:pPr>
      <w:r w:rsidRPr="005F6859">
        <w:rPr>
          <w:sz w:val="22"/>
          <w:szCs w:val="22"/>
        </w:rPr>
        <w:t xml:space="preserve">Blood transfusion consent policies and practices have improved since the similar audit in 2012. </w:t>
      </w:r>
    </w:p>
    <w:p w14:paraId="17633496" w14:textId="77777777" w:rsidR="005F6859" w:rsidRPr="005F6859" w:rsidRDefault="005F6859" w:rsidP="005F6859">
      <w:pPr>
        <w:pStyle w:val="Body"/>
        <w:numPr>
          <w:ilvl w:val="0"/>
          <w:numId w:val="41"/>
        </w:numPr>
        <w:rPr>
          <w:sz w:val="22"/>
          <w:szCs w:val="22"/>
        </w:rPr>
      </w:pPr>
      <w:r w:rsidRPr="005F6859">
        <w:rPr>
          <w:sz w:val="22"/>
          <w:szCs w:val="22"/>
        </w:rPr>
        <w:t>The health service transfusion consent policy aligns with the ANZSBT/ACN Guidelines for administration of blood products 2019.</w:t>
      </w:r>
    </w:p>
    <w:p w14:paraId="7DB5839A" w14:textId="77777777" w:rsidR="002F2BCC" w:rsidRPr="00091506" w:rsidRDefault="002F2BCC" w:rsidP="002F2BCC">
      <w:pPr>
        <w:pStyle w:val="CommentText"/>
        <w:numPr>
          <w:ilvl w:val="0"/>
          <w:numId w:val="41"/>
        </w:numPr>
        <w:rPr>
          <w:sz w:val="22"/>
          <w:szCs w:val="22"/>
        </w:rPr>
      </w:pPr>
      <w:r w:rsidRPr="00091506">
        <w:rPr>
          <w:sz w:val="22"/>
          <w:szCs w:val="22"/>
        </w:rPr>
        <w:t>Consent is undertaken prior to transfusion and all elements are completed, as per guidelines, for a valid consent.</w:t>
      </w:r>
    </w:p>
    <w:p w14:paraId="188A0AC4" w14:textId="77777777" w:rsidR="005F6859" w:rsidRPr="005F6859" w:rsidRDefault="005F6859" w:rsidP="005F6859">
      <w:pPr>
        <w:pStyle w:val="Body"/>
        <w:rPr>
          <w:b/>
          <w:bCs/>
          <w:sz w:val="24"/>
          <w:szCs w:val="24"/>
        </w:rPr>
      </w:pPr>
      <w:r w:rsidRPr="005F6859">
        <w:rPr>
          <w:b/>
          <w:bCs/>
          <w:sz w:val="24"/>
          <w:szCs w:val="24"/>
        </w:rPr>
        <w:lastRenderedPageBreak/>
        <w:t>Method:</w:t>
      </w:r>
    </w:p>
    <w:p w14:paraId="02CBB73B" w14:textId="77777777" w:rsidR="005F6859" w:rsidRPr="005F6859" w:rsidRDefault="005F6859" w:rsidP="005F6859">
      <w:pPr>
        <w:pStyle w:val="Body"/>
        <w:rPr>
          <w:sz w:val="22"/>
          <w:szCs w:val="22"/>
        </w:rPr>
      </w:pPr>
      <w:r w:rsidRPr="005F6859">
        <w:rPr>
          <w:sz w:val="22"/>
          <w:szCs w:val="22"/>
        </w:rPr>
        <w:t xml:space="preserve">The audit comprises two parts: </w:t>
      </w:r>
    </w:p>
    <w:p w14:paraId="5C41047C" w14:textId="77777777" w:rsidR="005F6859" w:rsidRPr="005F6859" w:rsidRDefault="005F6859" w:rsidP="005F6859">
      <w:pPr>
        <w:pStyle w:val="Body"/>
        <w:rPr>
          <w:sz w:val="22"/>
          <w:szCs w:val="22"/>
        </w:rPr>
      </w:pPr>
      <w:r w:rsidRPr="005F6859">
        <w:rPr>
          <w:sz w:val="22"/>
          <w:szCs w:val="22"/>
        </w:rPr>
        <w:t xml:space="preserve">Part A – Audit of health service blood transfusion consent policy </w:t>
      </w:r>
    </w:p>
    <w:p w14:paraId="4555EFC7" w14:textId="77777777" w:rsidR="005F6859" w:rsidRPr="005F6859" w:rsidRDefault="005F6859" w:rsidP="005F6859">
      <w:pPr>
        <w:pStyle w:val="Body"/>
        <w:rPr>
          <w:sz w:val="22"/>
          <w:szCs w:val="22"/>
        </w:rPr>
      </w:pPr>
      <w:r w:rsidRPr="005F6859">
        <w:rPr>
          <w:sz w:val="22"/>
          <w:szCs w:val="22"/>
        </w:rPr>
        <w:t xml:space="preserve">Part B – Audit of blood transfusion consent practice </w:t>
      </w:r>
    </w:p>
    <w:p w14:paraId="196CD9DA" w14:textId="3F37243C" w:rsidR="005F6859" w:rsidRDefault="005F6859" w:rsidP="005F6859">
      <w:pPr>
        <w:pStyle w:val="Body"/>
        <w:rPr>
          <w:sz w:val="22"/>
          <w:szCs w:val="22"/>
        </w:rPr>
      </w:pPr>
      <w:r w:rsidRPr="005F6859">
        <w:rPr>
          <w:sz w:val="22"/>
          <w:szCs w:val="22"/>
        </w:rPr>
        <w:t>We request that health services complete both part A &amp; B.</w:t>
      </w:r>
    </w:p>
    <w:p w14:paraId="7D96C2DF" w14:textId="77777777" w:rsidR="005F6859" w:rsidRPr="005F6859" w:rsidRDefault="005F6859" w:rsidP="005F6859">
      <w:pPr>
        <w:pStyle w:val="Body"/>
        <w:rPr>
          <w:sz w:val="22"/>
          <w:szCs w:val="22"/>
        </w:rPr>
      </w:pPr>
      <w:r w:rsidRPr="005F6859">
        <w:rPr>
          <w:b/>
          <w:bCs/>
          <w:sz w:val="22"/>
          <w:szCs w:val="22"/>
        </w:rPr>
        <w:t>Part A</w:t>
      </w:r>
      <w:r w:rsidRPr="005F6859">
        <w:rPr>
          <w:sz w:val="22"/>
          <w:szCs w:val="22"/>
        </w:rPr>
        <w:t xml:space="preserve"> – Audit of health service blood transfusion consent policy, may be completed at any time within the specified audit timeframe. This is an assessment of the health service blood transfusion consent policy to determine if it is in line with the Australian and New Zealand Society of Blood Transfusion (ANZSBT)/Australian College of Nursing (ACN) Guidelines for the administration of blood products 3rd edition (2019). Part A is to be completed once for each health service. </w:t>
      </w:r>
    </w:p>
    <w:p w14:paraId="1BBEE6DD" w14:textId="77777777" w:rsidR="005F6859" w:rsidRPr="005F6859" w:rsidRDefault="005F6859" w:rsidP="005F6859">
      <w:pPr>
        <w:pStyle w:val="Body"/>
        <w:rPr>
          <w:bCs/>
          <w:sz w:val="22"/>
          <w:szCs w:val="22"/>
        </w:rPr>
      </w:pPr>
      <w:r w:rsidRPr="005F6859">
        <w:rPr>
          <w:bCs/>
          <w:sz w:val="22"/>
          <w:szCs w:val="22"/>
        </w:rPr>
        <w:t>A health service blood transfusion consent policy may be a stand-alone policy, included as part of the blood transfusion policy or contained within an overall consent/refusal to treatment policy.</w:t>
      </w:r>
    </w:p>
    <w:p w14:paraId="2B3D6F4A" w14:textId="77777777" w:rsidR="005F6859" w:rsidRPr="005F6859" w:rsidRDefault="005F6859" w:rsidP="005F6859">
      <w:pPr>
        <w:pStyle w:val="Body"/>
        <w:rPr>
          <w:sz w:val="22"/>
          <w:szCs w:val="22"/>
        </w:rPr>
      </w:pPr>
      <w:r w:rsidRPr="005F6859">
        <w:rPr>
          <w:b/>
          <w:bCs/>
          <w:sz w:val="22"/>
          <w:szCs w:val="22"/>
        </w:rPr>
        <w:t>Part B</w:t>
      </w:r>
      <w:r w:rsidRPr="005F6859">
        <w:rPr>
          <w:sz w:val="22"/>
          <w:szCs w:val="22"/>
        </w:rPr>
        <w:t xml:space="preserve"> – Audit of blood transfusion consent practice is to determine the rate and quality of transfusion consent. Part B is to be completed for up to </w:t>
      </w:r>
      <w:r w:rsidRPr="005F6859">
        <w:rPr>
          <w:b/>
          <w:bCs/>
          <w:sz w:val="22"/>
          <w:szCs w:val="22"/>
        </w:rPr>
        <w:t>30 individual</w:t>
      </w:r>
      <w:r w:rsidRPr="005F6859">
        <w:rPr>
          <w:sz w:val="22"/>
          <w:szCs w:val="22"/>
        </w:rPr>
        <w:t xml:space="preserve">, randomly selected transfused patients who received a transfusion between </w:t>
      </w:r>
      <w:r w:rsidRPr="005F6859">
        <w:rPr>
          <w:b/>
          <w:bCs/>
          <w:sz w:val="22"/>
          <w:szCs w:val="22"/>
        </w:rPr>
        <w:t>1 July 2021 to 30 June 2022</w:t>
      </w:r>
      <w:r w:rsidRPr="005F6859">
        <w:rPr>
          <w:sz w:val="22"/>
          <w:szCs w:val="22"/>
        </w:rPr>
        <w:t xml:space="preserve">. </w:t>
      </w:r>
    </w:p>
    <w:p w14:paraId="6EE32513" w14:textId="77777777" w:rsidR="005F6859" w:rsidRPr="005F6859" w:rsidRDefault="005F6859" w:rsidP="005F6859">
      <w:pPr>
        <w:pStyle w:val="Body"/>
        <w:rPr>
          <w:sz w:val="22"/>
          <w:szCs w:val="22"/>
        </w:rPr>
      </w:pPr>
      <w:r w:rsidRPr="005F6859">
        <w:rPr>
          <w:sz w:val="22"/>
          <w:szCs w:val="22"/>
        </w:rPr>
        <w:t xml:space="preserve">The auditor should randomly choose up to 30 patients, that have received any fresh blood components (red cells, platelets, FFP, cryoprecipitate) on any day within the audit timeframe. </w:t>
      </w:r>
    </w:p>
    <w:p w14:paraId="1B1236C7" w14:textId="77777777" w:rsidR="005F6859" w:rsidRPr="005F6859" w:rsidRDefault="005F6859" w:rsidP="005F6859">
      <w:pPr>
        <w:pStyle w:val="Body"/>
        <w:rPr>
          <w:sz w:val="22"/>
          <w:szCs w:val="22"/>
        </w:rPr>
      </w:pPr>
      <w:r w:rsidRPr="005F6859">
        <w:rPr>
          <w:b/>
          <w:bCs/>
          <w:sz w:val="22"/>
          <w:szCs w:val="22"/>
        </w:rPr>
        <w:t>Inclusions</w:t>
      </w:r>
      <w:r w:rsidRPr="005F6859">
        <w:rPr>
          <w:sz w:val="22"/>
          <w:szCs w:val="22"/>
        </w:rPr>
        <w:t>: All patients receiving a routine transfusion of any fresh blood component.</w:t>
      </w:r>
    </w:p>
    <w:p w14:paraId="24CC20EC" w14:textId="77777777" w:rsidR="005F6859" w:rsidRPr="005F6859" w:rsidRDefault="005F6859" w:rsidP="005F6859">
      <w:pPr>
        <w:pStyle w:val="Body"/>
        <w:rPr>
          <w:sz w:val="22"/>
          <w:szCs w:val="22"/>
        </w:rPr>
      </w:pPr>
      <w:r w:rsidRPr="005F6859">
        <w:rPr>
          <w:b/>
          <w:bCs/>
          <w:sz w:val="22"/>
          <w:szCs w:val="22"/>
        </w:rPr>
        <w:t>Exclusions</w:t>
      </w:r>
      <w:r w:rsidRPr="005F6859">
        <w:rPr>
          <w:sz w:val="22"/>
          <w:szCs w:val="22"/>
        </w:rPr>
        <w:t>: Emergency transfusions. Transfusions given in the Emergency Department can be included if they are not emergency transfusions.</w:t>
      </w:r>
    </w:p>
    <w:p w14:paraId="4617D327" w14:textId="77777777" w:rsidR="005F6859" w:rsidRPr="005F6859" w:rsidRDefault="005F6859" w:rsidP="005F6859">
      <w:pPr>
        <w:pStyle w:val="Body"/>
        <w:rPr>
          <w:sz w:val="22"/>
          <w:szCs w:val="22"/>
        </w:rPr>
      </w:pPr>
      <w:r w:rsidRPr="005F6859">
        <w:rPr>
          <w:sz w:val="22"/>
          <w:szCs w:val="22"/>
        </w:rPr>
        <w:t>For best results please use Microsoft Edge or Chrome.</w:t>
      </w:r>
    </w:p>
    <w:p w14:paraId="162D2DEB" w14:textId="77777777" w:rsidR="00091506" w:rsidRDefault="00091506" w:rsidP="00510DB7">
      <w:pPr>
        <w:pStyle w:val="Body"/>
        <w:rPr>
          <w:b/>
          <w:bCs/>
          <w:sz w:val="22"/>
          <w:szCs w:val="22"/>
        </w:rPr>
      </w:pPr>
    </w:p>
    <w:p w14:paraId="0BB27551" w14:textId="2B95355E" w:rsidR="00510DB7" w:rsidRPr="00510DB7" w:rsidRDefault="00510DB7" w:rsidP="00510DB7">
      <w:pPr>
        <w:pStyle w:val="Body"/>
        <w:rPr>
          <w:b/>
          <w:bCs/>
          <w:sz w:val="22"/>
          <w:szCs w:val="22"/>
        </w:rPr>
      </w:pPr>
      <w:r w:rsidRPr="00510DB7">
        <w:rPr>
          <w:b/>
          <w:bCs/>
          <w:sz w:val="22"/>
          <w:szCs w:val="22"/>
        </w:rPr>
        <w:t>Audit is open from 27 June – 12 August 2022.</w:t>
      </w:r>
    </w:p>
    <w:p w14:paraId="584B4970" w14:textId="77777777" w:rsidR="00510DB7" w:rsidRPr="00510DB7" w:rsidRDefault="00510DB7" w:rsidP="00510DB7">
      <w:pPr>
        <w:pStyle w:val="Body"/>
        <w:rPr>
          <w:sz w:val="22"/>
          <w:szCs w:val="22"/>
        </w:rPr>
      </w:pPr>
      <w:r w:rsidRPr="00510DB7">
        <w:rPr>
          <w:sz w:val="22"/>
          <w:szCs w:val="22"/>
        </w:rPr>
        <w:t>Data entry to be completed no later than 12 August 2022.</w:t>
      </w:r>
    </w:p>
    <w:p w14:paraId="571E9B01" w14:textId="77777777" w:rsidR="00282E40" w:rsidRDefault="00510DB7" w:rsidP="00510DB7">
      <w:pPr>
        <w:pStyle w:val="Body"/>
        <w:rPr>
          <w:sz w:val="22"/>
          <w:szCs w:val="22"/>
        </w:rPr>
      </w:pPr>
      <w:r w:rsidRPr="00510DB7">
        <w:rPr>
          <w:sz w:val="22"/>
          <w:szCs w:val="22"/>
        </w:rPr>
        <w:t>Data entry is electronic using Lime survey</w:t>
      </w:r>
    </w:p>
    <w:p w14:paraId="618D986E" w14:textId="66C1BA14" w:rsidR="00282E40" w:rsidRDefault="00282E40" w:rsidP="00510DB7">
      <w:pPr>
        <w:pStyle w:val="Body"/>
        <w:rPr>
          <w:sz w:val="22"/>
          <w:szCs w:val="22"/>
        </w:rPr>
      </w:pPr>
      <w:r>
        <w:rPr>
          <w:sz w:val="22"/>
          <w:szCs w:val="22"/>
        </w:rPr>
        <w:t xml:space="preserve">Part A </w:t>
      </w:r>
      <w:r w:rsidR="005A484A">
        <w:rPr>
          <w:sz w:val="22"/>
          <w:szCs w:val="22"/>
        </w:rPr>
        <w:t>&lt;</w:t>
      </w:r>
      <w:r w:rsidR="008F7D1F" w:rsidRPr="008F7D1F">
        <w:rPr>
          <w:rFonts w:eastAsia="Times New Roman"/>
        </w:rPr>
        <w:t xml:space="preserve"> </w:t>
      </w:r>
      <w:hyperlink r:id="rId16" w:history="1">
        <w:r w:rsidR="008F7D1F" w:rsidRPr="008F7D1F">
          <w:rPr>
            <w:rFonts w:eastAsia="Times New Roman"/>
            <w:color w:val="0000FF"/>
            <w:u w:val="single"/>
          </w:rPr>
          <w:t>Consent Part A (limequery.com)</w:t>
        </w:r>
      </w:hyperlink>
      <w:r w:rsidR="008F7D1F">
        <w:rPr>
          <w:sz w:val="22"/>
          <w:szCs w:val="22"/>
        </w:rPr>
        <w:t xml:space="preserve"> </w:t>
      </w:r>
      <w:r w:rsidR="005A484A">
        <w:rPr>
          <w:sz w:val="22"/>
          <w:szCs w:val="22"/>
        </w:rPr>
        <w:t>&gt;</w:t>
      </w:r>
    </w:p>
    <w:p w14:paraId="5B4D438C" w14:textId="18BD14B6" w:rsidR="00510DB7" w:rsidRPr="00510DB7" w:rsidRDefault="00282E40" w:rsidP="00510DB7">
      <w:pPr>
        <w:pStyle w:val="Body"/>
        <w:rPr>
          <w:sz w:val="22"/>
          <w:szCs w:val="22"/>
        </w:rPr>
      </w:pPr>
      <w:r>
        <w:rPr>
          <w:sz w:val="22"/>
          <w:szCs w:val="22"/>
        </w:rPr>
        <w:t xml:space="preserve">Part B </w:t>
      </w:r>
      <w:r w:rsidR="00510DB7" w:rsidRPr="00A371F9">
        <w:rPr>
          <w:sz w:val="22"/>
          <w:szCs w:val="22"/>
        </w:rPr>
        <w:t>&lt;</w:t>
      </w:r>
      <w:r w:rsidR="008F7D1F" w:rsidRPr="008F7D1F">
        <w:rPr>
          <w:rFonts w:eastAsia="Times New Roman"/>
        </w:rPr>
        <w:t xml:space="preserve"> </w:t>
      </w:r>
      <w:hyperlink r:id="rId17" w:history="1">
        <w:r w:rsidR="008F7D1F" w:rsidRPr="008F7D1F">
          <w:rPr>
            <w:rFonts w:eastAsia="Times New Roman"/>
            <w:color w:val="0000FF"/>
            <w:u w:val="single"/>
          </w:rPr>
          <w:t>Blood Matters: Consent Part B 2022 (limequery.com)</w:t>
        </w:r>
      </w:hyperlink>
      <w:r w:rsidR="008F7D1F" w:rsidRPr="00A371F9">
        <w:rPr>
          <w:sz w:val="22"/>
          <w:szCs w:val="22"/>
        </w:rPr>
        <w:t xml:space="preserve"> </w:t>
      </w:r>
      <w:r w:rsidR="00510DB7" w:rsidRPr="00A371F9">
        <w:rPr>
          <w:sz w:val="22"/>
          <w:szCs w:val="22"/>
        </w:rPr>
        <w:t>&gt;</w:t>
      </w:r>
    </w:p>
    <w:p w14:paraId="3E254759" w14:textId="77777777" w:rsidR="00510DB7" w:rsidRPr="00510DB7" w:rsidRDefault="00510DB7" w:rsidP="00510DB7">
      <w:pPr>
        <w:pStyle w:val="Body"/>
        <w:rPr>
          <w:sz w:val="22"/>
          <w:szCs w:val="22"/>
        </w:rPr>
      </w:pPr>
      <w:r w:rsidRPr="00510DB7">
        <w:rPr>
          <w:sz w:val="22"/>
          <w:szCs w:val="22"/>
        </w:rPr>
        <w:t>A data entry tool has been provided to assist in the collection of data prior to entry.</w:t>
      </w:r>
    </w:p>
    <w:p w14:paraId="372EF3FB" w14:textId="4BA763D4" w:rsidR="00510DB7" w:rsidRPr="00510DB7" w:rsidRDefault="002F2BCC" w:rsidP="00510DB7">
      <w:pPr>
        <w:pStyle w:val="Body"/>
        <w:rPr>
          <w:sz w:val="22"/>
          <w:szCs w:val="22"/>
        </w:rPr>
      </w:pPr>
      <w:bookmarkStart w:id="2" w:name="_Hlk103843108"/>
      <w:r w:rsidRPr="002F2BCC">
        <w:rPr>
          <w:sz w:val="22"/>
          <w:szCs w:val="22"/>
        </w:rPr>
        <w:t>When entering data for part B, you may complete some of the 30 responses and return to add further patient data later, but you will need to have completed all questions for those patient episodes entered for it to save</w:t>
      </w:r>
      <w:r w:rsidR="00510DB7" w:rsidRPr="00510DB7">
        <w:rPr>
          <w:sz w:val="22"/>
          <w:szCs w:val="22"/>
        </w:rPr>
        <w:t>.</w:t>
      </w:r>
    </w:p>
    <w:bookmarkEnd w:id="2"/>
    <w:p w14:paraId="1F52A513" w14:textId="38070EA1" w:rsidR="00510DB7" w:rsidRDefault="00510DB7" w:rsidP="00510DB7">
      <w:pPr>
        <w:pStyle w:val="Body"/>
        <w:rPr>
          <w:sz w:val="22"/>
          <w:szCs w:val="22"/>
        </w:rPr>
      </w:pPr>
      <w:r w:rsidRPr="00510DB7">
        <w:rPr>
          <w:sz w:val="22"/>
          <w:szCs w:val="22"/>
        </w:rPr>
        <w:t xml:space="preserve">If experiencing problems entering data or if you have questions, please contact Blood Matters on 03 9694 0102 or email </w:t>
      </w:r>
      <w:hyperlink r:id="rId18" w:history="1">
        <w:r w:rsidRPr="00510DB7">
          <w:rPr>
            <w:rStyle w:val="Hyperlink"/>
            <w:sz w:val="22"/>
            <w:szCs w:val="22"/>
          </w:rPr>
          <w:t>bloodmatters@redcrossblood.org.au</w:t>
        </w:r>
      </w:hyperlink>
    </w:p>
    <w:p w14:paraId="24E72EBE" w14:textId="1E2664FD" w:rsidR="00510DB7" w:rsidRPr="008F7D1F" w:rsidRDefault="008F7D1F" w:rsidP="008F7D1F">
      <w:pPr>
        <w:spacing w:after="0" w:line="240" w:lineRule="auto"/>
        <w:rPr>
          <w:rFonts w:eastAsia="Times"/>
          <w:sz w:val="22"/>
          <w:szCs w:val="22"/>
        </w:rPr>
      </w:pPr>
      <w:r>
        <w:rPr>
          <w:sz w:val="22"/>
          <w:szCs w:val="22"/>
        </w:rPr>
        <w:br w:type="page"/>
      </w:r>
    </w:p>
    <w:p w14:paraId="51515C51" w14:textId="77777777" w:rsidR="00510DB7" w:rsidRPr="00510DB7" w:rsidRDefault="00510DB7" w:rsidP="00510DB7">
      <w:pPr>
        <w:pStyle w:val="Body"/>
        <w:rPr>
          <w:b/>
          <w:bCs/>
          <w:sz w:val="22"/>
          <w:szCs w:val="22"/>
        </w:rPr>
      </w:pPr>
      <w:r w:rsidRPr="00510DB7">
        <w:rPr>
          <w:b/>
          <w:bCs/>
          <w:sz w:val="22"/>
          <w:szCs w:val="22"/>
        </w:rPr>
        <w:lastRenderedPageBreak/>
        <w:t xml:space="preserve">Definitions: </w:t>
      </w:r>
    </w:p>
    <w:tbl>
      <w:tblPr>
        <w:tblStyle w:val="TableGrid"/>
        <w:tblW w:w="0" w:type="auto"/>
        <w:tblLook w:val="04A0" w:firstRow="1" w:lastRow="0" w:firstColumn="1" w:lastColumn="0" w:noHBand="0" w:noVBand="1"/>
      </w:tblPr>
      <w:tblGrid>
        <w:gridCol w:w="3539"/>
        <w:gridCol w:w="5477"/>
      </w:tblGrid>
      <w:tr w:rsidR="00510DB7" w:rsidRPr="00510DB7" w14:paraId="7752CDB2" w14:textId="77777777" w:rsidTr="003767D2">
        <w:tc>
          <w:tcPr>
            <w:tcW w:w="3539" w:type="dxa"/>
          </w:tcPr>
          <w:p w14:paraId="394F5F60" w14:textId="77777777" w:rsidR="00510DB7" w:rsidRPr="00510DB7" w:rsidRDefault="00510DB7" w:rsidP="00510DB7">
            <w:pPr>
              <w:pStyle w:val="Body"/>
              <w:rPr>
                <w:sz w:val="22"/>
                <w:szCs w:val="22"/>
              </w:rPr>
            </w:pPr>
            <w:r w:rsidRPr="00510DB7">
              <w:rPr>
                <w:sz w:val="22"/>
                <w:szCs w:val="22"/>
              </w:rPr>
              <w:t xml:space="preserve">Term </w:t>
            </w:r>
          </w:p>
        </w:tc>
        <w:tc>
          <w:tcPr>
            <w:tcW w:w="5477" w:type="dxa"/>
          </w:tcPr>
          <w:p w14:paraId="350AB872" w14:textId="77777777" w:rsidR="00510DB7" w:rsidRPr="00510DB7" w:rsidRDefault="00510DB7" w:rsidP="00510DB7">
            <w:pPr>
              <w:pStyle w:val="Body"/>
              <w:rPr>
                <w:sz w:val="22"/>
                <w:szCs w:val="22"/>
              </w:rPr>
            </w:pPr>
            <w:r w:rsidRPr="00510DB7">
              <w:rPr>
                <w:sz w:val="22"/>
                <w:szCs w:val="22"/>
              </w:rPr>
              <w:t>Definition</w:t>
            </w:r>
          </w:p>
        </w:tc>
      </w:tr>
      <w:tr w:rsidR="00510DB7" w:rsidRPr="00510DB7" w14:paraId="38ABD94F" w14:textId="77777777" w:rsidTr="003767D2">
        <w:tc>
          <w:tcPr>
            <w:tcW w:w="3539" w:type="dxa"/>
          </w:tcPr>
          <w:p w14:paraId="3EAA0F2A" w14:textId="77777777" w:rsidR="00510DB7" w:rsidRPr="00510DB7" w:rsidRDefault="00510DB7" w:rsidP="00510DB7">
            <w:pPr>
              <w:pStyle w:val="Body"/>
              <w:rPr>
                <w:sz w:val="22"/>
                <w:szCs w:val="22"/>
              </w:rPr>
            </w:pPr>
            <w:r w:rsidRPr="00510DB7">
              <w:rPr>
                <w:sz w:val="22"/>
                <w:szCs w:val="22"/>
              </w:rPr>
              <w:t>Blood transfusion consent policy</w:t>
            </w:r>
          </w:p>
        </w:tc>
        <w:tc>
          <w:tcPr>
            <w:tcW w:w="5477" w:type="dxa"/>
          </w:tcPr>
          <w:p w14:paraId="1D148E82" w14:textId="77777777" w:rsidR="00510DB7" w:rsidRPr="00510DB7" w:rsidRDefault="00510DB7" w:rsidP="00510DB7">
            <w:pPr>
              <w:pStyle w:val="Body"/>
              <w:rPr>
                <w:sz w:val="22"/>
                <w:szCs w:val="22"/>
              </w:rPr>
            </w:pPr>
            <w:r w:rsidRPr="00510DB7">
              <w:rPr>
                <w:sz w:val="22"/>
                <w:szCs w:val="22"/>
              </w:rPr>
              <w:t>A health service blood transfusion consent policy maybe a stand-alone policy, included as part of your blood transfusion policy, or contained within an overall consent to treatment policy.</w:t>
            </w:r>
          </w:p>
        </w:tc>
      </w:tr>
      <w:tr w:rsidR="00510DB7" w:rsidRPr="00510DB7" w14:paraId="407748B9" w14:textId="77777777" w:rsidTr="003767D2">
        <w:tc>
          <w:tcPr>
            <w:tcW w:w="3539" w:type="dxa"/>
          </w:tcPr>
          <w:p w14:paraId="33BC7B80" w14:textId="77777777" w:rsidR="00510DB7" w:rsidRPr="00510DB7" w:rsidRDefault="00510DB7" w:rsidP="00510DB7">
            <w:pPr>
              <w:pStyle w:val="Body"/>
              <w:rPr>
                <w:sz w:val="22"/>
                <w:szCs w:val="22"/>
              </w:rPr>
            </w:pPr>
            <w:r w:rsidRPr="00510DB7">
              <w:rPr>
                <w:sz w:val="22"/>
                <w:szCs w:val="22"/>
              </w:rPr>
              <w:t>Informed consent</w:t>
            </w:r>
          </w:p>
        </w:tc>
        <w:tc>
          <w:tcPr>
            <w:tcW w:w="5477" w:type="dxa"/>
          </w:tcPr>
          <w:p w14:paraId="60DAA222" w14:textId="77777777" w:rsidR="00510DB7" w:rsidRPr="00510DB7" w:rsidRDefault="00510DB7" w:rsidP="00510DB7">
            <w:pPr>
              <w:pStyle w:val="Body"/>
              <w:rPr>
                <w:sz w:val="22"/>
                <w:szCs w:val="22"/>
              </w:rPr>
            </w:pPr>
            <w:r w:rsidRPr="00510DB7">
              <w:rPr>
                <w:sz w:val="22"/>
                <w:szCs w:val="22"/>
              </w:rPr>
              <w:t xml:space="preserve">Informed consent for blood transfusion means a documented dialogue has occurred between the patient and a prescriber, which includes: </w:t>
            </w:r>
          </w:p>
          <w:p w14:paraId="3E8ADAE0" w14:textId="77777777" w:rsidR="00510DB7" w:rsidRPr="00510DB7" w:rsidRDefault="00510DB7" w:rsidP="00510DB7">
            <w:pPr>
              <w:pStyle w:val="Body"/>
              <w:rPr>
                <w:sz w:val="22"/>
                <w:szCs w:val="22"/>
              </w:rPr>
            </w:pPr>
            <w:r w:rsidRPr="00510DB7">
              <w:rPr>
                <w:sz w:val="22"/>
                <w:szCs w:val="22"/>
              </w:rPr>
              <w:t xml:space="preserve">– The reason for the proposed blood product transfusion. </w:t>
            </w:r>
          </w:p>
          <w:p w14:paraId="6FFBAC1F" w14:textId="77777777" w:rsidR="00510DB7" w:rsidRPr="00510DB7" w:rsidRDefault="00510DB7" w:rsidP="00510DB7">
            <w:pPr>
              <w:pStyle w:val="Body"/>
              <w:rPr>
                <w:sz w:val="22"/>
                <w:szCs w:val="22"/>
              </w:rPr>
            </w:pPr>
            <w:r w:rsidRPr="00510DB7">
              <w:rPr>
                <w:sz w:val="22"/>
                <w:szCs w:val="22"/>
              </w:rPr>
              <w:t xml:space="preserve">– The nature of the proposed blood product transfusion. </w:t>
            </w:r>
          </w:p>
          <w:p w14:paraId="25071EEB" w14:textId="77777777" w:rsidR="00510DB7" w:rsidRPr="00510DB7" w:rsidRDefault="00510DB7" w:rsidP="00510DB7">
            <w:pPr>
              <w:pStyle w:val="Body"/>
              <w:rPr>
                <w:sz w:val="22"/>
                <w:szCs w:val="22"/>
              </w:rPr>
            </w:pPr>
            <w:r w:rsidRPr="00510DB7">
              <w:rPr>
                <w:sz w:val="22"/>
                <w:szCs w:val="22"/>
              </w:rPr>
              <w:t xml:space="preserve">– The risks and benefits of the blood product as well as the risks or consequences of not receiving the product. </w:t>
            </w:r>
          </w:p>
          <w:p w14:paraId="1D39E860" w14:textId="77777777" w:rsidR="00510DB7" w:rsidRPr="00510DB7" w:rsidRDefault="00510DB7" w:rsidP="00510DB7">
            <w:pPr>
              <w:pStyle w:val="Body"/>
              <w:rPr>
                <w:sz w:val="22"/>
                <w:szCs w:val="22"/>
              </w:rPr>
            </w:pPr>
            <w:r w:rsidRPr="00510DB7">
              <w:rPr>
                <w:sz w:val="22"/>
                <w:szCs w:val="22"/>
              </w:rPr>
              <w:t xml:space="preserve">– The availability and appropriateness of any other blood management strategies. </w:t>
            </w:r>
          </w:p>
          <w:p w14:paraId="51947DE5" w14:textId="77777777" w:rsidR="00510DB7" w:rsidRPr="00510DB7" w:rsidRDefault="00510DB7" w:rsidP="00510DB7">
            <w:pPr>
              <w:pStyle w:val="Body"/>
              <w:rPr>
                <w:sz w:val="22"/>
                <w:szCs w:val="22"/>
              </w:rPr>
            </w:pPr>
            <w:r w:rsidRPr="00510DB7">
              <w:rPr>
                <w:sz w:val="22"/>
                <w:szCs w:val="22"/>
              </w:rPr>
              <w:t xml:space="preserve">– An opportunity to ask questions. </w:t>
            </w:r>
          </w:p>
          <w:p w14:paraId="48AE9DEC" w14:textId="77777777" w:rsidR="00510DB7" w:rsidRPr="00510DB7" w:rsidRDefault="00510DB7" w:rsidP="00510DB7">
            <w:pPr>
              <w:pStyle w:val="Body"/>
              <w:rPr>
                <w:sz w:val="22"/>
                <w:szCs w:val="22"/>
              </w:rPr>
            </w:pPr>
            <w:r w:rsidRPr="00510DB7">
              <w:rPr>
                <w:sz w:val="22"/>
                <w:szCs w:val="22"/>
              </w:rPr>
              <w:t xml:space="preserve">– Use of a competent interpreter when the patient is not fluent in English. </w:t>
            </w:r>
          </w:p>
          <w:p w14:paraId="6DED3781" w14:textId="77777777" w:rsidR="00510DB7" w:rsidRPr="00510DB7" w:rsidRDefault="00510DB7" w:rsidP="00510DB7">
            <w:pPr>
              <w:pStyle w:val="Body"/>
              <w:rPr>
                <w:sz w:val="22"/>
                <w:szCs w:val="22"/>
              </w:rPr>
            </w:pPr>
            <w:r w:rsidRPr="00510DB7">
              <w:rPr>
                <w:sz w:val="22"/>
                <w:szCs w:val="22"/>
              </w:rPr>
              <w:t xml:space="preserve">– Use of written information or diagrams where appropriate. </w:t>
            </w:r>
          </w:p>
        </w:tc>
      </w:tr>
      <w:tr w:rsidR="00510DB7" w:rsidRPr="00510DB7" w14:paraId="4421C9F4" w14:textId="77777777" w:rsidTr="003767D2">
        <w:tc>
          <w:tcPr>
            <w:tcW w:w="3539" w:type="dxa"/>
          </w:tcPr>
          <w:p w14:paraId="3B2DBA99" w14:textId="77777777" w:rsidR="00510DB7" w:rsidRPr="00510DB7" w:rsidRDefault="00510DB7" w:rsidP="00510DB7">
            <w:pPr>
              <w:pStyle w:val="Body"/>
              <w:rPr>
                <w:sz w:val="22"/>
                <w:szCs w:val="22"/>
              </w:rPr>
            </w:pPr>
            <w:r w:rsidRPr="00510DB7">
              <w:rPr>
                <w:sz w:val="22"/>
                <w:szCs w:val="22"/>
              </w:rPr>
              <w:t>Blood components</w:t>
            </w:r>
          </w:p>
        </w:tc>
        <w:tc>
          <w:tcPr>
            <w:tcW w:w="5477" w:type="dxa"/>
          </w:tcPr>
          <w:p w14:paraId="645C4DCE" w14:textId="77777777" w:rsidR="00510DB7" w:rsidRPr="00510DB7" w:rsidRDefault="00510DB7" w:rsidP="00510DB7">
            <w:pPr>
              <w:pStyle w:val="Body"/>
              <w:rPr>
                <w:sz w:val="22"/>
                <w:szCs w:val="22"/>
              </w:rPr>
            </w:pPr>
            <w:r w:rsidRPr="00510DB7">
              <w:rPr>
                <w:sz w:val="22"/>
                <w:szCs w:val="22"/>
              </w:rPr>
              <w:t>Refers to fresh blood components such as red blood cells, platelets, fresh frozen plasma, cryoprecipitate.</w:t>
            </w:r>
          </w:p>
        </w:tc>
      </w:tr>
      <w:tr w:rsidR="00510DB7" w:rsidRPr="00510DB7" w14:paraId="37D15DAD" w14:textId="77777777" w:rsidTr="003767D2">
        <w:tc>
          <w:tcPr>
            <w:tcW w:w="3539" w:type="dxa"/>
          </w:tcPr>
          <w:p w14:paraId="5F4D619E" w14:textId="77777777" w:rsidR="00510DB7" w:rsidRPr="00510DB7" w:rsidRDefault="00510DB7" w:rsidP="00510DB7">
            <w:pPr>
              <w:pStyle w:val="Body"/>
              <w:rPr>
                <w:sz w:val="22"/>
                <w:szCs w:val="22"/>
              </w:rPr>
            </w:pPr>
            <w:r w:rsidRPr="00510DB7">
              <w:rPr>
                <w:sz w:val="22"/>
                <w:szCs w:val="22"/>
              </w:rPr>
              <w:t>Blood products</w:t>
            </w:r>
          </w:p>
        </w:tc>
        <w:tc>
          <w:tcPr>
            <w:tcW w:w="5477" w:type="dxa"/>
          </w:tcPr>
          <w:p w14:paraId="36A6CB48" w14:textId="77777777" w:rsidR="00510DB7" w:rsidRPr="00510DB7" w:rsidRDefault="00510DB7" w:rsidP="00510DB7">
            <w:pPr>
              <w:pStyle w:val="Body"/>
              <w:rPr>
                <w:sz w:val="22"/>
                <w:szCs w:val="22"/>
              </w:rPr>
            </w:pPr>
            <w:r w:rsidRPr="00510DB7">
              <w:rPr>
                <w:sz w:val="22"/>
                <w:szCs w:val="22"/>
              </w:rPr>
              <w:t>Refers to plasma fractionated products such as immunoglobulins, albumin, clotting factors.</w:t>
            </w:r>
          </w:p>
        </w:tc>
      </w:tr>
      <w:tr w:rsidR="00302ADD" w:rsidRPr="00510DB7" w14:paraId="14D50170" w14:textId="77777777" w:rsidTr="003767D2">
        <w:tc>
          <w:tcPr>
            <w:tcW w:w="3539" w:type="dxa"/>
          </w:tcPr>
          <w:p w14:paraId="21DADB35" w14:textId="21B1F9FB" w:rsidR="00302ADD" w:rsidRPr="00510DB7" w:rsidRDefault="00302ADD" w:rsidP="00510DB7">
            <w:pPr>
              <w:pStyle w:val="Body"/>
              <w:rPr>
                <w:sz w:val="22"/>
                <w:szCs w:val="22"/>
              </w:rPr>
            </w:pPr>
            <w:r>
              <w:rPr>
                <w:sz w:val="22"/>
                <w:szCs w:val="22"/>
              </w:rPr>
              <w:t>Emergency transfusion</w:t>
            </w:r>
          </w:p>
        </w:tc>
        <w:tc>
          <w:tcPr>
            <w:tcW w:w="5477" w:type="dxa"/>
          </w:tcPr>
          <w:p w14:paraId="6418572B" w14:textId="6FADAB0F" w:rsidR="00302ADD" w:rsidRPr="00510DB7" w:rsidRDefault="00302ADD" w:rsidP="00510DB7">
            <w:pPr>
              <w:pStyle w:val="Body"/>
              <w:rPr>
                <w:sz w:val="22"/>
                <w:szCs w:val="22"/>
              </w:rPr>
            </w:pPr>
            <w:r>
              <w:rPr>
                <w:sz w:val="22"/>
                <w:szCs w:val="22"/>
              </w:rPr>
              <w:t xml:space="preserve">A transfusion episode that is required to manage life-threatening </w:t>
            </w:r>
            <w:r w:rsidR="002F2BCC">
              <w:rPr>
                <w:sz w:val="22"/>
                <w:szCs w:val="22"/>
              </w:rPr>
              <w:t>bleeding or</w:t>
            </w:r>
            <w:r>
              <w:rPr>
                <w:sz w:val="22"/>
                <w:szCs w:val="22"/>
              </w:rPr>
              <w:t xml:space="preserve"> cannot be delayed due to risk of severe morbidity.</w:t>
            </w:r>
          </w:p>
        </w:tc>
      </w:tr>
    </w:tbl>
    <w:p w14:paraId="2262F682" w14:textId="77777777" w:rsidR="008F7D1F" w:rsidRDefault="008F7D1F" w:rsidP="00510DB7">
      <w:pPr>
        <w:pStyle w:val="Body"/>
        <w:rPr>
          <w:sz w:val="22"/>
          <w:szCs w:val="22"/>
        </w:rPr>
      </w:pPr>
    </w:p>
    <w:p w14:paraId="010B2BDB" w14:textId="41FD02D8" w:rsidR="00510DB7" w:rsidRPr="00510DB7" w:rsidRDefault="00510DB7" w:rsidP="00510DB7">
      <w:pPr>
        <w:pStyle w:val="Body"/>
        <w:rPr>
          <w:sz w:val="22"/>
          <w:szCs w:val="22"/>
        </w:rPr>
      </w:pPr>
      <w:r w:rsidRPr="00510DB7">
        <w:rPr>
          <w:sz w:val="22"/>
          <w:szCs w:val="22"/>
        </w:rPr>
        <w:t xml:space="preserve">Guidelines/Standards supporting the consent process: </w:t>
      </w:r>
    </w:p>
    <w:p w14:paraId="249E2456" w14:textId="77777777" w:rsidR="00510DB7" w:rsidRPr="00510DB7" w:rsidRDefault="00510DB7" w:rsidP="00510DB7">
      <w:pPr>
        <w:pStyle w:val="Body"/>
        <w:numPr>
          <w:ilvl w:val="0"/>
          <w:numId w:val="42"/>
        </w:numPr>
        <w:rPr>
          <w:sz w:val="22"/>
          <w:szCs w:val="22"/>
        </w:rPr>
      </w:pPr>
      <w:r w:rsidRPr="00510DB7">
        <w:rPr>
          <w:sz w:val="22"/>
          <w:szCs w:val="22"/>
        </w:rPr>
        <w:t>Australian Commission on Safety and Quality in Health Care National Safety and Quality Heath Service Standards, Blood Management, Action 7.03 and 7.05.</w:t>
      </w:r>
    </w:p>
    <w:p w14:paraId="291B1E29" w14:textId="77777777" w:rsidR="003264DB" w:rsidRPr="00510DB7" w:rsidRDefault="003264DB" w:rsidP="003264DB">
      <w:pPr>
        <w:pStyle w:val="Body"/>
        <w:numPr>
          <w:ilvl w:val="0"/>
          <w:numId w:val="42"/>
        </w:numPr>
        <w:rPr>
          <w:sz w:val="22"/>
          <w:szCs w:val="22"/>
        </w:rPr>
      </w:pPr>
      <w:r w:rsidRPr="00510DB7">
        <w:rPr>
          <w:sz w:val="22"/>
          <w:szCs w:val="22"/>
        </w:rPr>
        <w:t xml:space="preserve">Australian Health Ministers’ Conference – Statement on National Stewardship Expectations for the Supply of Blood and Blood Products – November 2010 </w:t>
      </w:r>
      <w:hyperlink r:id="rId19" w:history="1">
        <w:r w:rsidRPr="00510DB7">
          <w:rPr>
            <w:rStyle w:val="Hyperlink"/>
            <w:sz w:val="22"/>
            <w:szCs w:val="22"/>
          </w:rPr>
          <w:t>https://www.blood.gov.au/system/files/documents/nba-stewardship-stewardship-statement.pdf</w:t>
        </w:r>
      </w:hyperlink>
      <w:r w:rsidRPr="00510DB7">
        <w:rPr>
          <w:sz w:val="22"/>
          <w:szCs w:val="22"/>
        </w:rPr>
        <w:t xml:space="preserve">    </w:t>
      </w:r>
    </w:p>
    <w:p w14:paraId="6BBFC2F0" w14:textId="491DFAAC" w:rsidR="005F6859" w:rsidRPr="008F7D1F" w:rsidRDefault="00510DB7" w:rsidP="00F32368">
      <w:pPr>
        <w:pStyle w:val="Body"/>
        <w:numPr>
          <w:ilvl w:val="0"/>
          <w:numId w:val="42"/>
        </w:numPr>
        <w:rPr>
          <w:sz w:val="22"/>
          <w:szCs w:val="22"/>
        </w:rPr>
      </w:pPr>
      <w:r w:rsidRPr="00510DB7">
        <w:rPr>
          <w:sz w:val="22"/>
          <w:szCs w:val="22"/>
        </w:rPr>
        <w:t xml:space="preserve">Australian and New Zealand Society of Blood Transfusion (ANZSBT)/ Royal College of Nursing (RCN) – ‘Guidelines for the Administration of Blood Products’ 3rd edition, revised 2019. </w:t>
      </w:r>
    </w:p>
    <w:bookmarkEnd w:id="1"/>
    <w:sectPr w:rsidR="005F6859" w:rsidRPr="008F7D1F" w:rsidSect="0001677A">
      <w:footerReference w:type="default" r:id="rId20"/>
      <w:type w:val="continuous"/>
      <w:pgSz w:w="11906" w:h="16838" w:code="9"/>
      <w:pgMar w:top="1418" w:right="851" w:bottom="1985"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BB1B2" w14:textId="77777777" w:rsidR="005C1E7F" w:rsidRDefault="005C1E7F">
      <w:r>
        <w:separator/>
      </w:r>
    </w:p>
  </w:endnote>
  <w:endnote w:type="continuationSeparator" w:id="0">
    <w:p w14:paraId="6872B4C7" w14:textId="77777777" w:rsidR="005C1E7F" w:rsidRDefault="005C1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F84D6" w14:textId="77777777" w:rsidR="00E261B3" w:rsidRPr="00F65AA9" w:rsidRDefault="0001677A" w:rsidP="00F84FA0">
    <w:pPr>
      <w:pStyle w:val="Footer"/>
    </w:pPr>
    <w:r>
      <w:rPr>
        <w:noProof/>
        <w:lang w:eastAsia="en-AU"/>
      </w:rPr>
      <w:drawing>
        <wp:anchor distT="0" distB="0" distL="114300" distR="114300" simplePos="0" relativeHeight="251676160" behindDoc="1" locked="1" layoutInCell="1" allowOverlap="1" wp14:anchorId="321BDEB5" wp14:editId="723B8E22">
          <wp:simplePos x="0" y="0"/>
          <wp:positionH relativeFrom="page">
            <wp:posOffset>0</wp:posOffset>
          </wp:positionH>
          <wp:positionV relativeFrom="page">
            <wp:posOffset>9536430</wp:posOffset>
          </wp:positionV>
          <wp:extent cx="7559675" cy="1156335"/>
          <wp:effectExtent l="0" t="0" r="0" b="0"/>
          <wp:wrapNone/>
          <wp:docPr id="4" name="Picture 4" descr="Victoria State Government&#10;Australian Red Cross&#10;Blood Ma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Victoria State Government&#10;Australian Red Cross&#10;Blood Matters"/>
                  <pic:cNvPicPr/>
                </pic:nvPicPr>
                <pic:blipFill rotWithShape="1">
                  <a:blip r:embed="rId1"/>
                  <a:srcRect t="89176"/>
                  <a:stretch/>
                </pic:blipFill>
                <pic:spPr bwMode="auto">
                  <a:xfrm>
                    <a:off x="0" y="0"/>
                    <a:ext cx="7559675" cy="11563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71C89A05" wp14:editId="37C9B2C5">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371BA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1C89A05"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73371BA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BA740" w14:textId="77777777" w:rsidR="00E261B3" w:rsidRDefault="00E261B3">
    <w:pPr>
      <w:pStyle w:val="Footer"/>
    </w:pPr>
    <w:r>
      <w:rPr>
        <w:noProof/>
      </w:rPr>
      <mc:AlternateContent>
        <mc:Choice Requires="wps">
          <w:drawing>
            <wp:anchor distT="0" distB="0" distL="114300" distR="114300" simplePos="0" relativeHeight="251670016" behindDoc="0" locked="0" layoutInCell="0" allowOverlap="1" wp14:anchorId="4FDBFA45" wp14:editId="451D0694">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0F8332"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FDBFA4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7A0F8332"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880D3" w14:textId="77777777" w:rsidR="00373890" w:rsidRPr="00F65AA9" w:rsidRDefault="0001677A" w:rsidP="00F84FA0">
    <w:pPr>
      <w:pStyle w:val="Footer"/>
    </w:pPr>
    <w:r>
      <w:rPr>
        <w:noProof/>
        <w:lang w:eastAsia="en-AU"/>
      </w:rPr>
      <w:drawing>
        <wp:anchor distT="0" distB="0" distL="114300" distR="114300" simplePos="0" relativeHeight="251678208" behindDoc="1" locked="1" layoutInCell="1" allowOverlap="1" wp14:anchorId="0592299F" wp14:editId="535361AC">
          <wp:simplePos x="0" y="0"/>
          <wp:positionH relativeFrom="page">
            <wp:align>left</wp:align>
          </wp:positionH>
          <wp:positionV relativeFrom="page">
            <wp:align>bottom</wp:align>
          </wp:positionV>
          <wp:extent cx="7560000" cy="1155600"/>
          <wp:effectExtent l="0" t="0" r="0" b="0"/>
          <wp:wrapNone/>
          <wp:docPr id="9" name="Picture 9" descr="Victoria State Government&#10;Australian Red Cross&#10;Blood Ma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10;Australian Red Cross&#10;Blood Matters"/>
                  <pic:cNvPicPr/>
                </pic:nvPicPr>
                <pic:blipFill rotWithShape="1">
                  <a:blip r:embed="rId1"/>
                  <a:srcRect t="89176"/>
                  <a:stretch/>
                </pic:blipFill>
                <pic:spPr bwMode="auto">
                  <a:xfrm>
                    <a:off x="0" y="0"/>
                    <a:ext cx="7560000" cy="115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07FF7">
      <w:rPr>
        <w:noProof/>
      </w:rPr>
      <mc:AlternateContent>
        <mc:Choice Requires="wps">
          <w:drawing>
            <wp:anchor distT="0" distB="0" distL="114300" distR="114300" simplePos="0" relativeHeight="251675136" behindDoc="0" locked="0" layoutInCell="0" allowOverlap="1" wp14:anchorId="40D6E411" wp14:editId="0EF83F30">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008187"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0D6E411"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01008187"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89317" w14:textId="77777777" w:rsidR="005C1E7F" w:rsidRDefault="005C1E7F" w:rsidP="002862F1">
      <w:pPr>
        <w:spacing w:before="120"/>
      </w:pPr>
      <w:r>
        <w:separator/>
      </w:r>
    </w:p>
  </w:footnote>
  <w:footnote w:type="continuationSeparator" w:id="0">
    <w:p w14:paraId="5D56BE85" w14:textId="77777777" w:rsidR="005C1E7F" w:rsidRDefault="005C1E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FB5F1"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3C3F2" w14:textId="77777777" w:rsidR="00E261B3" w:rsidRPr="0051568D" w:rsidRDefault="008C3697" w:rsidP="0011701A">
    <w:pPr>
      <w:pStyle w:val="Header"/>
    </w:pPr>
    <w:r>
      <w:t>Document title</w:t>
    </w:r>
    <w:r w:rsidR="00536395">
      <w:t xml:space="preserve"> (use Header style)</w:t>
    </w:r>
    <w:r>
      <w:ptab w:relativeTo="margin" w:alignment="right" w:leader="none"/>
    </w:r>
    <w:r w:rsidRPr="007E1227">
      <w:rPr>
        <w:b w:val="0"/>
        <w:bCs/>
      </w:rPr>
      <w:fldChar w:fldCharType="begin"/>
    </w:r>
    <w:r w:rsidRPr="007E1227">
      <w:rPr>
        <w:bCs/>
      </w:rPr>
      <w:instrText xml:space="preserve"> PAGE </w:instrText>
    </w:r>
    <w:r w:rsidRPr="007E1227">
      <w:rPr>
        <w:b w:val="0"/>
        <w:bCs/>
      </w:rPr>
      <w:fldChar w:fldCharType="separate"/>
    </w:r>
    <w:r w:rsidRPr="007E1227">
      <w:rPr>
        <w:bCs/>
      </w:rPr>
      <w:t>3</w:t>
    </w:r>
    <w:r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31F0AD8"/>
    <w:multiLevelType w:val="hybridMultilevel"/>
    <w:tmpl w:val="64E8B648"/>
    <w:lvl w:ilvl="0" w:tplc="5986D0D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221F73"/>
    <w:multiLevelType w:val="hybridMultilevel"/>
    <w:tmpl w:val="7660E4FA"/>
    <w:lvl w:ilvl="0" w:tplc="5986D0D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7C32677D"/>
    <w:multiLevelType w:val="hybridMultilevel"/>
    <w:tmpl w:val="D57EC7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0"/>
  </w:num>
  <w:num w:numId="2">
    <w:abstractNumId w:val="18"/>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7"/>
  </w:num>
  <w:num w:numId="9">
    <w:abstractNumId w:val="22"/>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7"/>
  </w:num>
  <w:num w:numId="25">
    <w:abstractNumId w:val="25"/>
  </w:num>
  <w:num w:numId="26">
    <w:abstractNumId w:val="20"/>
  </w:num>
  <w:num w:numId="27">
    <w:abstractNumId w:val="11"/>
  </w:num>
  <w:num w:numId="28">
    <w:abstractNumId w:val="28"/>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21"/>
  </w:num>
  <w:num w:numId="42">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E7F"/>
    <w:rsid w:val="00000719"/>
    <w:rsid w:val="00003403"/>
    <w:rsid w:val="00005347"/>
    <w:rsid w:val="000072B6"/>
    <w:rsid w:val="0001021B"/>
    <w:rsid w:val="00011D89"/>
    <w:rsid w:val="000154FD"/>
    <w:rsid w:val="0001677A"/>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7951"/>
    <w:rsid w:val="0009113B"/>
    <w:rsid w:val="00091506"/>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4B5C"/>
    <w:rsid w:val="002763B3"/>
    <w:rsid w:val="002802E3"/>
    <w:rsid w:val="0028213D"/>
    <w:rsid w:val="00282E40"/>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2BCC"/>
    <w:rsid w:val="002F3D32"/>
    <w:rsid w:val="002F5F31"/>
    <w:rsid w:val="002F5F46"/>
    <w:rsid w:val="00302216"/>
    <w:rsid w:val="00302ADD"/>
    <w:rsid w:val="00303E53"/>
    <w:rsid w:val="00305CC1"/>
    <w:rsid w:val="00306E5F"/>
    <w:rsid w:val="00307E14"/>
    <w:rsid w:val="00314054"/>
    <w:rsid w:val="00315BD8"/>
    <w:rsid w:val="00316F27"/>
    <w:rsid w:val="003214F1"/>
    <w:rsid w:val="00322E4B"/>
    <w:rsid w:val="003264D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0DB7"/>
    <w:rsid w:val="005126D0"/>
    <w:rsid w:val="0051568D"/>
    <w:rsid w:val="00526AC7"/>
    <w:rsid w:val="00526C15"/>
    <w:rsid w:val="00536395"/>
    <w:rsid w:val="00536499"/>
    <w:rsid w:val="00543903"/>
    <w:rsid w:val="00543F11"/>
    <w:rsid w:val="00546305"/>
    <w:rsid w:val="00547A95"/>
    <w:rsid w:val="0055119B"/>
    <w:rsid w:val="005548B5"/>
    <w:rsid w:val="00572031"/>
    <w:rsid w:val="00572282"/>
    <w:rsid w:val="00573CE3"/>
    <w:rsid w:val="00576E84"/>
    <w:rsid w:val="00580394"/>
    <w:rsid w:val="005809CD"/>
    <w:rsid w:val="00582B8C"/>
    <w:rsid w:val="0058757E"/>
    <w:rsid w:val="00596A4B"/>
    <w:rsid w:val="00597507"/>
    <w:rsid w:val="005A479D"/>
    <w:rsid w:val="005A484A"/>
    <w:rsid w:val="005B1C6D"/>
    <w:rsid w:val="005B21B6"/>
    <w:rsid w:val="005B3A08"/>
    <w:rsid w:val="005B7A63"/>
    <w:rsid w:val="005C0955"/>
    <w:rsid w:val="005C1E7F"/>
    <w:rsid w:val="005C49DA"/>
    <w:rsid w:val="005C50F3"/>
    <w:rsid w:val="005C54B5"/>
    <w:rsid w:val="005C5D80"/>
    <w:rsid w:val="005C5D91"/>
    <w:rsid w:val="005D07B8"/>
    <w:rsid w:val="005D6597"/>
    <w:rsid w:val="005E0A3E"/>
    <w:rsid w:val="005E14E7"/>
    <w:rsid w:val="005E26A3"/>
    <w:rsid w:val="005E2ECB"/>
    <w:rsid w:val="005E447E"/>
    <w:rsid w:val="005E4FD1"/>
    <w:rsid w:val="005F0775"/>
    <w:rsid w:val="005F0CF5"/>
    <w:rsid w:val="005F21EB"/>
    <w:rsid w:val="005F6859"/>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34D6"/>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AD6"/>
    <w:rsid w:val="00750EC2"/>
    <w:rsid w:val="00752B28"/>
    <w:rsid w:val="007541A9"/>
    <w:rsid w:val="00754E36"/>
    <w:rsid w:val="00763139"/>
    <w:rsid w:val="00770F37"/>
    <w:rsid w:val="007711A0"/>
    <w:rsid w:val="00772D5E"/>
    <w:rsid w:val="007743F7"/>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7F76E0"/>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C7CB1"/>
    <w:rsid w:val="008D2846"/>
    <w:rsid w:val="008D4236"/>
    <w:rsid w:val="008D462F"/>
    <w:rsid w:val="008D6DCF"/>
    <w:rsid w:val="008E3DE9"/>
    <w:rsid w:val="008E4376"/>
    <w:rsid w:val="008E7A0A"/>
    <w:rsid w:val="008E7B49"/>
    <w:rsid w:val="008F59F6"/>
    <w:rsid w:val="008F7D1F"/>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977F7"/>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371F9"/>
    <w:rsid w:val="00A44882"/>
    <w:rsid w:val="00A45125"/>
    <w:rsid w:val="00A54715"/>
    <w:rsid w:val="00A6061C"/>
    <w:rsid w:val="00A62D44"/>
    <w:rsid w:val="00A67263"/>
    <w:rsid w:val="00A7161C"/>
    <w:rsid w:val="00A77AA3"/>
    <w:rsid w:val="00A80421"/>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6261F"/>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2248"/>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188F"/>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671602"/>
  <w15:docId w15:val="{6164F53E-F330-4F06-AB22-49FBB1485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FF188F"/>
    <w:pPr>
      <w:keepNext/>
      <w:keepLines/>
      <w:spacing w:before="320" w:after="200" w:line="440" w:lineRule="atLeast"/>
      <w:outlineLvl w:val="0"/>
    </w:pPr>
    <w:rPr>
      <w:rFonts w:ascii="Arial" w:eastAsia="MS Gothic" w:hAnsi="Arial" w:cs="Arial"/>
      <w:bCs/>
      <w:color w:val="AF272F"/>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FF188F"/>
    <w:rPr>
      <w:rFonts w:ascii="Arial" w:eastAsia="MS Gothic" w:hAnsi="Arial" w:cs="Arial"/>
      <w:bCs/>
      <w:color w:val="AF272F"/>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FF188F"/>
    <w:pPr>
      <w:spacing w:after="240" w:line="560" w:lineRule="atLeast"/>
    </w:pPr>
    <w:rPr>
      <w:rFonts w:ascii="Arial" w:hAnsi="Arial"/>
      <w:b/>
      <w:color w:val="AF272F"/>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FF188F"/>
    <w:pPr>
      <w:spacing w:line="320" w:lineRule="atLeast"/>
    </w:pPr>
    <w:rPr>
      <w:color w:val="AF272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72777759">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bloodmatters@redcrossblood.org.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dhhsvic.limequery.com/584131?newtest=Y&amp;lang=en" TargetMode="External"/><Relationship Id="rId2" Type="http://schemas.openxmlformats.org/officeDocument/2006/relationships/customXml" Target="../customXml/item2.xml"/><Relationship Id="rId16" Type="http://schemas.openxmlformats.org/officeDocument/2006/relationships/hyperlink" Target="https://dhhsvic.limequery.com/996968?newtest=Y&amp;lang=en"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blood.gov.au/system/files/documents/nba-stewardship-stewardship-statemen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omotion\2022\Branding%20and%20Templates\New%20templates%20July%202021\Blood%20Matters%20DH%20red%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Blood Matters DH red factsheet</Template>
  <TotalTime>52</TotalTime>
  <Pages>3</Pages>
  <Words>946</Words>
  <Characters>5967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Blood Matters DH red factsheet</vt:lpstr>
    </vt:vector>
  </TitlesOfParts>
  <Manager/>
  <Company>Victoria State Government, Department of Health, Blood Matters</Company>
  <LinksUpToDate>false</LinksUpToDate>
  <CharactersWithSpaces>6900</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Blood Matters DH red factsheet</dc:title>
  <dc:subject/>
  <dc:creator>Christine Akers</dc:creator>
  <cp:keywords/>
  <dc:description/>
  <cp:lastModifiedBy>Linley Bielby</cp:lastModifiedBy>
  <cp:revision>5</cp:revision>
  <cp:lastPrinted>2020-03-30T03:28:00Z</cp:lastPrinted>
  <dcterms:created xsi:type="dcterms:W3CDTF">2022-05-19T00:51:00Z</dcterms:created>
  <dcterms:modified xsi:type="dcterms:W3CDTF">2022-05-24T05:22:00Z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