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01CC797E"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90783C">
              <w:rPr>
                <w:color w:val="365F91" w:themeColor="accent1" w:themeShade="BF"/>
              </w:rPr>
              <w:t>6</w:t>
            </w:r>
            <w:r w:rsidR="00474E3A">
              <w:rPr>
                <w:color w:val="365F91" w:themeColor="accent1" w:themeShade="BF"/>
              </w:rPr>
              <w:t>4</w:t>
            </w:r>
          </w:p>
        </w:tc>
      </w:tr>
      <w:tr w:rsidR="003B5733" w14:paraId="02FE8311" w14:textId="77777777" w:rsidTr="00B07FF7">
        <w:tc>
          <w:tcPr>
            <w:tcW w:w="10348" w:type="dxa"/>
          </w:tcPr>
          <w:p w14:paraId="44120960" w14:textId="471FB048" w:rsidR="003B5733" w:rsidRPr="00A1389F" w:rsidRDefault="00474E3A" w:rsidP="005F44C0">
            <w:pPr>
              <w:pStyle w:val="Documentsubtitle"/>
            </w:pPr>
            <w:r>
              <w:t>Emergency Department Mental Health and Alcohol and Other Drug (ED MH AOD)</w:t>
            </w:r>
            <w:r w:rsidR="00CD3700">
              <w:t xml:space="preserve"> Hubs</w:t>
            </w:r>
          </w:p>
        </w:tc>
      </w:tr>
      <w:tr w:rsidR="003B5733" w14:paraId="30E8F298" w14:textId="77777777" w:rsidTr="00B07FF7">
        <w:tc>
          <w:tcPr>
            <w:tcW w:w="10348" w:type="dxa"/>
          </w:tcPr>
          <w:p w14:paraId="78F6D8D2" w14:textId="77777777" w:rsidR="003B5733" w:rsidRPr="001E5058" w:rsidRDefault="00D17ECC" w:rsidP="001E5058">
            <w:pPr>
              <w:pStyle w:val="Bannermarking"/>
            </w:pPr>
            <w:r>
              <w:fldChar w:fldCharType="begin"/>
            </w:r>
            <w:r>
              <w:instrText xml:space="preserve"> FILLIN  "Type the protective marking" \d OFFICIAL \o  \* MERGEFORMAT </w:instrText>
            </w:r>
            <w:r>
              <w:fldChar w:fldCharType="separate"/>
            </w:r>
            <w:r w:rsidR="00EE5418">
              <w:t>OFFICIAL</w:t>
            </w:r>
            <w:r>
              <w:fldChar w:fldCharType="end"/>
            </w:r>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425BACF2" w:rsidR="0024030A" w:rsidRPr="003F1D05" w:rsidRDefault="00474E3A" w:rsidP="0024030A">
      <w:pPr>
        <w:pStyle w:val="Heading2"/>
        <w:rPr>
          <w:color w:val="365F91" w:themeColor="accent1" w:themeShade="BF"/>
        </w:rPr>
      </w:pPr>
      <w:bookmarkStart w:id="0" w:name="_Toc63347079"/>
      <w:r>
        <w:rPr>
          <w:color w:val="365F91" w:themeColor="accent1" w:themeShade="BF"/>
        </w:rPr>
        <w:t>Purpose and Scope</w:t>
      </w:r>
    </w:p>
    <w:p w14:paraId="1203C941" w14:textId="56216823" w:rsidR="0024030A" w:rsidRDefault="00474E3A" w:rsidP="0024030A">
      <w:pPr>
        <w:pStyle w:val="Body"/>
      </w:pPr>
      <w:r>
        <w:t xml:space="preserve">To provide guidance for the reporting of ambulatory </w:t>
      </w:r>
      <w:r w:rsidR="0091635C">
        <w:t xml:space="preserve">mental health </w:t>
      </w:r>
      <w:r>
        <w:t xml:space="preserve">consumer activity </w:t>
      </w:r>
      <w:r w:rsidR="0091635C">
        <w:t>i</w:t>
      </w:r>
      <w:r>
        <w:t xml:space="preserve">n CMI/ODS for </w:t>
      </w:r>
      <w:r w:rsidR="0091635C">
        <w:t xml:space="preserve">the </w:t>
      </w:r>
      <w:r>
        <w:t>ED MH AOD hub initiative.</w:t>
      </w:r>
    </w:p>
    <w:p w14:paraId="61958F5D" w14:textId="3048851D" w:rsidR="00474E3A" w:rsidRDefault="00474E3A" w:rsidP="0024030A">
      <w:pPr>
        <w:pStyle w:val="Body"/>
      </w:pPr>
      <w:r>
        <w:t>In scope:</w:t>
      </w:r>
    </w:p>
    <w:p w14:paraId="69277A02" w14:textId="3FD402B6" w:rsidR="00474E3A" w:rsidRDefault="00474E3A" w:rsidP="00474E3A">
      <w:pPr>
        <w:pStyle w:val="Body"/>
        <w:numPr>
          <w:ilvl w:val="0"/>
          <w:numId w:val="47"/>
        </w:numPr>
      </w:pPr>
      <w:r>
        <w:t xml:space="preserve">Reporting guidance for </w:t>
      </w:r>
      <w:r w:rsidR="0091635C">
        <w:t xml:space="preserve">ambulatory </w:t>
      </w:r>
      <w:r>
        <w:t>community mental health activity data of ED MH AOD hub consumers in CM</w:t>
      </w:r>
      <w:r w:rsidR="008F624E">
        <w:t>I</w:t>
      </w:r>
      <w:r>
        <w:t>/ODS</w:t>
      </w:r>
    </w:p>
    <w:p w14:paraId="38259E1A" w14:textId="4930BC6E" w:rsidR="00474E3A" w:rsidRDefault="00474E3A" w:rsidP="00474E3A">
      <w:pPr>
        <w:pStyle w:val="Body"/>
      </w:pPr>
      <w:r>
        <w:t>Out of scope:</w:t>
      </w:r>
    </w:p>
    <w:p w14:paraId="6DB9AA44" w14:textId="0E8DB0AA" w:rsidR="00474E3A" w:rsidRDefault="00474E3A" w:rsidP="00474E3A">
      <w:pPr>
        <w:pStyle w:val="Body"/>
        <w:numPr>
          <w:ilvl w:val="0"/>
          <w:numId w:val="47"/>
        </w:numPr>
      </w:pPr>
      <w:r>
        <w:t xml:space="preserve">Reporting guidance for admitted activity of ED MH AOD hub as these consumers are admitted </w:t>
      </w:r>
      <w:r w:rsidR="0091635C">
        <w:t>as outlined in</w:t>
      </w:r>
      <w:r>
        <w:t xml:space="preserve"> HDSS Bulletin 258</w:t>
      </w:r>
      <w:r w:rsidR="0091635C">
        <w:t xml:space="preserve"> and in accordance with VAED requirements.</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3CA434C2" w14:textId="77777777" w:rsidR="00474E3A" w:rsidRDefault="00474E3A" w:rsidP="0024030A">
      <w:pPr>
        <w:rPr>
          <w:rFonts w:cs="Arial"/>
        </w:rPr>
      </w:pPr>
      <w:r>
        <w:rPr>
          <w:rFonts w:cs="Arial"/>
        </w:rPr>
        <w:t>The purpose of these hubs is to enhance the emergency treatment and experience for those presenting with mental health and alcohol or other drugs issues (MH AOD).  It is expected these consumers will receive more timely assessment and specialist treatment, with access to dedicated physical space and workforce that is more conducive to therapeutic interventions than a conventional ED.</w:t>
      </w:r>
    </w:p>
    <w:p w14:paraId="6B226828" w14:textId="77777777" w:rsidR="00474E3A" w:rsidRDefault="00474E3A" w:rsidP="0024030A">
      <w:pPr>
        <w:rPr>
          <w:rFonts w:cs="Arial"/>
        </w:rPr>
      </w:pPr>
      <w:r>
        <w:rPr>
          <w:rFonts w:cs="Arial"/>
        </w:rPr>
        <w:t>Core features of ED MH AOD hubs will operate 24 hours a day, seven days a week to provide an integrated care pathway to respond to people presenting to the ED with urgent physical health and mental health or AOD needs.  These hubs will provide:</w:t>
      </w:r>
    </w:p>
    <w:p w14:paraId="39EE17D3" w14:textId="77777777" w:rsidR="00474E3A" w:rsidRPr="00CD3700" w:rsidRDefault="00474E3A" w:rsidP="00474E3A">
      <w:pPr>
        <w:pStyle w:val="ListParagraph"/>
        <w:numPr>
          <w:ilvl w:val="0"/>
          <w:numId w:val="47"/>
        </w:numPr>
        <w:rPr>
          <w:rFonts w:ascii="Arial" w:hAnsi="Arial" w:cs="Arial"/>
          <w:sz w:val="21"/>
          <w:szCs w:val="21"/>
        </w:rPr>
      </w:pPr>
      <w:r w:rsidRPr="00CD3700">
        <w:rPr>
          <w:rFonts w:ascii="Arial" w:hAnsi="Arial" w:cs="Arial"/>
          <w:sz w:val="21"/>
          <w:szCs w:val="21"/>
        </w:rPr>
        <w:t>Multi-disciplinary assessment and treatment services within ED</w:t>
      </w:r>
    </w:p>
    <w:p w14:paraId="2A796373" w14:textId="40AF7286" w:rsidR="00474E3A" w:rsidRPr="00CD3700" w:rsidRDefault="00474E3A" w:rsidP="00474E3A">
      <w:pPr>
        <w:pStyle w:val="ListParagraph"/>
        <w:numPr>
          <w:ilvl w:val="0"/>
          <w:numId w:val="47"/>
        </w:numPr>
        <w:rPr>
          <w:rFonts w:ascii="Arial" w:hAnsi="Arial" w:cs="Arial"/>
          <w:sz w:val="21"/>
          <w:szCs w:val="21"/>
        </w:rPr>
      </w:pPr>
      <w:r w:rsidRPr="00CD3700">
        <w:rPr>
          <w:rFonts w:ascii="Arial" w:hAnsi="Arial" w:cs="Arial"/>
          <w:sz w:val="21"/>
          <w:szCs w:val="21"/>
        </w:rPr>
        <w:t>Short s</w:t>
      </w:r>
      <w:r w:rsidR="00D45F9D">
        <w:rPr>
          <w:rFonts w:ascii="Arial" w:hAnsi="Arial" w:cs="Arial"/>
          <w:sz w:val="21"/>
          <w:szCs w:val="21"/>
        </w:rPr>
        <w:t>t</w:t>
      </w:r>
      <w:r w:rsidRPr="00CD3700">
        <w:rPr>
          <w:rFonts w:ascii="Arial" w:hAnsi="Arial" w:cs="Arial"/>
          <w:sz w:val="21"/>
          <w:szCs w:val="21"/>
        </w:rPr>
        <w:t>ay unit</w:t>
      </w:r>
      <w:r w:rsidR="00DE3C6B">
        <w:rPr>
          <w:rFonts w:ascii="Arial" w:hAnsi="Arial" w:cs="Arial"/>
          <w:sz w:val="21"/>
          <w:szCs w:val="21"/>
        </w:rPr>
        <w:t xml:space="preserve"> (admitted service)</w:t>
      </w:r>
    </w:p>
    <w:p w14:paraId="1024880B" w14:textId="3B87281D" w:rsidR="0024030A" w:rsidRPr="00CD3700" w:rsidRDefault="00474E3A" w:rsidP="00474E3A">
      <w:pPr>
        <w:pStyle w:val="ListParagraph"/>
        <w:numPr>
          <w:ilvl w:val="0"/>
          <w:numId w:val="47"/>
        </w:numPr>
        <w:rPr>
          <w:rFonts w:ascii="Arial" w:hAnsi="Arial" w:cs="Arial"/>
          <w:sz w:val="21"/>
          <w:szCs w:val="21"/>
        </w:rPr>
      </w:pPr>
      <w:r w:rsidRPr="00CD3700">
        <w:rPr>
          <w:rFonts w:ascii="Arial" w:hAnsi="Arial" w:cs="Arial"/>
          <w:sz w:val="21"/>
          <w:szCs w:val="21"/>
        </w:rPr>
        <w:t xml:space="preserve">Assertive outreach – </w:t>
      </w:r>
      <w:r w:rsidR="00D17ECC">
        <w:rPr>
          <w:rFonts w:ascii="Arial" w:hAnsi="Arial" w:cs="Arial"/>
          <w:sz w:val="21"/>
          <w:szCs w:val="21"/>
        </w:rPr>
        <w:t xml:space="preserve">within </w:t>
      </w:r>
      <w:r w:rsidRPr="00CD3700">
        <w:rPr>
          <w:rFonts w:ascii="Arial" w:hAnsi="Arial" w:cs="Arial"/>
          <w:sz w:val="21"/>
          <w:szCs w:val="21"/>
        </w:rPr>
        <w:t>28 day post discharge follow up service where required</w:t>
      </w:r>
      <w:r w:rsidR="0024030A" w:rsidRPr="00CD3700">
        <w:rPr>
          <w:rFonts w:ascii="Arial" w:hAnsi="Arial" w:cs="Arial"/>
          <w:sz w:val="21"/>
          <w:szCs w:val="21"/>
        </w:rPr>
        <w:br/>
      </w:r>
    </w:p>
    <w:p w14:paraId="11FBD63E" w14:textId="0FB47AB4" w:rsidR="00C1749E" w:rsidRPr="00951687" w:rsidRDefault="00C1749E"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2948B664" w14:textId="7A56F69D" w:rsidR="00BF7345" w:rsidRDefault="00BF7345" w:rsidP="00BF7345">
      <w:pPr>
        <w:pStyle w:val="Body"/>
      </w:pPr>
      <w:r>
        <w:t>It is important that all consumers who receive a face to face mental health assessment within the Emergency Department are registered in CMI in accordance with PMC - Registration of mental health consumers, March 2021 and contacts recorded accordingly.  This change to registration occurred in response to coronial recommendations specifically addressing the risks presented by repeated presentations of consumers across emergency departments for mental health care.</w:t>
      </w:r>
    </w:p>
    <w:p w14:paraId="753FDCFE" w14:textId="7C613CFE" w:rsidR="00BF7345" w:rsidRDefault="00BF7345" w:rsidP="00BF7345">
      <w:pPr>
        <w:pStyle w:val="Body"/>
      </w:pPr>
      <w:r>
        <w:t>As stated, admitted activity should be reported through VAED in accordance with HDSS Bulletin 258 and ambulatory face to face mental health activity should be reported in accordance with the</w:t>
      </w:r>
      <w:r w:rsidR="00567FB5">
        <w:t xml:space="preserve"> requirements of the</w:t>
      </w:r>
      <w:r>
        <w:t xml:space="preserve"> PMC, Registration of mental health consumers</w:t>
      </w:r>
      <w:r w:rsidR="00567FB5">
        <w:t>, March 2021</w:t>
      </w:r>
      <w:r>
        <w:t xml:space="preserve">.  </w:t>
      </w:r>
    </w:p>
    <w:p w14:paraId="2743B8DB" w14:textId="271AAA18" w:rsidR="00BF7345" w:rsidRDefault="00BF7345" w:rsidP="00BF7345">
      <w:pPr>
        <w:pStyle w:val="Body"/>
      </w:pPr>
      <w:r>
        <w:lastRenderedPageBreak/>
        <w:t xml:space="preserve">All </w:t>
      </w:r>
      <w:r w:rsidR="004D5A15">
        <w:t xml:space="preserve">mental health </w:t>
      </w:r>
      <w:r>
        <w:t xml:space="preserve">non admitted activity within the ED MH AOD hub, including contact or restraint </w:t>
      </w:r>
      <w:r w:rsidR="004D5A15">
        <w:t xml:space="preserve">of </w:t>
      </w:r>
      <w:r w:rsidR="00CD3700">
        <w:t xml:space="preserve">consumers </w:t>
      </w:r>
      <w:r>
        <w:t>should be recorded against the service location of 26 – Mental Health AOD hub.</w:t>
      </w:r>
    </w:p>
    <w:p w14:paraId="5FF3EB6D" w14:textId="2ED59F3A" w:rsidR="00BF7345" w:rsidRDefault="00567FB5" w:rsidP="00BF7345">
      <w:pPr>
        <w:pStyle w:val="Body"/>
      </w:pPr>
      <w:r>
        <w:t>All registered consumers seen by an ambulatory mental health service are to have contacts recorded in CMI/ODS.  Diagnoses, phase of care and outcome measures are also required for ambulatory consumers</w:t>
      </w:r>
      <w:r w:rsidR="0091635C">
        <w:t xml:space="preserve"> as per previous advice</w:t>
      </w:r>
      <w:r>
        <w:t>.</w:t>
      </w:r>
    </w:p>
    <w:p w14:paraId="27B928F6" w14:textId="77777777" w:rsidR="004D5A15" w:rsidRDefault="004D5A15" w:rsidP="00BF7345">
      <w:pPr>
        <w:pStyle w:val="Body"/>
      </w:pPr>
    </w:p>
    <w:p w14:paraId="0E31FCA2" w14:textId="053A4AB2" w:rsidR="00BF7345" w:rsidRDefault="00BF7345" w:rsidP="00BF7345">
      <w:pPr>
        <w:pStyle w:val="Heading2"/>
      </w:pPr>
      <w:r>
        <w:t>Subcentre / Program Setup</w:t>
      </w:r>
    </w:p>
    <w:p w14:paraId="28503122" w14:textId="55011639" w:rsidR="00BF7345" w:rsidRDefault="00BF7345" w:rsidP="00BF7345">
      <w:pPr>
        <w:pStyle w:val="Body"/>
      </w:pPr>
      <w:r>
        <w:t xml:space="preserve">This subcentre and program is to be used for ED MH AOD hub non admitted </w:t>
      </w:r>
      <w:r w:rsidR="003A60BB">
        <w:t xml:space="preserve">mental  health </w:t>
      </w:r>
      <w:r>
        <w:t>assessment and outreach activity reporting.  Phase of Care and outcome measures are required.</w:t>
      </w:r>
    </w:p>
    <w:p w14:paraId="38838E0F" w14:textId="4DD71E85" w:rsidR="0091635C" w:rsidRDefault="0091635C" w:rsidP="00BF7345">
      <w:pPr>
        <w:pStyle w:val="Body"/>
      </w:pPr>
      <w:r>
        <w:t>It is recommended that two Programs be attached to this subcentre – one being for Assessment and the other for Outreach.</w:t>
      </w:r>
    </w:p>
    <w:p w14:paraId="1B78C678" w14:textId="77777777" w:rsidR="0091635C" w:rsidRDefault="0091635C" w:rsidP="00BF7345">
      <w:pPr>
        <w:pStyle w:val="Body"/>
      </w:pPr>
    </w:p>
    <w:p w14:paraId="68823B0C" w14:textId="77777777" w:rsidR="00BF7345" w:rsidRPr="002E2FFA" w:rsidRDefault="00BF7345" w:rsidP="00BF7345">
      <w:pPr>
        <w:pStyle w:val="DHHSbody"/>
        <w:rPr>
          <w:rFonts w:cs="Arial"/>
          <w:b/>
          <w:color w:val="004EA8"/>
          <w:sz w:val="22"/>
        </w:rPr>
      </w:pPr>
      <w:r w:rsidRPr="002E2FFA">
        <w:rPr>
          <w:rFonts w:cs="Arial"/>
          <w:b/>
          <w:color w:val="004EA8"/>
          <w:sz w:val="22"/>
        </w:rPr>
        <w:t>Subcentre</w:t>
      </w:r>
    </w:p>
    <w:tbl>
      <w:tblPr>
        <w:tblStyle w:val="TableGrid"/>
        <w:tblW w:w="10292" w:type="dxa"/>
        <w:tblLayout w:type="fixed"/>
        <w:tblLook w:val="04A0" w:firstRow="1" w:lastRow="0" w:firstColumn="1" w:lastColumn="0" w:noHBand="0" w:noVBand="1"/>
      </w:tblPr>
      <w:tblGrid>
        <w:gridCol w:w="1645"/>
        <w:gridCol w:w="1645"/>
        <w:gridCol w:w="2522"/>
        <w:gridCol w:w="1362"/>
        <w:gridCol w:w="1559"/>
        <w:gridCol w:w="1559"/>
      </w:tblGrid>
      <w:tr w:rsidR="00BF7345" w:rsidRPr="009C53C9" w14:paraId="68E36ED5" w14:textId="77777777" w:rsidTr="00B13476">
        <w:tc>
          <w:tcPr>
            <w:tcW w:w="1645" w:type="dxa"/>
            <w:tcBorders>
              <w:bottom w:val="single" w:sz="4" w:space="0" w:color="auto"/>
            </w:tcBorders>
            <w:shd w:val="clear" w:color="auto" w:fill="DBE5F1" w:themeFill="accent1" w:themeFillTint="33"/>
          </w:tcPr>
          <w:p w14:paraId="672026F4" w14:textId="77777777" w:rsidR="00BF7345" w:rsidRPr="008627EA" w:rsidRDefault="00BF7345" w:rsidP="00DA509F">
            <w:pPr>
              <w:pStyle w:val="DHHSbody"/>
              <w:rPr>
                <w:rFonts w:cs="Arial"/>
                <w:b/>
              </w:rPr>
            </w:pPr>
            <w:r w:rsidRPr="008627EA">
              <w:rPr>
                <w:rFonts w:cs="Arial"/>
                <w:b/>
              </w:rPr>
              <w:t>Subcentre</w:t>
            </w:r>
            <w:r>
              <w:rPr>
                <w:rFonts w:cs="Arial"/>
                <w:b/>
              </w:rPr>
              <w:t xml:space="preserve"> Name</w:t>
            </w:r>
          </w:p>
        </w:tc>
        <w:tc>
          <w:tcPr>
            <w:tcW w:w="1645" w:type="dxa"/>
            <w:tcBorders>
              <w:bottom w:val="single" w:sz="4" w:space="0" w:color="auto"/>
            </w:tcBorders>
            <w:shd w:val="clear" w:color="auto" w:fill="DBE5F1" w:themeFill="accent1" w:themeFillTint="33"/>
          </w:tcPr>
          <w:p w14:paraId="5783588C" w14:textId="77777777" w:rsidR="00BF7345" w:rsidRPr="008627EA" w:rsidRDefault="00BF7345" w:rsidP="00DA509F">
            <w:pPr>
              <w:pStyle w:val="DHHSbody"/>
              <w:rPr>
                <w:rFonts w:cs="Arial"/>
                <w:b/>
              </w:rPr>
            </w:pPr>
            <w:r w:rsidRPr="008627EA">
              <w:rPr>
                <w:rFonts w:cs="Arial"/>
                <w:b/>
              </w:rPr>
              <w:t>Subcentre Type</w:t>
            </w:r>
          </w:p>
        </w:tc>
        <w:tc>
          <w:tcPr>
            <w:tcW w:w="2522" w:type="dxa"/>
            <w:tcBorders>
              <w:bottom w:val="single" w:sz="4" w:space="0" w:color="auto"/>
            </w:tcBorders>
            <w:shd w:val="clear" w:color="auto" w:fill="DBE5F1" w:themeFill="accent1" w:themeFillTint="33"/>
          </w:tcPr>
          <w:p w14:paraId="64E8E101" w14:textId="77777777" w:rsidR="00BF7345" w:rsidRPr="008627EA" w:rsidRDefault="00BF7345" w:rsidP="00DA509F">
            <w:pPr>
              <w:pStyle w:val="DHHSbody"/>
              <w:rPr>
                <w:rFonts w:cs="Arial"/>
                <w:b/>
              </w:rPr>
            </w:pPr>
            <w:r>
              <w:rPr>
                <w:rFonts w:cs="Arial"/>
                <w:b/>
              </w:rPr>
              <w:t>Campus</w:t>
            </w:r>
          </w:p>
        </w:tc>
        <w:tc>
          <w:tcPr>
            <w:tcW w:w="1362" w:type="dxa"/>
            <w:tcBorders>
              <w:bottom w:val="single" w:sz="4" w:space="0" w:color="auto"/>
            </w:tcBorders>
            <w:shd w:val="clear" w:color="auto" w:fill="DBE5F1" w:themeFill="accent1" w:themeFillTint="33"/>
          </w:tcPr>
          <w:p w14:paraId="550CBDA7" w14:textId="77777777" w:rsidR="00BF7345" w:rsidRPr="008627EA" w:rsidRDefault="00BF7345" w:rsidP="00DA509F">
            <w:pPr>
              <w:pStyle w:val="DHHSbody"/>
              <w:rPr>
                <w:rFonts w:cs="Arial"/>
                <w:b/>
              </w:rPr>
            </w:pPr>
            <w:r>
              <w:rPr>
                <w:rFonts w:cs="Arial"/>
                <w:b/>
              </w:rPr>
              <w:t>Program Class</w:t>
            </w:r>
          </w:p>
        </w:tc>
        <w:tc>
          <w:tcPr>
            <w:tcW w:w="1559" w:type="dxa"/>
            <w:tcBorders>
              <w:bottom w:val="single" w:sz="4" w:space="0" w:color="auto"/>
            </w:tcBorders>
            <w:shd w:val="clear" w:color="auto" w:fill="DBE5F1" w:themeFill="accent1" w:themeFillTint="33"/>
          </w:tcPr>
          <w:p w14:paraId="64D484C9" w14:textId="77777777" w:rsidR="00BF7345" w:rsidRPr="008627EA" w:rsidRDefault="00BF7345" w:rsidP="00DA509F">
            <w:pPr>
              <w:pStyle w:val="DHHSbody"/>
              <w:rPr>
                <w:rFonts w:cs="Arial"/>
                <w:b/>
              </w:rPr>
            </w:pPr>
            <w:r w:rsidRPr="008627EA">
              <w:rPr>
                <w:rFonts w:cs="Arial"/>
                <w:b/>
              </w:rPr>
              <w:t>Caseload</w:t>
            </w:r>
          </w:p>
        </w:tc>
        <w:tc>
          <w:tcPr>
            <w:tcW w:w="1559" w:type="dxa"/>
            <w:tcBorders>
              <w:bottom w:val="single" w:sz="4" w:space="0" w:color="auto"/>
            </w:tcBorders>
            <w:shd w:val="clear" w:color="auto" w:fill="DBE5F1" w:themeFill="accent1" w:themeFillTint="33"/>
          </w:tcPr>
          <w:p w14:paraId="47F6FA0C" w14:textId="77777777" w:rsidR="00BF7345" w:rsidRPr="008627EA" w:rsidRDefault="00BF7345" w:rsidP="00DA509F">
            <w:pPr>
              <w:pStyle w:val="DHHSbody"/>
              <w:rPr>
                <w:rFonts w:cs="Arial"/>
                <w:b/>
              </w:rPr>
            </w:pPr>
            <w:r>
              <w:rPr>
                <w:rFonts w:cs="Arial"/>
                <w:b/>
              </w:rPr>
              <w:t>Open Reason</w:t>
            </w:r>
          </w:p>
        </w:tc>
      </w:tr>
      <w:tr w:rsidR="00BF7345" w:rsidRPr="00D63175" w14:paraId="5C16C13B" w14:textId="77777777" w:rsidTr="00B13476">
        <w:tc>
          <w:tcPr>
            <w:tcW w:w="1645" w:type="dxa"/>
            <w:tcBorders>
              <w:top w:val="single" w:sz="4" w:space="0" w:color="auto"/>
              <w:left w:val="single" w:sz="4" w:space="0" w:color="auto"/>
              <w:bottom w:val="single" w:sz="4" w:space="0" w:color="auto"/>
              <w:right w:val="single" w:sz="4" w:space="0" w:color="auto"/>
            </w:tcBorders>
          </w:tcPr>
          <w:p w14:paraId="781FBE5D" w14:textId="77777777" w:rsidR="00BF7345" w:rsidRDefault="00BF7345" w:rsidP="00DA509F">
            <w:pPr>
              <w:rPr>
                <w:rFonts w:eastAsia="Calibri" w:cs="Arial"/>
                <w:color w:val="000000"/>
                <w:sz w:val="20"/>
              </w:rPr>
            </w:pPr>
            <w:r>
              <w:rPr>
                <w:rFonts w:eastAsia="Calibri" w:cs="Arial"/>
                <w:color w:val="000000"/>
                <w:sz w:val="20"/>
              </w:rPr>
              <w:t>MH/AOD  Hub</w:t>
            </w:r>
          </w:p>
          <w:p w14:paraId="74D6DF95" w14:textId="77777777" w:rsidR="00BF7345" w:rsidRDefault="00BF7345" w:rsidP="00DA509F">
            <w:pPr>
              <w:rPr>
                <w:rFonts w:eastAsia="Calibri" w:cs="Arial"/>
                <w:color w:val="000000"/>
                <w:sz w:val="20"/>
              </w:rPr>
            </w:pPr>
          </w:p>
        </w:tc>
        <w:tc>
          <w:tcPr>
            <w:tcW w:w="1645" w:type="dxa"/>
            <w:tcBorders>
              <w:top w:val="single" w:sz="4" w:space="0" w:color="auto"/>
              <w:left w:val="single" w:sz="4" w:space="0" w:color="auto"/>
              <w:bottom w:val="single" w:sz="4" w:space="0" w:color="auto"/>
              <w:right w:val="single" w:sz="4" w:space="0" w:color="auto"/>
            </w:tcBorders>
          </w:tcPr>
          <w:p w14:paraId="724C433F" w14:textId="77777777" w:rsidR="00BF7345" w:rsidRPr="002E2FFA" w:rsidRDefault="00BF7345" w:rsidP="00DA509F">
            <w:pPr>
              <w:rPr>
                <w:rFonts w:eastAsia="Calibri" w:cs="Arial"/>
                <w:color w:val="000000"/>
                <w:sz w:val="20"/>
              </w:rPr>
            </w:pPr>
            <w:r>
              <w:rPr>
                <w:rFonts w:eastAsia="Calibri" w:cs="Arial"/>
                <w:color w:val="000000"/>
                <w:sz w:val="20"/>
              </w:rPr>
              <w:t>Community</w:t>
            </w:r>
          </w:p>
        </w:tc>
        <w:tc>
          <w:tcPr>
            <w:tcW w:w="2522" w:type="dxa"/>
            <w:tcBorders>
              <w:top w:val="single" w:sz="4" w:space="0" w:color="auto"/>
              <w:left w:val="single" w:sz="4" w:space="0" w:color="auto"/>
              <w:bottom w:val="single" w:sz="4" w:space="0" w:color="auto"/>
              <w:right w:val="single" w:sz="4" w:space="0" w:color="auto"/>
            </w:tcBorders>
          </w:tcPr>
          <w:p w14:paraId="72BCCC48" w14:textId="77777777" w:rsidR="00BF7345" w:rsidRPr="002E2FFA" w:rsidRDefault="00BF7345" w:rsidP="00DA509F">
            <w:pPr>
              <w:rPr>
                <w:rFonts w:eastAsia="Calibri" w:cs="Arial"/>
                <w:color w:val="000000"/>
                <w:sz w:val="20"/>
              </w:rPr>
            </w:pPr>
            <w:r>
              <w:rPr>
                <w:rFonts w:eastAsia="Calibri" w:cs="Arial"/>
                <w:color w:val="000000"/>
                <w:sz w:val="20"/>
              </w:rPr>
              <w:t>[The CMI/ODS campus where the Emergency Department MH/AOD hub will be located]</w:t>
            </w:r>
          </w:p>
        </w:tc>
        <w:tc>
          <w:tcPr>
            <w:tcW w:w="1362" w:type="dxa"/>
            <w:tcBorders>
              <w:top w:val="single" w:sz="4" w:space="0" w:color="auto"/>
              <w:left w:val="single" w:sz="4" w:space="0" w:color="auto"/>
              <w:bottom w:val="single" w:sz="4" w:space="0" w:color="auto"/>
              <w:right w:val="single" w:sz="4" w:space="0" w:color="auto"/>
            </w:tcBorders>
          </w:tcPr>
          <w:p w14:paraId="4FF5E4DC" w14:textId="77777777" w:rsidR="00BF7345" w:rsidRPr="002E2FFA" w:rsidRDefault="00BF7345" w:rsidP="00DA509F">
            <w:pPr>
              <w:rPr>
                <w:rFonts w:eastAsia="Calibri" w:cs="Arial"/>
                <w:color w:val="000000"/>
                <w:sz w:val="20"/>
              </w:rPr>
            </w:pPr>
            <w:r>
              <w:rPr>
                <w:rFonts w:eastAsia="Calibri" w:cs="Arial"/>
                <w:color w:val="000000"/>
                <w:sz w:val="20"/>
              </w:rPr>
              <w:t>Community</w:t>
            </w:r>
          </w:p>
        </w:tc>
        <w:tc>
          <w:tcPr>
            <w:tcW w:w="1559" w:type="dxa"/>
            <w:tcBorders>
              <w:top w:val="single" w:sz="4" w:space="0" w:color="auto"/>
              <w:left w:val="single" w:sz="4" w:space="0" w:color="auto"/>
              <w:bottom w:val="single" w:sz="4" w:space="0" w:color="auto"/>
              <w:right w:val="single" w:sz="4" w:space="0" w:color="auto"/>
            </w:tcBorders>
          </w:tcPr>
          <w:p w14:paraId="2759ABC2" w14:textId="77777777" w:rsidR="00BF7345" w:rsidRPr="002E2FFA" w:rsidRDefault="00BF7345" w:rsidP="00DA509F">
            <w:pPr>
              <w:rPr>
                <w:rFonts w:eastAsia="Calibri" w:cs="Arial"/>
                <w:color w:val="000000"/>
                <w:sz w:val="20"/>
              </w:rPr>
            </w:pPr>
            <w:r w:rsidRPr="002E2FFA">
              <w:rPr>
                <w:rFonts w:eastAsia="Calibri" w:cs="Arial"/>
                <w:color w:val="000000"/>
                <w:sz w:val="20"/>
              </w:rPr>
              <w:t>Not Required</w:t>
            </w:r>
          </w:p>
        </w:tc>
        <w:tc>
          <w:tcPr>
            <w:tcW w:w="1559" w:type="dxa"/>
            <w:tcBorders>
              <w:top w:val="single" w:sz="4" w:space="0" w:color="auto"/>
              <w:left w:val="single" w:sz="4" w:space="0" w:color="auto"/>
              <w:bottom w:val="single" w:sz="4" w:space="0" w:color="auto"/>
              <w:right w:val="single" w:sz="4" w:space="0" w:color="auto"/>
            </w:tcBorders>
          </w:tcPr>
          <w:p w14:paraId="361EF12B" w14:textId="77777777" w:rsidR="00BF7345" w:rsidRPr="002E2FFA" w:rsidRDefault="00BF7345" w:rsidP="00DA509F">
            <w:pPr>
              <w:rPr>
                <w:rFonts w:eastAsia="Calibri" w:cs="Arial"/>
                <w:color w:val="000000"/>
                <w:sz w:val="20"/>
              </w:rPr>
            </w:pPr>
            <w:r>
              <w:rPr>
                <w:rFonts w:eastAsia="Calibri" w:cs="Arial"/>
                <w:color w:val="000000"/>
                <w:sz w:val="20"/>
              </w:rPr>
              <w:t>New Service</w:t>
            </w:r>
          </w:p>
        </w:tc>
      </w:tr>
    </w:tbl>
    <w:p w14:paraId="19A4AF09" w14:textId="0BFD6898" w:rsidR="00BF7345" w:rsidRDefault="00BF7345" w:rsidP="00BF7345">
      <w:pPr>
        <w:pStyle w:val="Body"/>
      </w:pPr>
    </w:p>
    <w:p w14:paraId="51336BDD" w14:textId="77777777" w:rsidR="00CD3700" w:rsidRDefault="00CD3700" w:rsidP="00CD3700">
      <w:pPr>
        <w:pStyle w:val="DHHSbody"/>
        <w:rPr>
          <w:rFonts w:cs="Arial"/>
          <w:b/>
          <w:color w:val="004EA8"/>
          <w:sz w:val="22"/>
        </w:rPr>
      </w:pPr>
      <w:r>
        <w:rPr>
          <w:rFonts w:cs="Arial"/>
          <w:b/>
          <w:color w:val="004EA8"/>
          <w:sz w:val="22"/>
        </w:rPr>
        <w:t>Program</w:t>
      </w:r>
    </w:p>
    <w:tbl>
      <w:tblPr>
        <w:tblStyle w:val="TableGrid"/>
        <w:tblW w:w="10201" w:type="dxa"/>
        <w:tblLayout w:type="fixed"/>
        <w:tblLook w:val="04A0" w:firstRow="1" w:lastRow="0" w:firstColumn="1" w:lastColumn="0" w:noHBand="0" w:noVBand="1"/>
      </w:tblPr>
      <w:tblGrid>
        <w:gridCol w:w="1413"/>
        <w:gridCol w:w="1559"/>
        <w:gridCol w:w="1418"/>
        <w:gridCol w:w="1134"/>
        <w:gridCol w:w="1134"/>
        <w:gridCol w:w="992"/>
        <w:gridCol w:w="1276"/>
        <w:gridCol w:w="1275"/>
      </w:tblGrid>
      <w:tr w:rsidR="0091635C" w:rsidRPr="00D87E05" w14:paraId="706C0AAC" w14:textId="77777777" w:rsidTr="0091635C">
        <w:trPr>
          <w:trHeight w:val="563"/>
        </w:trPr>
        <w:tc>
          <w:tcPr>
            <w:tcW w:w="1413" w:type="dxa"/>
            <w:tcBorders>
              <w:left w:val="single" w:sz="4" w:space="0" w:color="auto"/>
              <w:bottom w:val="single" w:sz="4" w:space="0" w:color="auto"/>
              <w:right w:val="single" w:sz="4" w:space="0" w:color="auto"/>
            </w:tcBorders>
            <w:shd w:val="clear" w:color="auto" w:fill="DBE5F1" w:themeFill="accent1" w:themeFillTint="33"/>
          </w:tcPr>
          <w:p w14:paraId="469F6C34" w14:textId="1A6152D2" w:rsidR="0091635C" w:rsidRPr="00D87E05" w:rsidRDefault="0091635C" w:rsidP="00DA509F">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13CF8D89" w14:textId="07A10091" w:rsidR="0091635C" w:rsidRPr="00D87E05" w:rsidRDefault="0091635C" w:rsidP="00DA509F">
            <w:pPr>
              <w:pStyle w:val="DHHSbody"/>
              <w:rPr>
                <w:b/>
              </w:rPr>
            </w:pPr>
            <w:r w:rsidRPr="00D87E05">
              <w:rPr>
                <w:b/>
              </w:rPr>
              <w:t>Classification</w:t>
            </w:r>
          </w:p>
        </w:tc>
        <w:tc>
          <w:tcPr>
            <w:tcW w:w="1418" w:type="dxa"/>
            <w:tcBorders>
              <w:left w:val="single" w:sz="4" w:space="0" w:color="auto"/>
              <w:bottom w:val="single" w:sz="4" w:space="0" w:color="auto"/>
              <w:right w:val="single" w:sz="4" w:space="0" w:color="auto"/>
            </w:tcBorders>
            <w:shd w:val="clear" w:color="auto" w:fill="DBE5F1" w:themeFill="accent1" w:themeFillTint="33"/>
          </w:tcPr>
          <w:p w14:paraId="1C757080" w14:textId="77777777" w:rsidR="0091635C" w:rsidRPr="00D87E05" w:rsidRDefault="0091635C" w:rsidP="00DA509F">
            <w:pPr>
              <w:pStyle w:val="DHHSbody"/>
              <w:rPr>
                <w:b/>
              </w:rPr>
            </w:pPr>
            <w:r>
              <w:rPr>
                <w:b/>
              </w:rPr>
              <w:t xml:space="preserve">Program </w:t>
            </w:r>
            <w:r w:rsidRPr="00D87E05">
              <w:rPr>
                <w:b/>
              </w:rPr>
              <w:t>Type</w:t>
            </w:r>
          </w:p>
        </w:tc>
        <w:tc>
          <w:tcPr>
            <w:tcW w:w="1134" w:type="dxa"/>
            <w:tcBorders>
              <w:left w:val="single" w:sz="4" w:space="0" w:color="auto"/>
              <w:bottom w:val="single" w:sz="4" w:space="0" w:color="auto"/>
              <w:right w:val="single" w:sz="4" w:space="0" w:color="auto"/>
            </w:tcBorders>
            <w:shd w:val="clear" w:color="auto" w:fill="DBE5F1" w:themeFill="accent1" w:themeFillTint="33"/>
          </w:tcPr>
          <w:p w14:paraId="6069AD06" w14:textId="77777777" w:rsidR="0091635C" w:rsidRPr="00D87E05" w:rsidRDefault="0091635C" w:rsidP="00DA509F">
            <w:pPr>
              <w:pStyle w:val="DHHSbody"/>
              <w:rPr>
                <w:b/>
              </w:rPr>
            </w:pPr>
            <w:r w:rsidRPr="00D87E05">
              <w:rPr>
                <w:b/>
              </w:rPr>
              <w:t>Target Population</w:t>
            </w:r>
          </w:p>
        </w:tc>
        <w:tc>
          <w:tcPr>
            <w:tcW w:w="1134" w:type="dxa"/>
            <w:tcBorders>
              <w:left w:val="single" w:sz="4" w:space="0" w:color="auto"/>
              <w:bottom w:val="single" w:sz="4" w:space="0" w:color="auto"/>
              <w:right w:val="single" w:sz="4" w:space="0" w:color="auto"/>
            </w:tcBorders>
            <w:shd w:val="clear" w:color="auto" w:fill="DBE5F1" w:themeFill="accent1" w:themeFillTint="33"/>
          </w:tcPr>
          <w:p w14:paraId="511FA6CE" w14:textId="77777777" w:rsidR="0091635C" w:rsidRPr="00D87E05" w:rsidRDefault="0091635C" w:rsidP="00DA509F">
            <w:pPr>
              <w:pStyle w:val="DHHSbody"/>
              <w:rPr>
                <w:b/>
              </w:rPr>
            </w:pPr>
            <w:r w:rsidRPr="00D87E05">
              <w:rPr>
                <w:b/>
              </w:rPr>
              <w:t>Fund Source</w:t>
            </w:r>
          </w:p>
        </w:tc>
        <w:tc>
          <w:tcPr>
            <w:tcW w:w="992" w:type="dxa"/>
            <w:tcBorders>
              <w:left w:val="single" w:sz="4" w:space="0" w:color="auto"/>
              <w:bottom w:val="single" w:sz="4" w:space="0" w:color="auto"/>
              <w:right w:val="single" w:sz="4" w:space="0" w:color="auto"/>
            </w:tcBorders>
            <w:shd w:val="clear" w:color="auto" w:fill="DBE5F1" w:themeFill="accent1" w:themeFillTint="33"/>
          </w:tcPr>
          <w:p w14:paraId="464F0EB1" w14:textId="77777777" w:rsidR="0091635C" w:rsidRPr="00D87E05" w:rsidRDefault="0091635C" w:rsidP="00DA509F">
            <w:pPr>
              <w:pStyle w:val="DHHSbody"/>
              <w:rPr>
                <w:b/>
              </w:rPr>
            </w:pPr>
            <w:r w:rsidRPr="00D87E05">
              <w:rPr>
                <w:b/>
              </w:rPr>
              <w:t>AMHS</w:t>
            </w:r>
          </w:p>
        </w:tc>
        <w:tc>
          <w:tcPr>
            <w:tcW w:w="1276" w:type="dxa"/>
            <w:tcBorders>
              <w:left w:val="single" w:sz="4" w:space="0" w:color="auto"/>
              <w:bottom w:val="single" w:sz="4" w:space="0" w:color="auto"/>
            </w:tcBorders>
            <w:shd w:val="clear" w:color="auto" w:fill="DBE5F1" w:themeFill="accent1" w:themeFillTint="33"/>
          </w:tcPr>
          <w:p w14:paraId="61F37EAE" w14:textId="77777777" w:rsidR="0091635C" w:rsidRPr="00D87E05" w:rsidRDefault="0091635C" w:rsidP="00DA509F">
            <w:pPr>
              <w:pStyle w:val="DHHSbody"/>
              <w:rPr>
                <w:b/>
              </w:rPr>
            </w:pPr>
            <w:r w:rsidRPr="00D87E05">
              <w:rPr>
                <w:b/>
              </w:rPr>
              <w:t>Start Date</w:t>
            </w:r>
          </w:p>
        </w:tc>
        <w:tc>
          <w:tcPr>
            <w:tcW w:w="1275" w:type="dxa"/>
            <w:tcBorders>
              <w:left w:val="single" w:sz="4" w:space="0" w:color="auto"/>
              <w:bottom w:val="single" w:sz="4" w:space="0" w:color="auto"/>
            </w:tcBorders>
            <w:shd w:val="clear" w:color="auto" w:fill="DBE5F1" w:themeFill="accent1" w:themeFillTint="33"/>
          </w:tcPr>
          <w:p w14:paraId="554FC601" w14:textId="77777777" w:rsidR="0091635C" w:rsidRPr="00D87E05" w:rsidRDefault="0091635C" w:rsidP="00DA509F">
            <w:pPr>
              <w:pStyle w:val="DHHSbody"/>
              <w:rPr>
                <w:b/>
              </w:rPr>
            </w:pPr>
            <w:r>
              <w:rPr>
                <w:b/>
              </w:rPr>
              <w:t>PoC &amp; OM</w:t>
            </w:r>
          </w:p>
        </w:tc>
      </w:tr>
      <w:tr w:rsidR="0091635C" w14:paraId="37705185" w14:textId="77777777" w:rsidTr="0091635C">
        <w:trPr>
          <w:trHeight w:val="1241"/>
        </w:trPr>
        <w:tc>
          <w:tcPr>
            <w:tcW w:w="1413" w:type="dxa"/>
            <w:tcBorders>
              <w:bottom w:val="single" w:sz="4" w:space="0" w:color="auto"/>
            </w:tcBorders>
          </w:tcPr>
          <w:p w14:paraId="2BE4EFAE" w14:textId="77777777" w:rsidR="0091635C" w:rsidRDefault="0091635C" w:rsidP="00DA509F">
            <w:pPr>
              <w:pStyle w:val="DHHSbody"/>
              <w:rPr>
                <w:rFonts w:eastAsia="Calibri" w:cs="Arial"/>
                <w:color w:val="000000"/>
              </w:rPr>
            </w:pPr>
            <w:r>
              <w:rPr>
                <w:rFonts w:eastAsia="Calibri" w:cs="Arial"/>
                <w:color w:val="000000"/>
              </w:rPr>
              <w:t>Assessment</w:t>
            </w:r>
          </w:p>
          <w:p w14:paraId="3C471357" w14:textId="6EE7F3ED" w:rsidR="0091635C" w:rsidRPr="006450BF" w:rsidRDefault="0091635C" w:rsidP="00DA509F">
            <w:pPr>
              <w:pStyle w:val="DHHSbody"/>
              <w:rPr>
                <w:rFonts w:eastAsia="Calibri" w:cs="Arial"/>
                <w:color w:val="000000"/>
              </w:rPr>
            </w:pPr>
            <w:r>
              <w:rPr>
                <w:rFonts w:eastAsia="Calibri" w:cs="Arial"/>
                <w:color w:val="000000"/>
              </w:rPr>
              <w:t>Outreach</w:t>
            </w:r>
          </w:p>
        </w:tc>
        <w:tc>
          <w:tcPr>
            <w:tcW w:w="1559" w:type="dxa"/>
            <w:tcBorders>
              <w:bottom w:val="single" w:sz="4" w:space="0" w:color="auto"/>
            </w:tcBorders>
          </w:tcPr>
          <w:p w14:paraId="7BE2616A" w14:textId="6D06E333" w:rsidR="0091635C" w:rsidRDefault="0091635C" w:rsidP="00DA509F">
            <w:pPr>
              <w:pStyle w:val="DHHSbody"/>
            </w:pPr>
            <w:r w:rsidRPr="006450BF">
              <w:rPr>
                <w:rFonts w:eastAsia="Calibri" w:cs="Arial"/>
                <w:color w:val="000000"/>
              </w:rPr>
              <w:t>Community</w:t>
            </w:r>
          </w:p>
        </w:tc>
        <w:tc>
          <w:tcPr>
            <w:tcW w:w="1418" w:type="dxa"/>
            <w:tcBorders>
              <w:bottom w:val="single" w:sz="4" w:space="0" w:color="auto"/>
            </w:tcBorders>
          </w:tcPr>
          <w:p w14:paraId="36C0264E" w14:textId="7469C039" w:rsidR="0091635C" w:rsidRDefault="0091635C" w:rsidP="00DA509F">
            <w:pPr>
              <w:pStyle w:val="DHHSbody"/>
            </w:pPr>
            <w:r>
              <w:t xml:space="preserve">CS5 - </w:t>
            </w:r>
            <w:r w:rsidRPr="00CD3700">
              <w:t>Comm, AOD Mental Health hub - Adult</w:t>
            </w:r>
          </w:p>
        </w:tc>
        <w:tc>
          <w:tcPr>
            <w:tcW w:w="1134" w:type="dxa"/>
            <w:tcBorders>
              <w:bottom w:val="single" w:sz="4" w:space="0" w:color="auto"/>
            </w:tcBorders>
          </w:tcPr>
          <w:p w14:paraId="048A4F7D" w14:textId="77777777" w:rsidR="0091635C" w:rsidRDefault="0091635C" w:rsidP="00DA509F">
            <w:pPr>
              <w:pStyle w:val="DHHSbody"/>
            </w:pPr>
            <w:r>
              <w:t>Non specific</w:t>
            </w:r>
          </w:p>
        </w:tc>
        <w:tc>
          <w:tcPr>
            <w:tcW w:w="1134" w:type="dxa"/>
            <w:tcBorders>
              <w:bottom w:val="single" w:sz="4" w:space="0" w:color="auto"/>
            </w:tcBorders>
          </w:tcPr>
          <w:p w14:paraId="49181705" w14:textId="77777777" w:rsidR="0091635C" w:rsidRDefault="0091635C" w:rsidP="00DA509F">
            <w:pPr>
              <w:pStyle w:val="DHHSbody"/>
            </w:pPr>
            <w:r w:rsidRPr="00861122">
              <w:t>Adult Continuing Care</w:t>
            </w:r>
          </w:p>
        </w:tc>
        <w:tc>
          <w:tcPr>
            <w:tcW w:w="992" w:type="dxa"/>
            <w:tcBorders>
              <w:bottom w:val="single" w:sz="4" w:space="0" w:color="auto"/>
            </w:tcBorders>
          </w:tcPr>
          <w:p w14:paraId="3C3805E4" w14:textId="77777777" w:rsidR="0091635C" w:rsidRDefault="0091635C" w:rsidP="00DA509F">
            <w:pPr>
              <w:pStyle w:val="DHHSbody"/>
            </w:pPr>
            <w:r>
              <w:t>(Local Service)</w:t>
            </w:r>
          </w:p>
        </w:tc>
        <w:tc>
          <w:tcPr>
            <w:tcW w:w="1276" w:type="dxa"/>
            <w:tcBorders>
              <w:bottom w:val="single" w:sz="4" w:space="0" w:color="auto"/>
            </w:tcBorders>
          </w:tcPr>
          <w:p w14:paraId="4C46C4F5" w14:textId="77777777" w:rsidR="0091635C" w:rsidRDefault="0091635C" w:rsidP="00DA509F">
            <w:pPr>
              <w:pStyle w:val="DHHSbody"/>
            </w:pPr>
            <w:r>
              <w:t>When program commenced at service</w:t>
            </w:r>
          </w:p>
        </w:tc>
        <w:tc>
          <w:tcPr>
            <w:tcW w:w="1275" w:type="dxa"/>
            <w:tcBorders>
              <w:bottom w:val="single" w:sz="4" w:space="0" w:color="auto"/>
            </w:tcBorders>
          </w:tcPr>
          <w:p w14:paraId="51FECFA2" w14:textId="77777777" w:rsidR="0091635C" w:rsidRDefault="0091635C" w:rsidP="00DA509F">
            <w:pPr>
              <w:pStyle w:val="DHHSbody"/>
              <w:jc w:val="center"/>
            </w:pPr>
            <w:r>
              <w:t>Yes</w:t>
            </w:r>
          </w:p>
        </w:tc>
      </w:tr>
    </w:tbl>
    <w:p w14:paraId="13A23762" w14:textId="77777777" w:rsidR="00CD3700" w:rsidRPr="00BF7345" w:rsidRDefault="00CD3700" w:rsidP="00BF7345">
      <w:pPr>
        <w:pStyle w:val="Body"/>
      </w:pPr>
    </w:p>
    <w:p w14:paraId="49235BFA" w14:textId="2FE8C1B1" w:rsidR="00BF7345" w:rsidRDefault="00CD3700" w:rsidP="00CD3700">
      <w:pPr>
        <w:pStyle w:val="Heading2"/>
      </w:pPr>
      <w:r>
        <w:t>Restraint</w:t>
      </w:r>
    </w:p>
    <w:p w14:paraId="0F5B6DA2" w14:textId="139AAD8E" w:rsidR="00CD3700" w:rsidRDefault="00CD3700" w:rsidP="00CD3700">
      <w:pPr>
        <w:pStyle w:val="Body"/>
      </w:pPr>
      <w:r>
        <w:t xml:space="preserve">As a reminder, </w:t>
      </w:r>
      <w:r w:rsidR="003A60BB">
        <w:t xml:space="preserve">if a restraint intervention is undertaken in the ED MH AOD hub, </w:t>
      </w:r>
      <w:r>
        <w:t>a new restraint episode is required to be recorded for each new service location of the restraint.  For example, if restraint commenced in the Emergency Department and then within an acute mental health episode, this would be recorded as two separate restraint events.</w:t>
      </w:r>
    </w:p>
    <w:p w14:paraId="7D77BB57" w14:textId="755AFD86" w:rsidR="002D6FED" w:rsidRPr="002D6FED" w:rsidRDefault="002D6FED" w:rsidP="002D6FED"/>
    <w:p w14:paraId="3EBD06E0" w14:textId="74BD8954" w:rsidR="002D6FED" w:rsidRPr="002D6FED" w:rsidRDefault="002D6FED" w:rsidP="002D6FED"/>
    <w:p w14:paraId="264A4012" w14:textId="0988C364" w:rsidR="002D6FED" w:rsidRPr="002D6FED" w:rsidRDefault="002D6FED" w:rsidP="002D6FED"/>
    <w:p w14:paraId="5EBC866D" w14:textId="017DFF29" w:rsidR="002D6FED" w:rsidRPr="002D6FED" w:rsidRDefault="002D6FED" w:rsidP="002D6FED"/>
    <w:p w14:paraId="59B26929" w14:textId="2C793C9D" w:rsidR="002D6FED" w:rsidRPr="002D6FED" w:rsidRDefault="002D6FED" w:rsidP="002D6FED"/>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lastRenderedPageBreak/>
        <w:t>For More Information</w:t>
      </w:r>
    </w:p>
    <w:p w14:paraId="10163FFF" w14:textId="399E0401" w:rsidR="00A304EA" w:rsidRPr="006B6A18" w:rsidRDefault="00A304EA" w:rsidP="00A304EA">
      <w:pPr>
        <w:pStyle w:val="Heading1"/>
        <w:spacing w:before="0" w:line="276" w:lineRule="auto"/>
        <w:rPr>
          <w:rFonts w:eastAsia="Times"/>
          <w:bCs w:val="0"/>
          <w:color w:val="auto"/>
          <w:kern w:val="0"/>
          <w:sz w:val="20"/>
          <w:szCs w:val="20"/>
        </w:rPr>
      </w:pPr>
      <w:r w:rsidRPr="006B6A18">
        <w:rPr>
          <w:rFonts w:eastAsia="Times"/>
          <w:bCs w:val="0"/>
          <w:color w:val="auto"/>
          <w:kern w:val="0"/>
          <w:sz w:val="20"/>
          <w:szCs w:val="20"/>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6B6A18">
          <w:rPr>
            <w:rStyle w:val="Hyperlink"/>
            <w:sz w:val="20"/>
            <w:szCs w:val="20"/>
          </w:rPr>
          <w:t>https://www.health.vic.gov.au/research-and-reporting/bulletins-and-program-management-circulars-pmc</w:t>
        </w:r>
      </w:hyperlink>
    </w:p>
    <w:p w14:paraId="40A1C180" w14:textId="7C594A22" w:rsidR="00A304EA" w:rsidRPr="006B6A18" w:rsidRDefault="00A304EA" w:rsidP="00A304EA">
      <w:pPr>
        <w:pStyle w:val="Heading1"/>
        <w:spacing w:before="0" w:line="276" w:lineRule="auto"/>
        <w:rPr>
          <w:rStyle w:val="Hyperlink"/>
          <w:sz w:val="20"/>
          <w:szCs w:val="20"/>
        </w:rPr>
      </w:pPr>
      <w:r w:rsidRPr="006B6A18">
        <w:rPr>
          <w:rFonts w:eastAsia="Times"/>
          <w:bCs w:val="0"/>
          <w:color w:val="auto"/>
          <w:kern w:val="0"/>
          <w:sz w:val="20"/>
          <w:szCs w:val="20"/>
        </w:rPr>
        <w:t xml:space="preserve">For any queries relating to data reporting or program setup please email: </w:t>
      </w:r>
      <w:hyperlink r:id="rId16" w:history="1">
        <w:r w:rsidR="00CD3700" w:rsidRPr="006B6A18">
          <w:rPr>
            <w:rStyle w:val="Hyperlink"/>
            <w:sz w:val="20"/>
            <w:szCs w:val="20"/>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34E11B96" w:rsidR="000C0404" w:rsidRPr="006B6A18" w:rsidRDefault="000C0404" w:rsidP="00113D55">
            <w:pPr>
              <w:pStyle w:val="DHHSaccessibilitypara"/>
              <w:rPr>
                <w:rFonts w:cs="Arial"/>
                <w:sz w:val="20"/>
                <w:szCs w:val="20"/>
              </w:rPr>
            </w:pPr>
            <w:r w:rsidRPr="006B6A18">
              <w:rPr>
                <w:rFonts w:cs="Arial"/>
                <w:sz w:val="20"/>
                <w:szCs w:val="20"/>
              </w:rPr>
              <w:t xml:space="preserve">To receive this publication in an accessible format </w:t>
            </w:r>
            <w:r w:rsidRPr="006B6A18">
              <w:rPr>
                <w:rFonts w:cs="Arial"/>
                <w:color w:val="505050"/>
                <w:sz w:val="20"/>
                <w:szCs w:val="20"/>
                <w:shd w:val="clear" w:color="auto" w:fill="FFFFFF"/>
              </w:rPr>
              <w:t xml:space="preserve">please </w:t>
            </w:r>
            <w:hyperlink r:id="rId17" w:history="1">
              <w:r w:rsidRPr="006B6A18">
                <w:rPr>
                  <w:rStyle w:val="Hyperlink"/>
                  <w:rFonts w:cs="Arial"/>
                  <w:sz w:val="20"/>
                  <w:szCs w:val="20"/>
                  <w:shd w:val="clear" w:color="auto" w:fill="FFFFFF"/>
                </w:rPr>
                <w:t>email MHD Reporting</w:t>
              </w:r>
            </w:hyperlink>
            <w:r w:rsidRPr="006B6A18">
              <w:rPr>
                <w:rFonts w:cs="Arial"/>
                <w:color w:val="505050"/>
                <w:sz w:val="20"/>
                <w:szCs w:val="20"/>
                <w:shd w:val="clear" w:color="auto" w:fill="FFFFFF"/>
              </w:rPr>
              <w:t xml:space="preserve"> &lt;</w:t>
            </w:r>
            <w:r w:rsidRPr="006B6A18">
              <w:rPr>
                <w:rFonts w:cs="Arial"/>
                <w:sz w:val="20"/>
                <w:szCs w:val="20"/>
              </w:rPr>
              <w:t>MHDReporting@</w:t>
            </w:r>
            <w:r w:rsidR="00866D94" w:rsidRPr="006B6A18">
              <w:rPr>
                <w:rFonts w:cs="Arial"/>
                <w:sz w:val="20"/>
                <w:szCs w:val="20"/>
              </w:rPr>
              <w:t>health</w:t>
            </w:r>
            <w:r w:rsidRPr="006B6A18">
              <w:rPr>
                <w:rFonts w:cs="Arial"/>
                <w:sz w:val="20"/>
                <w:szCs w:val="20"/>
              </w:rPr>
              <w:t>.vic.gov.au&gt;</w:t>
            </w:r>
          </w:p>
          <w:p w14:paraId="69426989" w14:textId="77777777" w:rsidR="000C0404" w:rsidRPr="006B6A18" w:rsidRDefault="000C0404" w:rsidP="00113D55">
            <w:pPr>
              <w:pStyle w:val="DHHSbody"/>
              <w:rPr>
                <w:rFonts w:cs="Arial"/>
              </w:rPr>
            </w:pPr>
            <w:r w:rsidRPr="006B6A18">
              <w:rPr>
                <w:rFonts w:cs="Arial"/>
              </w:rPr>
              <w:t>Authorised and published by the Victorian Government, 1 Treasury Place, Melbourne.</w:t>
            </w:r>
          </w:p>
          <w:p w14:paraId="33D78C9B" w14:textId="77777777" w:rsidR="000C0404" w:rsidRPr="006B6A18" w:rsidRDefault="000C0404" w:rsidP="00113D55">
            <w:pPr>
              <w:pStyle w:val="DHHSbody"/>
              <w:rPr>
                <w:rFonts w:cs="Arial"/>
              </w:rPr>
            </w:pPr>
            <w:r w:rsidRPr="006B6A18">
              <w:rPr>
                <w:rFonts w:cs="Arial"/>
              </w:rPr>
              <w:t xml:space="preserve">Available at </w:t>
            </w:r>
            <w:hyperlink r:id="rId18" w:history="1">
              <w:r w:rsidRPr="006B6A18">
                <w:rPr>
                  <w:rStyle w:val="Hyperlink"/>
                  <w:rFonts w:cs="Arial"/>
                </w:rPr>
                <w:t>Bulletins and Program Management Circulars (PMC)</w:t>
              </w:r>
            </w:hyperlink>
            <w:r w:rsidRPr="006B6A18">
              <w:rPr>
                <w:rFonts w:cs="Arial"/>
              </w:rPr>
              <w:t xml:space="preserve"> &lt; https://www.health.vic.gov.au/research-and-reporting/bulletins-and-program-management-circulars-pmc&gt;</w:t>
            </w:r>
          </w:p>
          <w:p w14:paraId="6F39D5FF" w14:textId="41510215" w:rsidR="000C0404" w:rsidRPr="006B6A18" w:rsidRDefault="000C0404" w:rsidP="00113D55">
            <w:pPr>
              <w:pStyle w:val="DHHSbody"/>
              <w:rPr>
                <w:rFonts w:cs="Arial"/>
              </w:rPr>
            </w:pPr>
            <w:r w:rsidRPr="006B6A18">
              <w:rPr>
                <w:rFonts w:cs="Arial"/>
              </w:rPr>
              <w:t>© State of Victoria, Department of Health and Human Services, June 2022</w:t>
            </w:r>
          </w:p>
        </w:tc>
      </w:tr>
    </w:tbl>
    <w:p w14:paraId="4D974E2D" w14:textId="77777777" w:rsidR="00162CA9" w:rsidRDefault="00162CA9" w:rsidP="00CD3700">
      <w:pPr>
        <w:pStyle w:val="Body"/>
      </w:pPr>
    </w:p>
    <w:sectPr w:rsidR="00162CA9" w:rsidSect="00CD3700">
      <w:footerReference w:type="default" r:id="rId19"/>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C76C" w14:textId="77777777" w:rsidR="00D17ECC" w:rsidRDefault="00D17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26D96519" w:rsidR="00E261B3" w:rsidRPr="00F65AA9" w:rsidRDefault="00AB7932" w:rsidP="00F84FA0">
    <w:pPr>
      <w:pStyle w:val="Footer"/>
    </w:pPr>
    <w:r>
      <w:rPr>
        <w:noProof/>
        <w:lang w:eastAsia="en-AU"/>
      </w:rPr>
      <mc:AlternateContent>
        <mc:Choice Requires="wps">
          <w:drawing>
            <wp:anchor distT="0" distB="0" distL="114300" distR="114300" simplePos="0" relativeHeight="251663360" behindDoc="0" locked="0" layoutInCell="0" allowOverlap="1" wp14:anchorId="7D08450C" wp14:editId="4D25F65F">
              <wp:simplePos x="0" y="0"/>
              <wp:positionH relativeFrom="page">
                <wp:posOffset>0</wp:posOffset>
              </wp:positionH>
              <wp:positionV relativeFrom="page">
                <wp:posOffset>10189210</wp:posOffset>
              </wp:positionV>
              <wp:extent cx="7560310" cy="311785"/>
              <wp:effectExtent l="0" t="0" r="0" b="12065"/>
              <wp:wrapNone/>
              <wp:docPr id="6" name="MSIPCM28434e9e9a05622b70eb1cf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CF05A" w14:textId="71B18AC4"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08450C" id="_x0000_t202" coordsize="21600,21600" o:spt="202" path="m,l,21600r21600,l21600,xe">
              <v:stroke joinstyle="miter"/>
              <v:path gradientshapeok="t" o:connecttype="rect"/>
            </v:shapetype>
            <v:shape id="MSIPCM28434e9e9a05622b70eb1cf2"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OP1Fq6tAgAARQUAAA4AAAAA&#10;AAAAAAAAAAAALgIAAGRycy9lMm9Eb2MueG1sUEsBAi0AFAAGAAgAAAAhAEgNXprfAAAACwEAAA8A&#10;AAAAAAAAAAAAAAAABwUAAGRycy9kb3ducmV2LnhtbFBLBQYAAAAABAAEAPMAAAATBgAAAAA=&#10;" o:allowincell="f" filled="f" stroked="f" strokeweight=".5pt">
              <v:textbox inset=",0,,0">
                <w:txbxContent>
                  <w:p w14:paraId="631CF05A" w14:textId="71B18AC4"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772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1D1A2CF0" w:rsidR="00E261B3" w:rsidRDefault="00AB7932">
    <w:pPr>
      <w:pStyle w:val="Footer"/>
    </w:pPr>
    <w:r>
      <w:rPr>
        <w:noProof/>
      </w:rPr>
      <mc:AlternateContent>
        <mc:Choice Requires="wps">
          <w:drawing>
            <wp:anchor distT="0" distB="0" distL="114300" distR="114300" simplePos="1" relativeHeight="251664384" behindDoc="0" locked="0" layoutInCell="0" allowOverlap="1" wp14:anchorId="103AB8F3" wp14:editId="4BDAF1D4">
              <wp:simplePos x="0" y="10189687"/>
              <wp:positionH relativeFrom="page">
                <wp:posOffset>0</wp:posOffset>
              </wp:positionH>
              <wp:positionV relativeFrom="page">
                <wp:posOffset>10189210</wp:posOffset>
              </wp:positionV>
              <wp:extent cx="7560310" cy="311785"/>
              <wp:effectExtent l="0" t="0" r="0" b="12065"/>
              <wp:wrapNone/>
              <wp:docPr id="7" name="MSIPCMcf9d4821815d4bbfa037607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FD7AD" w14:textId="24A4610E"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3AB8F3" id="_x0000_t202" coordsize="21600,21600" o:spt="202" path="m,l,21600r21600,l21600,xe">
              <v:stroke joinstyle="miter"/>
              <v:path gradientshapeok="t" o:connecttype="rect"/>
            </v:shapetype>
            <v:shape id="MSIPCMcf9d4821815d4bbfa037607b"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DmDp7+wAgAATgUAAA4A&#10;AAAAAAAAAAAAAAAALgIAAGRycy9lMm9Eb2MueG1sUEsBAi0AFAAGAAgAAAAhAEgNXprfAAAACwEA&#10;AA8AAAAAAAAAAAAAAAAACgUAAGRycy9kb3ducmV2LnhtbFBLBQYAAAAABAAEAPMAAAAWBgAAAAA=&#10;" o:allowincell="f" filled="f" stroked="f" strokeweight=".5pt">
              <v:textbox inset=",0,,0">
                <w:txbxContent>
                  <w:p w14:paraId="26DFD7AD" w14:textId="24A4610E"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1EB35F51" w:rsidR="00373890" w:rsidRPr="00CD3700" w:rsidRDefault="00AB7932" w:rsidP="000C0404">
    <w:pPr>
      <w:pStyle w:val="Footer"/>
      <w:tabs>
        <w:tab w:val="left" w:pos="345"/>
        <w:tab w:val="right" w:pos="10204"/>
      </w:tabs>
      <w:jc w:val="left"/>
    </w:pPr>
    <w:r>
      <w:rPr>
        <w:noProof/>
      </w:rPr>
      <mc:AlternateContent>
        <mc:Choice Requires="wps">
          <w:drawing>
            <wp:anchor distT="0" distB="0" distL="114300" distR="114300" simplePos="0" relativeHeight="251665408" behindDoc="0" locked="0" layoutInCell="0" allowOverlap="1" wp14:anchorId="625C594D" wp14:editId="52349E1C">
              <wp:simplePos x="0" y="0"/>
              <wp:positionH relativeFrom="page">
                <wp:posOffset>0</wp:posOffset>
              </wp:positionH>
              <wp:positionV relativeFrom="page">
                <wp:posOffset>10189210</wp:posOffset>
              </wp:positionV>
              <wp:extent cx="7560310" cy="311785"/>
              <wp:effectExtent l="0" t="0" r="0" b="12065"/>
              <wp:wrapNone/>
              <wp:docPr id="9" name="MSIPCM023a485582f539c581f48f2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C5F1E" w14:textId="24E5FEAB"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5C594D" id="_x0000_t202" coordsize="21600,21600" o:spt="202" path="m,l,21600r21600,l21600,xe">
              <v:stroke joinstyle="miter"/>
              <v:path gradientshapeok="t" o:connecttype="rect"/>
            </v:shapetype>
            <v:shape id="MSIPCM023a485582f539c581f48f21"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IyPZSwAgAATAUAAA4A&#10;AAAAAAAAAAAAAAAALgIAAGRycy9lMm9Eb2MueG1sUEsBAi0AFAAGAAgAAAAhAEgNXprfAAAACwEA&#10;AA8AAAAAAAAAAAAAAAAACgUAAGRycy9kb3ducmV2LnhtbFBLBQYAAAAABAAEAPMAAAAWBgAAAAA=&#10;" o:allowincell="f" filled="f" stroked="f" strokeweight=".5pt">
              <v:textbox inset=",0,,0">
                <w:txbxContent>
                  <w:p w14:paraId="62DC5F1E" w14:textId="24E5FEAB"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r w:rsidR="000C0404">
      <w:rPr>
        <w:noProof/>
      </w:rPr>
      <mc:AlternateContent>
        <mc:Choice Requires="wps">
          <w:drawing>
            <wp:anchor distT="0" distB="0" distL="114300" distR="114300" simplePos="0" relativeHeight="251662336" behindDoc="0" locked="0" layoutInCell="1" allowOverlap="1" wp14:anchorId="1E70E086" wp14:editId="0F8078FF">
              <wp:simplePos x="0" y="0"/>
              <wp:positionH relativeFrom="column">
                <wp:posOffset>-54610</wp:posOffset>
              </wp:positionH>
              <wp:positionV relativeFrom="paragraph">
                <wp:posOffset>33655</wp:posOffset>
              </wp:positionV>
              <wp:extent cx="62484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8400" cy="304800"/>
                      </a:xfrm>
                      <a:prstGeom prst="rect">
                        <a:avLst/>
                      </a:prstGeom>
                      <a:solidFill>
                        <a:schemeClr val="lt1"/>
                      </a:solidFill>
                      <a:ln w="6350">
                        <a:noFill/>
                      </a:ln>
                    </wps:spPr>
                    <wps:txbx>
                      <w:txbxContent>
                        <w:p w14:paraId="77FFC299" w14:textId="1613379C" w:rsidR="000C0404" w:rsidRPr="0051568D" w:rsidRDefault="000C0404" w:rsidP="000C0404">
                          <w:pPr>
                            <w:pStyle w:val="Header"/>
                          </w:pPr>
                          <w:r>
                            <w:t>Mental Health Bulletin 64 – Emergency Department Mental Health &amp; Alcohol and Other Drug (ED MH AOD) Hubs</w:t>
                          </w:r>
                        </w:p>
                        <w:p w14:paraId="4F3006D0" w14:textId="77777777" w:rsidR="000C0404" w:rsidRDefault="000C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Text Box 4" o:spid="_x0000_s1029" type="#_x0000_t202" style="position:absolute;margin-left:-4.3pt;margin-top:2.65pt;width:49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" fillcolor="white [3201]" stroked="f" strokeweight=".5pt">
              <v:textbox>
                <w:txbxContent>
                  <w:p w14:paraId="77FFC299" w14:textId="1613379C" w:rsidR="000C0404" w:rsidRPr="0051568D" w:rsidRDefault="000C0404" w:rsidP="000C0404">
                    <w:pPr>
                      <w:pStyle w:val="Header"/>
                    </w:pPr>
                    <w:r>
                      <w:t>Mental Health Bulletin 64 – Emergency Department Mental Health &amp; Alcohol and Other Drug (ED MH AOD) Hubs</w:t>
                    </w:r>
                  </w:p>
                  <w:p w14:paraId="4F3006D0" w14:textId="77777777" w:rsidR="000C0404" w:rsidRDefault="000C0404"/>
                </w:txbxContent>
              </v:textbox>
            </v:shape>
          </w:pict>
        </mc:Fallback>
      </mc:AlternateContent>
    </w:r>
    <w:r w:rsidR="000C0404">
      <w:tab/>
    </w:r>
    <w:r w:rsidR="000C040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E53A" w14:textId="77777777" w:rsidR="00D17ECC" w:rsidRDefault="00D17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699A" w14:textId="77777777" w:rsidR="00D17ECC" w:rsidRDefault="00D17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70441"/>
      <w:docPartObj>
        <w:docPartGallery w:val="Page Numbers (Top of Page)"/>
        <w:docPartUnique/>
      </w:docPartObj>
    </w:sdtPr>
    <w:sdtEndPr>
      <w:rPr>
        <w:noProof/>
      </w:rPr>
    </w:sdtEndPr>
    <w:sdtContent>
      <w:p w14:paraId="61112280" w14:textId="7468B385" w:rsidR="000C0404" w:rsidRDefault="000C04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7D7676"/>
    <w:multiLevelType w:val="hybridMultilevel"/>
    <w:tmpl w:val="D8B6360C"/>
    <w:lvl w:ilvl="0" w:tplc="7026C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801E16"/>
    <w:multiLevelType w:val="hybridMultilevel"/>
    <w:tmpl w:val="4404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31"/>
  </w:num>
  <w:num w:numId="26">
    <w:abstractNumId w:val="27"/>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7"/>
  </w:num>
  <w:num w:numId="44">
    <w:abstractNumId w:val="35"/>
  </w:num>
  <w:num w:numId="45">
    <w:abstractNumId w:val="16"/>
  </w:num>
  <w:num w:numId="46">
    <w:abstractNumId w:val="22"/>
  </w:num>
  <w:num w:numId="47">
    <w:abstractNumId w:val="20"/>
  </w:num>
  <w:num w:numId="4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73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5A15"/>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18C2"/>
    <w:rsid w:val="006A3383"/>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44882"/>
    <w:rsid w:val="00A45125"/>
    <w:rsid w:val="00A54715"/>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4303</Characters>
  <Application>Microsoft Office Word</Application>
  <DocSecurity>0</DocSecurity>
  <Lines>35</Lines>
  <Paragraphs>10</Paragraphs>
  <ScaleCrop>false</ScaleCrop>
  <Manager/>
  <Company/>
  <LinksUpToDate>false</LinksUpToDate>
  <CharactersWithSpaces>5047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64 - ED MH AOD Hubs</dc:title>
  <dc:subject/>
  <dc:creator/>
  <cp:keywords/>
  <dc:description/>
  <cp:lastModifiedBy/>
  <cp:revision>1</cp:revision>
  <dcterms:created xsi:type="dcterms:W3CDTF">2022-06-21T06:50:00Z</dcterms:created>
  <dcterms:modified xsi:type="dcterms:W3CDTF">2022-06-23T22:23:00Z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2022-06-23T22:23:16Z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1314d97e-d609-4912-b5fc-297543194a43</vt:lpwstr>
  </property>
  <property fmtid="{D5CDD505-2E9C-101B-9397-08002B2CF9AE}" pid="8" name="MSIP_Label_43e64453-338c-4f93-8a4d-0039a0a41f2a_ContentBits">
    <vt:lpwstr>2</vt:lpwstr>
  </property>
</Properties>
</file>