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E1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7C7B2F05" w14:textId="77777777" w:rsidR="003B5733" w:rsidRDefault="00086E97" w:rsidP="008E13F2">
            <w:pPr>
              <w:pStyle w:val="Documenttitle"/>
              <w:spacing w:after="0" w:line="240" w:lineRule="auto"/>
            </w:pPr>
            <w:r>
              <w:t>Subcentre Maintenance in CMI/ODS</w:t>
            </w:r>
          </w:p>
          <w:p w14:paraId="30756B78" w14:textId="77777777" w:rsidR="00086E97" w:rsidRDefault="00086E97" w:rsidP="008E13F2">
            <w:pPr>
              <w:pStyle w:val="Documenttitle"/>
              <w:spacing w:after="0" w:line="240" w:lineRule="auto"/>
            </w:pPr>
            <w:r>
              <w:t>(including PARC)</w:t>
            </w:r>
          </w:p>
          <w:p w14:paraId="4AEF9BCC" w14:textId="2E3E8B5E" w:rsidR="008E13F2" w:rsidRPr="003B5733" w:rsidRDefault="008E13F2" w:rsidP="008E13F2">
            <w:pPr>
              <w:pStyle w:val="Documenttitle"/>
              <w:spacing w:after="0" w:line="240" w:lineRule="auto"/>
            </w:pPr>
          </w:p>
        </w:tc>
      </w:tr>
      <w:tr w:rsidR="003B5733" w14:paraId="6BEFF6E1" w14:textId="77777777" w:rsidTr="00B07FF7">
        <w:tc>
          <w:tcPr>
            <w:tcW w:w="10348" w:type="dxa"/>
          </w:tcPr>
          <w:p w14:paraId="4AF31EC3" w14:textId="1665169F" w:rsidR="003B5733" w:rsidRPr="00A1389F" w:rsidRDefault="00C900B1" w:rsidP="005F44C0">
            <w:pPr>
              <w:pStyle w:val="Documentsubtitle"/>
            </w:pPr>
            <w:r>
              <w:t>Program Management Circular</w:t>
            </w:r>
          </w:p>
        </w:tc>
      </w:tr>
      <w:tr w:rsidR="003B5733" w14:paraId="590F5644" w14:textId="77777777" w:rsidTr="00B07FF7">
        <w:tc>
          <w:tcPr>
            <w:tcW w:w="10348" w:type="dxa"/>
          </w:tcPr>
          <w:p w14:paraId="6FDEFFFC" w14:textId="77777777" w:rsidR="003B5733" w:rsidRPr="001E5058" w:rsidRDefault="008E13F2" w:rsidP="001E5058">
            <w:pPr>
              <w:pStyle w:val="Bannermarking"/>
            </w:pPr>
            <w:fldSimple w:instr=" FILLIN  &quot;Type the protective marking&quot; \d OFFICIAL \o  \* MERGEFORMAT ">
              <w:r w:rsidR="00C900B1">
                <w:t>OFFICIAL</w:t>
              </w:r>
            </w:fldSimple>
          </w:p>
        </w:tc>
      </w:tr>
    </w:tbl>
    <w:p w14:paraId="462131EC" w14:textId="0EDB40B7" w:rsidR="007173CA" w:rsidRDefault="007173CA" w:rsidP="00D079AA">
      <w:pPr>
        <w:pStyle w:val="Body"/>
      </w:pPr>
    </w:p>
    <w:p w14:paraId="6B684611" w14:textId="6DD1515F" w:rsidR="00DB0536" w:rsidRDefault="00DB0536" w:rsidP="00DB0536">
      <w:pPr>
        <w:pStyle w:val="Heading3"/>
      </w:pPr>
      <w:r>
        <w:t>Contents</w:t>
      </w:r>
    </w:p>
    <w:p w14:paraId="35AEC895" w14:textId="6536C3FD" w:rsidR="008E13F2" w:rsidRDefault="00DB0536">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06184478" w:history="1">
        <w:r w:rsidR="008E13F2" w:rsidRPr="00527519">
          <w:rPr>
            <w:rStyle w:val="Hyperlink"/>
          </w:rPr>
          <w:t>Key Message</w:t>
        </w:r>
        <w:r w:rsidR="008E13F2">
          <w:rPr>
            <w:webHidden/>
          </w:rPr>
          <w:tab/>
        </w:r>
        <w:r w:rsidR="008E13F2">
          <w:rPr>
            <w:webHidden/>
          </w:rPr>
          <w:fldChar w:fldCharType="begin"/>
        </w:r>
        <w:r w:rsidR="008E13F2">
          <w:rPr>
            <w:webHidden/>
          </w:rPr>
          <w:instrText xml:space="preserve"> PAGEREF _Toc106184478 \h </w:instrText>
        </w:r>
        <w:r w:rsidR="008E13F2">
          <w:rPr>
            <w:webHidden/>
          </w:rPr>
        </w:r>
        <w:r w:rsidR="008E13F2">
          <w:rPr>
            <w:webHidden/>
          </w:rPr>
          <w:fldChar w:fldCharType="separate"/>
        </w:r>
        <w:r w:rsidR="008E13F2">
          <w:rPr>
            <w:webHidden/>
          </w:rPr>
          <w:t>1</w:t>
        </w:r>
        <w:r w:rsidR="008E13F2">
          <w:rPr>
            <w:webHidden/>
          </w:rPr>
          <w:fldChar w:fldCharType="end"/>
        </w:r>
      </w:hyperlink>
    </w:p>
    <w:p w14:paraId="0D51C6C3" w14:textId="0565D251" w:rsidR="008E13F2" w:rsidRDefault="00630F98">
      <w:pPr>
        <w:pStyle w:val="TOC1"/>
        <w:rPr>
          <w:rFonts w:asciiTheme="minorHAnsi" w:eastAsiaTheme="minorEastAsia" w:hAnsiTheme="minorHAnsi" w:cstheme="minorBidi"/>
          <w:b w:val="0"/>
          <w:sz w:val="22"/>
          <w:szCs w:val="22"/>
          <w:lang w:eastAsia="en-AU"/>
        </w:rPr>
      </w:pPr>
      <w:hyperlink w:anchor="_Toc106184479" w:history="1">
        <w:r w:rsidR="008E13F2" w:rsidRPr="00527519">
          <w:rPr>
            <w:rStyle w:val="Hyperlink"/>
          </w:rPr>
          <w:t>Purpose</w:t>
        </w:r>
        <w:r w:rsidR="008E13F2">
          <w:rPr>
            <w:webHidden/>
          </w:rPr>
          <w:tab/>
        </w:r>
        <w:r w:rsidR="008E13F2">
          <w:rPr>
            <w:webHidden/>
          </w:rPr>
          <w:fldChar w:fldCharType="begin"/>
        </w:r>
        <w:r w:rsidR="008E13F2">
          <w:rPr>
            <w:webHidden/>
          </w:rPr>
          <w:instrText xml:space="preserve"> PAGEREF _Toc106184479 \h </w:instrText>
        </w:r>
        <w:r w:rsidR="008E13F2">
          <w:rPr>
            <w:webHidden/>
          </w:rPr>
        </w:r>
        <w:r w:rsidR="008E13F2">
          <w:rPr>
            <w:webHidden/>
          </w:rPr>
          <w:fldChar w:fldCharType="separate"/>
        </w:r>
        <w:r w:rsidR="008E13F2">
          <w:rPr>
            <w:webHidden/>
          </w:rPr>
          <w:t>1</w:t>
        </w:r>
        <w:r w:rsidR="008E13F2">
          <w:rPr>
            <w:webHidden/>
          </w:rPr>
          <w:fldChar w:fldCharType="end"/>
        </w:r>
      </w:hyperlink>
    </w:p>
    <w:p w14:paraId="1542D706" w14:textId="181C49A7" w:rsidR="008E13F2" w:rsidRDefault="00630F98">
      <w:pPr>
        <w:pStyle w:val="TOC1"/>
        <w:rPr>
          <w:rFonts w:asciiTheme="minorHAnsi" w:eastAsiaTheme="minorEastAsia" w:hAnsiTheme="minorHAnsi" w:cstheme="minorBidi"/>
          <w:b w:val="0"/>
          <w:sz w:val="22"/>
          <w:szCs w:val="22"/>
          <w:lang w:eastAsia="en-AU"/>
        </w:rPr>
      </w:pPr>
      <w:hyperlink w:anchor="_Toc106184480" w:history="1">
        <w:r w:rsidR="008E13F2" w:rsidRPr="00527519">
          <w:rPr>
            <w:rStyle w:val="Hyperlink"/>
          </w:rPr>
          <w:t>Background</w:t>
        </w:r>
        <w:r w:rsidR="008E13F2">
          <w:rPr>
            <w:webHidden/>
          </w:rPr>
          <w:tab/>
        </w:r>
        <w:r w:rsidR="008E13F2">
          <w:rPr>
            <w:webHidden/>
          </w:rPr>
          <w:fldChar w:fldCharType="begin"/>
        </w:r>
        <w:r w:rsidR="008E13F2">
          <w:rPr>
            <w:webHidden/>
          </w:rPr>
          <w:instrText xml:space="preserve"> PAGEREF _Toc106184480 \h </w:instrText>
        </w:r>
        <w:r w:rsidR="008E13F2">
          <w:rPr>
            <w:webHidden/>
          </w:rPr>
        </w:r>
        <w:r w:rsidR="008E13F2">
          <w:rPr>
            <w:webHidden/>
          </w:rPr>
          <w:fldChar w:fldCharType="separate"/>
        </w:r>
        <w:r w:rsidR="008E13F2">
          <w:rPr>
            <w:webHidden/>
          </w:rPr>
          <w:t>2</w:t>
        </w:r>
        <w:r w:rsidR="008E13F2">
          <w:rPr>
            <w:webHidden/>
          </w:rPr>
          <w:fldChar w:fldCharType="end"/>
        </w:r>
      </w:hyperlink>
    </w:p>
    <w:p w14:paraId="403FACCA" w14:textId="3A3889D0" w:rsidR="008E13F2" w:rsidRDefault="00630F98">
      <w:pPr>
        <w:pStyle w:val="TOC1"/>
        <w:rPr>
          <w:rFonts w:asciiTheme="minorHAnsi" w:eastAsiaTheme="minorEastAsia" w:hAnsiTheme="minorHAnsi" w:cstheme="minorBidi"/>
          <w:b w:val="0"/>
          <w:sz w:val="22"/>
          <w:szCs w:val="22"/>
          <w:lang w:eastAsia="en-AU"/>
        </w:rPr>
      </w:pPr>
      <w:hyperlink w:anchor="_Toc106184481" w:history="1">
        <w:r w:rsidR="008E13F2" w:rsidRPr="00527519">
          <w:rPr>
            <w:rStyle w:val="Hyperlink"/>
          </w:rPr>
          <w:t>CMI/ODS Organisational Structure</w:t>
        </w:r>
        <w:r w:rsidR="008E13F2">
          <w:rPr>
            <w:webHidden/>
          </w:rPr>
          <w:tab/>
        </w:r>
        <w:r w:rsidR="008E13F2">
          <w:rPr>
            <w:webHidden/>
          </w:rPr>
          <w:fldChar w:fldCharType="begin"/>
        </w:r>
        <w:r w:rsidR="008E13F2">
          <w:rPr>
            <w:webHidden/>
          </w:rPr>
          <w:instrText xml:space="preserve"> PAGEREF _Toc106184481 \h </w:instrText>
        </w:r>
        <w:r w:rsidR="008E13F2">
          <w:rPr>
            <w:webHidden/>
          </w:rPr>
        </w:r>
        <w:r w:rsidR="008E13F2">
          <w:rPr>
            <w:webHidden/>
          </w:rPr>
          <w:fldChar w:fldCharType="separate"/>
        </w:r>
        <w:r w:rsidR="008E13F2">
          <w:rPr>
            <w:webHidden/>
          </w:rPr>
          <w:t>2</w:t>
        </w:r>
        <w:r w:rsidR="008E13F2">
          <w:rPr>
            <w:webHidden/>
          </w:rPr>
          <w:fldChar w:fldCharType="end"/>
        </w:r>
      </w:hyperlink>
    </w:p>
    <w:p w14:paraId="65D49048" w14:textId="3CE9D16A" w:rsidR="008E13F2" w:rsidRDefault="00630F98">
      <w:pPr>
        <w:pStyle w:val="TOC1"/>
        <w:rPr>
          <w:rFonts w:asciiTheme="minorHAnsi" w:eastAsiaTheme="minorEastAsia" w:hAnsiTheme="minorHAnsi" w:cstheme="minorBidi"/>
          <w:b w:val="0"/>
          <w:sz w:val="22"/>
          <w:szCs w:val="22"/>
          <w:lang w:eastAsia="en-AU"/>
        </w:rPr>
      </w:pPr>
      <w:hyperlink w:anchor="_Toc106184482" w:history="1">
        <w:r w:rsidR="008E13F2" w:rsidRPr="00527519">
          <w:rPr>
            <w:rStyle w:val="Hyperlink"/>
          </w:rPr>
          <w:t>Subcentre Definition</w:t>
        </w:r>
        <w:r w:rsidR="008E13F2">
          <w:rPr>
            <w:webHidden/>
          </w:rPr>
          <w:tab/>
        </w:r>
        <w:r w:rsidR="008E13F2">
          <w:rPr>
            <w:webHidden/>
          </w:rPr>
          <w:fldChar w:fldCharType="begin"/>
        </w:r>
        <w:r w:rsidR="008E13F2">
          <w:rPr>
            <w:webHidden/>
          </w:rPr>
          <w:instrText xml:space="preserve"> PAGEREF _Toc106184482 \h </w:instrText>
        </w:r>
        <w:r w:rsidR="008E13F2">
          <w:rPr>
            <w:webHidden/>
          </w:rPr>
        </w:r>
        <w:r w:rsidR="008E13F2">
          <w:rPr>
            <w:webHidden/>
          </w:rPr>
          <w:fldChar w:fldCharType="separate"/>
        </w:r>
        <w:r w:rsidR="008E13F2">
          <w:rPr>
            <w:webHidden/>
          </w:rPr>
          <w:t>2</w:t>
        </w:r>
        <w:r w:rsidR="008E13F2">
          <w:rPr>
            <w:webHidden/>
          </w:rPr>
          <w:fldChar w:fldCharType="end"/>
        </w:r>
      </w:hyperlink>
    </w:p>
    <w:p w14:paraId="26AFFE43" w14:textId="33C83492" w:rsidR="008E13F2" w:rsidRDefault="00630F98">
      <w:pPr>
        <w:pStyle w:val="TOC1"/>
        <w:rPr>
          <w:rFonts w:asciiTheme="minorHAnsi" w:eastAsiaTheme="minorEastAsia" w:hAnsiTheme="minorHAnsi" w:cstheme="minorBidi"/>
          <w:b w:val="0"/>
          <w:sz w:val="22"/>
          <w:szCs w:val="22"/>
          <w:lang w:eastAsia="en-AU"/>
        </w:rPr>
      </w:pPr>
      <w:hyperlink w:anchor="_Toc106184483" w:history="1">
        <w:r w:rsidR="008E13F2" w:rsidRPr="00527519">
          <w:rPr>
            <w:rStyle w:val="Hyperlink"/>
          </w:rPr>
          <w:t>OM Setting</w:t>
        </w:r>
        <w:r w:rsidR="008E13F2">
          <w:rPr>
            <w:webHidden/>
          </w:rPr>
          <w:tab/>
        </w:r>
        <w:r w:rsidR="008E13F2">
          <w:rPr>
            <w:webHidden/>
          </w:rPr>
          <w:fldChar w:fldCharType="begin"/>
        </w:r>
        <w:r w:rsidR="008E13F2">
          <w:rPr>
            <w:webHidden/>
          </w:rPr>
          <w:instrText xml:space="preserve"> PAGEREF _Toc106184483 \h </w:instrText>
        </w:r>
        <w:r w:rsidR="008E13F2">
          <w:rPr>
            <w:webHidden/>
          </w:rPr>
        </w:r>
        <w:r w:rsidR="008E13F2">
          <w:rPr>
            <w:webHidden/>
          </w:rPr>
          <w:fldChar w:fldCharType="separate"/>
        </w:r>
        <w:r w:rsidR="008E13F2">
          <w:rPr>
            <w:webHidden/>
          </w:rPr>
          <w:t>3</w:t>
        </w:r>
        <w:r w:rsidR="008E13F2">
          <w:rPr>
            <w:webHidden/>
          </w:rPr>
          <w:fldChar w:fldCharType="end"/>
        </w:r>
      </w:hyperlink>
    </w:p>
    <w:p w14:paraId="48BA1D97" w14:textId="62111440" w:rsidR="008E13F2" w:rsidRDefault="00630F98">
      <w:pPr>
        <w:pStyle w:val="TOC1"/>
        <w:rPr>
          <w:rFonts w:asciiTheme="minorHAnsi" w:eastAsiaTheme="minorEastAsia" w:hAnsiTheme="minorHAnsi" w:cstheme="minorBidi"/>
          <w:b w:val="0"/>
          <w:sz w:val="22"/>
          <w:szCs w:val="22"/>
          <w:lang w:eastAsia="en-AU"/>
        </w:rPr>
      </w:pPr>
      <w:hyperlink w:anchor="_Toc106184484" w:history="1">
        <w:r w:rsidR="008E13F2" w:rsidRPr="00527519">
          <w:rPr>
            <w:rStyle w:val="Hyperlink"/>
          </w:rPr>
          <w:t>Caseload</w:t>
        </w:r>
        <w:r w:rsidR="008E13F2">
          <w:rPr>
            <w:webHidden/>
          </w:rPr>
          <w:tab/>
        </w:r>
        <w:r w:rsidR="008E13F2">
          <w:rPr>
            <w:webHidden/>
          </w:rPr>
          <w:fldChar w:fldCharType="begin"/>
        </w:r>
        <w:r w:rsidR="008E13F2">
          <w:rPr>
            <w:webHidden/>
          </w:rPr>
          <w:instrText xml:space="preserve"> PAGEREF _Toc106184484 \h </w:instrText>
        </w:r>
        <w:r w:rsidR="008E13F2">
          <w:rPr>
            <w:webHidden/>
          </w:rPr>
        </w:r>
        <w:r w:rsidR="008E13F2">
          <w:rPr>
            <w:webHidden/>
          </w:rPr>
          <w:fldChar w:fldCharType="separate"/>
        </w:r>
        <w:r w:rsidR="008E13F2">
          <w:rPr>
            <w:webHidden/>
          </w:rPr>
          <w:t>3</w:t>
        </w:r>
        <w:r w:rsidR="008E13F2">
          <w:rPr>
            <w:webHidden/>
          </w:rPr>
          <w:fldChar w:fldCharType="end"/>
        </w:r>
      </w:hyperlink>
    </w:p>
    <w:p w14:paraId="270E0E1D" w14:textId="1FBC1F2E" w:rsidR="008E13F2" w:rsidRDefault="00630F98">
      <w:pPr>
        <w:pStyle w:val="TOC1"/>
        <w:rPr>
          <w:rFonts w:asciiTheme="minorHAnsi" w:eastAsiaTheme="minorEastAsia" w:hAnsiTheme="minorHAnsi" w:cstheme="minorBidi"/>
          <w:b w:val="0"/>
          <w:sz w:val="22"/>
          <w:szCs w:val="22"/>
          <w:lang w:eastAsia="en-AU"/>
        </w:rPr>
      </w:pPr>
      <w:hyperlink w:anchor="_Toc106184485" w:history="1">
        <w:r w:rsidR="008E13F2" w:rsidRPr="00527519">
          <w:rPr>
            <w:rStyle w:val="Hyperlink"/>
          </w:rPr>
          <w:t>About Program Management Circulars</w:t>
        </w:r>
        <w:r w:rsidR="008E13F2">
          <w:rPr>
            <w:webHidden/>
          </w:rPr>
          <w:tab/>
        </w:r>
        <w:r w:rsidR="008E13F2">
          <w:rPr>
            <w:webHidden/>
          </w:rPr>
          <w:fldChar w:fldCharType="begin"/>
        </w:r>
        <w:r w:rsidR="008E13F2">
          <w:rPr>
            <w:webHidden/>
          </w:rPr>
          <w:instrText xml:space="preserve"> PAGEREF _Toc106184485 \h </w:instrText>
        </w:r>
        <w:r w:rsidR="008E13F2">
          <w:rPr>
            <w:webHidden/>
          </w:rPr>
        </w:r>
        <w:r w:rsidR="008E13F2">
          <w:rPr>
            <w:webHidden/>
          </w:rPr>
          <w:fldChar w:fldCharType="separate"/>
        </w:r>
        <w:r w:rsidR="008E13F2">
          <w:rPr>
            <w:webHidden/>
          </w:rPr>
          <w:t>4</w:t>
        </w:r>
        <w:r w:rsidR="008E13F2">
          <w:rPr>
            <w:webHidden/>
          </w:rPr>
          <w:fldChar w:fldCharType="end"/>
        </w:r>
      </w:hyperlink>
    </w:p>
    <w:p w14:paraId="0C4E6FFF" w14:textId="6140235C" w:rsidR="00DB0536" w:rsidRDefault="00DB0536" w:rsidP="00D079AA">
      <w:pPr>
        <w:pStyle w:val="Body"/>
      </w:pPr>
      <w:r>
        <w:fldChar w:fldCharType="end"/>
      </w:r>
    </w:p>
    <w:p w14:paraId="0285003B"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5887200" w14:textId="77777777" w:rsidR="00C900B1" w:rsidRPr="00B63AE8" w:rsidRDefault="00C900B1" w:rsidP="00C900B1">
      <w:pPr>
        <w:pStyle w:val="Heading1"/>
      </w:pPr>
      <w:bookmarkStart w:id="0" w:name="_Toc449190509"/>
      <w:bookmarkStart w:id="1" w:name="_Toc103168315"/>
      <w:bookmarkStart w:id="2" w:name="_Toc106184478"/>
      <w:bookmarkStart w:id="3" w:name="_Hlk41913885"/>
      <w:r>
        <w:t>Key Message</w:t>
      </w:r>
      <w:bookmarkEnd w:id="0"/>
      <w:bookmarkEnd w:id="1"/>
      <w:bookmarkEnd w:id="2"/>
    </w:p>
    <w:p w14:paraId="7CBA04F6" w14:textId="77777777" w:rsidR="00086E97" w:rsidRPr="00E07724" w:rsidRDefault="00086E97" w:rsidP="00086E97">
      <w:pPr>
        <w:pStyle w:val="DHHeading1"/>
        <w:spacing w:after="180" w:line="312" w:lineRule="auto"/>
        <w:rPr>
          <w:color w:val="auto"/>
          <w:sz w:val="20"/>
          <w:szCs w:val="20"/>
        </w:rPr>
      </w:pPr>
      <w:bookmarkStart w:id="4" w:name="_Toc256778633"/>
      <w:r w:rsidRPr="00E07724">
        <w:rPr>
          <w:color w:val="auto"/>
          <w:sz w:val="20"/>
          <w:szCs w:val="20"/>
        </w:rPr>
        <w:t>Subcentre is a key component of the organisational structure in the CMI/ODS and is the setting for mental health service delivery.</w:t>
      </w:r>
    </w:p>
    <w:p w14:paraId="075D4296" w14:textId="77777777" w:rsidR="00086E97" w:rsidRPr="00E07724" w:rsidRDefault="00086E97" w:rsidP="00086E97">
      <w:pPr>
        <w:pStyle w:val="DHHeading1"/>
        <w:spacing w:after="0" w:line="312" w:lineRule="auto"/>
        <w:rPr>
          <w:color w:val="auto"/>
          <w:sz w:val="20"/>
          <w:szCs w:val="20"/>
        </w:rPr>
      </w:pPr>
      <w:r w:rsidRPr="00E07724">
        <w:rPr>
          <w:color w:val="auto"/>
          <w:sz w:val="20"/>
          <w:szCs w:val="20"/>
        </w:rPr>
        <w:t>It is important to assign:</w:t>
      </w:r>
    </w:p>
    <w:p w14:paraId="1FD039A7" w14:textId="77777777" w:rsidR="00086E97" w:rsidRPr="00E07724" w:rsidRDefault="00086E97" w:rsidP="00086E97">
      <w:pPr>
        <w:pStyle w:val="DHHeading1"/>
        <w:numPr>
          <w:ilvl w:val="0"/>
          <w:numId w:val="8"/>
        </w:numPr>
        <w:tabs>
          <w:tab w:val="clear" w:pos="720"/>
          <w:tab w:val="num" w:pos="181"/>
        </w:tabs>
        <w:spacing w:after="0" w:line="312" w:lineRule="auto"/>
        <w:ind w:left="181" w:hanging="181"/>
        <w:rPr>
          <w:color w:val="auto"/>
          <w:sz w:val="20"/>
          <w:szCs w:val="20"/>
        </w:rPr>
      </w:pPr>
      <w:r w:rsidRPr="00E07724">
        <w:rPr>
          <w:color w:val="auto"/>
          <w:sz w:val="20"/>
          <w:szCs w:val="20"/>
        </w:rPr>
        <w:t>at least one program to a subcentre</w:t>
      </w:r>
    </w:p>
    <w:p w14:paraId="1240883F" w14:textId="77777777" w:rsidR="00086E97" w:rsidRPr="00E07724" w:rsidRDefault="00086E97" w:rsidP="00086E97">
      <w:pPr>
        <w:pStyle w:val="DHHeading1"/>
        <w:numPr>
          <w:ilvl w:val="0"/>
          <w:numId w:val="8"/>
        </w:numPr>
        <w:tabs>
          <w:tab w:val="clear" w:pos="720"/>
          <w:tab w:val="num" w:pos="181"/>
        </w:tabs>
        <w:spacing w:after="0" w:line="312" w:lineRule="auto"/>
        <w:ind w:left="181" w:hanging="181"/>
        <w:rPr>
          <w:color w:val="auto"/>
          <w:sz w:val="20"/>
          <w:szCs w:val="20"/>
        </w:rPr>
      </w:pPr>
      <w:r w:rsidRPr="00E07724">
        <w:rPr>
          <w:color w:val="auto"/>
          <w:sz w:val="20"/>
          <w:szCs w:val="20"/>
        </w:rPr>
        <w:t>only one PARC bed-based service subcentre</w:t>
      </w:r>
    </w:p>
    <w:p w14:paraId="50B7A4CA" w14:textId="77777777" w:rsidR="00086E97" w:rsidRPr="00E07724" w:rsidRDefault="00086E97" w:rsidP="00086E97">
      <w:pPr>
        <w:pStyle w:val="DHHeading1"/>
        <w:numPr>
          <w:ilvl w:val="0"/>
          <w:numId w:val="8"/>
        </w:numPr>
        <w:tabs>
          <w:tab w:val="clear" w:pos="720"/>
          <w:tab w:val="num" w:pos="181"/>
        </w:tabs>
        <w:spacing w:after="0" w:line="312" w:lineRule="auto"/>
        <w:ind w:left="181" w:hanging="181"/>
        <w:rPr>
          <w:color w:val="auto"/>
          <w:sz w:val="20"/>
          <w:szCs w:val="20"/>
        </w:rPr>
      </w:pPr>
      <w:r w:rsidRPr="00E07724">
        <w:rPr>
          <w:color w:val="auto"/>
          <w:sz w:val="20"/>
          <w:szCs w:val="20"/>
        </w:rPr>
        <w:t>zero (‘0’) beds to ECT inpatient subcentre.</w:t>
      </w:r>
    </w:p>
    <w:p w14:paraId="3039B34C" w14:textId="77777777" w:rsidR="00086E97" w:rsidRPr="00E07724" w:rsidRDefault="00086E97" w:rsidP="00086E97">
      <w:pPr>
        <w:pStyle w:val="DHHeading1"/>
        <w:spacing w:after="0" w:line="312" w:lineRule="auto"/>
        <w:rPr>
          <w:color w:val="auto"/>
          <w:sz w:val="20"/>
          <w:szCs w:val="20"/>
        </w:rPr>
      </w:pPr>
    </w:p>
    <w:p w14:paraId="30A04340" w14:textId="77777777" w:rsidR="00086E97" w:rsidRPr="00E07724" w:rsidRDefault="00086E97" w:rsidP="008E13F2">
      <w:pPr>
        <w:pStyle w:val="DHHeading1"/>
        <w:spacing w:after="0"/>
        <w:rPr>
          <w:color w:val="auto"/>
          <w:sz w:val="20"/>
          <w:szCs w:val="20"/>
        </w:rPr>
      </w:pPr>
      <w:r w:rsidRPr="00E07724">
        <w:rPr>
          <w:color w:val="auto"/>
          <w:sz w:val="20"/>
          <w:szCs w:val="20"/>
        </w:rPr>
        <w:t xml:space="preserve">For eligible outcome measurement (OM) reporting, the </w:t>
      </w:r>
      <w:smartTag w:uri="urn:schemas-microsoft-com:office:smarttags" w:element="place">
        <w:r w:rsidRPr="00E07724">
          <w:rPr>
            <w:color w:val="auto"/>
            <w:sz w:val="20"/>
            <w:szCs w:val="20"/>
          </w:rPr>
          <w:t>OM</w:t>
        </w:r>
      </w:smartTag>
      <w:r w:rsidRPr="00E07724">
        <w:rPr>
          <w:color w:val="auto"/>
          <w:sz w:val="20"/>
          <w:szCs w:val="20"/>
        </w:rPr>
        <w:t xml:space="preserve"> setting reflects subcentre age-based and type grouping.</w:t>
      </w:r>
    </w:p>
    <w:p w14:paraId="0F40C386" w14:textId="77777777" w:rsidR="00086E97" w:rsidRPr="00E07724" w:rsidRDefault="00086E97" w:rsidP="008E13F2">
      <w:pPr>
        <w:pStyle w:val="DHHeading1"/>
        <w:spacing w:after="0"/>
        <w:rPr>
          <w:color w:val="auto"/>
          <w:sz w:val="20"/>
          <w:szCs w:val="20"/>
        </w:rPr>
      </w:pPr>
    </w:p>
    <w:p w14:paraId="429993EB" w14:textId="77777777" w:rsidR="00086E97" w:rsidRPr="00E07724" w:rsidRDefault="00086E97" w:rsidP="008E13F2">
      <w:pPr>
        <w:pStyle w:val="DHHeading1"/>
        <w:spacing w:after="0"/>
        <w:rPr>
          <w:color w:val="auto"/>
          <w:sz w:val="20"/>
          <w:szCs w:val="20"/>
        </w:rPr>
      </w:pPr>
      <w:r w:rsidRPr="00E07724">
        <w:rPr>
          <w:color w:val="auto"/>
          <w:sz w:val="20"/>
          <w:szCs w:val="20"/>
        </w:rPr>
        <w:t>The caseload field identifies whether the subcentre is eligible for caseload monitoring.</w:t>
      </w:r>
    </w:p>
    <w:p w14:paraId="5B1B5086" w14:textId="77777777" w:rsidR="000343B0" w:rsidRPr="00777D5A" w:rsidRDefault="000343B0" w:rsidP="000343B0">
      <w:pPr>
        <w:pStyle w:val="DHHeading1"/>
        <w:spacing w:after="0" w:line="245" w:lineRule="auto"/>
        <w:ind w:left="362"/>
        <w:rPr>
          <w:color w:val="auto"/>
          <w:sz w:val="20"/>
          <w:szCs w:val="20"/>
        </w:rPr>
      </w:pPr>
    </w:p>
    <w:p w14:paraId="028240DD" w14:textId="77777777" w:rsidR="000343B0" w:rsidRPr="00B63AE8" w:rsidRDefault="000343B0" w:rsidP="000343B0">
      <w:pPr>
        <w:pStyle w:val="Heading1"/>
      </w:pPr>
      <w:bookmarkStart w:id="5" w:name="_Toc103168316"/>
      <w:bookmarkStart w:id="6" w:name="_Toc106184479"/>
      <w:bookmarkEnd w:id="4"/>
      <w:r>
        <w:t>Purpose</w:t>
      </w:r>
      <w:bookmarkEnd w:id="5"/>
      <w:bookmarkEnd w:id="6"/>
    </w:p>
    <w:p w14:paraId="35B5A899" w14:textId="0AB3D0B3" w:rsidR="00086E97" w:rsidRDefault="00086E97" w:rsidP="00086E97">
      <w:pPr>
        <w:autoSpaceDE w:val="0"/>
        <w:autoSpaceDN w:val="0"/>
        <w:adjustRightInd w:val="0"/>
        <w:spacing w:line="312" w:lineRule="auto"/>
        <w:rPr>
          <w:rFonts w:cs="Arial"/>
          <w:lang w:eastAsia="en-AU"/>
        </w:rPr>
      </w:pPr>
      <w:r>
        <w:rPr>
          <w:rFonts w:cs="Arial"/>
          <w:lang w:eastAsia="en-AU"/>
        </w:rPr>
        <w:t>To clarify the reporting requirements and improve the consistency and quality of data submitted to the Client Management Interface/Operational Data Store (CMI/ODS) in relation to subcentre maintenance.</w:t>
      </w:r>
    </w:p>
    <w:p w14:paraId="283CA452" w14:textId="77777777" w:rsidR="000343B0" w:rsidRPr="00B63AE8" w:rsidRDefault="000343B0" w:rsidP="000343B0">
      <w:pPr>
        <w:pStyle w:val="Heading1"/>
      </w:pPr>
      <w:bookmarkStart w:id="7" w:name="_Toc103168317"/>
      <w:bookmarkStart w:id="8" w:name="_Toc106184480"/>
      <w:r>
        <w:lastRenderedPageBreak/>
        <w:t>Background</w:t>
      </w:r>
      <w:bookmarkEnd w:id="7"/>
      <w:bookmarkEnd w:id="8"/>
    </w:p>
    <w:p w14:paraId="397899CF"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CMI/ODS is the Victorian public mental healt</w:t>
      </w:r>
      <w:r>
        <w:rPr>
          <w:rFonts w:cs="Arial"/>
          <w:lang w:eastAsia="en-AU"/>
        </w:rPr>
        <w:t xml:space="preserve">h client information management </w:t>
      </w:r>
      <w:r w:rsidRPr="00FF01AF">
        <w:rPr>
          <w:rFonts w:cs="Arial"/>
          <w:lang w:eastAsia="en-AU"/>
        </w:rPr>
        <w:t>system and comprises:</w:t>
      </w:r>
    </w:p>
    <w:p w14:paraId="62B160A1" w14:textId="7A155877" w:rsidR="000343B0"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Client Management Interface (CMI) – the CMI is the local client information</w:t>
      </w:r>
      <w:r>
        <w:rPr>
          <w:rFonts w:cs="Arial"/>
          <w:lang w:eastAsia="en-AU"/>
        </w:rPr>
        <w:t xml:space="preserve"> </w:t>
      </w:r>
      <w:r w:rsidRPr="00FF01AF">
        <w:rPr>
          <w:rFonts w:cs="Arial"/>
          <w:lang w:eastAsia="en-AU"/>
        </w:rPr>
        <w:t>system used by each public mental health service</w:t>
      </w:r>
    </w:p>
    <w:p w14:paraId="1FEFB6DF" w14:textId="77777777" w:rsidR="000343B0" w:rsidRPr="00FF01AF" w:rsidRDefault="000343B0" w:rsidP="000343B0">
      <w:pPr>
        <w:tabs>
          <w:tab w:val="left" w:pos="362"/>
        </w:tabs>
        <w:autoSpaceDE w:val="0"/>
        <w:autoSpaceDN w:val="0"/>
        <w:adjustRightInd w:val="0"/>
        <w:spacing w:after="0" w:line="240" w:lineRule="auto"/>
        <w:rPr>
          <w:rFonts w:cs="Arial"/>
          <w:lang w:eastAsia="en-AU"/>
        </w:rPr>
      </w:pPr>
    </w:p>
    <w:p w14:paraId="49D4F6CD" w14:textId="77777777" w:rsidR="000343B0" w:rsidRPr="00FF01AF"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Operational Data Store (ODS) – the O</w:t>
      </w:r>
      <w:r>
        <w:rPr>
          <w:rFonts w:cs="Arial"/>
          <w:lang w:eastAsia="en-AU"/>
        </w:rPr>
        <w:t xml:space="preserve">DS manages a set of select data </w:t>
      </w:r>
      <w:r w:rsidRPr="00FF01AF">
        <w:rPr>
          <w:rFonts w:cs="Arial"/>
          <w:lang w:eastAsia="en-AU"/>
        </w:rPr>
        <w:t>items from each CMI and is used to:</w:t>
      </w:r>
    </w:p>
    <w:p w14:paraId="0A0CE90C"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allocate a unique (mental health) regis</w:t>
      </w:r>
      <w:r>
        <w:rPr>
          <w:rFonts w:cs="Arial"/>
          <w:lang w:eastAsia="en-AU"/>
        </w:rPr>
        <w:t xml:space="preserve">tration number for each client, </w:t>
      </w:r>
      <w:r w:rsidRPr="00FF01AF">
        <w:rPr>
          <w:rFonts w:cs="Arial"/>
          <w:lang w:eastAsia="en-AU"/>
        </w:rPr>
        <w:t xml:space="preserve">known as the </w:t>
      </w:r>
      <w:proofErr w:type="spellStart"/>
      <w:r w:rsidRPr="00FF01AF">
        <w:rPr>
          <w:rFonts w:cs="Arial"/>
          <w:lang w:eastAsia="en-AU"/>
        </w:rPr>
        <w:t>statewide</w:t>
      </w:r>
      <w:proofErr w:type="spellEnd"/>
      <w:r w:rsidRPr="00FF01AF">
        <w:rPr>
          <w:rFonts w:cs="Arial"/>
          <w:lang w:eastAsia="en-AU"/>
        </w:rPr>
        <w:t xml:space="preserve"> unit record (</w:t>
      </w:r>
      <w:smartTag w:uri="urn:schemas-microsoft-com:office:smarttags" w:element="place">
        <w:smartTag w:uri="urn:schemas-microsoft-com:office:smarttags" w:element="City">
          <w:r w:rsidRPr="00FF01AF">
            <w:rPr>
              <w:rFonts w:cs="Arial"/>
              <w:lang w:eastAsia="en-AU"/>
            </w:rPr>
            <w:t>UR</w:t>
          </w:r>
        </w:smartTag>
      </w:smartTag>
      <w:r w:rsidRPr="00FF01AF">
        <w:rPr>
          <w:rFonts w:cs="Arial"/>
          <w:lang w:eastAsia="en-AU"/>
        </w:rPr>
        <w:t>) number</w:t>
      </w:r>
    </w:p>
    <w:p w14:paraId="2C552B48"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share select client-level data betwe</w:t>
      </w:r>
      <w:r>
        <w:rPr>
          <w:rFonts w:cs="Arial"/>
          <w:lang w:eastAsia="en-AU"/>
        </w:rPr>
        <w:t xml:space="preserve">en Victorian public area mental </w:t>
      </w:r>
      <w:r w:rsidRPr="00FF01AF">
        <w:rPr>
          <w:rFonts w:cs="Arial"/>
          <w:lang w:eastAsia="en-AU"/>
        </w:rPr>
        <w:t>health services (AMHS) to support continuity of treatment and care</w:t>
      </w:r>
    </w:p>
    <w:p w14:paraId="5A6A2C4A"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ensure the legal basis for providing tre</w:t>
      </w:r>
      <w:r>
        <w:rPr>
          <w:rFonts w:cs="Arial"/>
          <w:lang w:eastAsia="en-AU"/>
        </w:rPr>
        <w:t xml:space="preserve">atment is evident to all public </w:t>
      </w:r>
      <w:r w:rsidRPr="00FF01AF">
        <w:rPr>
          <w:rFonts w:cs="Arial"/>
          <w:lang w:eastAsia="en-AU"/>
        </w:rPr>
        <w:t>mental health service providers where a client may be unable or</w:t>
      </w:r>
      <w:r>
        <w:rPr>
          <w:rFonts w:cs="Arial"/>
          <w:lang w:eastAsia="en-AU"/>
        </w:rPr>
        <w:t xml:space="preserve"> </w:t>
      </w:r>
      <w:r w:rsidRPr="00FF01AF">
        <w:rPr>
          <w:rFonts w:cs="Arial"/>
          <w:lang w:eastAsia="en-AU"/>
        </w:rPr>
        <w:t>unwilling to consent to treatment</w:t>
      </w:r>
    </w:p>
    <w:p w14:paraId="3632097F"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meet the various reporting requirements of the Department of Health</w:t>
      </w:r>
    </w:p>
    <w:p w14:paraId="38A31538"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support the statutory functions of the Chief Psychiatrist and the Mental Health Review Board.</w:t>
      </w:r>
    </w:p>
    <w:p w14:paraId="6371D524" w14:textId="77777777" w:rsidR="000343B0" w:rsidRPr="00777D5A" w:rsidRDefault="000343B0" w:rsidP="000343B0">
      <w:pPr>
        <w:autoSpaceDE w:val="0"/>
        <w:autoSpaceDN w:val="0"/>
        <w:adjustRightInd w:val="0"/>
        <w:spacing w:line="288" w:lineRule="auto"/>
        <w:rPr>
          <w:rFonts w:cs="Arial"/>
          <w:lang w:eastAsia="en-AU"/>
        </w:rPr>
      </w:pPr>
    </w:p>
    <w:p w14:paraId="10BEB9EB" w14:textId="77777777" w:rsidR="00086E97" w:rsidRPr="00B63AE8" w:rsidRDefault="00086E97" w:rsidP="00086E97">
      <w:pPr>
        <w:pStyle w:val="Heading1"/>
      </w:pPr>
      <w:bookmarkStart w:id="9" w:name="_Toc106184481"/>
      <w:r>
        <w:t>CMI/ODS Organisational Structure</w:t>
      </w:r>
      <w:bookmarkEnd w:id="9"/>
    </w:p>
    <w:p w14:paraId="7FEF3593" w14:textId="77777777" w:rsidR="00086E97" w:rsidRPr="00FF01AF" w:rsidRDefault="00086E97" w:rsidP="00086E97">
      <w:pPr>
        <w:autoSpaceDE w:val="0"/>
        <w:autoSpaceDN w:val="0"/>
        <w:adjustRightInd w:val="0"/>
        <w:spacing w:line="312" w:lineRule="auto"/>
        <w:rPr>
          <w:rFonts w:cs="Arial"/>
          <w:lang w:eastAsia="en-AU"/>
        </w:rPr>
      </w:pPr>
      <w:r w:rsidRPr="00FF01AF">
        <w:rPr>
          <w:rFonts w:cs="Arial"/>
          <w:lang w:eastAsia="en-AU"/>
        </w:rPr>
        <w:t>The hierarchy of a mental health organisational structure in CMI/ODS follows:</w:t>
      </w:r>
    </w:p>
    <w:p w14:paraId="16E73401" w14:textId="77777777" w:rsidR="00086E97" w:rsidRPr="00FF01AF" w:rsidRDefault="00086E97" w:rsidP="00086E97">
      <w:pPr>
        <w:numPr>
          <w:ilvl w:val="0"/>
          <w:numId w:val="10"/>
        </w:numPr>
        <w:tabs>
          <w:tab w:val="clear" w:pos="720"/>
          <w:tab w:val="num" w:pos="851"/>
        </w:tabs>
        <w:autoSpaceDE w:val="0"/>
        <w:autoSpaceDN w:val="0"/>
        <w:adjustRightInd w:val="0"/>
        <w:spacing w:after="0" w:line="312" w:lineRule="auto"/>
        <w:ind w:left="426" w:hanging="357"/>
        <w:rPr>
          <w:rFonts w:cs="Arial"/>
          <w:lang w:eastAsia="en-AU"/>
        </w:rPr>
      </w:pPr>
      <w:r w:rsidRPr="00FF01AF">
        <w:rPr>
          <w:rFonts w:cs="Arial"/>
          <w:lang w:eastAsia="en-AU"/>
        </w:rPr>
        <w:t>organisation</w:t>
      </w:r>
    </w:p>
    <w:p w14:paraId="3EC2B78C" w14:textId="77777777" w:rsidR="00086E97" w:rsidRPr="00FF01AF" w:rsidRDefault="00086E97" w:rsidP="00086E97">
      <w:pPr>
        <w:numPr>
          <w:ilvl w:val="0"/>
          <w:numId w:val="10"/>
        </w:numPr>
        <w:tabs>
          <w:tab w:val="clear" w:pos="720"/>
          <w:tab w:val="num" w:pos="851"/>
        </w:tabs>
        <w:autoSpaceDE w:val="0"/>
        <w:autoSpaceDN w:val="0"/>
        <w:adjustRightInd w:val="0"/>
        <w:spacing w:after="0" w:line="312" w:lineRule="auto"/>
        <w:ind w:left="426" w:hanging="357"/>
        <w:rPr>
          <w:rFonts w:cs="Arial"/>
          <w:lang w:eastAsia="en-AU"/>
        </w:rPr>
      </w:pPr>
      <w:r w:rsidRPr="00FF01AF">
        <w:rPr>
          <w:rFonts w:cs="Arial"/>
          <w:lang w:eastAsia="en-AU"/>
        </w:rPr>
        <w:t>establishment</w:t>
      </w:r>
    </w:p>
    <w:p w14:paraId="4F083DA4" w14:textId="77777777" w:rsidR="00086E97" w:rsidRPr="00FF01AF" w:rsidRDefault="00086E97" w:rsidP="00086E97">
      <w:pPr>
        <w:numPr>
          <w:ilvl w:val="0"/>
          <w:numId w:val="10"/>
        </w:numPr>
        <w:tabs>
          <w:tab w:val="clear" w:pos="720"/>
          <w:tab w:val="num" w:pos="851"/>
        </w:tabs>
        <w:autoSpaceDE w:val="0"/>
        <w:autoSpaceDN w:val="0"/>
        <w:adjustRightInd w:val="0"/>
        <w:spacing w:after="0" w:line="312" w:lineRule="auto"/>
        <w:ind w:left="426" w:hanging="357"/>
        <w:rPr>
          <w:rFonts w:cs="Arial"/>
          <w:lang w:eastAsia="en-AU"/>
        </w:rPr>
      </w:pPr>
      <w:r w:rsidRPr="00FF01AF">
        <w:rPr>
          <w:rFonts w:cs="Arial"/>
          <w:lang w:eastAsia="en-AU"/>
        </w:rPr>
        <w:t>campus</w:t>
      </w:r>
    </w:p>
    <w:p w14:paraId="0A3196DF" w14:textId="77777777" w:rsidR="00086E97" w:rsidRPr="00157101" w:rsidRDefault="00086E97" w:rsidP="00086E97">
      <w:pPr>
        <w:numPr>
          <w:ilvl w:val="0"/>
          <w:numId w:val="10"/>
        </w:numPr>
        <w:tabs>
          <w:tab w:val="clear" w:pos="720"/>
          <w:tab w:val="num" w:pos="851"/>
        </w:tabs>
        <w:autoSpaceDE w:val="0"/>
        <w:autoSpaceDN w:val="0"/>
        <w:adjustRightInd w:val="0"/>
        <w:spacing w:after="0" w:line="312" w:lineRule="auto"/>
        <w:ind w:left="426" w:hanging="357"/>
        <w:rPr>
          <w:rFonts w:cs="Arial"/>
          <w:b/>
          <w:lang w:eastAsia="en-AU"/>
        </w:rPr>
      </w:pPr>
      <w:r w:rsidRPr="00157101">
        <w:rPr>
          <w:rFonts w:cs="Arial"/>
          <w:b/>
          <w:lang w:eastAsia="en-AU"/>
        </w:rPr>
        <w:t>subcentre</w:t>
      </w:r>
    </w:p>
    <w:p w14:paraId="2B7597C5" w14:textId="77777777" w:rsidR="00086E97" w:rsidRPr="00157101" w:rsidRDefault="00086E97" w:rsidP="00086E97">
      <w:pPr>
        <w:numPr>
          <w:ilvl w:val="0"/>
          <w:numId w:val="10"/>
        </w:numPr>
        <w:tabs>
          <w:tab w:val="clear" w:pos="720"/>
          <w:tab w:val="num" w:pos="851"/>
        </w:tabs>
        <w:autoSpaceDE w:val="0"/>
        <w:autoSpaceDN w:val="0"/>
        <w:adjustRightInd w:val="0"/>
        <w:spacing w:after="0" w:line="312" w:lineRule="auto"/>
        <w:ind w:left="426" w:hanging="357"/>
        <w:rPr>
          <w:rFonts w:cs="Arial"/>
          <w:lang w:eastAsia="en-AU"/>
        </w:rPr>
      </w:pPr>
      <w:r w:rsidRPr="00157101">
        <w:rPr>
          <w:rFonts w:cs="Arial"/>
          <w:lang w:eastAsia="en-AU"/>
        </w:rPr>
        <w:t>program.</w:t>
      </w:r>
    </w:p>
    <w:p w14:paraId="594C213A" w14:textId="77777777" w:rsidR="00086E97" w:rsidRDefault="00086E97" w:rsidP="00086E97">
      <w:pPr>
        <w:autoSpaceDE w:val="0"/>
        <w:autoSpaceDN w:val="0"/>
        <w:adjustRightInd w:val="0"/>
        <w:rPr>
          <w:rFonts w:cs="Arial"/>
          <w:lang w:eastAsia="en-AU"/>
        </w:rPr>
      </w:pPr>
    </w:p>
    <w:p w14:paraId="58A3A4E8" w14:textId="59C538A0" w:rsidR="00086E97" w:rsidRDefault="00086E97" w:rsidP="00086E97">
      <w:pPr>
        <w:autoSpaceDE w:val="0"/>
        <w:autoSpaceDN w:val="0"/>
        <w:adjustRightInd w:val="0"/>
        <w:spacing w:line="312" w:lineRule="auto"/>
        <w:rPr>
          <w:rFonts w:ascii="HelveticaNeueLT-Light" w:hAnsi="HelveticaNeueLT-Light" w:cs="HelveticaNeueLT-Light"/>
          <w:sz w:val="19"/>
          <w:szCs w:val="19"/>
          <w:lang w:eastAsia="en-AU"/>
        </w:rPr>
      </w:pPr>
      <w:r>
        <w:rPr>
          <w:rFonts w:cs="Arial"/>
          <w:lang w:eastAsia="en-AU"/>
        </w:rPr>
        <w:t>A campus is the central organising component of the CMI/ODS information system . Each campus requires the creation of subcentre(s) and program(s) to record the delivery of services</w:t>
      </w:r>
      <w:r>
        <w:rPr>
          <w:rFonts w:ascii="HelveticaNeueLT-Light" w:hAnsi="HelveticaNeueLT-Light" w:cs="HelveticaNeueLT-Light"/>
          <w:sz w:val="19"/>
          <w:szCs w:val="19"/>
          <w:lang w:eastAsia="en-AU"/>
        </w:rPr>
        <w:t>.</w:t>
      </w:r>
    </w:p>
    <w:p w14:paraId="7E1A27B1" w14:textId="77777777" w:rsidR="008E13F2" w:rsidRPr="00E07724" w:rsidRDefault="008E13F2" w:rsidP="00086E97">
      <w:pPr>
        <w:autoSpaceDE w:val="0"/>
        <w:autoSpaceDN w:val="0"/>
        <w:adjustRightInd w:val="0"/>
        <w:spacing w:line="312" w:lineRule="auto"/>
        <w:rPr>
          <w:rFonts w:cs="Arial"/>
          <w:lang w:eastAsia="en-AU"/>
        </w:rPr>
      </w:pPr>
    </w:p>
    <w:p w14:paraId="5535236A" w14:textId="77777777" w:rsidR="00086E97" w:rsidRDefault="00086E97" w:rsidP="00086E97">
      <w:pPr>
        <w:pStyle w:val="Heading1"/>
      </w:pPr>
      <w:bookmarkStart w:id="10" w:name="_Toc106184482"/>
      <w:r>
        <w:t>Subcentre Definition</w:t>
      </w:r>
      <w:bookmarkEnd w:id="10"/>
    </w:p>
    <w:p w14:paraId="729C7CC9" w14:textId="10A744C7" w:rsidR="00086E97" w:rsidRPr="00FF01AF" w:rsidRDefault="00086E97" w:rsidP="00086E97">
      <w:pPr>
        <w:autoSpaceDE w:val="0"/>
        <w:autoSpaceDN w:val="0"/>
        <w:adjustRightInd w:val="0"/>
        <w:spacing w:line="312" w:lineRule="auto"/>
        <w:rPr>
          <w:rFonts w:cs="Arial"/>
          <w:lang w:eastAsia="en-AU"/>
        </w:rPr>
      </w:pPr>
      <w:r>
        <w:rPr>
          <w:rFonts w:cs="Arial"/>
          <w:lang w:eastAsia="en-AU"/>
        </w:rPr>
        <w:t xml:space="preserve">A subcentre is </w:t>
      </w:r>
      <w:r w:rsidRPr="00A157C7">
        <w:rPr>
          <w:rFonts w:cs="Arial"/>
          <w:lang w:eastAsia="en-AU"/>
        </w:rPr>
        <w:t>‘</w:t>
      </w:r>
      <w:r w:rsidRPr="008C1812">
        <w:rPr>
          <w:rFonts w:cs="Arial"/>
          <w:i/>
          <w:lang w:eastAsia="en-AU"/>
        </w:rPr>
        <w:t>the organisational setting or location from which programs are delivered.  The subcentre provides the setting for inpatient, community residential and community activity for child and adolescent, adult, older persons or generalist c</w:t>
      </w:r>
      <w:r>
        <w:rPr>
          <w:rFonts w:cs="Arial"/>
          <w:i/>
          <w:lang w:eastAsia="en-AU"/>
        </w:rPr>
        <w:t>onsumer</w:t>
      </w:r>
      <w:r w:rsidRPr="008C1812">
        <w:rPr>
          <w:rFonts w:cs="Arial"/>
          <w:i/>
          <w:lang w:eastAsia="en-AU"/>
        </w:rPr>
        <w:t xml:space="preserve"> populations</w:t>
      </w:r>
      <w:r>
        <w:rPr>
          <w:rFonts w:cs="Arial"/>
          <w:i/>
          <w:lang w:eastAsia="en-AU"/>
        </w:rPr>
        <w:t>’</w:t>
      </w:r>
      <w:r w:rsidRPr="008C1812">
        <w:rPr>
          <w:rFonts w:cs="Arial"/>
          <w:i/>
          <w:lang w:eastAsia="en-AU"/>
        </w:rPr>
        <w:t>.</w:t>
      </w:r>
    </w:p>
    <w:p w14:paraId="66E2F0F9" w14:textId="77777777" w:rsidR="00086E97" w:rsidRDefault="00086E97" w:rsidP="00086E97">
      <w:pPr>
        <w:autoSpaceDE w:val="0"/>
        <w:autoSpaceDN w:val="0"/>
        <w:adjustRightInd w:val="0"/>
        <w:spacing w:line="312" w:lineRule="auto"/>
        <w:rPr>
          <w:rFonts w:cs="Arial"/>
          <w:color w:val="000000"/>
          <w:lang w:eastAsia="en-AU"/>
        </w:rPr>
      </w:pPr>
      <w:r>
        <w:rPr>
          <w:rFonts w:cs="Arial"/>
          <w:color w:val="000000"/>
          <w:lang w:eastAsia="en-AU"/>
        </w:rPr>
        <w:t>It is important to note the following business rules in relation to subcentre field.</w:t>
      </w:r>
    </w:p>
    <w:p w14:paraId="2B437DF7" w14:textId="77777777" w:rsidR="00086E97" w:rsidRPr="00E07724" w:rsidRDefault="00086E97" w:rsidP="00086E97">
      <w:pPr>
        <w:pStyle w:val="ListParagraph"/>
        <w:numPr>
          <w:ilvl w:val="0"/>
          <w:numId w:val="15"/>
        </w:numPr>
        <w:tabs>
          <w:tab w:val="left" w:pos="426"/>
        </w:tabs>
        <w:autoSpaceDE w:val="0"/>
        <w:autoSpaceDN w:val="0"/>
        <w:adjustRightInd w:val="0"/>
        <w:spacing w:line="312" w:lineRule="auto"/>
        <w:ind w:left="426"/>
        <w:rPr>
          <w:rFonts w:ascii="Arial" w:hAnsi="Arial" w:cs="Arial"/>
          <w:lang w:eastAsia="en-AU"/>
        </w:rPr>
      </w:pPr>
      <w:r w:rsidRPr="00E07724">
        <w:rPr>
          <w:rFonts w:ascii="Arial" w:hAnsi="Arial" w:cs="Arial"/>
          <w:b/>
          <w:lang w:eastAsia="en-AU"/>
        </w:rPr>
        <w:t>At least one program to a subcentre</w:t>
      </w:r>
      <w:r w:rsidRPr="00E07724">
        <w:rPr>
          <w:rFonts w:ascii="Arial" w:hAnsi="Arial" w:cs="Arial"/>
          <w:lang w:eastAsia="en-AU"/>
        </w:rPr>
        <w:t>: At least one program will be assigned to a subcentre and describes the target population and funding source for activity that occurs with the subcentre.</w:t>
      </w:r>
    </w:p>
    <w:p w14:paraId="574429B9" w14:textId="77777777" w:rsidR="00086E97" w:rsidRPr="00E07724" w:rsidRDefault="00086E97" w:rsidP="00086E97">
      <w:pPr>
        <w:pStyle w:val="ListParagraph"/>
        <w:numPr>
          <w:ilvl w:val="0"/>
          <w:numId w:val="15"/>
        </w:numPr>
        <w:tabs>
          <w:tab w:val="left" w:pos="426"/>
        </w:tabs>
        <w:autoSpaceDE w:val="0"/>
        <w:autoSpaceDN w:val="0"/>
        <w:adjustRightInd w:val="0"/>
        <w:spacing w:line="312" w:lineRule="auto"/>
        <w:ind w:left="426"/>
        <w:rPr>
          <w:rFonts w:ascii="Arial" w:hAnsi="Arial" w:cs="Arial"/>
          <w:lang w:eastAsia="en-AU"/>
        </w:rPr>
      </w:pPr>
      <w:r w:rsidRPr="00E07724">
        <w:rPr>
          <w:rFonts w:ascii="Arial" w:hAnsi="Arial" w:cs="Arial"/>
          <w:b/>
          <w:lang w:eastAsia="en-AU"/>
        </w:rPr>
        <w:t xml:space="preserve">A subcentre cannot be closed if it has open episodes: </w:t>
      </w:r>
      <w:r w:rsidRPr="00E07724">
        <w:rPr>
          <w:rFonts w:ascii="Arial" w:hAnsi="Arial" w:cs="Arial"/>
          <w:lang w:eastAsia="en-AU"/>
        </w:rPr>
        <w:t>System functionality ensures a subcentre that has open episodes cannot be closed.</w:t>
      </w:r>
    </w:p>
    <w:p w14:paraId="6D017280" w14:textId="77777777" w:rsidR="00086E97" w:rsidRPr="00C74C5D" w:rsidRDefault="00086E97" w:rsidP="00086E97">
      <w:pPr>
        <w:pStyle w:val="DHSHeading1"/>
        <w:widowControl/>
        <w:numPr>
          <w:ilvl w:val="0"/>
          <w:numId w:val="15"/>
        </w:numPr>
        <w:tabs>
          <w:tab w:val="left" w:pos="426"/>
        </w:tabs>
        <w:overflowPunct/>
        <w:autoSpaceDE/>
        <w:autoSpaceDN/>
        <w:adjustRightInd/>
        <w:spacing w:after="0" w:line="312" w:lineRule="auto"/>
        <w:ind w:left="426"/>
        <w:textAlignment w:val="auto"/>
        <w:rPr>
          <w:rFonts w:ascii="Arial" w:hAnsi="Arial" w:cs="Arial"/>
        </w:rPr>
      </w:pPr>
      <w:r w:rsidRPr="00C74C5D">
        <w:rPr>
          <w:rFonts w:ascii="Arial" w:hAnsi="Arial" w:cs="Arial"/>
          <w:bCs/>
          <w:iCs/>
        </w:rPr>
        <w:t>PARC subcentre</w:t>
      </w:r>
      <w:r w:rsidRPr="00C74C5D">
        <w:rPr>
          <w:rFonts w:ascii="Arial" w:hAnsi="Arial" w:cs="Arial"/>
          <w:bCs/>
          <w:i/>
          <w:iCs/>
        </w:rPr>
        <w:t>:</w:t>
      </w:r>
      <w:r w:rsidRPr="00C74C5D">
        <w:rPr>
          <w:rFonts w:ascii="Arial" w:hAnsi="Arial" w:cs="Arial"/>
          <w:b w:val="0"/>
          <w:bCs/>
          <w:i/>
          <w:iCs/>
        </w:rPr>
        <w:t xml:space="preserve"> </w:t>
      </w:r>
      <w:r w:rsidRPr="000E5573">
        <w:rPr>
          <w:rFonts w:ascii="Arial" w:hAnsi="Arial" w:cs="Arial"/>
          <w:b w:val="0"/>
          <w:bCs/>
          <w:iCs/>
        </w:rPr>
        <w:t>Residential</w:t>
      </w:r>
      <w:r w:rsidRPr="00C74C5D">
        <w:rPr>
          <w:rFonts w:ascii="Arial" w:hAnsi="Arial" w:cs="Arial"/>
          <w:b w:val="0"/>
          <w:bCs/>
        </w:rPr>
        <w:t xml:space="preserve"> – there should only be one subcentre created for PARC bed-based services within a campus. The applicable program classification is ‘non-acute general’.</w:t>
      </w:r>
    </w:p>
    <w:p w14:paraId="6E360E62" w14:textId="07B132E9" w:rsidR="00086E97" w:rsidRDefault="00086E97" w:rsidP="00086E97">
      <w:pPr>
        <w:spacing w:line="312" w:lineRule="auto"/>
        <w:rPr>
          <w:rFonts w:cs="Arial"/>
        </w:rPr>
      </w:pPr>
      <w:r w:rsidRPr="00C74C5D">
        <w:rPr>
          <w:rFonts w:cs="Arial"/>
          <w:b/>
          <w:bCs/>
          <w:iCs/>
        </w:rPr>
        <w:lastRenderedPageBreak/>
        <w:t>Ambulatory</w:t>
      </w:r>
      <w:r w:rsidRPr="00C74C5D">
        <w:rPr>
          <w:rFonts w:cs="Arial"/>
        </w:rPr>
        <w:t xml:space="preserve"> – </w:t>
      </w:r>
      <w:r w:rsidRPr="008D5FBC">
        <w:rPr>
          <w:rFonts w:cs="Arial"/>
        </w:rPr>
        <w:t xml:space="preserve">in-reach contacts can be recorded against </w:t>
      </w:r>
      <w:r>
        <w:rPr>
          <w:rFonts w:cs="Arial"/>
        </w:rPr>
        <w:t>PARC</w:t>
      </w:r>
      <w:r w:rsidRPr="008D5FBC">
        <w:rPr>
          <w:rFonts w:cs="Arial"/>
        </w:rPr>
        <w:t xml:space="preserve"> subcentre.</w:t>
      </w:r>
    </w:p>
    <w:p w14:paraId="72D8C322" w14:textId="33FAD456" w:rsidR="00086E97" w:rsidRDefault="00086E97" w:rsidP="00086E97">
      <w:pPr>
        <w:spacing w:line="312" w:lineRule="auto"/>
        <w:rPr>
          <w:rFonts w:ascii="CorporateSBQ-Light" w:hAnsi="CorporateSBQ-Light" w:cs="CorporateSBQ-Light"/>
          <w:lang w:eastAsia="en-AU"/>
        </w:rPr>
      </w:pPr>
      <w:r w:rsidRPr="00C74C5D">
        <w:rPr>
          <w:rFonts w:cs="Arial"/>
        </w:rPr>
        <w:t xml:space="preserve">PARC day programs </w:t>
      </w:r>
      <w:r w:rsidRPr="00C74C5D">
        <w:rPr>
          <w:rFonts w:cs="Arial"/>
          <w:b/>
          <w:bCs/>
        </w:rPr>
        <w:t>do not</w:t>
      </w:r>
      <w:r w:rsidRPr="00C74C5D">
        <w:rPr>
          <w:rFonts w:cs="Arial"/>
        </w:rPr>
        <w:t xml:space="preserve"> have a separate subcentre. An existing community team will manage a client of this service type. All PARC day program activity for these clients therefore must be recorded against the community team episode but use the service location of</w:t>
      </w:r>
      <w:r>
        <w:rPr>
          <w:rFonts w:ascii="CorporateSBQ-Light" w:hAnsi="CorporateSBQ-Light" w:cs="CorporateSBQ-Light"/>
          <w:lang w:eastAsia="en-AU"/>
        </w:rPr>
        <w:t xml:space="preserve"> </w:t>
      </w:r>
      <w:r w:rsidRPr="00730844">
        <w:rPr>
          <w:rFonts w:ascii="CorporateSBQ-Light" w:hAnsi="CorporateSBQ-Light" w:cs="CorporateSBQ-Light"/>
          <w:strike/>
          <w:lang w:eastAsia="en-AU"/>
        </w:rPr>
        <w:t>‘</w:t>
      </w:r>
      <w:r w:rsidRPr="00095F09">
        <w:rPr>
          <w:rFonts w:ascii="CorporateSBQ-Light" w:hAnsi="CorporateSBQ-Light" w:cs="CorporateSBQ-Light"/>
          <w:lang w:eastAsia="en-AU"/>
        </w:rPr>
        <w:t>Prevention and recovery centre (PARC)’.</w:t>
      </w:r>
    </w:p>
    <w:p w14:paraId="66CCD152" w14:textId="77777777" w:rsidR="00086E97" w:rsidRPr="00B63AE8" w:rsidRDefault="00086E97" w:rsidP="008E13F2">
      <w:pPr>
        <w:pStyle w:val="Heading4"/>
      </w:pPr>
      <w:r>
        <w:t>Example of PARC setup</w:t>
      </w:r>
    </w:p>
    <w:p w14:paraId="5A872827" w14:textId="77777777" w:rsidR="00086E97" w:rsidRPr="002F2BD1" w:rsidRDefault="00086E97" w:rsidP="00086E97">
      <w:pPr>
        <w:rPr>
          <w:rFonts w:cs="Arial"/>
          <w:b/>
        </w:rPr>
      </w:pPr>
      <w:r w:rsidRPr="002F2BD1">
        <w:rPr>
          <w:rFonts w:cs="Arial"/>
          <w:b/>
        </w:rPr>
        <w:t>Subcentre maintenance</w:t>
      </w:r>
    </w:p>
    <w:p w14:paraId="0E1C598E" w14:textId="77777777" w:rsidR="00086E97" w:rsidRPr="00C74C5D" w:rsidRDefault="00086E97" w:rsidP="00086E97">
      <w:pPr>
        <w:tabs>
          <w:tab w:val="left" w:pos="2534"/>
        </w:tabs>
        <w:spacing w:line="312" w:lineRule="auto"/>
        <w:rPr>
          <w:rFonts w:cs="Arial"/>
        </w:rPr>
      </w:pPr>
      <w:r>
        <w:rPr>
          <w:rFonts w:cs="Arial"/>
        </w:rPr>
        <w:t>Subcentre type</w:t>
      </w:r>
      <w:r>
        <w:rPr>
          <w:rFonts w:cs="Arial"/>
        </w:rPr>
        <w:tab/>
      </w:r>
      <w:r w:rsidRPr="00C74C5D">
        <w:rPr>
          <w:rFonts w:cs="Arial"/>
        </w:rPr>
        <w:t>Inpatient subcentre</w:t>
      </w:r>
    </w:p>
    <w:p w14:paraId="70A459F3" w14:textId="77777777" w:rsidR="00086E97" w:rsidRPr="00C74C5D" w:rsidRDefault="00086E97" w:rsidP="00086E97">
      <w:pPr>
        <w:tabs>
          <w:tab w:val="left" w:pos="2534"/>
        </w:tabs>
        <w:spacing w:line="312" w:lineRule="auto"/>
        <w:rPr>
          <w:rFonts w:cs="Arial"/>
        </w:rPr>
      </w:pPr>
      <w:r>
        <w:rPr>
          <w:rFonts w:cs="Arial"/>
        </w:rPr>
        <w:t>Program class</w:t>
      </w:r>
      <w:r>
        <w:rPr>
          <w:rFonts w:cs="Arial"/>
        </w:rPr>
        <w:tab/>
      </w:r>
      <w:r w:rsidRPr="00C74C5D">
        <w:rPr>
          <w:rFonts w:cs="Arial"/>
        </w:rPr>
        <w:t>Non-acute, general</w:t>
      </w:r>
    </w:p>
    <w:p w14:paraId="6C1BB669" w14:textId="77777777" w:rsidR="00086E97" w:rsidRPr="00C74C5D" w:rsidRDefault="00086E97" w:rsidP="00086E97">
      <w:pPr>
        <w:tabs>
          <w:tab w:val="left" w:pos="2534"/>
        </w:tabs>
        <w:spacing w:line="312" w:lineRule="auto"/>
        <w:rPr>
          <w:rFonts w:cs="Arial"/>
        </w:rPr>
      </w:pPr>
      <w:r>
        <w:rPr>
          <w:rFonts w:cs="Arial"/>
        </w:rPr>
        <w:t>Ward type</w:t>
      </w:r>
      <w:r>
        <w:rPr>
          <w:rFonts w:cs="Arial"/>
        </w:rPr>
        <w:tab/>
      </w:r>
      <w:r w:rsidRPr="00C74C5D">
        <w:rPr>
          <w:rFonts w:cs="Arial"/>
        </w:rPr>
        <w:t xml:space="preserve">Community residential </w:t>
      </w:r>
    </w:p>
    <w:p w14:paraId="7E31D326" w14:textId="77777777" w:rsidR="00086E97" w:rsidRPr="00C74C5D" w:rsidRDefault="00086E97" w:rsidP="00086E97">
      <w:pPr>
        <w:tabs>
          <w:tab w:val="left" w:pos="2534"/>
        </w:tabs>
        <w:spacing w:line="312" w:lineRule="auto"/>
        <w:rPr>
          <w:rFonts w:cs="Arial"/>
        </w:rPr>
      </w:pPr>
      <w:r w:rsidRPr="00C74C5D">
        <w:rPr>
          <w:rFonts w:cs="Arial"/>
        </w:rPr>
        <w:t>OM</w:t>
      </w:r>
      <w:r>
        <w:rPr>
          <w:rFonts w:cs="Arial"/>
        </w:rPr>
        <w:t xml:space="preserve"> setting</w:t>
      </w:r>
      <w:r>
        <w:rPr>
          <w:rFonts w:cs="Arial"/>
        </w:rPr>
        <w:tab/>
      </w:r>
      <w:r w:rsidRPr="008E13F2">
        <w:rPr>
          <w:rFonts w:cs="Arial"/>
        </w:rPr>
        <w:t xml:space="preserve">Adult / Youth </w:t>
      </w:r>
      <w:r w:rsidRPr="00C74C5D">
        <w:rPr>
          <w:rFonts w:cs="Arial"/>
        </w:rPr>
        <w:t>inpatient</w:t>
      </w:r>
    </w:p>
    <w:p w14:paraId="587E667E" w14:textId="77777777" w:rsidR="00086E97" w:rsidRPr="00C74C5D" w:rsidRDefault="00086E97" w:rsidP="00086E97">
      <w:pPr>
        <w:tabs>
          <w:tab w:val="left" w:pos="2534"/>
        </w:tabs>
        <w:spacing w:line="312" w:lineRule="auto"/>
        <w:rPr>
          <w:rFonts w:cs="Arial"/>
        </w:rPr>
      </w:pPr>
      <w:r>
        <w:rPr>
          <w:rFonts w:cs="Arial"/>
        </w:rPr>
        <w:t>Caseload</w:t>
      </w:r>
      <w:r>
        <w:rPr>
          <w:rFonts w:cs="Arial"/>
        </w:rPr>
        <w:tab/>
      </w:r>
      <w:r w:rsidRPr="00C74C5D">
        <w:rPr>
          <w:rFonts w:cs="Arial"/>
        </w:rPr>
        <w:t>Not required</w:t>
      </w:r>
    </w:p>
    <w:p w14:paraId="042EDC33" w14:textId="77777777" w:rsidR="00086E97" w:rsidRDefault="00086E97" w:rsidP="00086E97">
      <w:pPr>
        <w:autoSpaceDE w:val="0"/>
        <w:autoSpaceDN w:val="0"/>
        <w:adjustRightInd w:val="0"/>
        <w:rPr>
          <w:rFonts w:cs="Arial"/>
          <w:b/>
          <w:i/>
        </w:rPr>
      </w:pPr>
    </w:p>
    <w:p w14:paraId="14C23DA3" w14:textId="77777777" w:rsidR="00086E97" w:rsidRPr="002F2BD1" w:rsidRDefault="00086E97" w:rsidP="00086E97">
      <w:pPr>
        <w:autoSpaceDE w:val="0"/>
        <w:autoSpaceDN w:val="0"/>
        <w:adjustRightInd w:val="0"/>
        <w:rPr>
          <w:rFonts w:cs="Arial"/>
          <w:b/>
        </w:rPr>
      </w:pPr>
      <w:r w:rsidRPr="002F2BD1">
        <w:rPr>
          <w:rFonts w:cs="Arial"/>
          <w:b/>
        </w:rPr>
        <w:t>Program maintenance</w:t>
      </w:r>
    </w:p>
    <w:p w14:paraId="7AC35706" w14:textId="77777777" w:rsidR="00086E97" w:rsidRPr="00C74C5D" w:rsidRDefault="00086E97" w:rsidP="00086E97">
      <w:pPr>
        <w:tabs>
          <w:tab w:val="left" w:pos="2534"/>
        </w:tabs>
        <w:autoSpaceDE w:val="0"/>
        <w:autoSpaceDN w:val="0"/>
        <w:adjustRightInd w:val="0"/>
        <w:spacing w:line="312" w:lineRule="auto"/>
        <w:rPr>
          <w:rFonts w:cs="Arial"/>
        </w:rPr>
      </w:pPr>
      <w:r>
        <w:rPr>
          <w:rFonts w:cs="Arial"/>
        </w:rPr>
        <w:t>Program classification</w:t>
      </w:r>
      <w:r>
        <w:rPr>
          <w:rFonts w:cs="Arial"/>
        </w:rPr>
        <w:tab/>
      </w:r>
      <w:r w:rsidRPr="00C74C5D">
        <w:rPr>
          <w:rFonts w:cs="Arial"/>
        </w:rPr>
        <w:t>Non-acute, general</w:t>
      </w:r>
    </w:p>
    <w:p w14:paraId="32EE85F4" w14:textId="2C45478A" w:rsidR="00086E97" w:rsidRPr="00C74C5D" w:rsidRDefault="00086E97" w:rsidP="00086E97">
      <w:pPr>
        <w:tabs>
          <w:tab w:val="left" w:pos="2534"/>
        </w:tabs>
        <w:autoSpaceDE w:val="0"/>
        <w:autoSpaceDN w:val="0"/>
        <w:adjustRightInd w:val="0"/>
        <w:spacing w:line="312" w:lineRule="auto"/>
        <w:rPr>
          <w:rFonts w:cs="Arial"/>
        </w:rPr>
      </w:pPr>
      <w:r w:rsidRPr="00C74C5D">
        <w:rPr>
          <w:rFonts w:cs="Arial"/>
        </w:rPr>
        <w:t>Program type</w:t>
      </w:r>
      <w:r>
        <w:rPr>
          <w:rFonts w:cs="Arial"/>
        </w:rPr>
        <w:tab/>
      </w:r>
      <w:r w:rsidRPr="00095F09">
        <w:rPr>
          <w:rFonts w:cs="Arial"/>
        </w:rPr>
        <w:t>PARC, Adult</w:t>
      </w:r>
      <w:r w:rsidR="008E13F2">
        <w:rPr>
          <w:rFonts w:cs="Arial"/>
        </w:rPr>
        <w:t xml:space="preserve"> / PARC, Youth</w:t>
      </w:r>
    </w:p>
    <w:p w14:paraId="0395B663" w14:textId="77777777" w:rsidR="00086E97" w:rsidRDefault="00086E97" w:rsidP="00086E97">
      <w:pPr>
        <w:tabs>
          <w:tab w:val="left" w:pos="2534"/>
        </w:tabs>
        <w:autoSpaceDE w:val="0"/>
        <w:autoSpaceDN w:val="0"/>
        <w:adjustRightInd w:val="0"/>
        <w:spacing w:line="312" w:lineRule="auto"/>
        <w:rPr>
          <w:rFonts w:cs="Arial"/>
        </w:rPr>
      </w:pPr>
      <w:r>
        <w:rPr>
          <w:rFonts w:cs="Arial"/>
        </w:rPr>
        <w:t>Fund source</w:t>
      </w:r>
      <w:r>
        <w:rPr>
          <w:rFonts w:cs="Arial"/>
        </w:rPr>
        <w:tab/>
      </w:r>
      <w:r w:rsidRPr="00C74C5D">
        <w:rPr>
          <w:rFonts w:cs="Arial"/>
        </w:rPr>
        <w:t>Prevention and Recovery Care – PARC</w:t>
      </w:r>
    </w:p>
    <w:p w14:paraId="2182B827" w14:textId="77777777" w:rsidR="00086E97" w:rsidRPr="00C74C5D" w:rsidRDefault="00086E97" w:rsidP="00086E97">
      <w:pPr>
        <w:tabs>
          <w:tab w:val="left" w:pos="2534"/>
        </w:tabs>
        <w:autoSpaceDE w:val="0"/>
        <w:autoSpaceDN w:val="0"/>
        <w:adjustRightInd w:val="0"/>
        <w:spacing w:line="252" w:lineRule="auto"/>
        <w:ind w:left="181"/>
        <w:rPr>
          <w:rFonts w:cs="Arial"/>
        </w:rPr>
      </w:pPr>
    </w:p>
    <w:p w14:paraId="2EDF6EE2" w14:textId="77777777" w:rsidR="00086E97" w:rsidRPr="008E13F2" w:rsidRDefault="00086E97" w:rsidP="00086E97">
      <w:pPr>
        <w:pStyle w:val="DHSHeading1"/>
        <w:widowControl/>
        <w:numPr>
          <w:ilvl w:val="0"/>
          <w:numId w:val="16"/>
        </w:numPr>
        <w:overflowPunct/>
        <w:autoSpaceDE/>
        <w:autoSpaceDN/>
        <w:adjustRightInd/>
        <w:spacing w:after="0" w:line="312" w:lineRule="auto"/>
        <w:ind w:left="426"/>
        <w:textAlignment w:val="auto"/>
        <w:rPr>
          <w:rFonts w:ascii="Arial" w:hAnsi="Arial" w:cs="Arial"/>
          <w:sz w:val="21"/>
          <w:szCs w:val="21"/>
        </w:rPr>
      </w:pPr>
      <w:r w:rsidRPr="008E13F2">
        <w:rPr>
          <w:rFonts w:ascii="Arial" w:hAnsi="Arial" w:cs="Arial"/>
          <w:bCs/>
          <w:iCs/>
          <w:sz w:val="21"/>
          <w:szCs w:val="21"/>
        </w:rPr>
        <w:t>ECT subcentre:</w:t>
      </w:r>
      <w:r w:rsidRPr="008E13F2">
        <w:rPr>
          <w:rFonts w:ascii="Arial" w:hAnsi="Arial" w:cs="Arial"/>
          <w:bCs/>
          <w:i/>
          <w:iCs/>
          <w:sz w:val="21"/>
          <w:szCs w:val="21"/>
        </w:rPr>
        <w:t xml:space="preserve"> </w:t>
      </w:r>
      <w:r w:rsidRPr="008E13F2">
        <w:rPr>
          <w:rFonts w:ascii="Arial" w:hAnsi="Arial" w:cs="Arial"/>
          <w:b w:val="0"/>
          <w:sz w:val="21"/>
          <w:szCs w:val="21"/>
        </w:rPr>
        <w:t>Defined</w:t>
      </w:r>
      <w:r w:rsidRPr="008E13F2">
        <w:rPr>
          <w:rFonts w:ascii="Arial" w:hAnsi="Arial" w:cs="Arial"/>
          <w:sz w:val="21"/>
          <w:szCs w:val="21"/>
        </w:rPr>
        <w:t xml:space="preserve"> </w:t>
      </w:r>
      <w:r w:rsidRPr="008E13F2">
        <w:rPr>
          <w:rFonts w:ascii="Arial" w:hAnsi="Arial" w:cs="Arial"/>
          <w:b w:val="0"/>
          <w:bCs/>
          <w:sz w:val="21"/>
          <w:szCs w:val="21"/>
        </w:rPr>
        <w:t>as ‘inpatient subcentre’ type, it is important to record:</w:t>
      </w:r>
    </w:p>
    <w:p w14:paraId="4CADAF37" w14:textId="77777777" w:rsidR="00086E97" w:rsidRPr="008E13F2" w:rsidRDefault="00086E97" w:rsidP="00086E97">
      <w:pPr>
        <w:pStyle w:val="ListParagraph"/>
        <w:numPr>
          <w:ilvl w:val="0"/>
          <w:numId w:val="17"/>
        </w:numPr>
        <w:tabs>
          <w:tab w:val="left" w:pos="724"/>
        </w:tabs>
        <w:spacing w:line="312" w:lineRule="auto"/>
        <w:rPr>
          <w:rFonts w:ascii="Arial" w:hAnsi="Arial" w:cs="Arial"/>
          <w:sz w:val="21"/>
          <w:szCs w:val="21"/>
        </w:rPr>
      </w:pPr>
      <w:r w:rsidRPr="008E13F2">
        <w:rPr>
          <w:rFonts w:ascii="Arial" w:hAnsi="Arial" w:cs="Arial"/>
          <w:sz w:val="21"/>
          <w:szCs w:val="21"/>
        </w:rPr>
        <w:t>approved/operational/purchased beds as zero (‘0’) in bed maintenance</w:t>
      </w:r>
    </w:p>
    <w:p w14:paraId="3E27A606" w14:textId="77777777" w:rsidR="00086E97" w:rsidRPr="008E13F2" w:rsidRDefault="00086E97" w:rsidP="00086E97">
      <w:pPr>
        <w:pStyle w:val="ListParagraph"/>
        <w:numPr>
          <w:ilvl w:val="0"/>
          <w:numId w:val="17"/>
        </w:numPr>
        <w:tabs>
          <w:tab w:val="left" w:pos="724"/>
        </w:tabs>
        <w:spacing w:line="312" w:lineRule="auto"/>
        <w:rPr>
          <w:rFonts w:ascii="Arial" w:hAnsi="Arial" w:cs="Arial"/>
          <w:sz w:val="21"/>
          <w:szCs w:val="21"/>
        </w:rPr>
      </w:pPr>
      <w:r w:rsidRPr="008E13F2">
        <w:rPr>
          <w:rFonts w:ascii="Arial" w:hAnsi="Arial" w:cs="Arial"/>
          <w:sz w:val="21"/>
          <w:szCs w:val="21"/>
        </w:rPr>
        <w:t>program type as ‘Same day ECT suite’ in program maintenance</w:t>
      </w:r>
    </w:p>
    <w:p w14:paraId="1219143E" w14:textId="77777777" w:rsidR="00086E97" w:rsidRPr="008E13F2" w:rsidRDefault="00086E97" w:rsidP="00086E97">
      <w:pPr>
        <w:pStyle w:val="ListParagraph"/>
        <w:numPr>
          <w:ilvl w:val="0"/>
          <w:numId w:val="17"/>
        </w:numPr>
        <w:tabs>
          <w:tab w:val="left" w:pos="724"/>
        </w:tabs>
        <w:spacing w:line="312" w:lineRule="auto"/>
        <w:rPr>
          <w:rFonts w:ascii="Arial" w:hAnsi="Arial" w:cs="Arial"/>
          <w:sz w:val="21"/>
          <w:szCs w:val="21"/>
        </w:rPr>
      </w:pPr>
      <w:r w:rsidRPr="008E13F2">
        <w:rPr>
          <w:rFonts w:ascii="Arial" w:hAnsi="Arial" w:cs="Arial"/>
          <w:sz w:val="21"/>
          <w:szCs w:val="21"/>
        </w:rPr>
        <w:t>program class as ‘Acute, general specialist’.</w:t>
      </w:r>
    </w:p>
    <w:p w14:paraId="672A3CC1" w14:textId="77777777" w:rsidR="00086E97" w:rsidRDefault="00086E97" w:rsidP="00086E97">
      <w:pPr>
        <w:tabs>
          <w:tab w:val="left" w:pos="724"/>
        </w:tabs>
        <w:spacing w:line="312" w:lineRule="auto"/>
        <w:ind w:left="181"/>
        <w:rPr>
          <w:rFonts w:cs="Arial"/>
        </w:rPr>
      </w:pPr>
    </w:p>
    <w:p w14:paraId="5A6994B9" w14:textId="77777777" w:rsidR="00086E97" w:rsidRDefault="00086E97" w:rsidP="00086E97">
      <w:pPr>
        <w:pStyle w:val="Heading1"/>
      </w:pPr>
      <w:bookmarkStart w:id="11" w:name="_Toc106184483"/>
      <w:r>
        <w:t>OM Setting</w:t>
      </w:r>
      <w:bookmarkEnd w:id="11"/>
    </w:p>
    <w:p w14:paraId="1F7B6A88" w14:textId="77777777" w:rsidR="00086E97" w:rsidRDefault="00086E97" w:rsidP="00086E97">
      <w:pPr>
        <w:spacing w:line="312" w:lineRule="auto"/>
        <w:rPr>
          <w:rFonts w:cs="Arial"/>
        </w:rPr>
      </w:pPr>
      <w:r w:rsidRPr="00C74C5D">
        <w:rPr>
          <w:rFonts w:cs="Arial"/>
        </w:rPr>
        <w:t xml:space="preserve">For eligible OM reporting, </w:t>
      </w:r>
      <w:smartTag w:uri="urn:schemas-microsoft-com:office:smarttags" w:element="place">
        <w:r w:rsidRPr="00C74C5D">
          <w:rPr>
            <w:rFonts w:cs="Arial"/>
          </w:rPr>
          <w:t>OM</w:t>
        </w:r>
      </w:smartTag>
      <w:r w:rsidRPr="00C74C5D">
        <w:rPr>
          <w:rFonts w:cs="Arial"/>
        </w:rPr>
        <w:t xml:space="preserve"> setting reflects the subcentre as age-based and type grouping. It is important the subcentre and </w:t>
      </w:r>
      <w:smartTag w:uri="urn:schemas-microsoft-com:office:smarttags" w:element="place">
        <w:r w:rsidRPr="00C74C5D">
          <w:rPr>
            <w:rFonts w:cs="Arial"/>
          </w:rPr>
          <w:t>OM</w:t>
        </w:r>
      </w:smartTag>
      <w:r w:rsidRPr="00C74C5D">
        <w:rPr>
          <w:rFonts w:cs="Arial"/>
        </w:rPr>
        <w:t xml:space="preserve"> setting are aligned, for example adult continuing care (CCT) aligns to ‘adult community’.</w:t>
      </w:r>
    </w:p>
    <w:p w14:paraId="5CB29768" w14:textId="77777777" w:rsidR="00086E97" w:rsidRDefault="00086E97" w:rsidP="00086E97">
      <w:pPr>
        <w:pStyle w:val="Heading1"/>
      </w:pPr>
      <w:bookmarkStart w:id="12" w:name="_Toc106184484"/>
      <w:r>
        <w:t>Caseload</w:t>
      </w:r>
      <w:bookmarkEnd w:id="12"/>
    </w:p>
    <w:p w14:paraId="0F54216F" w14:textId="77777777" w:rsidR="00086E97" w:rsidRDefault="00086E97" w:rsidP="00086E97">
      <w:pPr>
        <w:spacing w:after="240" w:line="312" w:lineRule="auto"/>
        <w:rPr>
          <w:rFonts w:cs="Arial"/>
        </w:rPr>
      </w:pPr>
      <w:r w:rsidRPr="00C74C5D">
        <w:rPr>
          <w:rFonts w:cs="Arial"/>
        </w:rPr>
        <w:t>A caseload field will identify whether a community subcentre is eligible for caseload monitoring.  A subcentre with c</w:t>
      </w:r>
      <w:r>
        <w:rPr>
          <w:rFonts w:cs="Arial"/>
        </w:rPr>
        <w:t>onsumer</w:t>
      </w:r>
      <w:r w:rsidRPr="00C74C5D">
        <w:rPr>
          <w:rFonts w:cs="Arial"/>
        </w:rPr>
        <w:t xml:space="preserve"> grouping subject to case management functions should be flagged as eligible for caseload. </w:t>
      </w:r>
    </w:p>
    <w:p w14:paraId="1660372E" w14:textId="77777777" w:rsidR="00086E97" w:rsidRDefault="00086E97" w:rsidP="00086E97">
      <w:pPr>
        <w:spacing w:after="240" w:line="312" w:lineRule="auto"/>
        <w:rPr>
          <w:rFonts w:cs="Arial"/>
        </w:rPr>
      </w:pPr>
      <w:r w:rsidRPr="00C74C5D">
        <w:rPr>
          <w:rFonts w:cs="Arial"/>
        </w:rPr>
        <w:t xml:space="preserve">Inpatient subcentres should not be flagged for caseload. </w:t>
      </w:r>
    </w:p>
    <w:p w14:paraId="4A674CDE" w14:textId="29936396" w:rsidR="00086E97" w:rsidRPr="00C74C5D" w:rsidRDefault="00086E97" w:rsidP="00086E97">
      <w:pPr>
        <w:spacing w:after="240" w:line="312" w:lineRule="auto"/>
        <w:rPr>
          <w:rFonts w:cs="Arial"/>
        </w:rPr>
      </w:pPr>
      <w:r w:rsidRPr="00C74C5D">
        <w:rPr>
          <w:rFonts w:cs="Arial"/>
        </w:rPr>
        <w:t>Caseload data is useful as a management tool and central reporting.</w:t>
      </w:r>
    </w:p>
    <w:p w14:paraId="006002BB" w14:textId="77777777" w:rsidR="00932908" w:rsidRPr="00B63AE8" w:rsidRDefault="00932908" w:rsidP="00932908">
      <w:pPr>
        <w:pStyle w:val="Heading1"/>
      </w:pPr>
      <w:bookmarkStart w:id="13" w:name="_Toc106184485"/>
      <w:r>
        <w:lastRenderedPageBreak/>
        <w:t>About Program Management Circulars</w:t>
      </w:r>
      <w:bookmarkEnd w:id="13"/>
    </w:p>
    <w:p w14:paraId="7E556F0F" w14:textId="77777777" w:rsidR="00932908" w:rsidRPr="00344EFF" w:rsidRDefault="00932908" w:rsidP="00932908">
      <w:pPr>
        <w:rPr>
          <w:rFonts w:cs="Arial"/>
        </w:rPr>
      </w:pPr>
      <w:r w:rsidRPr="00344EFF">
        <w:rPr>
          <w:rFonts w:cs="Arial"/>
        </w:rPr>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1730DBCB" w14:textId="77777777" w:rsidR="00C900B1" w:rsidRPr="00F32368" w:rsidRDefault="00C900B1" w:rsidP="00F32368">
      <w:pPr>
        <w:pStyle w:val="Body"/>
      </w:pPr>
    </w:p>
    <w:tbl>
      <w:tblPr>
        <w:tblW w:w="4800" w:type="pct"/>
        <w:tblInd w:w="113" w:type="dxa"/>
        <w:tblCellMar>
          <w:top w:w="113" w:type="dxa"/>
          <w:bottom w:w="57" w:type="dxa"/>
        </w:tblCellMar>
        <w:tblLook w:val="00A0" w:firstRow="1" w:lastRow="0" w:firstColumn="1" w:lastColumn="0" w:noHBand="0" w:noVBand="0"/>
      </w:tblPr>
      <w:tblGrid>
        <w:gridCol w:w="9786"/>
      </w:tblGrid>
      <w:tr w:rsidR="00AA3321" w:rsidRPr="002802E3" w14:paraId="6ADAE874" w14:textId="77777777" w:rsidTr="004D729E">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3"/>
          <w:p w14:paraId="7B8D53EB" w14:textId="6A49104F" w:rsidR="00AA3321" w:rsidRPr="00E20063" w:rsidRDefault="002A09F5" w:rsidP="004D729E">
            <w:pPr>
              <w:pStyle w:val="DHHSaccessibilitypara"/>
              <w:rPr>
                <w:sz w:val="20"/>
                <w:szCs w:val="20"/>
              </w:rPr>
            </w:pPr>
            <w:r w:rsidRPr="00E20063">
              <w:rPr>
                <w:sz w:val="20"/>
                <w:szCs w:val="20"/>
              </w:rPr>
              <w:t>To receive this publication in an accessible format email</w:t>
            </w:r>
            <w:r>
              <w:rPr>
                <w:sz w:val="20"/>
                <w:szCs w:val="20"/>
              </w:rPr>
              <w:t xml:space="preserve"> </w:t>
            </w:r>
            <w:hyperlink r:id="rId16"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77D959A0" w14:textId="77777777" w:rsidR="00AA3321" w:rsidRPr="00E20063" w:rsidRDefault="00AA3321" w:rsidP="004D729E">
            <w:pPr>
              <w:pStyle w:val="DHHSbody"/>
            </w:pPr>
            <w:r w:rsidRPr="00E20063">
              <w:t>Authorised and published by the Victorian Government, 1 Treasury Place, Melbourne.</w:t>
            </w:r>
          </w:p>
          <w:p w14:paraId="14CF7718" w14:textId="77777777" w:rsidR="00AA3321" w:rsidRDefault="00AA3321" w:rsidP="004D729E">
            <w:pPr>
              <w:pStyle w:val="DHHSbody"/>
            </w:pPr>
            <w:r w:rsidRPr="00E20063">
              <w:t xml:space="preserve">© State of Victoria, Department of Health </w:t>
            </w:r>
            <w:r w:rsidR="00932908">
              <w:t>July 2015</w:t>
            </w:r>
            <w:r w:rsidR="00B019D4" w:rsidRPr="00E20063">
              <w:t>, revi</w:t>
            </w:r>
            <w:r w:rsidR="00932908">
              <w:t>ewed</w:t>
            </w:r>
            <w:r w:rsidRPr="00E20063">
              <w:t xml:space="preserve"> </w:t>
            </w:r>
            <w:r w:rsidR="00E20063">
              <w:t>June</w:t>
            </w:r>
            <w:r w:rsidRPr="00E20063">
              <w:t xml:space="preserve"> 2022.</w:t>
            </w:r>
          </w:p>
          <w:p w14:paraId="685047AF" w14:textId="761895E1" w:rsidR="00630F98" w:rsidRPr="00BA5EAE" w:rsidRDefault="00630F98" w:rsidP="004D729E">
            <w:pPr>
              <w:pStyle w:val="DHHSbody"/>
            </w:pPr>
            <w:r w:rsidRPr="00713BA6">
              <w:t xml:space="preserve">Available at </w:t>
            </w:r>
            <w:hyperlink r:id="rId17"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45F6FDE5" w14:textId="77777777" w:rsidR="00162CA9" w:rsidRDefault="00162CA9" w:rsidP="00162CA9">
      <w:pPr>
        <w:pStyle w:val="Body"/>
      </w:pPr>
    </w:p>
    <w:sectPr w:rsidR="00162CA9" w:rsidSect="00485410">
      <w:footerReference w:type="default" r:id="rId18"/>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86E7" w14:textId="77777777" w:rsidR="00C900B1" w:rsidRDefault="00C900B1">
      <w:r>
        <w:separator/>
      </w:r>
    </w:p>
  </w:endnote>
  <w:endnote w:type="continuationSeparator" w:id="0">
    <w:p w14:paraId="6FFE2FC9" w14:textId="77777777" w:rsidR="00C900B1" w:rsidRDefault="00C9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NeueLT-Light">
    <w:altName w:val="Arial"/>
    <w:panose1 w:val="00000000000000000000"/>
    <w:charset w:val="00"/>
    <w:family w:val="swiss"/>
    <w:notTrueType/>
    <w:pitch w:val="default"/>
    <w:sig w:usb0="00000003" w:usb1="00000000" w:usb2="00000000" w:usb3="00000000" w:csb0="00000001" w:csb1="00000000"/>
  </w:font>
  <w:font w:name="CorporateSBQ-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F1F2" w14:textId="77777777" w:rsidR="008E13F2" w:rsidRDefault="008E1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A9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6CCC67" wp14:editId="14EA42C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CCC6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28A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A112223" wp14:editId="7E5781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1222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B446" w14:textId="733350FB" w:rsidR="00373890" w:rsidRPr="00F65AA9" w:rsidRDefault="00B07FF7" w:rsidP="00485410">
    <w:pPr>
      <w:pStyle w:val="Footer"/>
      <w:jc w:val="left"/>
    </w:pPr>
    <w:r>
      <w:rPr>
        <w:noProof/>
      </w:rPr>
      <mc:AlternateContent>
        <mc:Choice Requires="wps">
          <w:drawing>
            <wp:anchor distT="0" distB="0" distL="114300" distR="114300" simplePos="0" relativeHeight="251675136" behindDoc="0" locked="0" layoutInCell="0" allowOverlap="1" wp14:anchorId="7E22A8B0" wp14:editId="12AE69C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22A8B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r w:rsidR="008E13F2">
      <w:t>PMC – Subcentre Maintenance in CMI/ODS (including PARC)</w:t>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14B9" w14:textId="77777777" w:rsidR="00C900B1" w:rsidRDefault="00C900B1" w:rsidP="002862F1">
      <w:pPr>
        <w:spacing w:before="120"/>
      </w:pPr>
      <w:r>
        <w:separator/>
      </w:r>
    </w:p>
  </w:footnote>
  <w:footnote w:type="continuationSeparator" w:id="0">
    <w:p w14:paraId="10FD72C2" w14:textId="77777777" w:rsidR="00C900B1" w:rsidRDefault="00C9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81A0" w14:textId="77777777" w:rsidR="008E13F2" w:rsidRDefault="008E1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F4C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44C2" w14:textId="77777777" w:rsidR="008E13F2" w:rsidRDefault="008E1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DB43" w14:textId="310CA806"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676CD3"/>
    <w:multiLevelType w:val="hybridMultilevel"/>
    <w:tmpl w:val="5B7AD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DD6BCA"/>
    <w:multiLevelType w:val="hybridMultilevel"/>
    <w:tmpl w:val="E8A0D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5E47231"/>
    <w:multiLevelType w:val="hybridMultilevel"/>
    <w:tmpl w:val="400430B4"/>
    <w:lvl w:ilvl="0" w:tplc="040A67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E9875BF"/>
    <w:multiLevelType w:val="hybridMultilevel"/>
    <w:tmpl w:val="0382D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1A0062"/>
    <w:multiLevelType w:val="hybridMultilevel"/>
    <w:tmpl w:val="A94E89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1E27018"/>
    <w:multiLevelType w:val="hybridMultilevel"/>
    <w:tmpl w:val="4372D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3F3C46"/>
    <w:multiLevelType w:val="hybridMultilevel"/>
    <w:tmpl w:val="255CB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6477EB7"/>
    <w:multiLevelType w:val="hybridMultilevel"/>
    <w:tmpl w:val="FAB22C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6449F"/>
    <w:multiLevelType w:val="hybridMultilevel"/>
    <w:tmpl w:val="7B724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0"/>
  </w:num>
  <w:num w:numId="4">
    <w:abstractNumId w:val="13"/>
  </w:num>
  <w:num w:numId="5">
    <w:abstractNumId w:val="5"/>
  </w:num>
  <w:num w:numId="6">
    <w:abstractNumId w:val="0"/>
  </w:num>
  <w:num w:numId="7">
    <w:abstractNumId w:val="7"/>
  </w:num>
  <w:num w:numId="8">
    <w:abstractNumId w:val="16"/>
  </w:num>
  <w:num w:numId="9">
    <w:abstractNumId w:val="3"/>
  </w:num>
  <w:num w:numId="10">
    <w:abstractNumId w:val="15"/>
  </w:num>
  <w:num w:numId="11">
    <w:abstractNumId w:val="12"/>
  </w:num>
  <w:num w:numId="12">
    <w:abstractNumId w:val="14"/>
  </w:num>
  <w:num w:numId="13">
    <w:abstractNumId w:val="9"/>
  </w:num>
  <w:num w:numId="14">
    <w:abstractNumId w:val="1"/>
  </w:num>
  <w:num w:numId="15">
    <w:abstractNumId w:val="2"/>
  </w:num>
  <w:num w:numId="16">
    <w:abstractNumId w:val="8"/>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3D81"/>
    <w:rsid w:val="000343B0"/>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6E97"/>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0DB1"/>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009F"/>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9F5"/>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07F"/>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410"/>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0F98"/>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13F2"/>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2908"/>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9C8"/>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C274B"/>
    <w:rsid w:val="00AC4764"/>
    <w:rsid w:val="00AC6D36"/>
    <w:rsid w:val="00AD0CBA"/>
    <w:rsid w:val="00AD177A"/>
    <w:rsid w:val="00AD2087"/>
    <w:rsid w:val="00AD26E2"/>
    <w:rsid w:val="00AD3965"/>
    <w:rsid w:val="00AD784C"/>
    <w:rsid w:val="00AE126A"/>
    <w:rsid w:val="00AE1BAE"/>
    <w:rsid w:val="00AE3005"/>
    <w:rsid w:val="00AE3BD5"/>
    <w:rsid w:val="00AE59A0"/>
    <w:rsid w:val="00AF0C57"/>
    <w:rsid w:val="00AF26F3"/>
    <w:rsid w:val="00AF5F04"/>
    <w:rsid w:val="00B00672"/>
    <w:rsid w:val="00B019D4"/>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1A74"/>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00B1"/>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536"/>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063"/>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4CA8"/>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paragraph" w:styleId="TOCHeading">
    <w:name w:val="TOC Heading"/>
    <w:basedOn w:val="Heading1"/>
    <w:next w:val="Normal"/>
    <w:uiPriority w:val="39"/>
    <w:unhideWhenUsed/>
    <w:qFormat/>
    <w:rsid w:val="00DB05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SHeading1">
    <w:name w:val="DHS Heading 1"/>
    <w:basedOn w:val="Normal"/>
    <w:next w:val="Normal"/>
    <w:rsid w:val="00086E97"/>
    <w:pPr>
      <w:widowControl w:val="0"/>
      <w:overflowPunct w:val="0"/>
      <w:autoSpaceDE w:val="0"/>
      <w:autoSpaceDN w:val="0"/>
      <w:adjustRightInd w:val="0"/>
      <w:spacing w:line="280" w:lineRule="exact"/>
      <w:textAlignment w:val="baseline"/>
    </w:pPr>
    <w:rPr>
      <w:rFonts w:ascii="Verdana" w:hAnsi="Verdana"/>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research-and-reporting/bulletins-and-program-management-circulars-pmc" TargetMode="External"/><Relationship Id="rId2" Type="http://schemas.openxmlformats.org/officeDocument/2006/relationships/numbering" Target="numbering.xml"/><Relationship Id="rId16" Type="http://schemas.openxmlformats.org/officeDocument/2006/relationships/hyperlink" Target="mailto:MHDReporting@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PMC_Admissions and Separations in CMIODS</vt:lpstr>
    </vt:vector>
  </TitlesOfParts>
  <Manager/>
  <Company/>
  <LinksUpToDate>false</LinksUpToDate>
  <CharactersWithSpaces>6219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Subcentre Maintenance in CMI-ODS</dc:title>
  <dc:subject/>
  <dc:creator/>
  <cp:keywords>admissions, separations</cp:keywords>
  <dc:description/>
  <cp:lastModifiedBy/>
  <cp:revision>1</cp:revision>
  <dcterms:created xsi:type="dcterms:W3CDTF">2022-06-07T00:28:00Z</dcterms:created>
  <dcterms:modified xsi:type="dcterms:W3CDTF">2022-06-16T02:25:00Z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2022-06-15T01:21:23Z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0e6e35f5-e5b2-4985-889e-5a6f06aab09b</vt:lpwstr>
  </property>
  <property fmtid="{D5CDD505-2E9C-101B-9397-08002B2CF9AE}" pid="8" name="MSIP_Label_43e64453-338c-4f93-8a4d-0039a0a41f2a_ContentBits">
    <vt:lpwstr>2</vt:lpwstr>
  </property>
</Properties>
</file>