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910A" w14:textId="77777777" w:rsidR="00056EC4" w:rsidRDefault="005C6917" w:rsidP="00516C9B">
      <w:pPr>
        <w:pStyle w:val="Body"/>
      </w:pPr>
      <w:bookmarkStart w:id="0" w:name="_Toc101947680"/>
      <w:r>
        <w:rPr>
          <w:noProof/>
        </w:rPr>
        <w:drawing>
          <wp:anchor distT="0" distB="0" distL="114300" distR="114300" simplePos="0" relativeHeight="251658240" behindDoc="1" locked="1" layoutInCell="1" allowOverlap="1" wp14:anchorId="567E3B79" wp14:editId="43BC84CC">
            <wp:simplePos x="0" y="0"/>
            <wp:positionH relativeFrom="page">
              <wp:align>left</wp:align>
            </wp:positionH>
            <wp:positionV relativeFrom="page">
              <wp:align>top</wp:align>
            </wp:positionV>
            <wp:extent cx="7560000" cy="10152000"/>
            <wp:effectExtent l="0" t="0" r="3175" b="1905"/>
            <wp:wrapNone/>
            <wp:docPr id="8" name="Picture 8"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10;Australian Red Cross&#10;Blood Matters"/>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AE57889" w14:textId="77777777" w:rsidTr="00431F42">
        <w:trPr>
          <w:cantSplit/>
        </w:trPr>
        <w:tc>
          <w:tcPr>
            <w:tcW w:w="0" w:type="auto"/>
            <w:tcMar>
              <w:top w:w="0" w:type="dxa"/>
              <w:left w:w="0" w:type="dxa"/>
              <w:right w:w="0" w:type="dxa"/>
            </w:tcMar>
          </w:tcPr>
          <w:p w14:paraId="015BD420" w14:textId="6F27D5E4" w:rsidR="00AD784C" w:rsidRPr="00431F42" w:rsidRDefault="005A38E8" w:rsidP="00431F42">
            <w:pPr>
              <w:pStyle w:val="Documenttitle"/>
            </w:pPr>
            <w:r>
              <w:t>I</w:t>
            </w:r>
            <w:r w:rsidR="00516C9B">
              <w:t xml:space="preserve">mplementation and use of electronic medical records (EMR) </w:t>
            </w:r>
            <w:r>
              <w:t>in</w:t>
            </w:r>
            <w:r w:rsidR="00516C9B">
              <w:t xml:space="preserve"> blood management and transfusion practice</w:t>
            </w:r>
          </w:p>
        </w:tc>
      </w:tr>
      <w:tr w:rsidR="00AD784C" w14:paraId="1B70672C" w14:textId="77777777" w:rsidTr="00431F42">
        <w:trPr>
          <w:cantSplit/>
        </w:trPr>
        <w:tc>
          <w:tcPr>
            <w:tcW w:w="0" w:type="auto"/>
          </w:tcPr>
          <w:p w14:paraId="104E005B" w14:textId="134DF559" w:rsidR="00386109" w:rsidRPr="00A1389F" w:rsidRDefault="005A38E8" w:rsidP="009315BE">
            <w:pPr>
              <w:pStyle w:val="Documentsubtitle"/>
            </w:pPr>
            <w:r>
              <w:t xml:space="preserve">Blood Matters </w:t>
            </w:r>
            <w:r w:rsidR="00884DEF">
              <w:t>EMR</w:t>
            </w:r>
            <w:r w:rsidR="00516C9B">
              <w:t xml:space="preserve"> survey report </w:t>
            </w:r>
            <w:r w:rsidR="00E93EF1">
              <w:t>202</w:t>
            </w:r>
            <w:r w:rsidR="00516C9B">
              <w:t>1</w:t>
            </w:r>
          </w:p>
        </w:tc>
      </w:tr>
      <w:tr w:rsidR="00430393" w14:paraId="2F32772B" w14:textId="77777777" w:rsidTr="00431F42">
        <w:trPr>
          <w:cantSplit/>
        </w:trPr>
        <w:tc>
          <w:tcPr>
            <w:tcW w:w="0" w:type="auto"/>
          </w:tcPr>
          <w:p w14:paraId="4232BABB" w14:textId="77777777" w:rsidR="00430393" w:rsidRDefault="00F751A0" w:rsidP="00430393">
            <w:pPr>
              <w:pStyle w:val="Bannermarking"/>
            </w:pPr>
            <w:r>
              <w:fldChar w:fldCharType="begin"/>
            </w:r>
            <w:r>
              <w:instrText xml:space="preserve"> FILLIN  "Type the protective marking" \d OFFICIAL \o  \* MERGEFORMAT </w:instrText>
            </w:r>
            <w:r>
              <w:fldChar w:fldCharType="separate"/>
            </w:r>
            <w:r w:rsidR="00947274">
              <w:t>OFFICIAL</w:t>
            </w:r>
            <w:r>
              <w:fldChar w:fldCharType="end"/>
            </w:r>
          </w:p>
        </w:tc>
      </w:tr>
    </w:tbl>
    <w:p w14:paraId="3E12814A" w14:textId="77777777" w:rsidR="00FE4081" w:rsidRDefault="00FE4081" w:rsidP="00FE4081">
      <w:pPr>
        <w:pStyle w:val="Body"/>
      </w:pPr>
    </w:p>
    <w:p w14:paraId="66F6D776"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26B4B312"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45E50FDA" w14:textId="77777777" w:rsidTr="00431F42">
        <w:trPr>
          <w:trHeight w:val="7371"/>
        </w:trPr>
        <w:tc>
          <w:tcPr>
            <w:tcW w:w="7598" w:type="dxa"/>
            <w:vAlign w:val="center"/>
          </w:tcPr>
          <w:p w14:paraId="22674E91" w14:textId="3E388E65" w:rsidR="00884DEF" w:rsidRDefault="00884DEF" w:rsidP="00431F42">
            <w:pPr>
              <w:pStyle w:val="Documenttitle"/>
            </w:pPr>
            <w:bookmarkStart w:id="1" w:name="_Hlk101949148"/>
            <w:r>
              <w:lastRenderedPageBreak/>
              <w:t>Implementation and use of electronic medical records (EMR) in blood management and transfusion practice</w:t>
            </w:r>
          </w:p>
          <w:bookmarkEnd w:id="1"/>
          <w:p w14:paraId="11F38294" w14:textId="53997D9C" w:rsidR="00431F42" w:rsidRDefault="00884DEF" w:rsidP="00431F42">
            <w:pPr>
              <w:pStyle w:val="Documentsubtitle"/>
            </w:pPr>
            <w:r>
              <w:t xml:space="preserve">Blood Matters EMR </w:t>
            </w:r>
            <w:r w:rsidR="001D693A">
              <w:t>survey report 2021</w:t>
            </w:r>
          </w:p>
        </w:tc>
      </w:tr>
      <w:tr w:rsidR="00431F42" w14:paraId="6B46D72C" w14:textId="77777777" w:rsidTr="00431F42">
        <w:tc>
          <w:tcPr>
            <w:tcW w:w="7598" w:type="dxa"/>
          </w:tcPr>
          <w:p w14:paraId="7F9DFED9" w14:textId="77777777" w:rsidR="00431F42" w:rsidRDefault="00431F42" w:rsidP="00431F42">
            <w:pPr>
              <w:pStyle w:val="Body"/>
            </w:pPr>
          </w:p>
        </w:tc>
      </w:tr>
    </w:tbl>
    <w:p w14:paraId="17B99511" w14:textId="04036EDD"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06" w:type="dxa"/>
        </w:tblCellMar>
        <w:tblLook w:val="04A0" w:firstRow="1" w:lastRow="0" w:firstColumn="1" w:lastColumn="0" w:noHBand="0" w:noVBand="1"/>
      </w:tblPr>
      <w:tblGrid>
        <w:gridCol w:w="9288"/>
      </w:tblGrid>
      <w:tr w:rsidR="00884DEF" w14:paraId="02CDB434" w14:textId="77777777" w:rsidTr="009742AB">
        <w:tc>
          <w:tcPr>
            <w:tcW w:w="9288" w:type="dxa"/>
          </w:tcPr>
          <w:p w14:paraId="16B148D8" w14:textId="77777777" w:rsidR="00884DEF" w:rsidRPr="0055119B" w:rsidRDefault="00884DEF" w:rsidP="00884DEF">
            <w:pPr>
              <w:pStyle w:val="Accessibilitypara"/>
            </w:pPr>
            <w:r w:rsidRPr="0055119B">
              <w:lastRenderedPageBreak/>
              <w:t>To receive this document in another format</w:t>
            </w:r>
            <w:r>
              <w:t>,</w:t>
            </w:r>
            <w:r w:rsidRPr="0055119B">
              <w:t xml:space="preserve"> phone </w:t>
            </w:r>
            <w:r w:rsidRPr="00CE52EE">
              <w:t>03 9694 0102</w:t>
            </w:r>
            <w:r w:rsidRPr="0055119B">
              <w:t xml:space="preserve">, using the National Relay Service 13 36 77 if required, or </w:t>
            </w:r>
            <w:hyperlink r:id="rId15" w:history="1">
              <w:r w:rsidRPr="00C00D23">
                <w:rPr>
                  <w:rStyle w:val="Hyperlink"/>
                </w:rPr>
                <w:t>email Blood Matters</w:t>
              </w:r>
            </w:hyperlink>
            <w:r>
              <w:t xml:space="preserve"> &lt;</w:t>
            </w:r>
            <w:r w:rsidRPr="00CE52EE">
              <w:t>bloodmatters@redcrossblood.org.au</w:t>
            </w:r>
            <w:r w:rsidRPr="00C00D23">
              <w:t>&gt;</w:t>
            </w:r>
            <w:r>
              <w:t>.</w:t>
            </w:r>
          </w:p>
          <w:p w14:paraId="2A445332" w14:textId="77777777" w:rsidR="00884DEF" w:rsidRPr="00884DEF" w:rsidRDefault="00884DEF" w:rsidP="00884DEF">
            <w:pPr>
              <w:pStyle w:val="Imprint"/>
            </w:pPr>
            <w:r w:rsidRPr="00884DEF">
              <w:t>Authorised and published by the Victorian Government, 1 Treasury Place, Melbourne.</w:t>
            </w:r>
          </w:p>
          <w:p w14:paraId="1A387F01" w14:textId="77777777" w:rsidR="00884DEF" w:rsidRPr="00884DEF" w:rsidRDefault="00884DEF" w:rsidP="00884DEF">
            <w:pPr>
              <w:pStyle w:val="Imprint"/>
            </w:pPr>
            <w:r w:rsidRPr="00884DEF">
              <w:t xml:space="preserve">© State of Victoria, Australia, Department of </w:t>
            </w:r>
            <w:r w:rsidRPr="00CE52EE">
              <w:rPr>
                <w:rStyle w:val="BodyChar"/>
                <w:sz w:val="20"/>
              </w:rPr>
              <w:t>Health, June 2022.</w:t>
            </w:r>
          </w:p>
          <w:p w14:paraId="2E0DE8E6" w14:textId="77777777" w:rsidR="008D6696" w:rsidRDefault="008E0A86" w:rsidP="00884DEF">
            <w:pPr>
              <w:pStyle w:val="Imprint"/>
              <w:rPr>
                <w:rFonts w:cs="Arial"/>
                <w:b/>
                <w:bCs/>
                <w:color w:val="000000"/>
              </w:rPr>
            </w:pPr>
            <w:r>
              <w:rPr>
                <w:rFonts w:cs="Arial"/>
                <w:b/>
                <w:bCs/>
                <w:color w:val="000000"/>
              </w:rPr>
              <w:t xml:space="preserve">ISBN </w:t>
            </w:r>
            <w:r>
              <w:rPr>
                <w:rFonts w:cs="Arial"/>
                <w:color w:val="000000"/>
              </w:rPr>
              <w:t xml:space="preserve">978-1-76096-793-2 </w:t>
            </w:r>
            <w:r>
              <w:rPr>
                <w:rFonts w:cs="Arial"/>
                <w:b/>
                <w:bCs/>
                <w:color w:val="000000"/>
              </w:rPr>
              <w:t>(pdf/online/MS word</w:t>
            </w:r>
            <w:r w:rsidR="008D6696">
              <w:rPr>
                <w:rFonts w:cs="Arial"/>
                <w:b/>
                <w:bCs/>
                <w:color w:val="000000"/>
              </w:rPr>
              <w:t>)</w:t>
            </w:r>
            <w:r>
              <w:rPr>
                <w:rFonts w:cs="Arial"/>
                <w:b/>
                <w:bCs/>
                <w:color w:val="000000"/>
              </w:rPr>
              <w:t xml:space="preserve"> </w:t>
            </w:r>
          </w:p>
          <w:p w14:paraId="68B301A8" w14:textId="7F6703E8" w:rsidR="00884DEF" w:rsidRDefault="00884DEF" w:rsidP="00884DEF">
            <w:pPr>
              <w:pStyle w:val="Imprint"/>
            </w:pPr>
            <w:r w:rsidRPr="0055119B">
              <w:t xml:space="preserve">Available at </w:t>
            </w:r>
            <w:hyperlink r:id="rId16" w:history="1">
              <w:r w:rsidRPr="009648C8">
                <w:rPr>
                  <w:rStyle w:val="Hyperlink"/>
                </w:rPr>
                <w:t>Blood Matters</w:t>
              </w:r>
            </w:hyperlink>
            <w:r>
              <w:t xml:space="preserve"> </w:t>
            </w:r>
            <w:r w:rsidRPr="00884DEF">
              <w:t>&lt;</w:t>
            </w:r>
            <w:r w:rsidRPr="00CE52EE">
              <w:t>https://www.health.vic.gov.au/patient-care/blood-matters-program</w:t>
            </w:r>
            <w:r w:rsidRPr="00884DEF">
              <w:t>&gt;</w:t>
            </w:r>
          </w:p>
          <w:p w14:paraId="1D41DD26" w14:textId="77777777" w:rsidR="00884DEF" w:rsidRDefault="00884DEF" w:rsidP="00431F42">
            <w:pPr>
              <w:pStyle w:val="Body"/>
            </w:pPr>
          </w:p>
        </w:tc>
      </w:tr>
    </w:tbl>
    <w:p w14:paraId="201B7BA0" w14:textId="47A6922A" w:rsidR="00884DEF" w:rsidRDefault="00884DEF">
      <w:pPr>
        <w:spacing w:after="0" w:line="240" w:lineRule="auto"/>
        <w:rPr>
          <w:rFonts w:eastAsia="Times"/>
          <w:color w:val="000000" w:themeColor="text1"/>
          <w:sz w:val="20"/>
        </w:rPr>
      </w:pPr>
      <w:bookmarkStart w:id="2" w:name="_Hlk62746129"/>
      <w:r>
        <w:br w:type="page"/>
      </w:r>
    </w:p>
    <w:p w14:paraId="1B5D9A7E" w14:textId="77777777" w:rsidR="00AD784C" w:rsidRPr="00B57329" w:rsidRDefault="00AD784C" w:rsidP="00B4042B">
      <w:pPr>
        <w:pStyle w:val="Heading1"/>
      </w:pPr>
      <w:bookmarkStart w:id="3" w:name="_Toc104975905"/>
      <w:bookmarkEnd w:id="2"/>
      <w:r w:rsidRPr="00B57329">
        <w:lastRenderedPageBreak/>
        <w:t>Contents</w:t>
      </w:r>
      <w:bookmarkEnd w:id="3"/>
    </w:p>
    <w:p w14:paraId="1D350A38" w14:textId="15E6C1EF" w:rsidR="00AA445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4975905" w:history="1">
        <w:r w:rsidR="00AA445F" w:rsidRPr="008E53ED">
          <w:rPr>
            <w:rStyle w:val="Hyperlink"/>
          </w:rPr>
          <w:t>Contents</w:t>
        </w:r>
        <w:r w:rsidR="00AA445F">
          <w:rPr>
            <w:webHidden/>
          </w:rPr>
          <w:tab/>
        </w:r>
        <w:r w:rsidR="00AA445F">
          <w:rPr>
            <w:webHidden/>
          </w:rPr>
          <w:fldChar w:fldCharType="begin"/>
        </w:r>
        <w:r w:rsidR="00AA445F">
          <w:rPr>
            <w:webHidden/>
          </w:rPr>
          <w:instrText xml:space="preserve"> PAGEREF _Toc104975905 \h </w:instrText>
        </w:r>
        <w:r w:rsidR="00AA445F">
          <w:rPr>
            <w:webHidden/>
          </w:rPr>
        </w:r>
        <w:r w:rsidR="00AA445F">
          <w:rPr>
            <w:webHidden/>
          </w:rPr>
          <w:fldChar w:fldCharType="separate"/>
        </w:r>
        <w:r w:rsidR="00AA445F">
          <w:rPr>
            <w:webHidden/>
          </w:rPr>
          <w:t>5</w:t>
        </w:r>
        <w:r w:rsidR="00AA445F">
          <w:rPr>
            <w:webHidden/>
          </w:rPr>
          <w:fldChar w:fldCharType="end"/>
        </w:r>
      </w:hyperlink>
    </w:p>
    <w:p w14:paraId="16D5DAA4" w14:textId="37E9A84D" w:rsidR="00AA445F" w:rsidRDefault="00F751A0">
      <w:pPr>
        <w:pStyle w:val="TOC1"/>
        <w:rPr>
          <w:rFonts w:asciiTheme="minorHAnsi" w:eastAsiaTheme="minorEastAsia" w:hAnsiTheme="minorHAnsi" w:cstheme="minorBidi"/>
          <w:b w:val="0"/>
          <w:sz w:val="22"/>
          <w:szCs w:val="22"/>
          <w:lang w:eastAsia="en-AU"/>
        </w:rPr>
      </w:pPr>
      <w:hyperlink w:anchor="_Toc104975906" w:history="1">
        <w:r w:rsidR="00AA445F" w:rsidRPr="008E53ED">
          <w:rPr>
            <w:rStyle w:val="Hyperlink"/>
          </w:rPr>
          <w:t>Limitations</w:t>
        </w:r>
        <w:r w:rsidR="00AA445F">
          <w:rPr>
            <w:webHidden/>
          </w:rPr>
          <w:tab/>
        </w:r>
        <w:r w:rsidR="00AA445F">
          <w:rPr>
            <w:webHidden/>
          </w:rPr>
          <w:fldChar w:fldCharType="begin"/>
        </w:r>
        <w:r w:rsidR="00AA445F">
          <w:rPr>
            <w:webHidden/>
          </w:rPr>
          <w:instrText xml:space="preserve"> PAGEREF _Toc104975906 \h </w:instrText>
        </w:r>
        <w:r w:rsidR="00AA445F">
          <w:rPr>
            <w:webHidden/>
          </w:rPr>
        </w:r>
        <w:r w:rsidR="00AA445F">
          <w:rPr>
            <w:webHidden/>
          </w:rPr>
          <w:fldChar w:fldCharType="separate"/>
        </w:r>
        <w:r w:rsidR="00AA445F">
          <w:rPr>
            <w:webHidden/>
          </w:rPr>
          <w:t>7</w:t>
        </w:r>
        <w:r w:rsidR="00AA445F">
          <w:rPr>
            <w:webHidden/>
          </w:rPr>
          <w:fldChar w:fldCharType="end"/>
        </w:r>
      </w:hyperlink>
    </w:p>
    <w:p w14:paraId="25318651" w14:textId="35FB683A" w:rsidR="00AA445F" w:rsidRDefault="00F751A0">
      <w:pPr>
        <w:pStyle w:val="TOC1"/>
        <w:rPr>
          <w:rFonts w:asciiTheme="minorHAnsi" w:eastAsiaTheme="minorEastAsia" w:hAnsiTheme="minorHAnsi" w:cstheme="minorBidi"/>
          <w:b w:val="0"/>
          <w:sz w:val="22"/>
          <w:szCs w:val="22"/>
          <w:lang w:eastAsia="en-AU"/>
        </w:rPr>
      </w:pPr>
      <w:hyperlink w:anchor="_Toc104975907" w:history="1">
        <w:r w:rsidR="00AA445F" w:rsidRPr="008E53ED">
          <w:rPr>
            <w:rStyle w:val="Hyperlink"/>
          </w:rPr>
          <w:t>Acknowledgements</w:t>
        </w:r>
        <w:r w:rsidR="00AA445F">
          <w:rPr>
            <w:webHidden/>
          </w:rPr>
          <w:tab/>
        </w:r>
        <w:r w:rsidR="00AA445F">
          <w:rPr>
            <w:webHidden/>
          </w:rPr>
          <w:fldChar w:fldCharType="begin"/>
        </w:r>
        <w:r w:rsidR="00AA445F">
          <w:rPr>
            <w:webHidden/>
          </w:rPr>
          <w:instrText xml:space="preserve"> PAGEREF _Toc104975907 \h </w:instrText>
        </w:r>
        <w:r w:rsidR="00AA445F">
          <w:rPr>
            <w:webHidden/>
          </w:rPr>
        </w:r>
        <w:r w:rsidR="00AA445F">
          <w:rPr>
            <w:webHidden/>
          </w:rPr>
          <w:fldChar w:fldCharType="separate"/>
        </w:r>
        <w:r w:rsidR="00AA445F">
          <w:rPr>
            <w:webHidden/>
          </w:rPr>
          <w:t>7</w:t>
        </w:r>
        <w:r w:rsidR="00AA445F">
          <w:rPr>
            <w:webHidden/>
          </w:rPr>
          <w:fldChar w:fldCharType="end"/>
        </w:r>
      </w:hyperlink>
    </w:p>
    <w:p w14:paraId="77FAA8DD" w14:textId="17115B39" w:rsidR="00AA445F" w:rsidRDefault="00F751A0">
      <w:pPr>
        <w:pStyle w:val="TOC1"/>
        <w:rPr>
          <w:rFonts w:asciiTheme="minorHAnsi" w:eastAsiaTheme="minorEastAsia" w:hAnsiTheme="minorHAnsi" w:cstheme="minorBidi"/>
          <w:b w:val="0"/>
          <w:sz w:val="22"/>
          <w:szCs w:val="22"/>
          <w:lang w:eastAsia="en-AU"/>
        </w:rPr>
      </w:pPr>
      <w:hyperlink w:anchor="_Toc104975908" w:history="1">
        <w:r w:rsidR="00AA445F" w:rsidRPr="008E53ED">
          <w:rPr>
            <w:rStyle w:val="Hyperlink"/>
          </w:rPr>
          <w:t>Executive summary</w:t>
        </w:r>
        <w:r w:rsidR="00AA445F">
          <w:rPr>
            <w:webHidden/>
          </w:rPr>
          <w:tab/>
        </w:r>
        <w:r w:rsidR="00AA445F">
          <w:rPr>
            <w:webHidden/>
          </w:rPr>
          <w:fldChar w:fldCharType="begin"/>
        </w:r>
        <w:r w:rsidR="00AA445F">
          <w:rPr>
            <w:webHidden/>
          </w:rPr>
          <w:instrText xml:space="preserve"> PAGEREF _Toc104975908 \h </w:instrText>
        </w:r>
        <w:r w:rsidR="00AA445F">
          <w:rPr>
            <w:webHidden/>
          </w:rPr>
        </w:r>
        <w:r w:rsidR="00AA445F">
          <w:rPr>
            <w:webHidden/>
          </w:rPr>
          <w:fldChar w:fldCharType="separate"/>
        </w:r>
        <w:r w:rsidR="00AA445F">
          <w:rPr>
            <w:webHidden/>
          </w:rPr>
          <w:t>8</w:t>
        </w:r>
        <w:r w:rsidR="00AA445F">
          <w:rPr>
            <w:webHidden/>
          </w:rPr>
          <w:fldChar w:fldCharType="end"/>
        </w:r>
      </w:hyperlink>
    </w:p>
    <w:p w14:paraId="662D2583" w14:textId="42C64110" w:rsidR="00AA445F" w:rsidRDefault="00F751A0">
      <w:pPr>
        <w:pStyle w:val="TOC1"/>
        <w:rPr>
          <w:rFonts w:asciiTheme="minorHAnsi" w:eastAsiaTheme="minorEastAsia" w:hAnsiTheme="minorHAnsi" w:cstheme="minorBidi"/>
          <w:b w:val="0"/>
          <w:sz w:val="22"/>
          <w:szCs w:val="22"/>
          <w:lang w:eastAsia="en-AU"/>
        </w:rPr>
      </w:pPr>
      <w:hyperlink w:anchor="_Toc104975909" w:history="1">
        <w:r w:rsidR="00AA445F" w:rsidRPr="008E53ED">
          <w:rPr>
            <w:rStyle w:val="Hyperlink"/>
          </w:rPr>
          <w:t>Introduction</w:t>
        </w:r>
        <w:r w:rsidR="00AA445F">
          <w:rPr>
            <w:webHidden/>
          </w:rPr>
          <w:tab/>
        </w:r>
        <w:r w:rsidR="00AA445F">
          <w:rPr>
            <w:webHidden/>
          </w:rPr>
          <w:fldChar w:fldCharType="begin"/>
        </w:r>
        <w:r w:rsidR="00AA445F">
          <w:rPr>
            <w:webHidden/>
          </w:rPr>
          <w:instrText xml:space="preserve"> PAGEREF _Toc104975909 \h </w:instrText>
        </w:r>
        <w:r w:rsidR="00AA445F">
          <w:rPr>
            <w:webHidden/>
          </w:rPr>
        </w:r>
        <w:r w:rsidR="00AA445F">
          <w:rPr>
            <w:webHidden/>
          </w:rPr>
          <w:fldChar w:fldCharType="separate"/>
        </w:r>
        <w:r w:rsidR="00AA445F">
          <w:rPr>
            <w:webHidden/>
          </w:rPr>
          <w:t>9</w:t>
        </w:r>
        <w:r w:rsidR="00AA445F">
          <w:rPr>
            <w:webHidden/>
          </w:rPr>
          <w:fldChar w:fldCharType="end"/>
        </w:r>
      </w:hyperlink>
    </w:p>
    <w:p w14:paraId="6D04FCE9" w14:textId="3545D8EA" w:rsidR="00AA445F" w:rsidRDefault="00F751A0">
      <w:pPr>
        <w:pStyle w:val="TOC1"/>
        <w:rPr>
          <w:rFonts w:asciiTheme="minorHAnsi" w:eastAsiaTheme="minorEastAsia" w:hAnsiTheme="minorHAnsi" w:cstheme="minorBidi"/>
          <w:b w:val="0"/>
          <w:sz w:val="22"/>
          <w:szCs w:val="22"/>
          <w:lang w:eastAsia="en-AU"/>
        </w:rPr>
      </w:pPr>
      <w:hyperlink w:anchor="_Toc104975910" w:history="1">
        <w:r w:rsidR="00AA445F" w:rsidRPr="008E53ED">
          <w:rPr>
            <w:rStyle w:val="Hyperlink"/>
          </w:rPr>
          <w:t>Survey aims</w:t>
        </w:r>
        <w:r w:rsidR="00AA445F">
          <w:rPr>
            <w:webHidden/>
          </w:rPr>
          <w:tab/>
        </w:r>
        <w:r w:rsidR="00AA445F">
          <w:rPr>
            <w:webHidden/>
          </w:rPr>
          <w:fldChar w:fldCharType="begin"/>
        </w:r>
        <w:r w:rsidR="00AA445F">
          <w:rPr>
            <w:webHidden/>
          </w:rPr>
          <w:instrText xml:space="preserve"> PAGEREF _Toc104975910 \h </w:instrText>
        </w:r>
        <w:r w:rsidR="00AA445F">
          <w:rPr>
            <w:webHidden/>
          </w:rPr>
        </w:r>
        <w:r w:rsidR="00AA445F">
          <w:rPr>
            <w:webHidden/>
          </w:rPr>
          <w:fldChar w:fldCharType="separate"/>
        </w:r>
        <w:r w:rsidR="00AA445F">
          <w:rPr>
            <w:webHidden/>
          </w:rPr>
          <w:t>9</w:t>
        </w:r>
        <w:r w:rsidR="00AA445F">
          <w:rPr>
            <w:webHidden/>
          </w:rPr>
          <w:fldChar w:fldCharType="end"/>
        </w:r>
      </w:hyperlink>
    </w:p>
    <w:p w14:paraId="73676D2E" w14:textId="7CC1E26F" w:rsidR="00AA445F" w:rsidRDefault="00F751A0">
      <w:pPr>
        <w:pStyle w:val="TOC1"/>
        <w:rPr>
          <w:rFonts w:asciiTheme="minorHAnsi" w:eastAsiaTheme="minorEastAsia" w:hAnsiTheme="minorHAnsi" w:cstheme="minorBidi"/>
          <w:b w:val="0"/>
          <w:sz w:val="22"/>
          <w:szCs w:val="22"/>
          <w:lang w:eastAsia="en-AU"/>
        </w:rPr>
      </w:pPr>
      <w:hyperlink w:anchor="_Toc104975911" w:history="1">
        <w:r w:rsidR="00AA445F" w:rsidRPr="008E53ED">
          <w:rPr>
            <w:rStyle w:val="Hyperlink"/>
          </w:rPr>
          <w:t>Methodology</w:t>
        </w:r>
        <w:r w:rsidR="00AA445F">
          <w:rPr>
            <w:webHidden/>
          </w:rPr>
          <w:tab/>
        </w:r>
        <w:r w:rsidR="00AA445F">
          <w:rPr>
            <w:webHidden/>
          </w:rPr>
          <w:fldChar w:fldCharType="begin"/>
        </w:r>
        <w:r w:rsidR="00AA445F">
          <w:rPr>
            <w:webHidden/>
          </w:rPr>
          <w:instrText xml:space="preserve"> PAGEREF _Toc104975911 \h </w:instrText>
        </w:r>
        <w:r w:rsidR="00AA445F">
          <w:rPr>
            <w:webHidden/>
          </w:rPr>
        </w:r>
        <w:r w:rsidR="00AA445F">
          <w:rPr>
            <w:webHidden/>
          </w:rPr>
          <w:fldChar w:fldCharType="separate"/>
        </w:r>
        <w:r w:rsidR="00AA445F">
          <w:rPr>
            <w:webHidden/>
          </w:rPr>
          <w:t>10</w:t>
        </w:r>
        <w:r w:rsidR="00AA445F">
          <w:rPr>
            <w:webHidden/>
          </w:rPr>
          <w:fldChar w:fldCharType="end"/>
        </w:r>
      </w:hyperlink>
    </w:p>
    <w:p w14:paraId="61D46556" w14:textId="28C24B77" w:rsidR="00AA445F" w:rsidRDefault="00F751A0">
      <w:pPr>
        <w:pStyle w:val="TOC1"/>
        <w:rPr>
          <w:rFonts w:asciiTheme="minorHAnsi" w:eastAsiaTheme="minorEastAsia" w:hAnsiTheme="minorHAnsi" w:cstheme="minorBidi"/>
          <w:b w:val="0"/>
          <w:sz w:val="22"/>
          <w:szCs w:val="22"/>
          <w:lang w:eastAsia="en-AU"/>
        </w:rPr>
      </w:pPr>
      <w:hyperlink w:anchor="_Toc104975912" w:history="1">
        <w:r w:rsidR="00AA445F" w:rsidRPr="008E53ED">
          <w:rPr>
            <w:rStyle w:val="Hyperlink"/>
          </w:rPr>
          <w:t>Results</w:t>
        </w:r>
        <w:r w:rsidR="00AA445F">
          <w:rPr>
            <w:webHidden/>
          </w:rPr>
          <w:tab/>
        </w:r>
        <w:r w:rsidR="00AA445F">
          <w:rPr>
            <w:webHidden/>
          </w:rPr>
          <w:fldChar w:fldCharType="begin"/>
        </w:r>
        <w:r w:rsidR="00AA445F">
          <w:rPr>
            <w:webHidden/>
          </w:rPr>
          <w:instrText xml:space="preserve"> PAGEREF _Toc104975912 \h </w:instrText>
        </w:r>
        <w:r w:rsidR="00AA445F">
          <w:rPr>
            <w:webHidden/>
          </w:rPr>
        </w:r>
        <w:r w:rsidR="00AA445F">
          <w:rPr>
            <w:webHidden/>
          </w:rPr>
          <w:fldChar w:fldCharType="separate"/>
        </w:r>
        <w:r w:rsidR="00AA445F">
          <w:rPr>
            <w:webHidden/>
          </w:rPr>
          <w:t>10</w:t>
        </w:r>
        <w:r w:rsidR="00AA445F">
          <w:rPr>
            <w:webHidden/>
          </w:rPr>
          <w:fldChar w:fldCharType="end"/>
        </w:r>
      </w:hyperlink>
    </w:p>
    <w:p w14:paraId="2C40762D" w14:textId="5EDC87AE" w:rsidR="00AA445F" w:rsidRDefault="00F751A0">
      <w:pPr>
        <w:pStyle w:val="TOC2"/>
        <w:rPr>
          <w:rFonts w:asciiTheme="minorHAnsi" w:eastAsiaTheme="minorEastAsia" w:hAnsiTheme="minorHAnsi" w:cstheme="minorBidi"/>
          <w:sz w:val="22"/>
          <w:szCs w:val="22"/>
          <w:lang w:eastAsia="en-AU"/>
        </w:rPr>
      </w:pPr>
      <w:hyperlink w:anchor="_Toc104975913" w:history="1">
        <w:r w:rsidR="00AA445F" w:rsidRPr="008E53ED">
          <w:rPr>
            <w:rStyle w:val="Hyperlink"/>
          </w:rPr>
          <w:t>EMR not used at the time of survey</w:t>
        </w:r>
        <w:r w:rsidR="00AA445F">
          <w:rPr>
            <w:webHidden/>
          </w:rPr>
          <w:tab/>
        </w:r>
        <w:r w:rsidR="00AA445F">
          <w:rPr>
            <w:webHidden/>
          </w:rPr>
          <w:fldChar w:fldCharType="begin"/>
        </w:r>
        <w:r w:rsidR="00AA445F">
          <w:rPr>
            <w:webHidden/>
          </w:rPr>
          <w:instrText xml:space="preserve"> PAGEREF _Toc104975913 \h </w:instrText>
        </w:r>
        <w:r w:rsidR="00AA445F">
          <w:rPr>
            <w:webHidden/>
          </w:rPr>
        </w:r>
        <w:r w:rsidR="00AA445F">
          <w:rPr>
            <w:webHidden/>
          </w:rPr>
          <w:fldChar w:fldCharType="separate"/>
        </w:r>
        <w:r w:rsidR="00AA445F">
          <w:rPr>
            <w:webHidden/>
          </w:rPr>
          <w:t>10</w:t>
        </w:r>
        <w:r w:rsidR="00AA445F">
          <w:rPr>
            <w:webHidden/>
          </w:rPr>
          <w:fldChar w:fldCharType="end"/>
        </w:r>
      </w:hyperlink>
    </w:p>
    <w:p w14:paraId="40025F55" w14:textId="6CFDECA5" w:rsidR="00AA445F" w:rsidRDefault="00F751A0">
      <w:pPr>
        <w:pStyle w:val="TOC2"/>
        <w:rPr>
          <w:rFonts w:asciiTheme="minorHAnsi" w:eastAsiaTheme="minorEastAsia" w:hAnsiTheme="minorHAnsi" w:cstheme="minorBidi"/>
          <w:sz w:val="22"/>
          <w:szCs w:val="22"/>
          <w:lang w:eastAsia="en-AU"/>
        </w:rPr>
      </w:pPr>
      <w:hyperlink w:anchor="_Toc104975914" w:history="1">
        <w:r w:rsidR="00AA445F" w:rsidRPr="008E53ED">
          <w:rPr>
            <w:rStyle w:val="Hyperlink"/>
          </w:rPr>
          <w:t>EMR planned in the next five years</w:t>
        </w:r>
        <w:r w:rsidR="00AA445F">
          <w:rPr>
            <w:webHidden/>
          </w:rPr>
          <w:tab/>
        </w:r>
        <w:r w:rsidR="00AA445F">
          <w:rPr>
            <w:webHidden/>
          </w:rPr>
          <w:fldChar w:fldCharType="begin"/>
        </w:r>
        <w:r w:rsidR="00AA445F">
          <w:rPr>
            <w:webHidden/>
          </w:rPr>
          <w:instrText xml:space="preserve"> PAGEREF _Toc104975914 \h </w:instrText>
        </w:r>
        <w:r w:rsidR="00AA445F">
          <w:rPr>
            <w:webHidden/>
          </w:rPr>
        </w:r>
        <w:r w:rsidR="00AA445F">
          <w:rPr>
            <w:webHidden/>
          </w:rPr>
          <w:fldChar w:fldCharType="separate"/>
        </w:r>
        <w:r w:rsidR="00AA445F">
          <w:rPr>
            <w:webHidden/>
          </w:rPr>
          <w:t>11</w:t>
        </w:r>
        <w:r w:rsidR="00AA445F">
          <w:rPr>
            <w:webHidden/>
          </w:rPr>
          <w:fldChar w:fldCharType="end"/>
        </w:r>
      </w:hyperlink>
    </w:p>
    <w:p w14:paraId="3610288E" w14:textId="70AC3570" w:rsidR="00AA445F" w:rsidRDefault="00F751A0">
      <w:pPr>
        <w:pStyle w:val="TOC2"/>
        <w:rPr>
          <w:rFonts w:asciiTheme="minorHAnsi" w:eastAsiaTheme="minorEastAsia" w:hAnsiTheme="minorHAnsi" w:cstheme="minorBidi"/>
          <w:sz w:val="22"/>
          <w:szCs w:val="22"/>
          <w:lang w:eastAsia="en-AU"/>
        </w:rPr>
      </w:pPr>
      <w:hyperlink w:anchor="_Toc104975915" w:history="1">
        <w:r w:rsidR="00AA445F" w:rsidRPr="008E53ED">
          <w:rPr>
            <w:rStyle w:val="Hyperlink"/>
          </w:rPr>
          <w:t>EMR currently in place</w:t>
        </w:r>
        <w:r w:rsidR="00AA445F">
          <w:rPr>
            <w:webHidden/>
          </w:rPr>
          <w:tab/>
        </w:r>
        <w:r w:rsidR="00AA445F">
          <w:rPr>
            <w:webHidden/>
          </w:rPr>
          <w:fldChar w:fldCharType="begin"/>
        </w:r>
        <w:r w:rsidR="00AA445F">
          <w:rPr>
            <w:webHidden/>
          </w:rPr>
          <w:instrText xml:space="preserve"> PAGEREF _Toc104975915 \h </w:instrText>
        </w:r>
        <w:r w:rsidR="00AA445F">
          <w:rPr>
            <w:webHidden/>
          </w:rPr>
        </w:r>
        <w:r w:rsidR="00AA445F">
          <w:rPr>
            <w:webHidden/>
          </w:rPr>
          <w:fldChar w:fldCharType="separate"/>
        </w:r>
        <w:r w:rsidR="00AA445F">
          <w:rPr>
            <w:webHidden/>
          </w:rPr>
          <w:t>12</w:t>
        </w:r>
        <w:r w:rsidR="00AA445F">
          <w:rPr>
            <w:webHidden/>
          </w:rPr>
          <w:fldChar w:fldCharType="end"/>
        </w:r>
      </w:hyperlink>
    </w:p>
    <w:p w14:paraId="24F09FE9" w14:textId="6A08D551" w:rsidR="00AA445F" w:rsidRDefault="00F751A0">
      <w:pPr>
        <w:pStyle w:val="TOC1"/>
        <w:rPr>
          <w:rFonts w:asciiTheme="minorHAnsi" w:eastAsiaTheme="minorEastAsia" w:hAnsiTheme="minorHAnsi" w:cstheme="minorBidi"/>
          <w:b w:val="0"/>
          <w:sz w:val="22"/>
          <w:szCs w:val="22"/>
          <w:lang w:eastAsia="en-AU"/>
        </w:rPr>
      </w:pPr>
      <w:hyperlink w:anchor="_Toc104975916" w:history="1">
        <w:r w:rsidR="00AA445F" w:rsidRPr="008E53ED">
          <w:rPr>
            <w:rStyle w:val="Hyperlink"/>
          </w:rPr>
          <w:t>Date of implementation</w:t>
        </w:r>
        <w:r w:rsidR="00AA445F">
          <w:rPr>
            <w:webHidden/>
          </w:rPr>
          <w:tab/>
        </w:r>
        <w:r w:rsidR="00AA445F">
          <w:rPr>
            <w:webHidden/>
          </w:rPr>
          <w:fldChar w:fldCharType="begin"/>
        </w:r>
        <w:r w:rsidR="00AA445F">
          <w:rPr>
            <w:webHidden/>
          </w:rPr>
          <w:instrText xml:space="preserve"> PAGEREF _Toc104975916 \h </w:instrText>
        </w:r>
        <w:r w:rsidR="00AA445F">
          <w:rPr>
            <w:webHidden/>
          </w:rPr>
        </w:r>
        <w:r w:rsidR="00AA445F">
          <w:rPr>
            <w:webHidden/>
          </w:rPr>
          <w:fldChar w:fldCharType="separate"/>
        </w:r>
        <w:r w:rsidR="00AA445F">
          <w:rPr>
            <w:webHidden/>
          </w:rPr>
          <w:t>13</w:t>
        </w:r>
        <w:r w:rsidR="00AA445F">
          <w:rPr>
            <w:webHidden/>
          </w:rPr>
          <w:fldChar w:fldCharType="end"/>
        </w:r>
      </w:hyperlink>
    </w:p>
    <w:p w14:paraId="3E337CB2" w14:textId="2E38A1B2" w:rsidR="00AA445F" w:rsidRDefault="00F751A0">
      <w:pPr>
        <w:pStyle w:val="TOC1"/>
        <w:rPr>
          <w:rFonts w:asciiTheme="minorHAnsi" w:eastAsiaTheme="minorEastAsia" w:hAnsiTheme="minorHAnsi" w:cstheme="minorBidi"/>
          <w:b w:val="0"/>
          <w:sz w:val="22"/>
          <w:szCs w:val="22"/>
          <w:lang w:eastAsia="en-AU"/>
        </w:rPr>
      </w:pPr>
      <w:hyperlink w:anchor="_Toc104975917" w:history="1">
        <w:r w:rsidR="00AA445F" w:rsidRPr="008E53ED">
          <w:rPr>
            <w:rStyle w:val="Hyperlink"/>
          </w:rPr>
          <w:t>Involvement in development or implementation</w:t>
        </w:r>
        <w:r w:rsidR="00AA445F">
          <w:rPr>
            <w:webHidden/>
          </w:rPr>
          <w:tab/>
        </w:r>
        <w:r w:rsidR="00AA445F">
          <w:rPr>
            <w:webHidden/>
          </w:rPr>
          <w:fldChar w:fldCharType="begin"/>
        </w:r>
        <w:r w:rsidR="00AA445F">
          <w:rPr>
            <w:webHidden/>
          </w:rPr>
          <w:instrText xml:space="preserve"> PAGEREF _Toc104975917 \h </w:instrText>
        </w:r>
        <w:r w:rsidR="00AA445F">
          <w:rPr>
            <w:webHidden/>
          </w:rPr>
        </w:r>
        <w:r w:rsidR="00AA445F">
          <w:rPr>
            <w:webHidden/>
          </w:rPr>
          <w:fldChar w:fldCharType="separate"/>
        </w:r>
        <w:r w:rsidR="00AA445F">
          <w:rPr>
            <w:webHidden/>
          </w:rPr>
          <w:t>13</w:t>
        </w:r>
        <w:r w:rsidR="00AA445F">
          <w:rPr>
            <w:webHidden/>
          </w:rPr>
          <w:fldChar w:fldCharType="end"/>
        </w:r>
      </w:hyperlink>
    </w:p>
    <w:p w14:paraId="58438457" w14:textId="09997EF5" w:rsidR="00AA445F" w:rsidRDefault="00F751A0">
      <w:pPr>
        <w:pStyle w:val="TOC2"/>
        <w:rPr>
          <w:rFonts w:asciiTheme="minorHAnsi" w:eastAsiaTheme="minorEastAsia" w:hAnsiTheme="minorHAnsi" w:cstheme="minorBidi"/>
          <w:sz w:val="22"/>
          <w:szCs w:val="22"/>
          <w:lang w:eastAsia="en-AU"/>
        </w:rPr>
      </w:pPr>
      <w:hyperlink w:anchor="_Toc104975918" w:history="1">
        <w:r w:rsidR="00AA445F" w:rsidRPr="008E53ED">
          <w:rPr>
            <w:rStyle w:val="Hyperlink"/>
          </w:rPr>
          <w:t>Input into system development and implementation</w:t>
        </w:r>
        <w:r w:rsidR="00AA445F">
          <w:rPr>
            <w:webHidden/>
          </w:rPr>
          <w:tab/>
        </w:r>
        <w:r w:rsidR="00AA445F">
          <w:rPr>
            <w:webHidden/>
          </w:rPr>
          <w:fldChar w:fldCharType="begin"/>
        </w:r>
        <w:r w:rsidR="00AA445F">
          <w:rPr>
            <w:webHidden/>
          </w:rPr>
          <w:instrText xml:space="preserve"> PAGEREF _Toc104975918 \h </w:instrText>
        </w:r>
        <w:r w:rsidR="00AA445F">
          <w:rPr>
            <w:webHidden/>
          </w:rPr>
        </w:r>
        <w:r w:rsidR="00AA445F">
          <w:rPr>
            <w:webHidden/>
          </w:rPr>
          <w:fldChar w:fldCharType="separate"/>
        </w:r>
        <w:r w:rsidR="00AA445F">
          <w:rPr>
            <w:webHidden/>
          </w:rPr>
          <w:t>15</w:t>
        </w:r>
        <w:r w:rsidR="00AA445F">
          <w:rPr>
            <w:webHidden/>
          </w:rPr>
          <w:fldChar w:fldCharType="end"/>
        </w:r>
      </w:hyperlink>
    </w:p>
    <w:p w14:paraId="3138E8FB" w14:textId="5B9F7C9B" w:rsidR="00AA445F" w:rsidRDefault="00F751A0">
      <w:pPr>
        <w:pStyle w:val="TOC2"/>
        <w:rPr>
          <w:rFonts w:asciiTheme="minorHAnsi" w:eastAsiaTheme="minorEastAsia" w:hAnsiTheme="minorHAnsi" w:cstheme="minorBidi"/>
          <w:sz w:val="22"/>
          <w:szCs w:val="22"/>
          <w:lang w:eastAsia="en-AU"/>
        </w:rPr>
      </w:pPr>
      <w:hyperlink w:anchor="_Toc104975919" w:history="1">
        <w:r w:rsidR="00AA445F" w:rsidRPr="008E53ED">
          <w:rPr>
            <w:rStyle w:val="Hyperlink"/>
          </w:rPr>
          <w:t>EMR integration with other IT systems</w:t>
        </w:r>
        <w:r w:rsidR="00AA445F">
          <w:rPr>
            <w:webHidden/>
          </w:rPr>
          <w:tab/>
        </w:r>
        <w:r w:rsidR="00AA445F">
          <w:rPr>
            <w:webHidden/>
          </w:rPr>
          <w:fldChar w:fldCharType="begin"/>
        </w:r>
        <w:r w:rsidR="00AA445F">
          <w:rPr>
            <w:webHidden/>
          </w:rPr>
          <w:instrText xml:space="preserve"> PAGEREF _Toc104975919 \h </w:instrText>
        </w:r>
        <w:r w:rsidR="00AA445F">
          <w:rPr>
            <w:webHidden/>
          </w:rPr>
        </w:r>
        <w:r w:rsidR="00AA445F">
          <w:rPr>
            <w:webHidden/>
          </w:rPr>
          <w:fldChar w:fldCharType="separate"/>
        </w:r>
        <w:r w:rsidR="00AA445F">
          <w:rPr>
            <w:webHidden/>
          </w:rPr>
          <w:t>15</w:t>
        </w:r>
        <w:r w:rsidR="00AA445F">
          <w:rPr>
            <w:webHidden/>
          </w:rPr>
          <w:fldChar w:fldCharType="end"/>
        </w:r>
      </w:hyperlink>
    </w:p>
    <w:p w14:paraId="6F4EA3D2" w14:textId="5EF3B450" w:rsidR="00AA445F" w:rsidRDefault="00F751A0">
      <w:pPr>
        <w:pStyle w:val="TOC1"/>
        <w:rPr>
          <w:rFonts w:asciiTheme="minorHAnsi" w:eastAsiaTheme="minorEastAsia" w:hAnsiTheme="minorHAnsi" w:cstheme="minorBidi"/>
          <w:b w:val="0"/>
          <w:sz w:val="22"/>
          <w:szCs w:val="22"/>
          <w:lang w:eastAsia="en-AU"/>
        </w:rPr>
      </w:pPr>
      <w:hyperlink w:anchor="_Toc104975920" w:history="1">
        <w:r w:rsidR="00AA445F" w:rsidRPr="008E53ED">
          <w:rPr>
            <w:rStyle w:val="Hyperlink"/>
          </w:rPr>
          <w:t>Education and training</w:t>
        </w:r>
        <w:r w:rsidR="00AA445F">
          <w:rPr>
            <w:webHidden/>
          </w:rPr>
          <w:tab/>
        </w:r>
        <w:r w:rsidR="00AA445F">
          <w:rPr>
            <w:webHidden/>
          </w:rPr>
          <w:fldChar w:fldCharType="begin"/>
        </w:r>
        <w:r w:rsidR="00AA445F">
          <w:rPr>
            <w:webHidden/>
          </w:rPr>
          <w:instrText xml:space="preserve"> PAGEREF _Toc104975920 \h </w:instrText>
        </w:r>
        <w:r w:rsidR="00AA445F">
          <w:rPr>
            <w:webHidden/>
          </w:rPr>
        </w:r>
        <w:r w:rsidR="00AA445F">
          <w:rPr>
            <w:webHidden/>
          </w:rPr>
          <w:fldChar w:fldCharType="separate"/>
        </w:r>
        <w:r w:rsidR="00AA445F">
          <w:rPr>
            <w:webHidden/>
          </w:rPr>
          <w:t>16</w:t>
        </w:r>
        <w:r w:rsidR="00AA445F">
          <w:rPr>
            <w:webHidden/>
          </w:rPr>
          <w:fldChar w:fldCharType="end"/>
        </w:r>
      </w:hyperlink>
    </w:p>
    <w:p w14:paraId="36EFA9CC" w14:textId="7BF2D06D" w:rsidR="00AA445F" w:rsidRDefault="00F751A0">
      <w:pPr>
        <w:pStyle w:val="TOC2"/>
        <w:rPr>
          <w:rFonts w:asciiTheme="minorHAnsi" w:eastAsiaTheme="minorEastAsia" w:hAnsiTheme="minorHAnsi" w:cstheme="minorBidi"/>
          <w:sz w:val="22"/>
          <w:szCs w:val="22"/>
          <w:lang w:eastAsia="en-AU"/>
        </w:rPr>
      </w:pPr>
      <w:hyperlink w:anchor="_Toc104975921" w:history="1">
        <w:r w:rsidR="00AA445F" w:rsidRPr="008E53ED">
          <w:rPr>
            <w:rStyle w:val="Hyperlink"/>
          </w:rPr>
          <w:t>Timing of education for EMR implementation</w:t>
        </w:r>
        <w:r w:rsidR="00AA445F">
          <w:rPr>
            <w:webHidden/>
          </w:rPr>
          <w:tab/>
        </w:r>
        <w:r w:rsidR="00AA445F">
          <w:rPr>
            <w:webHidden/>
          </w:rPr>
          <w:fldChar w:fldCharType="begin"/>
        </w:r>
        <w:r w:rsidR="00AA445F">
          <w:rPr>
            <w:webHidden/>
          </w:rPr>
          <w:instrText xml:space="preserve"> PAGEREF _Toc104975921 \h </w:instrText>
        </w:r>
        <w:r w:rsidR="00AA445F">
          <w:rPr>
            <w:webHidden/>
          </w:rPr>
        </w:r>
        <w:r w:rsidR="00AA445F">
          <w:rPr>
            <w:webHidden/>
          </w:rPr>
          <w:fldChar w:fldCharType="separate"/>
        </w:r>
        <w:r w:rsidR="00AA445F">
          <w:rPr>
            <w:webHidden/>
          </w:rPr>
          <w:t>16</w:t>
        </w:r>
        <w:r w:rsidR="00AA445F">
          <w:rPr>
            <w:webHidden/>
          </w:rPr>
          <w:fldChar w:fldCharType="end"/>
        </w:r>
      </w:hyperlink>
    </w:p>
    <w:p w14:paraId="2351D05A" w14:textId="14F2CC67" w:rsidR="00AA445F" w:rsidRDefault="00F751A0">
      <w:pPr>
        <w:pStyle w:val="TOC2"/>
        <w:rPr>
          <w:rFonts w:asciiTheme="minorHAnsi" w:eastAsiaTheme="minorEastAsia" w:hAnsiTheme="minorHAnsi" w:cstheme="minorBidi"/>
          <w:sz w:val="22"/>
          <w:szCs w:val="22"/>
          <w:lang w:eastAsia="en-AU"/>
        </w:rPr>
      </w:pPr>
      <w:hyperlink w:anchor="_Toc104975922" w:history="1">
        <w:r w:rsidR="00AA445F" w:rsidRPr="008E53ED">
          <w:rPr>
            <w:rStyle w:val="Hyperlink"/>
          </w:rPr>
          <w:t>Training as part of orientation</w:t>
        </w:r>
        <w:r w:rsidR="00AA445F">
          <w:rPr>
            <w:webHidden/>
          </w:rPr>
          <w:tab/>
        </w:r>
        <w:r w:rsidR="00AA445F">
          <w:rPr>
            <w:webHidden/>
          </w:rPr>
          <w:fldChar w:fldCharType="begin"/>
        </w:r>
        <w:r w:rsidR="00AA445F">
          <w:rPr>
            <w:webHidden/>
          </w:rPr>
          <w:instrText xml:space="preserve"> PAGEREF _Toc104975922 \h </w:instrText>
        </w:r>
        <w:r w:rsidR="00AA445F">
          <w:rPr>
            <w:webHidden/>
          </w:rPr>
        </w:r>
        <w:r w:rsidR="00AA445F">
          <w:rPr>
            <w:webHidden/>
          </w:rPr>
          <w:fldChar w:fldCharType="separate"/>
        </w:r>
        <w:r w:rsidR="00AA445F">
          <w:rPr>
            <w:webHidden/>
          </w:rPr>
          <w:t>17</w:t>
        </w:r>
        <w:r w:rsidR="00AA445F">
          <w:rPr>
            <w:webHidden/>
          </w:rPr>
          <w:fldChar w:fldCharType="end"/>
        </w:r>
      </w:hyperlink>
    </w:p>
    <w:p w14:paraId="14B2CCFD" w14:textId="5E43A245" w:rsidR="00AA445F" w:rsidRDefault="00F751A0">
      <w:pPr>
        <w:pStyle w:val="TOC2"/>
        <w:rPr>
          <w:rFonts w:asciiTheme="minorHAnsi" w:eastAsiaTheme="minorEastAsia" w:hAnsiTheme="minorHAnsi" w:cstheme="minorBidi"/>
          <w:sz w:val="22"/>
          <w:szCs w:val="22"/>
          <w:lang w:eastAsia="en-AU"/>
        </w:rPr>
      </w:pPr>
      <w:hyperlink w:anchor="_Toc104975923" w:history="1">
        <w:r w:rsidR="00AA445F" w:rsidRPr="008E53ED">
          <w:rPr>
            <w:rStyle w:val="Hyperlink"/>
          </w:rPr>
          <w:t>Ongoing education</w:t>
        </w:r>
        <w:r w:rsidR="00AA445F">
          <w:rPr>
            <w:webHidden/>
          </w:rPr>
          <w:tab/>
        </w:r>
        <w:r w:rsidR="00AA445F">
          <w:rPr>
            <w:webHidden/>
          </w:rPr>
          <w:fldChar w:fldCharType="begin"/>
        </w:r>
        <w:r w:rsidR="00AA445F">
          <w:rPr>
            <w:webHidden/>
          </w:rPr>
          <w:instrText xml:space="preserve"> PAGEREF _Toc104975923 \h </w:instrText>
        </w:r>
        <w:r w:rsidR="00AA445F">
          <w:rPr>
            <w:webHidden/>
          </w:rPr>
        </w:r>
        <w:r w:rsidR="00AA445F">
          <w:rPr>
            <w:webHidden/>
          </w:rPr>
          <w:fldChar w:fldCharType="separate"/>
        </w:r>
        <w:r w:rsidR="00AA445F">
          <w:rPr>
            <w:webHidden/>
          </w:rPr>
          <w:t>17</w:t>
        </w:r>
        <w:r w:rsidR="00AA445F">
          <w:rPr>
            <w:webHidden/>
          </w:rPr>
          <w:fldChar w:fldCharType="end"/>
        </w:r>
      </w:hyperlink>
    </w:p>
    <w:p w14:paraId="2A6EB38B" w14:textId="74F7F849" w:rsidR="00AA445F" w:rsidRDefault="00F751A0">
      <w:pPr>
        <w:pStyle w:val="TOC2"/>
        <w:rPr>
          <w:rFonts w:asciiTheme="minorHAnsi" w:eastAsiaTheme="minorEastAsia" w:hAnsiTheme="minorHAnsi" w:cstheme="minorBidi"/>
          <w:sz w:val="22"/>
          <w:szCs w:val="22"/>
          <w:lang w:eastAsia="en-AU"/>
        </w:rPr>
      </w:pPr>
      <w:hyperlink w:anchor="_Toc104975924" w:history="1">
        <w:r w:rsidR="00AA445F" w:rsidRPr="008E53ED">
          <w:rPr>
            <w:rStyle w:val="Hyperlink"/>
          </w:rPr>
          <w:t>Training methods used</w:t>
        </w:r>
        <w:r w:rsidR="00AA445F">
          <w:rPr>
            <w:webHidden/>
          </w:rPr>
          <w:tab/>
        </w:r>
        <w:r w:rsidR="00AA445F">
          <w:rPr>
            <w:webHidden/>
          </w:rPr>
          <w:fldChar w:fldCharType="begin"/>
        </w:r>
        <w:r w:rsidR="00AA445F">
          <w:rPr>
            <w:webHidden/>
          </w:rPr>
          <w:instrText xml:space="preserve"> PAGEREF _Toc104975924 \h </w:instrText>
        </w:r>
        <w:r w:rsidR="00AA445F">
          <w:rPr>
            <w:webHidden/>
          </w:rPr>
        </w:r>
        <w:r w:rsidR="00AA445F">
          <w:rPr>
            <w:webHidden/>
          </w:rPr>
          <w:fldChar w:fldCharType="separate"/>
        </w:r>
        <w:r w:rsidR="00AA445F">
          <w:rPr>
            <w:webHidden/>
          </w:rPr>
          <w:t>17</w:t>
        </w:r>
        <w:r w:rsidR="00AA445F">
          <w:rPr>
            <w:webHidden/>
          </w:rPr>
          <w:fldChar w:fldCharType="end"/>
        </w:r>
      </w:hyperlink>
    </w:p>
    <w:p w14:paraId="73EAA6B9" w14:textId="3D5968C3" w:rsidR="00AA445F" w:rsidRDefault="00F751A0">
      <w:pPr>
        <w:pStyle w:val="TOC1"/>
        <w:rPr>
          <w:rFonts w:asciiTheme="minorHAnsi" w:eastAsiaTheme="minorEastAsia" w:hAnsiTheme="minorHAnsi" w:cstheme="minorBidi"/>
          <w:b w:val="0"/>
          <w:sz w:val="22"/>
          <w:szCs w:val="22"/>
          <w:lang w:eastAsia="en-AU"/>
        </w:rPr>
      </w:pPr>
      <w:hyperlink w:anchor="_Toc104975925" w:history="1">
        <w:r w:rsidR="00AA445F" w:rsidRPr="008E53ED">
          <w:rPr>
            <w:rStyle w:val="Hyperlink"/>
          </w:rPr>
          <w:t>Set up of EMR for blood management /transfusion</w:t>
        </w:r>
        <w:r w:rsidR="00AA445F">
          <w:rPr>
            <w:webHidden/>
          </w:rPr>
          <w:tab/>
        </w:r>
        <w:r w:rsidR="00AA445F">
          <w:rPr>
            <w:webHidden/>
          </w:rPr>
          <w:fldChar w:fldCharType="begin"/>
        </w:r>
        <w:r w:rsidR="00AA445F">
          <w:rPr>
            <w:webHidden/>
          </w:rPr>
          <w:instrText xml:space="preserve"> PAGEREF _Toc104975925 \h </w:instrText>
        </w:r>
        <w:r w:rsidR="00AA445F">
          <w:rPr>
            <w:webHidden/>
          </w:rPr>
        </w:r>
        <w:r w:rsidR="00AA445F">
          <w:rPr>
            <w:webHidden/>
          </w:rPr>
          <w:fldChar w:fldCharType="separate"/>
        </w:r>
        <w:r w:rsidR="00AA445F">
          <w:rPr>
            <w:webHidden/>
          </w:rPr>
          <w:t>20</w:t>
        </w:r>
        <w:r w:rsidR="00AA445F">
          <w:rPr>
            <w:webHidden/>
          </w:rPr>
          <w:fldChar w:fldCharType="end"/>
        </w:r>
      </w:hyperlink>
    </w:p>
    <w:p w14:paraId="0C0AEF23" w14:textId="2E00AB6C" w:rsidR="00AA445F" w:rsidRDefault="00F751A0">
      <w:pPr>
        <w:pStyle w:val="TOC2"/>
        <w:rPr>
          <w:rFonts w:asciiTheme="minorHAnsi" w:eastAsiaTheme="minorEastAsia" w:hAnsiTheme="minorHAnsi" w:cstheme="minorBidi"/>
          <w:sz w:val="22"/>
          <w:szCs w:val="22"/>
          <w:lang w:eastAsia="en-AU"/>
        </w:rPr>
      </w:pPr>
      <w:hyperlink w:anchor="_Toc104975926" w:history="1">
        <w:r w:rsidR="00AA445F" w:rsidRPr="008E53ED">
          <w:rPr>
            <w:rStyle w:val="Hyperlink"/>
          </w:rPr>
          <w:t>Subject matter experts (SME) involved in the development and review of the EMR blood management/transfusion content</w:t>
        </w:r>
        <w:r w:rsidR="00AA445F">
          <w:rPr>
            <w:webHidden/>
          </w:rPr>
          <w:tab/>
        </w:r>
        <w:r w:rsidR="00AA445F">
          <w:rPr>
            <w:webHidden/>
          </w:rPr>
          <w:fldChar w:fldCharType="begin"/>
        </w:r>
        <w:r w:rsidR="00AA445F">
          <w:rPr>
            <w:webHidden/>
          </w:rPr>
          <w:instrText xml:space="preserve"> PAGEREF _Toc104975926 \h </w:instrText>
        </w:r>
        <w:r w:rsidR="00AA445F">
          <w:rPr>
            <w:webHidden/>
          </w:rPr>
        </w:r>
        <w:r w:rsidR="00AA445F">
          <w:rPr>
            <w:webHidden/>
          </w:rPr>
          <w:fldChar w:fldCharType="separate"/>
        </w:r>
        <w:r w:rsidR="00AA445F">
          <w:rPr>
            <w:webHidden/>
          </w:rPr>
          <w:t>20</w:t>
        </w:r>
        <w:r w:rsidR="00AA445F">
          <w:rPr>
            <w:webHidden/>
          </w:rPr>
          <w:fldChar w:fldCharType="end"/>
        </w:r>
      </w:hyperlink>
    </w:p>
    <w:p w14:paraId="1A84C2CC" w14:textId="19B1F902" w:rsidR="00AA445F" w:rsidRDefault="00F751A0">
      <w:pPr>
        <w:pStyle w:val="TOC2"/>
        <w:rPr>
          <w:rFonts w:asciiTheme="minorHAnsi" w:eastAsiaTheme="minorEastAsia" w:hAnsiTheme="minorHAnsi" w:cstheme="minorBidi"/>
          <w:sz w:val="22"/>
          <w:szCs w:val="22"/>
          <w:lang w:eastAsia="en-AU"/>
        </w:rPr>
      </w:pPr>
      <w:hyperlink w:anchor="_Toc104975927" w:history="1">
        <w:r w:rsidR="00AA445F" w:rsidRPr="008E53ED">
          <w:rPr>
            <w:rStyle w:val="Hyperlink"/>
          </w:rPr>
          <w:t>Aspects of blood management/transfusion included in EMR</w:t>
        </w:r>
        <w:r w:rsidR="00AA445F">
          <w:rPr>
            <w:webHidden/>
          </w:rPr>
          <w:tab/>
        </w:r>
        <w:r w:rsidR="00AA445F">
          <w:rPr>
            <w:webHidden/>
          </w:rPr>
          <w:fldChar w:fldCharType="begin"/>
        </w:r>
        <w:r w:rsidR="00AA445F">
          <w:rPr>
            <w:webHidden/>
          </w:rPr>
          <w:instrText xml:space="preserve"> PAGEREF _Toc104975927 \h </w:instrText>
        </w:r>
        <w:r w:rsidR="00AA445F">
          <w:rPr>
            <w:webHidden/>
          </w:rPr>
        </w:r>
        <w:r w:rsidR="00AA445F">
          <w:rPr>
            <w:webHidden/>
          </w:rPr>
          <w:fldChar w:fldCharType="separate"/>
        </w:r>
        <w:r w:rsidR="00AA445F">
          <w:rPr>
            <w:webHidden/>
          </w:rPr>
          <w:t>21</w:t>
        </w:r>
        <w:r w:rsidR="00AA445F">
          <w:rPr>
            <w:webHidden/>
          </w:rPr>
          <w:fldChar w:fldCharType="end"/>
        </w:r>
      </w:hyperlink>
    </w:p>
    <w:p w14:paraId="7231BE9C" w14:textId="29C90FEE" w:rsidR="00AA445F" w:rsidRDefault="00F751A0">
      <w:pPr>
        <w:pStyle w:val="TOC1"/>
        <w:rPr>
          <w:rFonts w:asciiTheme="minorHAnsi" w:eastAsiaTheme="minorEastAsia" w:hAnsiTheme="minorHAnsi" w:cstheme="minorBidi"/>
          <w:b w:val="0"/>
          <w:sz w:val="22"/>
          <w:szCs w:val="22"/>
          <w:lang w:eastAsia="en-AU"/>
        </w:rPr>
      </w:pPr>
      <w:hyperlink w:anchor="_Toc104975928" w:history="1">
        <w:r w:rsidR="00AA445F" w:rsidRPr="008E53ED">
          <w:rPr>
            <w:rStyle w:val="Hyperlink"/>
          </w:rPr>
          <w:t>Process</w:t>
        </w:r>
        <w:r w:rsidR="00AA445F">
          <w:rPr>
            <w:webHidden/>
          </w:rPr>
          <w:tab/>
        </w:r>
        <w:r w:rsidR="00AA445F">
          <w:rPr>
            <w:webHidden/>
          </w:rPr>
          <w:fldChar w:fldCharType="begin"/>
        </w:r>
        <w:r w:rsidR="00AA445F">
          <w:rPr>
            <w:webHidden/>
          </w:rPr>
          <w:instrText xml:space="preserve"> PAGEREF _Toc104975928 \h </w:instrText>
        </w:r>
        <w:r w:rsidR="00AA445F">
          <w:rPr>
            <w:webHidden/>
          </w:rPr>
        </w:r>
        <w:r w:rsidR="00AA445F">
          <w:rPr>
            <w:webHidden/>
          </w:rPr>
          <w:fldChar w:fldCharType="separate"/>
        </w:r>
        <w:r w:rsidR="00AA445F">
          <w:rPr>
            <w:webHidden/>
          </w:rPr>
          <w:t>22</w:t>
        </w:r>
        <w:r w:rsidR="00AA445F">
          <w:rPr>
            <w:webHidden/>
          </w:rPr>
          <w:fldChar w:fldCharType="end"/>
        </w:r>
      </w:hyperlink>
    </w:p>
    <w:p w14:paraId="796A50D8" w14:textId="0CCA9D3E" w:rsidR="00AA445F" w:rsidRDefault="00F751A0">
      <w:pPr>
        <w:pStyle w:val="TOC2"/>
        <w:tabs>
          <w:tab w:val="left" w:pos="567"/>
        </w:tabs>
        <w:rPr>
          <w:rFonts w:asciiTheme="minorHAnsi" w:eastAsiaTheme="minorEastAsia" w:hAnsiTheme="minorHAnsi" w:cstheme="minorBidi"/>
          <w:sz w:val="22"/>
          <w:szCs w:val="22"/>
          <w:lang w:eastAsia="en-AU"/>
        </w:rPr>
      </w:pPr>
      <w:hyperlink w:anchor="_Toc104975929" w:history="1">
        <w:r w:rsidR="00AA445F" w:rsidRPr="008E53ED">
          <w:rPr>
            <w:rStyle w:val="Hyperlink"/>
          </w:rPr>
          <w:t>1.</w:t>
        </w:r>
        <w:r w:rsidR="00AA445F">
          <w:rPr>
            <w:rFonts w:asciiTheme="minorHAnsi" w:eastAsiaTheme="minorEastAsia" w:hAnsiTheme="minorHAnsi" w:cstheme="minorBidi"/>
            <w:sz w:val="22"/>
            <w:szCs w:val="22"/>
            <w:lang w:eastAsia="en-AU"/>
          </w:rPr>
          <w:tab/>
        </w:r>
        <w:r w:rsidR="00AA445F" w:rsidRPr="008E53ED">
          <w:rPr>
            <w:rStyle w:val="Hyperlink"/>
          </w:rPr>
          <w:t>Pretransfusion</w:t>
        </w:r>
        <w:r w:rsidR="00AA445F">
          <w:rPr>
            <w:webHidden/>
          </w:rPr>
          <w:tab/>
        </w:r>
        <w:r w:rsidR="00AA445F">
          <w:rPr>
            <w:webHidden/>
          </w:rPr>
          <w:fldChar w:fldCharType="begin"/>
        </w:r>
        <w:r w:rsidR="00AA445F">
          <w:rPr>
            <w:webHidden/>
          </w:rPr>
          <w:instrText xml:space="preserve"> PAGEREF _Toc104975929 \h </w:instrText>
        </w:r>
        <w:r w:rsidR="00AA445F">
          <w:rPr>
            <w:webHidden/>
          </w:rPr>
        </w:r>
        <w:r w:rsidR="00AA445F">
          <w:rPr>
            <w:webHidden/>
          </w:rPr>
          <w:fldChar w:fldCharType="separate"/>
        </w:r>
        <w:r w:rsidR="00AA445F">
          <w:rPr>
            <w:webHidden/>
          </w:rPr>
          <w:t>22</w:t>
        </w:r>
        <w:r w:rsidR="00AA445F">
          <w:rPr>
            <w:webHidden/>
          </w:rPr>
          <w:fldChar w:fldCharType="end"/>
        </w:r>
      </w:hyperlink>
    </w:p>
    <w:p w14:paraId="7EAC5724" w14:textId="73687CDD" w:rsidR="00AA445F" w:rsidRDefault="00F751A0">
      <w:pPr>
        <w:pStyle w:val="TOC2"/>
        <w:tabs>
          <w:tab w:val="left" w:pos="567"/>
        </w:tabs>
        <w:rPr>
          <w:rFonts w:asciiTheme="minorHAnsi" w:eastAsiaTheme="minorEastAsia" w:hAnsiTheme="minorHAnsi" w:cstheme="minorBidi"/>
          <w:sz w:val="22"/>
          <w:szCs w:val="22"/>
          <w:lang w:eastAsia="en-AU"/>
        </w:rPr>
      </w:pPr>
      <w:hyperlink w:anchor="_Toc104975930" w:history="1">
        <w:r w:rsidR="00AA445F" w:rsidRPr="008E53ED">
          <w:rPr>
            <w:rStyle w:val="Hyperlink"/>
          </w:rPr>
          <w:t>2.</w:t>
        </w:r>
        <w:r w:rsidR="00AA445F">
          <w:rPr>
            <w:rFonts w:asciiTheme="minorHAnsi" w:eastAsiaTheme="minorEastAsia" w:hAnsiTheme="minorHAnsi" w:cstheme="minorBidi"/>
            <w:sz w:val="22"/>
            <w:szCs w:val="22"/>
            <w:lang w:eastAsia="en-AU"/>
          </w:rPr>
          <w:tab/>
        </w:r>
        <w:r w:rsidR="00AA445F" w:rsidRPr="008E53ED">
          <w:rPr>
            <w:rStyle w:val="Hyperlink"/>
          </w:rPr>
          <w:t>Consent</w:t>
        </w:r>
        <w:r w:rsidR="00AA445F">
          <w:rPr>
            <w:webHidden/>
          </w:rPr>
          <w:tab/>
        </w:r>
        <w:r w:rsidR="00AA445F">
          <w:rPr>
            <w:webHidden/>
          </w:rPr>
          <w:fldChar w:fldCharType="begin"/>
        </w:r>
        <w:r w:rsidR="00AA445F">
          <w:rPr>
            <w:webHidden/>
          </w:rPr>
          <w:instrText xml:space="preserve"> PAGEREF _Toc104975930 \h </w:instrText>
        </w:r>
        <w:r w:rsidR="00AA445F">
          <w:rPr>
            <w:webHidden/>
          </w:rPr>
        </w:r>
        <w:r w:rsidR="00AA445F">
          <w:rPr>
            <w:webHidden/>
          </w:rPr>
          <w:fldChar w:fldCharType="separate"/>
        </w:r>
        <w:r w:rsidR="00AA445F">
          <w:rPr>
            <w:webHidden/>
          </w:rPr>
          <w:t>29</w:t>
        </w:r>
        <w:r w:rsidR="00AA445F">
          <w:rPr>
            <w:webHidden/>
          </w:rPr>
          <w:fldChar w:fldCharType="end"/>
        </w:r>
      </w:hyperlink>
    </w:p>
    <w:p w14:paraId="3497F6D7" w14:textId="0EF51B29" w:rsidR="00AA445F" w:rsidRDefault="00F751A0">
      <w:pPr>
        <w:pStyle w:val="TOC2"/>
        <w:tabs>
          <w:tab w:val="left" w:pos="567"/>
        </w:tabs>
        <w:rPr>
          <w:rFonts w:asciiTheme="minorHAnsi" w:eastAsiaTheme="minorEastAsia" w:hAnsiTheme="minorHAnsi" w:cstheme="minorBidi"/>
          <w:sz w:val="22"/>
          <w:szCs w:val="22"/>
          <w:lang w:eastAsia="en-AU"/>
        </w:rPr>
      </w:pPr>
      <w:hyperlink w:anchor="_Toc104975931" w:history="1">
        <w:r w:rsidR="00AA445F" w:rsidRPr="008E53ED">
          <w:rPr>
            <w:rStyle w:val="Hyperlink"/>
          </w:rPr>
          <w:t>3.</w:t>
        </w:r>
        <w:r w:rsidR="00AA445F">
          <w:rPr>
            <w:rFonts w:asciiTheme="minorHAnsi" w:eastAsiaTheme="minorEastAsia" w:hAnsiTheme="minorHAnsi" w:cstheme="minorBidi"/>
            <w:sz w:val="22"/>
            <w:szCs w:val="22"/>
            <w:lang w:eastAsia="en-AU"/>
          </w:rPr>
          <w:tab/>
        </w:r>
        <w:r w:rsidR="00AA445F" w:rsidRPr="008E53ED">
          <w:rPr>
            <w:rStyle w:val="Hyperlink"/>
          </w:rPr>
          <w:t>Prescribing, ordering and collecting (blood components and products)</w:t>
        </w:r>
        <w:r w:rsidR="00AA445F">
          <w:rPr>
            <w:webHidden/>
          </w:rPr>
          <w:tab/>
        </w:r>
        <w:r w:rsidR="00AA445F">
          <w:rPr>
            <w:webHidden/>
          </w:rPr>
          <w:fldChar w:fldCharType="begin"/>
        </w:r>
        <w:r w:rsidR="00AA445F">
          <w:rPr>
            <w:webHidden/>
          </w:rPr>
          <w:instrText xml:space="preserve"> PAGEREF _Toc104975931 \h </w:instrText>
        </w:r>
        <w:r w:rsidR="00AA445F">
          <w:rPr>
            <w:webHidden/>
          </w:rPr>
        </w:r>
        <w:r w:rsidR="00AA445F">
          <w:rPr>
            <w:webHidden/>
          </w:rPr>
          <w:fldChar w:fldCharType="separate"/>
        </w:r>
        <w:r w:rsidR="00AA445F">
          <w:rPr>
            <w:webHidden/>
          </w:rPr>
          <w:t>31</w:t>
        </w:r>
        <w:r w:rsidR="00AA445F">
          <w:rPr>
            <w:webHidden/>
          </w:rPr>
          <w:fldChar w:fldCharType="end"/>
        </w:r>
      </w:hyperlink>
    </w:p>
    <w:p w14:paraId="44E56C33" w14:textId="12FB28F7" w:rsidR="00AA445F" w:rsidRDefault="00F751A0">
      <w:pPr>
        <w:pStyle w:val="TOC2"/>
        <w:tabs>
          <w:tab w:val="left" w:pos="567"/>
        </w:tabs>
        <w:rPr>
          <w:rFonts w:asciiTheme="minorHAnsi" w:eastAsiaTheme="minorEastAsia" w:hAnsiTheme="minorHAnsi" w:cstheme="minorBidi"/>
          <w:sz w:val="22"/>
          <w:szCs w:val="22"/>
          <w:lang w:eastAsia="en-AU"/>
        </w:rPr>
      </w:pPr>
      <w:hyperlink w:anchor="_Toc104975932" w:history="1">
        <w:r w:rsidR="00AA445F" w:rsidRPr="008E53ED">
          <w:rPr>
            <w:rStyle w:val="Hyperlink"/>
          </w:rPr>
          <w:t>4.</w:t>
        </w:r>
        <w:r w:rsidR="00AA445F">
          <w:rPr>
            <w:rFonts w:asciiTheme="minorHAnsi" w:eastAsiaTheme="minorEastAsia" w:hAnsiTheme="minorHAnsi" w:cstheme="minorBidi"/>
            <w:sz w:val="22"/>
            <w:szCs w:val="22"/>
            <w:lang w:eastAsia="en-AU"/>
          </w:rPr>
          <w:tab/>
        </w:r>
        <w:r w:rsidR="00AA445F" w:rsidRPr="008E53ED">
          <w:rPr>
            <w:rStyle w:val="Hyperlink"/>
          </w:rPr>
          <w:t>Administration of blood components/products in the EMR</w:t>
        </w:r>
        <w:r w:rsidR="00AA445F">
          <w:rPr>
            <w:webHidden/>
          </w:rPr>
          <w:tab/>
        </w:r>
        <w:r w:rsidR="00AA445F">
          <w:rPr>
            <w:webHidden/>
          </w:rPr>
          <w:fldChar w:fldCharType="begin"/>
        </w:r>
        <w:r w:rsidR="00AA445F">
          <w:rPr>
            <w:webHidden/>
          </w:rPr>
          <w:instrText xml:space="preserve"> PAGEREF _Toc104975932 \h </w:instrText>
        </w:r>
        <w:r w:rsidR="00AA445F">
          <w:rPr>
            <w:webHidden/>
          </w:rPr>
        </w:r>
        <w:r w:rsidR="00AA445F">
          <w:rPr>
            <w:webHidden/>
          </w:rPr>
          <w:fldChar w:fldCharType="separate"/>
        </w:r>
        <w:r w:rsidR="00AA445F">
          <w:rPr>
            <w:webHidden/>
          </w:rPr>
          <w:t>35</w:t>
        </w:r>
        <w:r w:rsidR="00AA445F">
          <w:rPr>
            <w:webHidden/>
          </w:rPr>
          <w:fldChar w:fldCharType="end"/>
        </w:r>
      </w:hyperlink>
    </w:p>
    <w:p w14:paraId="3074AF0E" w14:textId="5840F72A" w:rsidR="00AA445F" w:rsidRDefault="00F751A0">
      <w:pPr>
        <w:pStyle w:val="TOC2"/>
        <w:tabs>
          <w:tab w:val="left" w:pos="567"/>
        </w:tabs>
        <w:rPr>
          <w:rFonts w:asciiTheme="minorHAnsi" w:eastAsiaTheme="minorEastAsia" w:hAnsiTheme="minorHAnsi" w:cstheme="minorBidi"/>
          <w:sz w:val="22"/>
          <w:szCs w:val="22"/>
          <w:lang w:eastAsia="en-AU"/>
        </w:rPr>
      </w:pPr>
      <w:hyperlink w:anchor="_Toc104975933" w:history="1">
        <w:r w:rsidR="00AA445F" w:rsidRPr="008E53ED">
          <w:rPr>
            <w:rStyle w:val="Hyperlink"/>
          </w:rPr>
          <w:t>5.</w:t>
        </w:r>
        <w:r w:rsidR="00AA445F">
          <w:rPr>
            <w:rFonts w:asciiTheme="minorHAnsi" w:eastAsiaTheme="minorEastAsia" w:hAnsiTheme="minorHAnsi" w:cstheme="minorBidi"/>
            <w:sz w:val="22"/>
            <w:szCs w:val="22"/>
            <w:lang w:eastAsia="en-AU"/>
          </w:rPr>
          <w:tab/>
        </w:r>
        <w:r w:rsidR="00AA445F" w:rsidRPr="008E53ED">
          <w:rPr>
            <w:rStyle w:val="Hyperlink"/>
          </w:rPr>
          <w:t>Adverse reactions</w:t>
        </w:r>
        <w:r w:rsidR="00AA445F">
          <w:rPr>
            <w:webHidden/>
          </w:rPr>
          <w:tab/>
        </w:r>
        <w:r w:rsidR="00AA445F">
          <w:rPr>
            <w:webHidden/>
          </w:rPr>
          <w:fldChar w:fldCharType="begin"/>
        </w:r>
        <w:r w:rsidR="00AA445F">
          <w:rPr>
            <w:webHidden/>
          </w:rPr>
          <w:instrText xml:space="preserve"> PAGEREF _Toc104975933 \h </w:instrText>
        </w:r>
        <w:r w:rsidR="00AA445F">
          <w:rPr>
            <w:webHidden/>
          </w:rPr>
        </w:r>
        <w:r w:rsidR="00AA445F">
          <w:rPr>
            <w:webHidden/>
          </w:rPr>
          <w:fldChar w:fldCharType="separate"/>
        </w:r>
        <w:r w:rsidR="00AA445F">
          <w:rPr>
            <w:webHidden/>
          </w:rPr>
          <w:t>37</w:t>
        </w:r>
        <w:r w:rsidR="00AA445F">
          <w:rPr>
            <w:webHidden/>
          </w:rPr>
          <w:fldChar w:fldCharType="end"/>
        </w:r>
      </w:hyperlink>
    </w:p>
    <w:p w14:paraId="076C6D5A" w14:textId="70245F4E" w:rsidR="00AA445F" w:rsidRDefault="00F751A0">
      <w:pPr>
        <w:pStyle w:val="TOC2"/>
        <w:rPr>
          <w:rFonts w:asciiTheme="minorHAnsi" w:eastAsiaTheme="minorEastAsia" w:hAnsiTheme="minorHAnsi" w:cstheme="minorBidi"/>
          <w:sz w:val="22"/>
          <w:szCs w:val="22"/>
          <w:lang w:eastAsia="en-AU"/>
        </w:rPr>
      </w:pPr>
      <w:hyperlink w:anchor="_Toc104975934" w:history="1">
        <w:r w:rsidR="00AA445F" w:rsidRPr="008E53ED">
          <w:rPr>
            <w:rStyle w:val="Hyperlink"/>
          </w:rPr>
          <w:t>Blood management</w:t>
        </w:r>
        <w:r w:rsidR="00AA445F">
          <w:rPr>
            <w:webHidden/>
          </w:rPr>
          <w:tab/>
        </w:r>
        <w:r w:rsidR="00AA445F">
          <w:rPr>
            <w:webHidden/>
          </w:rPr>
          <w:fldChar w:fldCharType="begin"/>
        </w:r>
        <w:r w:rsidR="00AA445F">
          <w:rPr>
            <w:webHidden/>
          </w:rPr>
          <w:instrText xml:space="preserve"> PAGEREF _Toc104975934 \h </w:instrText>
        </w:r>
        <w:r w:rsidR="00AA445F">
          <w:rPr>
            <w:webHidden/>
          </w:rPr>
        </w:r>
        <w:r w:rsidR="00AA445F">
          <w:rPr>
            <w:webHidden/>
          </w:rPr>
          <w:fldChar w:fldCharType="separate"/>
        </w:r>
        <w:r w:rsidR="00AA445F">
          <w:rPr>
            <w:webHidden/>
          </w:rPr>
          <w:t>38</w:t>
        </w:r>
        <w:r w:rsidR="00AA445F">
          <w:rPr>
            <w:webHidden/>
          </w:rPr>
          <w:fldChar w:fldCharType="end"/>
        </w:r>
      </w:hyperlink>
    </w:p>
    <w:p w14:paraId="65ABD130" w14:textId="72DCD31C" w:rsidR="00AA445F" w:rsidRDefault="00F751A0">
      <w:pPr>
        <w:pStyle w:val="TOC2"/>
        <w:rPr>
          <w:rFonts w:asciiTheme="minorHAnsi" w:eastAsiaTheme="minorEastAsia" w:hAnsiTheme="minorHAnsi" w:cstheme="minorBidi"/>
          <w:sz w:val="22"/>
          <w:szCs w:val="22"/>
          <w:lang w:eastAsia="en-AU"/>
        </w:rPr>
      </w:pPr>
      <w:hyperlink w:anchor="_Toc104975935" w:history="1">
        <w:r w:rsidR="00AA445F" w:rsidRPr="008E53ED">
          <w:rPr>
            <w:rStyle w:val="Hyperlink"/>
          </w:rPr>
          <w:t>EMR effect on aspects of transfusion</w:t>
        </w:r>
        <w:r w:rsidR="00AA445F">
          <w:rPr>
            <w:webHidden/>
          </w:rPr>
          <w:tab/>
        </w:r>
        <w:r w:rsidR="00AA445F">
          <w:rPr>
            <w:webHidden/>
          </w:rPr>
          <w:fldChar w:fldCharType="begin"/>
        </w:r>
        <w:r w:rsidR="00AA445F">
          <w:rPr>
            <w:webHidden/>
          </w:rPr>
          <w:instrText xml:space="preserve"> PAGEREF _Toc104975935 \h </w:instrText>
        </w:r>
        <w:r w:rsidR="00AA445F">
          <w:rPr>
            <w:webHidden/>
          </w:rPr>
        </w:r>
        <w:r w:rsidR="00AA445F">
          <w:rPr>
            <w:webHidden/>
          </w:rPr>
          <w:fldChar w:fldCharType="separate"/>
        </w:r>
        <w:r w:rsidR="00AA445F">
          <w:rPr>
            <w:webHidden/>
          </w:rPr>
          <w:t>40</w:t>
        </w:r>
        <w:r w:rsidR="00AA445F">
          <w:rPr>
            <w:webHidden/>
          </w:rPr>
          <w:fldChar w:fldCharType="end"/>
        </w:r>
      </w:hyperlink>
    </w:p>
    <w:p w14:paraId="0B8500D2" w14:textId="155ECD3A" w:rsidR="00AA445F" w:rsidRDefault="00F751A0">
      <w:pPr>
        <w:pStyle w:val="TOC1"/>
        <w:rPr>
          <w:rFonts w:asciiTheme="minorHAnsi" w:eastAsiaTheme="minorEastAsia" w:hAnsiTheme="minorHAnsi" w:cstheme="minorBidi"/>
          <w:b w:val="0"/>
          <w:sz w:val="22"/>
          <w:szCs w:val="22"/>
          <w:lang w:eastAsia="en-AU"/>
        </w:rPr>
      </w:pPr>
      <w:hyperlink w:anchor="_Toc104975936" w:history="1">
        <w:r w:rsidR="00AA445F" w:rsidRPr="008E53ED">
          <w:rPr>
            <w:rStyle w:val="Hyperlink"/>
          </w:rPr>
          <w:t>Quality, performance, and patient safety</w:t>
        </w:r>
        <w:r w:rsidR="00AA445F">
          <w:rPr>
            <w:webHidden/>
          </w:rPr>
          <w:tab/>
        </w:r>
        <w:r w:rsidR="00AA445F">
          <w:rPr>
            <w:webHidden/>
          </w:rPr>
          <w:fldChar w:fldCharType="begin"/>
        </w:r>
        <w:r w:rsidR="00AA445F">
          <w:rPr>
            <w:webHidden/>
          </w:rPr>
          <w:instrText xml:space="preserve"> PAGEREF _Toc104975936 \h </w:instrText>
        </w:r>
        <w:r w:rsidR="00AA445F">
          <w:rPr>
            <w:webHidden/>
          </w:rPr>
        </w:r>
        <w:r w:rsidR="00AA445F">
          <w:rPr>
            <w:webHidden/>
          </w:rPr>
          <w:fldChar w:fldCharType="separate"/>
        </w:r>
        <w:r w:rsidR="00AA445F">
          <w:rPr>
            <w:webHidden/>
          </w:rPr>
          <w:t>43</w:t>
        </w:r>
        <w:r w:rsidR="00AA445F">
          <w:rPr>
            <w:webHidden/>
          </w:rPr>
          <w:fldChar w:fldCharType="end"/>
        </w:r>
      </w:hyperlink>
    </w:p>
    <w:p w14:paraId="087D3EBA" w14:textId="42870859" w:rsidR="00AA445F" w:rsidRDefault="00F751A0">
      <w:pPr>
        <w:pStyle w:val="TOC2"/>
        <w:rPr>
          <w:rFonts w:asciiTheme="minorHAnsi" w:eastAsiaTheme="minorEastAsia" w:hAnsiTheme="minorHAnsi" w:cstheme="minorBidi"/>
          <w:sz w:val="22"/>
          <w:szCs w:val="22"/>
          <w:lang w:eastAsia="en-AU"/>
        </w:rPr>
      </w:pPr>
      <w:hyperlink w:anchor="_Toc104975937" w:history="1">
        <w:r w:rsidR="00AA445F" w:rsidRPr="008E53ED">
          <w:rPr>
            <w:rStyle w:val="Hyperlink"/>
          </w:rPr>
          <w:t>Key performance indicators</w:t>
        </w:r>
        <w:r w:rsidR="00AA445F">
          <w:rPr>
            <w:webHidden/>
          </w:rPr>
          <w:tab/>
        </w:r>
        <w:r w:rsidR="00AA445F">
          <w:rPr>
            <w:webHidden/>
          </w:rPr>
          <w:fldChar w:fldCharType="begin"/>
        </w:r>
        <w:r w:rsidR="00AA445F">
          <w:rPr>
            <w:webHidden/>
          </w:rPr>
          <w:instrText xml:space="preserve"> PAGEREF _Toc104975937 \h </w:instrText>
        </w:r>
        <w:r w:rsidR="00AA445F">
          <w:rPr>
            <w:webHidden/>
          </w:rPr>
        </w:r>
        <w:r w:rsidR="00AA445F">
          <w:rPr>
            <w:webHidden/>
          </w:rPr>
          <w:fldChar w:fldCharType="separate"/>
        </w:r>
        <w:r w:rsidR="00AA445F">
          <w:rPr>
            <w:webHidden/>
          </w:rPr>
          <w:t>43</w:t>
        </w:r>
        <w:r w:rsidR="00AA445F">
          <w:rPr>
            <w:webHidden/>
          </w:rPr>
          <w:fldChar w:fldCharType="end"/>
        </w:r>
      </w:hyperlink>
    </w:p>
    <w:p w14:paraId="47DC0F28" w14:textId="396B597D" w:rsidR="00AA445F" w:rsidRDefault="00F751A0">
      <w:pPr>
        <w:pStyle w:val="TOC2"/>
        <w:rPr>
          <w:rFonts w:asciiTheme="minorHAnsi" w:eastAsiaTheme="minorEastAsia" w:hAnsiTheme="minorHAnsi" w:cstheme="minorBidi"/>
          <w:sz w:val="22"/>
          <w:szCs w:val="22"/>
          <w:lang w:eastAsia="en-AU"/>
        </w:rPr>
      </w:pPr>
      <w:hyperlink w:anchor="_Toc104975938" w:history="1">
        <w:r w:rsidR="00AA445F" w:rsidRPr="008E53ED">
          <w:rPr>
            <w:rStyle w:val="Hyperlink"/>
          </w:rPr>
          <w:t>Quality markers/changes</w:t>
        </w:r>
        <w:r w:rsidR="00AA445F">
          <w:rPr>
            <w:webHidden/>
          </w:rPr>
          <w:tab/>
        </w:r>
        <w:r w:rsidR="00AA445F">
          <w:rPr>
            <w:webHidden/>
          </w:rPr>
          <w:fldChar w:fldCharType="begin"/>
        </w:r>
        <w:r w:rsidR="00AA445F">
          <w:rPr>
            <w:webHidden/>
          </w:rPr>
          <w:instrText xml:space="preserve"> PAGEREF _Toc104975938 \h </w:instrText>
        </w:r>
        <w:r w:rsidR="00AA445F">
          <w:rPr>
            <w:webHidden/>
          </w:rPr>
        </w:r>
        <w:r w:rsidR="00AA445F">
          <w:rPr>
            <w:webHidden/>
          </w:rPr>
          <w:fldChar w:fldCharType="separate"/>
        </w:r>
        <w:r w:rsidR="00AA445F">
          <w:rPr>
            <w:webHidden/>
          </w:rPr>
          <w:t>44</w:t>
        </w:r>
        <w:r w:rsidR="00AA445F">
          <w:rPr>
            <w:webHidden/>
          </w:rPr>
          <w:fldChar w:fldCharType="end"/>
        </w:r>
      </w:hyperlink>
    </w:p>
    <w:p w14:paraId="603E441A" w14:textId="10AFD68E" w:rsidR="00AA445F" w:rsidRDefault="00F751A0">
      <w:pPr>
        <w:pStyle w:val="TOC2"/>
        <w:rPr>
          <w:rFonts w:asciiTheme="minorHAnsi" w:eastAsiaTheme="minorEastAsia" w:hAnsiTheme="minorHAnsi" w:cstheme="minorBidi"/>
          <w:sz w:val="22"/>
          <w:szCs w:val="22"/>
          <w:lang w:eastAsia="en-AU"/>
        </w:rPr>
      </w:pPr>
      <w:hyperlink w:anchor="_Toc104975939" w:history="1">
        <w:r w:rsidR="00AA445F" w:rsidRPr="008E53ED">
          <w:rPr>
            <w:rStyle w:val="Hyperlink"/>
          </w:rPr>
          <w:t>Set-up/useability</w:t>
        </w:r>
        <w:r w:rsidR="00AA445F">
          <w:rPr>
            <w:webHidden/>
          </w:rPr>
          <w:tab/>
        </w:r>
        <w:r w:rsidR="00AA445F">
          <w:rPr>
            <w:webHidden/>
          </w:rPr>
          <w:fldChar w:fldCharType="begin"/>
        </w:r>
        <w:r w:rsidR="00AA445F">
          <w:rPr>
            <w:webHidden/>
          </w:rPr>
          <w:instrText xml:space="preserve"> PAGEREF _Toc104975939 \h </w:instrText>
        </w:r>
        <w:r w:rsidR="00AA445F">
          <w:rPr>
            <w:webHidden/>
          </w:rPr>
        </w:r>
        <w:r w:rsidR="00AA445F">
          <w:rPr>
            <w:webHidden/>
          </w:rPr>
          <w:fldChar w:fldCharType="separate"/>
        </w:r>
        <w:r w:rsidR="00AA445F">
          <w:rPr>
            <w:webHidden/>
          </w:rPr>
          <w:t>49</w:t>
        </w:r>
        <w:r w:rsidR="00AA445F">
          <w:rPr>
            <w:webHidden/>
          </w:rPr>
          <w:fldChar w:fldCharType="end"/>
        </w:r>
      </w:hyperlink>
    </w:p>
    <w:p w14:paraId="4FC779BA" w14:textId="342021CA" w:rsidR="00AA445F" w:rsidRDefault="00F751A0">
      <w:pPr>
        <w:pStyle w:val="TOC1"/>
        <w:rPr>
          <w:rFonts w:asciiTheme="minorHAnsi" w:eastAsiaTheme="minorEastAsia" w:hAnsiTheme="minorHAnsi" w:cstheme="minorBidi"/>
          <w:b w:val="0"/>
          <w:sz w:val="22"/>
          <w:szCs w:val="22"/>
          <w:lang w:eastAsia="en-AU"/>
        </w:rPr>
      </w:pPr>
      <w:hyperlink w:anchor="_Toc104975940" w:history="1">
        <w:r w:rsidR="00AA445F" w:rsidRPr="008E53ED">
          <w:rPr>
            <w:rStyle w:val="Hyperlink"/>
          </w:rPr>
          <w:t>Laboratory aspects of EMR implementation</w:t>
        </w:r>
        <w:r w:rsidR="00AA445F">
          <w:rPr>
            <w:webHidden/>
          </w:rPr>
          <w:tab/>
        </w:r>
        <w:r w:rsidR="00AA445F">
          <w:rPr>
            <w:webHidden/>
          </w:rPr>
          <w:fldChar w:fldCharType="begin"/>
        </w:r>
        <w:r w:rsidR="00AA445F">
          <w:rPr>
            <w:webHidden/>
          </w:rPr>
          <w:instrText xml:space="preserve"> PAGEREF _Toc104975940 \h </w:instrText>
        </w:r>
        <w:r w:rsidR="00AA445F">
          <w:rPr>
            <w:webHidden/>
          </w:rPr>
        </w:r>
        <w:r w:rsidR="00AA445F">
          <w:rPr>
            <w:webHidden/>
          </w:rPr>
          <w:fldChar w:fldCharType="separate"/>
        </w:r>
        <w:r w:rsidR="00AA445F">
          <w:rPr>
            <w:webHidden/>
          </w:rPr>
          <w:t>53</w:t>
        </w:r>
        <w:r w:rsidR="00AA445F">
          <w:rPr>
            <w:webHidden/>
          </w:rPr>
          <w:fldChar w:fldCharType="end"/>
        </w:r>
      </w:hyperlink>
    </w:p>
    <w:p w14:paraId="3295BE12" w14:textId="1F3973B2" w:rsidR="00AA445F" w:rsidRDefault="00F751A0">
      <w:pPr>
        <w:pStyle w:val="TOC2"/>
        <w:rPr>
          <w:rFonts w:asciiTheme="minorHAnsi" w:eastAsiaTheme="minorEastAsia" w:hAnsiTheme="minorHAnsi" w:cstheme="minorBidi"/>
          <w:sz w:val="22"/>
          <w:szCs w:val="22"/>
          <w:lang w:eastAsia="en-AU"/>
        </w:rPr>
      </w:pPr>
      <w:hyperlink w:anchor="_Toc104975941" w:history="1">
        <w:r w:rsidR="00AA445F" w:rsidRPr="008E53ED">
          <w:rPr>
            <w:rStyle w:val="Hyperlink"/>
          </w:rPr>
          <w:t>Laboratory workflow/processes</w:t>
        </w:r>
        <w:r w:rsidR="00AA445F">
          <w:rPr>
            <w:webHidden/>
          </w:rPr>
          <w:tab/>
        </w:r>
        <w:r w:rsidR="00AA445F">
          <w:rPr>
            <w:webHidden/>
          </w:rPr>
          <w:fldChar w:fldCharType="begin"/>
        </w:r>
        <w:r w:rsidR="00AA445F">
          <w:rPr>
            <w:webHidden/>
          </w:rPr>
          <w:instrText xml:space="preserve"> PAGEREF _Toc104975941 \h </w:instrText>
        </w:r>
        <w:r w:rsidR="00AA445F">
          <w:rPr>
            <w:webHidden/>
          </w:rPr>
        </w:r>
        <w:r w:rsidR="00AA445F">
          <w:rPr>
            <w:webHidden/>
          </w:rPr>
          <w:fldChar w:fldCharType="separate"/>
        </w:r>
        <w:r w:rsidR="00AA445F">
          <w:rPr>
            <w:webHidden/>
          </w:rPr>
          <w:t>53</w:t>
        </w:r>
        <w:r w:rsidR="00AA445F">
          <w:rPr>
            <w:webHidden/>
          </w:rPr>
          <w:fldChar w:fldCharType="end"/>
        </w:r>
      </w:hyperlink>
    </w:p>
    <w:p w14:paraId="35A988CA" w14:textId="42760E0B" w:rsidR="00AA445F" w:rsidRDefault="00F751A0">
      <w:pPr>
        <w:pStyle w:val="TOC2"/>
        <w:rPr>
          <w:rFonts w:asciiTheme="minorHAnsi" w:eastAsiaTheme="minorEastAsia" w:hAnsiTheme="minorHAnsi" w:cstheme="minorBidi"/>
          <w:sz w:val="22"/>
          <w:szCs w:val="22"/>
          <w:lang w:eastAsia="en-AU"/>
        </w:rPr>
      </w:pPr>
      <w:hyperlink w:anchor="_Toc104975942" w:history="1">
        <w:r w:rsidR="00AA445F" w:rsidRPr="008E53ED">
          <w:rPr>
            <w:rStyle w:val="Hyperlink"/>
          </w:rPr>
          <w:t>Change in transfusion process error rates</w:t>
        </w:r>
        <w:r w:rsidR="00AA445F">
          <w:rPr>
            <w:webHidden/>
          </w:rPr>
          <w:tab/>
        </w:r>
        <w:r w:rsidR="00AA445F">
          <w:rPr>
            <w:webHidden/>
          </w:rPr>
          <w:fldChar w:fldCharType="begin"/>
        </w:r>
        <w:r w:rsidR="00AA445F">
          <w:rPr>
            <w:webHidden/>
          </w:rPr>
          <w:instrText xml:space="preserve"> PAGEREF _Toc104975942 \h </w:instrText>
        </w:r>
        <w:r w:rsidR="00AA445F">
          <w:rPr>
            <w:webHidden/>
          </w:rPr>
        </w:r>
        <w:r w:rsidR="00AA445F">
          <w:rPr>
            <w:webHidden/>
          </w:rPr>
          <w:fldChar w:fldCharType="separate"/>
        </w:r>
        <w:r w:rsidR="00AA445F">
          <w:rPr>
            <w:webHidden/>
          </w:rPr>
          <w:t>54</w:t>
        </w:r>
        <w:r w:rsidR="00AA445F">
          <w:rPr>
            <w:webHidden/>
          </w:rPr>
          <w:fldChar w:fldCharType="end"/>
        </w:r>
      </w:hyperlink>
    </w:p>
    <w:p w14:paraId="43F17577" w14:textId="6FF1D894" w:rsidR="00AA445F" w:rsidRDefault="00F751A0">
      <w:pPr>
        <w:pStyle w:val="TOC2"/>
        <w:rPr>
          <w:rFonts w:asciiTheme="minorHAnsi" w:eastAsiaTheme="minorEastAsia" w:hAnsiTheme="minorHAnsi" w:cstheme="minorBidi"/>
          <w:sz w:val="22"/>
          <w:szCs w:val="22"/>
          <w:lang w:eastAsia="en-AU"/>
        </w:rPr>
      </w:pPr>
      <w:hyperlink w:anchor="_Toc104975943" w:history="1">
        <w:r w:rsidR="00AA445F" w:rsidRPr="008E53ED">
          <w:rPr>
            <w:rStyle w:val="Hyperlink"/>
          </w:rPr>
          <w:t>Availability of blood/blood products</w:t>
        </w:r>
        <w:r w:rsidR="00AA445F">
          <w:rPr>
            <w:webHidden/>
          </w:rPr>
          <w:tab/>
        </w:r>
        <w:r w:rsidR="00AA445F">
          <w:rPr>
            <w:webHidden/>
          </w:rPr>
          <w:fldChar w:fldCharType="begin"/>
        </w:r>
        <w:r w:rsidR="00AA445F">
          <w:rPr>
            <w:webHidden/>
          </w:rPr>
          <w:instrText xml:space="preserve"> PAGEREF _Toc104975943 \h </w:instrText>
        </w:r>
        <w:r w:rsidR="00AA445F">
          <w:rPr>
            <w:webHidden/>
          </w:rPr>
        </w:r>
        <w:r w:rsidR="00AA445F">
          <w:rPr>
            <w:webHidden/>
          </w:rPr>
          <w:fldChar w:fldCharType="separate"/>
        </w:r>
        <w:r w:rsidR="00AA445F">
          <w:rPr>
            <w:webHidden/>
          </w:rPr>
          <w:t>56</w:t>
        </w:r>
        <w:r w:rsidR="00AA445F">
          <w:rPr>
            <w:webHidden/>
          </w:rPr>
          <w:fldChar w:fldCharType="end"/>
        </w:r>
      </w:hyperlink>
    </w:p>
    <w:p w14:paraId="21342608" w14:textId="5867A4F7" w:rsidR="00AA445F" w:rsidRDefault="00F751A0">
      <w:pPr>
        <w:pStyle w:val="TOC2"/>
        <w:rPr>
          <w:rFonts w:asciiTheme="minorHAnsi" w:eastAsiaTheme="minorEastAsia" w:hAnsiTheme="minorHAnsi" w:cstheme="minorBidi"/>
          <w:sz w:val="22"/>
          <w:szCs w:val="22"/>
          <w:lang w:eastAsia="en-AU"/>
        </w:rPr>
      </w:pPr>
      <w:hyperlink w:anchor="_Toc104975944" w:history="1">
        <w:r w:rsidR="00AA445F" w:rsidRPr="008E53ED">
          <w:rPr>
            <w:rStyle w:val="Hyperlink"/>
          </w:rPr>
          <w:t>EMR troubleshooting requests</w:t>
        </w:r>
        <w:r w:rsidR="00AA445F">
          <w:rPr>
            <w:webHidden/>
          </w:rPr>
          <w:tab/>
        </w:r>
        <w:r w:rsidR="00AA445F">
          <w:rPr>
            <w:webHidden/>
          </w:rPr>
          <w:fldChar w:fldCharType="begin"/>
        </w:r>
        <w:r w:rsidR="00AA445F">
          <w:rPr>
            <w:webHidden/>
          </w:rPr>
          <w:instrText xml:space="preserve"> PAGEREF _Toc104975944 \h </w:instrText>
        </w:r>
        <w:r w:rsidR="00AA445F">
          <w:rPr>
            <w:webHidden/>
          </w:rPr>
        </w:r>
        <w:r w:rsidR="00AA445F">
          <w:rPr>
            <w:webHidden/>
          </w:rPr>
          <w:fldChar w:fldCharType="separate"/>
        </w:r>
        <w:r w:rsidR="00AA445F">
          <w:rPr>
            <w:webHidden/>
          </w:rPr>
          <w:t>56</w:t>
        </w:r>
        <w:r w:rsidR="00AA445F">
          <w:rPr>
            <w:webHidden/>
          </w:rPr>
          <w:fldChar w:fldCharType="end"/>
        </w:r>
      </w:hyperlink>
    </w:p>
    <w:p w14:paraId="68A3C58A" w14:textId="3B2993CB" w:rsidR="00AA445F" w:rsidRDefault="00F751A0">
      <w:pPr>
        <w:pStyle w:val="TOC1"/>
        <w:rPr>
          <w:rFonts w:asciiTheme="minorHAnsi" w:eastAsiaTheme="minorEastAsia" w:hAnsiTheme="minorHAnsi" w:cstheme="minorBidi"/>
          <w:b w:val="0"/>
          <w:sz w:val="22"/>
          <w:szCs w:val="22"/>
          <w:lang w:eastAsia="en-AU"/>
        </w:rPr>
      </w:pPr>
      <w:hyperlink w:anchor="_Toc104975945" w:history="1">
        <w:r w:rsidR="00AA445F" w:rsidRPr="008E53ED">
          <w:rPr>
            <w:rStyle w:val="Hyperlink"/>
          </w:rPr>
          <w:t>EMR support</w:t>
        </w:r>
        <w:r w:rsidR="00AA445F">
          <w:rPr>
            <w:webHidden/>
          </w:rPr>
          <w:tab/>
        </w:r>
        <w:r w:rsidR="00AA445F">
          <w:rPr>
            <w:webHidden/>
          </w:rPr>
          <w:fldChar w:fldCharType="begin"/>
        </w:r>
        <w:r w:rsidR="00AA445F">
          <w:rPr>
            <w:webHidden/>
          </w:rPr>
          <w:instrText xml:space="preserve"> PAGEREF _Toc104975945 \h </w:instrText>
        </w:r>
        <w:r w:rsidR="00AA445F">
          <w:rPr>
            <w:webHidden/>
          </w:rPr>
        </w:r>
        <w:r w:rsidR="00AA445F">
          <w:rPr>
            <w:webHidden/>
          </w:rPr>
          <w:fldChar w:fldCharType="separate"/>
        </w:r>
        <w:r w:rsidR="00AA445F">
          <w:rPr>
            <w:webHidden/>
          </w:rPr>
          <w:t>58</w:t>
        </w:r>
        <w:r w:rsidR="00AA445F">
          <w:rPr>
            <w:webHidden/>
          </w:rPr>
          <w:fldChar w:fldCharType="end"/>
        </w:r>
      </w:hyperlink>
    </w:p>
    <w:p w14:paraId="6DDE27A8" w14:textId="1947FB9B" w:rsidR="00AA445F" w:rsidRDefault="00F751A0">
      <w:pPr>
        <w:pStyle w:val="TOC2"/>
        <w:rPr>
          <w:rFonts w:asciiTheme="minorHAnsi" w:eastAsiaTheme="minorEastAsia" w:hAnsiTheme="minorHAnsi" w:cstheme="minorBidi"/>
          <w:sz w:val="22"/>
          <w:szCs w:val="22"/>
          <w:lang w:eastAsia="en-AU"/>
        </w:rPr>
      </w:pPr>
      <w:hyperlink w:anchor="_Toc104975946" w:history="1">
        <w:r w:rsidR="00AA445F" w:rsidRPr="008E53ED">
          <w:rPr>
            <w:rStyle w:val="Hyperlink"/>
          </w:rPr>
          <w:t>Availability of support</w:t>
        </w:r>
        <w:r w:rsidR="00AA445F">
          <w:rPr>
            <w:webHidden/>
          </w:rPr>
          <w:tab/>
        </w:r>
        <w:r w:rsidR="00AA445F">
          <w:rPr>
            <w:webHidden/>
          </w:rPr>
          <w:fldChar w:fldCharType="begin"/>
        </w:r>
        <w:r w:rsidR="00AA445F">
          <w:rPr>
            <w:webHidden/>
          </w:rPr>
          <w:instrText xml:space="preserve"> PAGEREF _Toc104975946 \h </w:instrText>
        </w:r>
        <w:r w:rsidR="00AA445F">
          <w:rPr>
            <w:webHidden/>
          </w:rPr>
        </w:r>
        <w:r w:rsidR="00AA445F">
          <w:rPr>
            <w:webHidden/>
          </w:rPr>
          <w:fldChar w:fldCharType="separate"/>
        </w:r>
        <w:r w:rsidR="00AA445F">
          <w:rPr>
            <w:webHidden/>
          </w:rPr>
          <w:t>58</w:t>
        </w:r>
        <w:r w:rsidR="00AA445F">
          <w:rPr>
            <w:webHidden/>
          </w:rPr>
          <w:fldChar w:fldCharType="end"/>
        </w:r>
      </w:hyperlink>
    </w:p>
    <w:p w14:paraId="7EA440C7" w14:textId="463049C7" w:rsidR="00AA445F" w:rsidRDefault="00F751A0">
      <w:pPr>
        <w:pStyle w:val="TOC2"/>
        <w:rPr>
          <w:rFonts w:asciiTheme="minorHAnsi" w:eastAsiaTheme="minorEastAsia" w:hAnsiTheme="minorHAnsi" w:cstheme="minorBidi"/>
          <w:sz w:val="22"/>
          <w:szCs w:val="22"/>
          <w:lang w:eastAsia="en-AU"/>
        </w:rPr>
      </w:pPr>
      <w:hyperlink w:anchor="_Toc104975947" w:history="1">
        <w:r w:rsidR="00AA445F" w:rsidRPr="008E53ED">
          <w:rPr>
            <w:rStyle w:val="Hyperlink"/>
          </w:rPr>
          <w:t>Accessibility and sufficiency of support</w:t>
        </w:r>
        <w:r w:rsidR="00AA445F">
          <w:rPr>
            <w:webHidden/>
          </w:rPr>
          <w:tab/>
        </w:r>
        <w:r w:rsidR="00AA445F">
          <w:rPr>
            <w:webHidden/>
          </w:rPr>
          <w:fldChar w:fldCharType="begin"/>
        </w:r>
        <w:r w:rsidR="00AA445F">
          <w:rPr>
            <w:webHidden/>
          </w:rPr>
          <w:instrText xml:space="preserve"> PAGEREF _Toc104975947 \h </w:instrText>
        </w:r>
        <w:r w:rsidR="00AA445F">
          <w:rPr>
            <w:webHidden/>
          </w:rPr>
        </w:r>
        <w:r w:rsidR="00AA445F">
          <w:rPr>
            <w:webHidden/>
          </w:rPr>
          <w:fldChar w:fldCharType="separate"/>
        </w:r>
        <w:r w:rsidR="00AA445F">
          <w:rPr>
            <w:webHidden/>
          </w:rPr>
          <w:t>58</w:t>
        </w:r>
        <w:r w:rsidR="00AA445F">
          <w:rPr>
            <w:webHidden/>
          </w:rPr>
          <w:fldChar w:fldCharType="end"/>
        </w:r>
      </w:hyperlink>
    </w:p>
    <w:p w14:paraId="7E561018" w14:textId="14222CE9" w:rsidR="00AA445F" w:rsidRDefault="00F751A0">
      <w:pPr>
        <w:pStyle w:val="TOC1"/>
        <w:rPr>
          <w:rFonts w:asciiTheme="minorHAnsi" w:eastAsiaTheme="minorEastAsia" w:hAnsiTheme="minorHAnsi" w:cstheme="minorBidi"/>
          <w:b w:val="0"/>
          <w:sz w:val="22"/>
          <w:szCs w:val="22"/>
          <w:lang w:eastAsia="en-AU"/>
        </w:rPr>
      </w:pPr>
      <w:hyperlink w:anchor="_Toc104975948" w:history="1">
        <w:r w:rsidR="00AA445F" w:rsidRPr="008E53ED">
          <w:rPr>
            <w:rStyle w:val="Hyperlink"/>
          </w:rPr>
          <w:t>Aspects of the EMR considered to have worked well</w:t>
        </w:r>
        <w:r w:rsidR="00AA445F">
          <w:rPr>
            <w:webHidden/>
          </w:rPr>
          <w:tab/>
        </w:r>
        <w:r w:rsidR="00AA445F">
          <w:rPr>
            <w:webHidden/>
          </w:rPr>
          <w:fldChar w:fldCharType="begin"/>
        </w:r>
        <w:r w:rsidR="00AA445F">
          <w:rPr>
            <w:webHidden/>
          </w:rPr>
          <w:instrText xml:space="preserve"> PAGEREF _Toc104975948 \h </w:instrText>
        </w:r>
        <w:r w:rsidR="00AA445F">
          <w:rPr>
            <w:webHidden/>
          </w:rPr>
        </w:r>
        <w:r w:rsidR="00AA445F">
          <w:rPr>
            <w:webHidden/>
          </w:rPr>
          <w:fldChar w:fldCharType="separate"/>
        </w:r>
        <w:r w:rsidR="00AA445F">
          <w:rPr>
            <w:webHidden/>
          </w:rPr>
          <w:t>60</w:t>
        </w:r>
        <w:r w:rsidR="00AA445F">
          <w:rPr>
            <w:webHidden/>
          </w:rPr>
          <w:fldChar w:fldCharType="end"/>
        </w:r>
      </w:hyperlink>
    </w:p>
    <w:p w14:paraId="46B46806" w14:textId="5B7ADD15" w:rsidR="00AA445F" w:rsidRDefault="00F751A0">
      <w:pPr>
        <w:pStyle w:val="TOC1"/>
        <w:rPr>
          <w:rFonts w:asciiTheme="minorHAnsi" w:eastAsiaTheme="minorEastAsia" w:hAnsiTheme="minorHAnsi" w:cstheme="minorBidi"/>
          <w:b w:val="0"/>
          <w:sz w:val="22"/>
          <w:szCs w:val="22"/>
          <w:lang w:eastAsia="en-AU"/>
        </w:rPr>
      </w:pPr>
      <w:hyperlink w:anchor="_Toc104975949" w:history="1">
        <w:r w:rsidR="00AA445F" w:rsidRPr="008E53ED">
          <w:rPr>
            <w:rStyle w:val="Hyperlink"/>
          </w:rPr>
          <w:t>Suggested improvements to EMR currently in use</w:t>
        </w:r>
        <w:r w:rsidR="00AA445F">
          <w:rPr>
            <w:webHidden/>
          </w:rPr>
          <w:tab/>
        </w:r>
        <w:r w:rsidR="00AA445F">
          <w:rPr>
            <w:webHidden/>
          </w:rPr>
          <w:fldChar w:fldCharType="begin"/>
        </w:r>
        <w:r w:rsidR="00AA445F">
          <w:rPr>
            <w:webHidden/>
          </w:rPr>
          <w:instrText xml:space="preserve"> PAGEREF _Toc104975949 \h </w:instrText>
        </w:r>
        <w:r w:rsidR="00AA445F">
          <w:rPr>
            <w:webHidden/>
          </w:rPr>
        </w:r>
        <w:r w:rsidR="00AA445F">
          <w:rPr>
            <w:webHidden/>
          </w:rPr>
          <w:fldChar w:fldCharType="separate"/>
        </w:r>
        <w:r w:rsidR="00AA445F">
          <w:rPr>
            <w:webHidden/>
          </w:rPr>
          <w:t>61</w:t>
        </w:r>
        <w:r w:rsidR="00AA445F">
          <w:rPr>
            <w:webHidden/>
          </w:rPr>
          <w:fldChar w:fldCharType="end"/>
        </w:r>
      </w:hyperlink>
    </w:p>
    <w:p w14:paraId="12077909" w14:textId="3017B8B1" w:rsidR="00AA445F" w:rsidRDefault="00F751A0">
      <w:pPr>
        <w:pStyle w:val="TOC1"/>
        <w:rPr>
          <w:rFonts w:asciiTheme="minorHAnsi" w:eastAsiaTheme="minorEastAsia" w:hAnsiTheme="minorHAnsi" w:cstheme="minorBidi"/>
          <w:b w:val="0"/>
          <w:sz w:val="22"/>
          <w:szCs w:val="22"/>
          <w:lang w:eastAsia="en-AU"/>
        </w:rPr>
      </w:pPr>
      <w:hyperlink w:anchor="_Toc104975950" w:history="1">
        <w:r w:rsidR="00AA445F" w:rsidRPr="008E53ED">
          <w:rPr>
            <w:rStyle w:val="Hyperlink"/>
          </w:rPr>
          <w:t>Summary</w:t>
        </w:r>
        <w:r w:rsidR="00AA445F">
          <w:rPr>
            <w:webHidden/>
          </w:rPr>
          <w:tab/>
        </w:r>
        <w:r w:rsidR="00AA445F">
          <w:rPr>
            <w:webHidden/>
          </w:rPr>
          <w:fldChar w:fldCharType="begin"/>
        </w:r>
        <w:r w:rsidR="00AA445F">
          <w:rPr>
            <w:webHidden/>
          </w:rPr>
          <w:instrText xml:space="preserve"> PAGEREF _Toc104975950 \h </w:instrText>
        </w:r>
        <w:r w:rsidR="00AA445F">
          <w:rPr>
            <w:webHidden/>
          </w:rPr>
        </w:r>
        <w:r w:rsidR="00AA445F">
          <w:rPr>
            <w:webHidden/>
          </w:rPr>
          <w:fldChar w:fldCharType="separate"/>
        </w:r>
        <w:r w:rsidR="00AA445F">
          <w:rPr>
            <w:webHidden/>
          </w:rPr>
          <w:t>63</w:t>
        </w:r>
        <w:r w:rsidR="00AA445F">
          <w:rPr>
            <w:webHidden/>
          </w:rPr>
          <w:fldChar w:fldCharType="end"/>
        </w:r>
      </w:hyperlink>
    </w:p>
    <w:p w14:paraId="43BB135B" w14:textId="60915155" w:rsidR="00AA445F" w:rsidRDefault="00F751A0">
      <w:pPr>
        <w:pStyle w:val="TOC2"/>
        <w:rPr>
          <w:rFonts w:asciiTheme="minorHAnsi" w:eastAsiaTheme="minorEastAsia" w:hAnsiTheme="minorHAnsi" w:cstheme="minorBidi"/>
          <w:sz w:val="22"/>
          <w:szCs w:val="22"/>
          <w:lang w:eastAsia="en-AU"/>
        </w:rPr>
      </w:pPr>
      <w:hyperlink w:anchor="_Toc104975951" w:history="1">
        <w:r w:rsidR="00AA445F" w:rsidRPr="008E53ED">
          <w:rPr>
            <w:rStyle w:val="Hyperlink"/>
          </w:rPr>
          <w:t>Lessons learnt</w:t>
        </w:r>
        <w:r w:rsidR="00AA445F">
          <w:rPr>
            <w:webHidden/>
          </w:rPr>
          <w:tab/>
        </w:r>
        <w:r w:rsidR="00AA445F">
          <w:rPr>
            <w:webHidden/>
          </w:rPr>
          <w:fldChar w:fldCharType="begin"/>
        </w:r>
        <w:r w:rsidR="00AA445F">
          <w:rPr>
            <w:webHidden/>
          </w:rPr>
          <w:instrText xml:space="preserve"> PAGEREF _Toc104975951 \h </w:instrText>
        </w:r>
        <w:r w:rsidR="00AA445F">
          <w:rPr>
            <w:webHidden/>
          </w:rPr>
        </w:r>
        <w:r w:rsidR="00AA445F">
          <w:rPr>
            <w:webHidden/>
          </w:rPr>
          <w:fldChar w:fldCharType="separate"/>
        </w:r>
        <w:r w:rsidR="00AA445F">
          <w:rPr>
            <w:webHidden/>
          </w:rPr>
          <w:t>63</w:t>
        </w:r>
        <w:r w:rsidR="00AA445F">
          <w:rPr>
            <w:webHidden/>
          </w:rPr>
          <w:fldChar w:fldCharType="end"/>
        </w:r>
      </w:hyperlink>
    </w:p>
    <w:p w14:paraId="7AE24FAA" w14:textId="3B379E78" w:rsidR="00AA445F" w:rsidRDefault="00F751A0">
      <w:pPr>
        <w:pStyle w:val="TOC2"/>
        <w:rPr>
          <w:rFonts w:asciiTheme="minorHAnsi" w:eastAsiaTheme="minorEastAsia" w:hAnsiTheme="minorHAnsi" w:cstheme="minorBidi"/>
          <w:sz w:val="22"/>
          <w:szCs w:val="22"/>
          <w:lang w:eastAsia="en-AU"/>
        </w:rPr>
      </w:pPr>
      <w:hyperlink w:anchor="_Toc104975952" w:history="1">
        <w:r w:rsidR="00AA445F" w:rsidRPr="008E53ED">
          <w:rPr>
            <w:rStyle w:val="Hyperlink"/>
          </w:rPr>
          <w:t>Success factors</w:t>
        </w:r>
        <w:r w:rsidR="00AA445F">
          <w:rPr>
            <w:webHidden/>
          </w:rPr>
          <w:tab/>
        </w:r>
        <w:r w:rsidR="00AA445F">
          <w:rPr>
            <w:webHidden/>
          </w:rPr>
          <w:fldChar w:fldCharType="begin"/>
        </w:r>
        <w:r w:rsidR="00AA445F">
          <w:rPr>
            <w:webHidden/>
          </w:rPr>
          <w:instrText xml:space="preserve"> PAGEREF _Toc104975952 \h </w:instrText>
        </w:r>
        <w:r w:rsidR="00AA445F">
          <w:rPr>
            <w:webHidden/>
          </w:rPr>
        </w:r>
        <w:r w:rsidR="00AA445F">
          <w:rPr>
            <w:webHidden/>
          </w:rPr>
          <w:fldChar w:fldCharType="separate"/>
        </w:r>
        <w:r w:rsidR="00AA445F">
          <w:rPr>
            <w:webHidden/>
          </w:rPr>
          <w:t>63</w:t>
        </w:r>
        <w:r w:rsidR="00AA445F">
          <w:rPr>
            <w:webHidden/>
          </w:rPr>
          <w:fldChar w:fldCharType="end"/>
        </w:r>
      </w:hyperlink>
    </w:p>
    <w:p w14:paraId="57172325" w14:textId="60CD478F" w:rsidR="00AA445F" w:rsidRDefault="00F751A0">
      <w:pPr>
        <w:pStyle w:val="TOC2"/>
        <w:rPr>
          <w:rFonts w:asciiTheme="minorHAnsi" w:eastAsiaTheme="minorEastAsia" w:hAnsiTheme="minorHAnsi" w:cstheme="minorBidi"/>
          <w:sz w:val="22"/>
          <w:szCs w:val="22"/>
          <w:lang w:eastAsia="en-AU"/>
        </w:rPr>
      </w:pPr>
      <w:hyperlink w:anchor="_Toc104975953" w:history="1">
        <w:r w:rsidR="00AA445F" w:rsidRPr="008E53ED">
          <w:rPr>
            <w:rStyle w:val="Hyperlink"/>
          </w:rPr>
          <w:t>Areas for improvement</w:t>
        </w:r>
        <w:r w:rsidR="00AA445F">
          <w:rPr>
            <w:webHidden/>
          </w:rPr>
          <w:tab/>
        </w:r>
        <w:r w:rsidR="00AA445F">
          <w:rPr>
            <w:webHidden/>
          </w:rPr>
          <w:fldChar w:fldCharType="begin"/>
        </w:r>
        <w:r w:rsidR="00AA445F">
          <w:rPr>
            <w:webHidden/>
          </w:rPr>
          <w:instrText xml:space="preserve"> PAGEREF _Toc104975953 \h </w:instrText>
        </w:r>
        <w:r w:rsidR="00AA445F">
          <w:rPr>
            <w:webHidden/>
          </w:rPr>
        </w:r>
        <w:r w:rsidR="00AA445F">
          <w:rPr>
            <w:webHidden/>
          </w:rPr>
          <w:fldChar w:fldCharType="separate"/>
        </w:r>
        <w:r w:rsidR="00AA445F">
          <w:rPr>
            <w:webHidden/>
          </w:rPr>
          <w:t>64</w:t>
        </w:r>
        <w:r w:rsidR="00AA445F">
          <w:rPr>
            <w:webHidden/>
          </w:rPr>
          <w:fldChar w:fldCharType="end"/>
        </w:r>
      </w:hyperlink>
    </w:p>
    <w:p w14:paraId="2DAC1BFB" w14:textId="5E733E99" w:rsidR="00AA445F" w:rsidRDefault="00F751A0">
      <w:pPr>
        <w:pStyle w:val="TOC2"/>
        <w:rPr>
          <w:rFonts w:asciiTheme="minorHAnsi" w:eastAsiaTheme="minorEastAsia" w:hAnsiTheme="minorHAnsi" w:cstheme="minorBidi"/>
          <w:sz w:val="22"/>
          <w:szCs w:val="22"/>
          <w:lang w:eastAsia="en-AU"/>
        </w:rPr>
      </w:pPr>
      <w:hyperlink w:anchor="_Toc104975954" w:history="1">
        <w:r w:rsidR="00AA445F" w:rsidRPr="008E53ED">
          <w:rPr>
            <w:rStyle w:val="Hyperlink"/>
          </w:rPr>
          <w:t>Conclusion</w:t>
        </w:r>
        <w:r w:rsidR="00AA445F">
          <w:rPr>
            <w:webHidden/>
          </w:rPr>
          <w:tab/>
        </w:r>
        <w:r w:rsidR="00AA445F">
          <w:rPr>
            <w:webHidden/>
          </w:rPr>
          <w:fldChar w:fldCharType="begin"/>
        </w:r>
        <w:r w:rsidR="00AA445F">
          <w:rPr>
            <w:webHidden/>
          </w:rPr>
          <w:instrText xml:space="preserve"> PAGEREF _Toc104975954 \h </w:instrText>
        </w:r>
        <w:r w:rsidR="00AA445F">
          <w:rPr>
            <w:webHidden/>
          </w:rPr>
        </w:r>
        <w:r w:rsidR="00AA445F">
          <w:rPr>
            <w:webHidden/>
          </w:rPr>
          <w:fldChar w:fldCharType="separate"/>
        </w:r>
        <w:r w:rsidR="00AA445F">
          <w:rPr>
            <w:webHidden/>
          </w:rPr>
          <w:t>64</w:t>
        </w:r>
        <w:r w:rsidR="00AA445F">
          <w:rPr>
            <w:webHidden/>
          </w:rPr>
          <w:fldChar w:fldCharType="end"/>
        </w:r>
      </w:hyperlink>
    </w:p>
    <w:p w14:paraId="3EBA4859" w14:textId="716DC4C0" w:rsidR="00AA445F" w:rsidRDefault="00F751A0">
      <w:pPr>
        <w:pStyle w:val="TOC1"/>
        <w:rPr>
          <w:rFonts w:asciiTheme="minorHAnsi" w:eastAsiaTheme="minorEastAsia" w:hAnsiTheme="minorHAnsi" w:cstheme="minorBidi"/>
          <w:b w:val="0"/>
          <w:sz w:val="22"/>
          <w:szCs w:val="22"/>
          <w:lang w:eastAsia="en-AU"/>
        </w:rPr>
      </w:pPr>
      <w:hyperlink w:anchor="_Toc104975955" w:history="1">
        <w:r w:rsidR="00AA445F" w:rsidRPr="008E53ED">
          <w:rPr>
            <w:rStyle w:val="Hyperlink"/>
          </w:rPr>
          <w:t>References</w:t>
        </w:r>
        <w:r w:rsidR="00AA445F">
          <w:rPr>
            <w:webHidden/>
          </w:rPr>
          <w:tab/>
        </w:r>
        <w:r w:rsidR="00AA445F">
          <w:rPr>
            <w:webHidden/>
          </w:rPr>
          <w:fldChar w:fldCharType="begin"/>
        </w:r>
        <w:r w:rsidR="00AA445F">
          <w:rPr>
            <w:webHidden/>
          </w:rPr>
          <w:instrText xml:space="preserve"> PAGEREF _Toc104975955 \h </w:instrText>
        </w:r>
        <w:r w:rsidR="00AA445F">
          <w:rPr>
            <w:webHidden/>
          </w:rPr>
        </w:r>
        <w:r w:rsidR="00AA445F">
          <w:rPr>
            <w:webHidden/>
          </w:rPr>
          <w:fldChar w:fldCharType="separate"/>
        </w:r>
        <w:r w:rsidR="00AA445F">
          <w:rPr>
            <w:webHidden/>
          </w:rPr>
          <w:t>65</w:t>
        </w:r>
        <w:r w:rsidR="00AA445F">
          <w:rPr>
            <w:webHidden/>
          </w:rPr>
          <w:fldChar w:fldCharType="end"/>
        </w:r>
      </w:hyperlink>
    </w:p>
    <w:p w14:paraId="0B7641D9" w14:textId="65B7E1D6" w:rsidR="00AA445F" w:rsidRDefault="00F751A0">
      <w:pPr>
        <w:pStyle w:val="TOC1"/>
        <w:rPr>
          <w:rFonts w:asciiTheme="minorHAnsi" w:eastAsiaTheme="minorEastAsia" w:hAnsiTheme="minorHAnsi" w:cstheme="minorBidi"/>
          <w:b w:val="0"/>
          <w:sz w:val="22"/>
          <w:szCs w:val="22"/>
          <w:lang w:eastAsia="en-AU"/>
        </w:rPr>
      </w:pPr>
      <w:hyperlink w:anchor="_Toc104975956" w:history="1">
        <w:r w:rsidR="00AA445F" w:rsidRPr="008E53ED">
          <w:rPr>
            <w:rStyle w:val="Hyperlink"/>
          </w:rPr>
          <w:t>Appendix 1: Improvements suggested by individual respondents</w:t>
        </w:r>
        <w:r w:rsidR="00AA445F">
          <w:rPr>
            <w:webHidden/>
          </w:rPr>
          <w:tab/>
        </w:r>
        <w:r w:rsidR="00AA445F">
          <w:rPr>
            <w:webHidden/>
          </w:rPr>
          <w:fldChar w:fldCharType="begin"/>
        </w:r>
        <w:r w:rsidR="00AA445F">
          <w:rPr>
            <w:webHidden/>
          </w:rPr>
          <w:instrText xml:space="preserve"> PAGEREF _Toc104975956 \h </w:instrText>
        </w:r>
        <w:r w:rsidR="00AA445F">
          <w:rPr>
            <w:webHidden/>
          </w:rPr>
        </w:r>
        <w:r w:rsidR="00AA445F">
          <w:rPr>
            <w:webHidden/>
          </w:rPr>
          <w:fldChar w:fldCharType="separate"/>
        </w:r>
        <w:r w:rsidR="00AA445F">
          <w:rPr>
            <w:webHidden/>
          </w:rPr>
          <w:t>69</w:t>
        </w:r>
        <w:r w:rsidR="00AA445F">
          <w:rPr>
            <w:webHidden/>
          </w:rPr>
          <w:fldChar w:fldCharType="end"/>
        </w:r>
      </w:hyperlink>
    </w:p>
    <w:p w14:paraId="52C8C832" w14:textId="7CA94D07" w:rsidR="00AA445F" w:rsidRDefault="00F751A0">
      <w:pPr>
        <w:pStyle w:val="TOC2"/>
        <w:rPr>
          <w:rFonts w:asciiTheme="minorHAnsi" w:eastAsiaTheme="minorEastAsia" w:hAnsiTheme="minorHAnsi" w:cstheme="minorBidi"/>
          <w:sz w:val="22"/>
          <w:szCs w:val="22"/>
          <w:lang w:eastAsia="en-AU"/>
        </w:rPr>
      </w:pPr>
      <w:hyperlink w:anchor="_Toc104975957" w:history="1">
        <w:r w:rsidR="00AA445F" w:rsidRPr="008E53ED">
          <w:rPr>
            <w:rStyle w:val="Hyperlink"/>
          </w:rPr>
          <w:t>Workflow</w:t>
        </w:r>
        <w:r w:rsidR="00AA445F">
          <w:rPr>
            <w:webHidden/>
          </w:rPr>
          <w:tab/>
        </w:r>
        <w:r w:rsidR="00AA445F">
          <w:rPr>
            <w:webHidden/>
          </w:rPr>
          <w:fldChar w:fldCharType="begin"/>
        </w:r>
        <w:r w:rsidR="00AA445F">
          <w:rPr>
            <w:webHidden/>
          </w:rPr>
          <w:instrText xml:space="preserve"> PAGEREF _Toc104975957 \h </w:instrText>
        </w:r>
        <w:r w:rsidR="00AA445F">
          <w:rPr>
            <w:webHidden/>
          </w:rPr>
        </w:r>
        <w:r w:rsidR="00AA445F">
          <w:rPr>
            <w:webHidden/>
          </w:rPr>
          <w:fldChar w:fldCharType="separate"/>
        </w:r>
        <w:r w:rsidR="00AA445F">
          <w:rPr>
            <w:webHidden/>
          </w:rPr>
          <w:t>69</w:t>
        </w:r>
        <w:r w:rsidR="00AA445F">
          <w:rPr>
            <w:webHidden/>
          </w:rPr>
          <w:fldChar w:fldCharType="end"/>
        </w:r>
      </w:hyperlink>
    </w:p>
    <w:p w14:paraId="7BB50000" w14:textId="5CA91A2F" w:rsidR="00AA445F" w:rsidRDefault="00F751A0">
      <w:pPr>
        <w:pStyle w:val="TOC2"/>
        <w:rPr>
          <w:rFonts w:asciiTheme="minorHAnsi" w:eastAsiaTheme="minorEastAsia" w:hAnsiTheme="minorHAnsi" w:cstheme="minorBidi"/>
          <w:sz w:val="22"/>
          <w:szCs w:val="22"/>
          <w:lang w:eastAsia="en-AU"/>
        </w:rPr>
      </w:pPr>
      <w:hyperlink w:anchor="_Toc104975958" w:history="1">
        <w:r w:rsidR="00AA445F" w:rsidRPr="008E53ED">
          <w:rPr>
            <w:rStyle w:val="Hyperlink"/>
          </w:rPr>
          <w:t>Support</w:t>
        </w:r>
        <w:r w:rsidR="00AA445F">
          <w:rPr>
            <w:webHidden/>
          </w:rPr>
          <w:tab/>
        </w:r>
        <w:r w:rsidR="00AA445F">
          <w:rPr>
            <w:webHidden/>
          </w:rPr>
          <w:fldChar w:fldCharType="begin"/>
        </w:r>
        <w:r w:rsidR="00AA445F">
          <w:rPr>
            <w:webHidden/>
          </w:rPr>
          <w:instrText xml:space="preserve"> PAGEREF _Toc104975958 \h </w:instrText>
        </w:r>
        <w:r w:rsidR="00AA445F">
          <w:rPr>
            <w:webHidden/>
          </w:rPr>
        </w:r>
        <w:r w:rsidR="00AA445F">
          <w:rPr>
            <w:webHidden/>
          </w:rPr>
          <w:fldChar w:fldCharType="separate"/>
        </w:r>
        <w:r w:rsidR="00AA445F">
          <w:rPr>
            <w:webHidden/>
          </w:rPr>
          <w:t>69</w:t>
        </w:r>
        <w:r w:rsidR="00AA445F">
          <w:rPr>
            <w:webHidden/>
          </w:rPr>
          <w:fldChar w:fldCharType="end"/>
        </w:r>
      </w:hyperlink>
    </w:p>
    <w:p w14:paraId="69CDF808" w14:textId="1C28F812" w:rsidR="00AA445F" w:rsidRDefault="00F751A0">
      <w:pPr>
        <w:pStyle w:val="TOC2"/>
        <w:rPr>
          <w:rFonts w:asciiTheme="minorHAnsi" w:eastAsiaTheme="minorEastAsia" w:hAnsiTheme="minorHAnsi" w:cstheme="minorBidi"/>
          <w:sz w:val="22"/>
          <w:szCs w:val="22"/>
          <w:lang w:eastAsia="en-AU"/>
        </w:rPr>
      </w:pPr>
      <w:hyperlink w:anchor="_Toc104975959" w:history="1">
        <w:r w:rsidR="00AA445F" w:rsidRPr="008E53ED">
          <w:rPr>
            <w:rStyle w:val="Hyperlink"/>
          </w:rPr>
          <w:t>Education</w:t>
        </w:r>
        <w:r w:rsidR="00AA445F">
          <w:rPr>
            <w:webHidden/>
          </w:rPr>
          <w:tab/>
        </w:r>
        <w:r w:rsidR="00AA445F">
          <w:rPr>
            <w:webHidden/>
          </w:rPr>
          <w:fldChar w:fldCharType="begin"/>
        </w:r>
        <w:r w:rsidR="00AA445F">
          <w:rPr>
            <w:webHidden/>
          </w:rPr>
          <w:instrText xml:space="preserve"> PAGEREF _Toc104975959 \h </w:instrText>
        </w:r>
        <w:r w:rsidR="00AA445F">
          <w:rPr>
            <w:webHidden/>
          </w:rPr>
        </w:r>
        <w:r w:rsidR="00AA445F">
          <w:rPr>
            <w:webHidden/>
          </w:rPr>
          <w:fldChar w:fldCharType="separate"/>
        </w:r>
        <w:r w:rsidR="00AA445F">
          <w:rPr>
            <w:webHidden/>
          </w:rPr>
          <w:t>69</w:t>
        </w:r>
        <w:r w:rsidR="00AA445F">
          <w:rPr>
            <w:webHidden/>
          </w:rPr>
          <w:fldChar w:fldCharType="end"/>
        </w:r>
      </w:hyperlink>
    </w:p>
    <w:p w14:paraId="1DB14AD0" w14:textId="3762123F" w:rsidR="00AA445F" w:rsidRDefault="00F751A0">
      <w:pPr>
        <w:pStyle w:val="TOC2"/>
        <w:rPr>
          <w:rFonts w:asciiTheme="minorHAnsi" w:eastAsiaTheme="minorEastAsia" w:hAnsiTheme="minorHAnsi" w:cstheme="minorBidi"/>
          <w:sz w:val="22"/>
          <w:szCs w:val="22"/>
          <w:lang w:eastAsia="en-AU"/>
        </w:rPr>
      </w:pPr>
      <w:hyperlink w:anchor="_Toc104975960" w:history="1">
        <w:r w:rsidR="00AA445F" w:rsidRPr="008E53ED">
          <w:rPr>
            <w:rStyle w:val="Hyperlink"/>
          </w:rPr>
          <w:t>EMR and transfusion module</w:t>
        </w:r>
        <w:r w:rsidR="00AA445F">
          <w:rPr>
            <w:webHidden/>
          </w:rPr>
          <w:tab/>
        </w:r>
        <w:r w:rsidR="00AA445F">
          <w:rPr>
            <w:webHidden/>
          </w:rPr>
          <w:fldChar w:fldCharType="begin"/>
        </w:r>
        <w:r w:rsidR="00AA445F">
          <w:rPr>
            <w:webHidden/>
          </w:rPr>
          <w:instrText xml:space="preserve"> PAGEREF _Toc104975960 \h </w:instrText>
        </w:r>
        <w:r w:rsidR="00AA445F">
          <w:rPr>
            <w:webHidden/>
          </w:rPr>
        </w:r>
        <w:r w:rsidR="00AA445F">
          <w:rPr>
            <w:webHidden/>
          </w:rPr>
          <w:fldChar w:fldCharType="separate"/>
        </w:r>
        <w:r w:rsidR="00AA445F">
          <w:rPr>
            <w:webHidden/>
          </w:rPr>
          <w:t>70</w:t>
        </w:r>
        <w:r w:rsidR="00AA445F">
          <w:rPr>
            <w:webHidden/>
          </w:rPr>
          <w:fldChar w:fldCharType="end"/>
        </w:r>
      </w:hyperlink>
    </w:p>
    <w:p w14:paraId="358FC35D" w14:textId="032D72BC" w:rsidR="00AA445F" w:rsidRDefault="00F751A0">
      <w:pPr>
        <w:pStyle w:val="TOC2"/>
        <w:rPr>
          <w:rFonts w:asciiTheme="minorHAnsi" w:eastAsiaTheme="minorEastAsia" w:hAnsiTheme="minorHAnsi" w:cstheme="minorBidi"/>
          <w:sz w:val="22"/>
          <w:szCs w:val="22"/>
          <w:lang w:eastAsia="en-AU"/>
        </w:rPr>
      </w:pPr>
      <w:hyperlink w:anchor="_Toc104975961" w:history="1">
        <w:r w:rsidR="00AA445F" w:rsidRPr="008E53ED">
          <w:rPr>
            <w:rStyle w:val="Hyperlink"/>
          </w:rPr>
          <w:t>Set-up and testing</w:t>
        </w:r>
        <w:r w:rsidR="00AA445F">
          <w:rPr>
            <w:webHidden/>
          </w:rPr>
          <w:tab/>
        </w:r>
        <w:r w:rsidR="00AA445F">
          <w:rPr>
            <w:webHidden/>
          </w:rPr>
          <w:fldChar w:fldCharType="begin"/>
        </w:r>
        <w:r w:rsidR="00AA445F">
          <w:rPr>
            <w:webHidden/>
          </w:rPr>
          <w:instrText xml:space="preserve"> PAGEREF _Toc104975961 \h </w:instrText>
        </w:r>
        <w:r w:rsidR="00AA445F">
          <w:rPr>
            <w:webHidden/>
          </w:rPr>
        </w:r>
        <w:r w:rsidR="00AA445F">
          <w:rPr>
            <w:webHidden/>
          </w:rPr>
          <w:fldChar w:fldCharType="separate"/>
        </w:r>
        <w:r w:rsidR="00AA445F">
          <w:rPr>
            <w:webHidden/>
          </w:rPr>
          <w:t>71</w:t>
        </w:r>
        <w:r w:rsidR="00AA445F">
          <w:rPr>
            <w:webHidden/>
          </w:rPr>
          <w:fldChar w:fldCharType="end"/>
        </w:r>
      </w:hyperlink>
    </w:p>
    <w:p w14:paraId="67468A4B" w14:textId="5F2E233C" w:rsidR="00AA445F" w:rsidRDefault="00F751A0">
      <w:pPr>
        <w:pStyle w:val="TOC2"/>
        <w:rPr>
          <w:rFonts w:asciiTheme="minorHAnsi" w:eastAsiaTheme="minorEastAsia" w:hAnsiTheme="minorHAnsi" w:cstheme="minorBidi"/>
          <w:sz w:val="22"/>
          <w:szCs w:val="22"/>
          <w:lang w:eastAsia="en-AU"/>
        </w:rPr>
      </w:pPr>
      <w:hyperlink w:anchor="_Toc104975962" w:history="1">
        <w:r w:rsidR="00AA445F" w:rsidRPr="008E53ED">
          <w:rPr>
            <w:rStyle w:val="Hyperlink"/>
          </w:rPr>
          <w:t>Safety (including downtime)</w:t>
        </w:r>
        <w:r w:rsidR="00AA445F">
          <w:rPr>
            <w:webHidden/>
          </w:rPr>
          <w:tab/>
        </w:r>
        <w:r w:rsidR="00AA445F">
          <w:rPr>
            <w:webHidden/>
          </w:rPr>
          <w:fldChar w:fldCharType="begin"/>
        </w:r>
        <w:r w:rsidR="00AA445F">
          <w:rPr>
            <w:webHidden/>
          </w:rPr>
          <w:instrText xml:space="preserve"> PAGEREF _Toc104975962 \h </w:instrText>
        </w:r>
        <w:r w:rsidR="00AA445F">
          <w:rPr>
            <w:webHidden/>
          </w:rPr>
        </w:r>
        <w:r w:rsidR="00AA445F">
          <w:rPr>
            <w:webHidden/>
          </w:rPr>
          <w:fldChar w:fldCharType="separate"/>
        </w:r>
        <w:r w:rsidR="00AA445F">
          <w:rPr>
            <w:webHidden/>
          </w:rPr>
          <w:t>71</w:t>
        </w:r>
        <w:r w:rsidR="00AA445F">
          <w:rPr>
            <w:webHidden/>
          </w:rPr>
          <w:fldChar w:fldCharType="end"/>
        </w:r>
      </w:hyperlink>
    </w:p>
    <w:p w14:paraId="18345257" w14:textId="0EAC3E59" w:rsidR="00AA445F" w:rsidRDefault="00F751A0">
      <w:pPr>
        <w:pStyle w:val="TOC2"/>
        <w:rPr>
          <w:rFonts w:asciiTheme="minorHAnsi" w:eastAsiaTheme="minorEastAsia" w:hAnsiTheme="minorHAnsi" w:cstheme="minorBidi"/>
          <w:sz w:val="22"/>
          <w:szCs w:val="22"/>
          <w:lang w:eastAsia="en-AU"/>
        </w:rPr>
      </w:pPr>
      <w:hyperlink w:anchor="_Toc104975963" w:history="1">
        <w:r w:rsidR="00AA445F" w:rsidRPr="008E53ED">
          <w:rPr>
            <w:rStyle w:val="Hyperlink"/>
          </w:rPr>
          <w:t>Quality reports/key performance indicators</w:t>
        </w:r>
        <w:r w:rsidR="00AA445F">
          <w:rPr>
            <w:webHidden/>
          </w:rPr>
          <w:tab/>
        </w:r>
        <w:r w:rsidR="00AA445F">
          <w:rPr>
            <w:webHidden/>
          </w:rPr>
          <w:fldChar w:fldCharType="begin"/>
        </w:r>
        <w:r w:rsidR="00AA445F">
          <w:rPr>
            <w:webHidden/>
          </w:rPr>
          <w:instrText xml:space="preserve"> PAGEREF _Toc104975963 \h </w:instrText>
        </w:r>
        <w:r w:rsidR="00AA445F">
          <w:rPr>
            <w:webHidden/>
          </w:rPr>
        </w:r>
        <w:r w:rsidR="00AA445F">
          <w:rPr>
            <w:webHidden/>
          </w:rPr>
          <w:fldChar w:fldCharType="separate"/>
        </w:r>
        <w:r w:rsidR="00AA445F">
          <w:rPr>
            <w:webHidden/>
          </w:rPr>
          <w:t>71</w:t>
        </w:r>
        <w:r w:rsidR="00AA445F">
          <w:rPr>
            <w:webHidden/>
          </w:rPr>
          <w:fldChar w:fldCharType="end"/>
        </w:r>
      </w:hyperlink>
    </w:p>
    <w:p w14:paraId="2A478715" w14:textId="19A1F8C7" w:rsidR="00AA445F" w:rsidRDefault="00F751A0">
      <w:pPr>
        <w:pStyle w:val="TOC1"/>
        <w:rPr>
          <w:rFonts w:asciiTheme="minorHAnsi" w:eastAsiaTheme="minorEastAsia" w:hAnsiTheme="minorHAnsi" w:cstheme="minorBidi"/>
          <w:b w:val="0"/>
          <w:sz w:val="22"/>
          <w:szCs w:val="22"/>
          <w:lang w:eastAsia="en-AU"/>
        </w:rPr>
      </w:pPr>
      <w:hyperlink w:anchor="_Toc104975964" w:history="1">
        <w:r w:rsidR="00AA445F" w:rsidRPr="008E53ED">
          <w:rPr>
            <w:rStyle w:val="Hyperlink"/>
          </w:rPr>
          <w:t>Appendix 2: Definitions/glossary</w:t>
        </w:r>
        <w:r w:rsidR="00AA445F">
          <w:rPr>
            <w:webHidden/>
          </w:rPr>
          <w:tab/>
        </w:r>
        <w:r w:rsidR="00AA445F">
          <w:rPr>
            <w:webHidden/>
          </w:rPr>
          <w:fldChar w:fldCharType="begin"/>
        </w:r>
        <w:r w:rsidR="00AA445F">
          <w:rPr>
            <w:webHidden/>
          </w:rPr>
          <w:instrText xml:space="preserve"> PAGEREF _Toc104975964 \h </w:instrText>
        </w:r>
        <w:r w:rsidR="00AA445F">
          <w:rPr>
            <w:webHidden/>
          </w:rPr>
        </w:r>
        <w:r w:rsidR="00AA445F">
          <w:rPr>
            <w:webHidden/>
          </w:rPr>
          <w:fldChar w:fldCharType="separate"/>
        </w:r>
        <w:r w:rsidR="00AA445F">
          <w:rPr>
            <w:webHidden/>
          </w:rPr>
          <w:t>72</w:t>
        </w:r>
        <w:r w:rsidR="00AA445F">
          <w:rPr>
            <w:webHidden/>
          </w:rPr>
          <w:fldChar w:fldCharType="end"/>
        </w:r>
      </w:hyperlink>
    </w:p>
    <w:p w14:paraId="1516024E" w14:textId="14E50EB8" w:rsidR="00AA445F" w:rsidRDefault="00F751A0">
      <w:pPr>
        <w:pStyle w:val="TOC1"/>
        <w:rPr>
          <w:rFonts w:asciiTheme="minorHAnsi" w:eastAsiaTheme="minorEastAsia" w:hAnsiTheme="minorHAnsi" w:cstheme="minorBidi"/>
          <w:b w:val="0"/>
          <w:sz w:val="22"/>
          <w:szCs w:val="22"/>
          <w:lang w:eastAsia="en-AU"/>
        </w:rPr>
      </w:pPr>
      <w:hyperlink w:anchor="_Toc104975965" w:history="1">
        <w:r w:rsidR="00AA445F" w:rsidRPr="008E53ED">
          <w:rPr>
            <w:rStyle w:val="Hyperlink"/>
          </w:rPr>
          <w:t>Appendix 3: Abbreviations</w:t>
        </w:r>
        <w:r w:rsidR="00AA445F">
          <w:rPr>
            <w:webHidden/>
          </w:rPr>
          <w:tab/>
        </w:r>
        <w:r w:rsidR="00AA445F">
          <w:rPr>
            <w:webHidden/>
          </w:rPr>
          <w:fldChar w:fldCharType="begin"/>
        </w:r>
        <w:r w:rsidR="00AA445F">
          <w:rPr>
            <w:webHidden/>
          </w:rPr>
          <w:instrText xml:space="preserve"> PAGEREF _Toc104975965 \h </w:instrText>
        </w:r>
        <w:r w:rsidR="00AA445F">
          <w:rPr>
            <w:webHidden/>
          </w:rPr>
        </w:r>
        <w:r w:rsidR="00AA445F">
          <w:rPr>
            <w:webHidden/>
          </w:rPr>
          <w:fldChar w:fldCharType="separate"/>
        </w:r>
        <w:r w:rsidR="00AA445F">
          <w:rPr>
            <w:webHidden/>
          </w:rPr>
          <w:t>75</w:t>
        </w:r>
        <w:r w:rsidR="00AA445F">
          <w:rPr>
            <w:webHidden/>
          </w:rPr>
          <w:fldChar w:fldCharType="end"/>
        </w:r>
      </w:hyperlink>
    </w:p>
    <w:p w14:paraId="08631D5E" w14:textId="22A4F0F1" w:rsidR="00AA445F" w:rsidRDefault="00F751A0">
      <w:pPr>
        <w:pStyle w:val="TOC1"/>
        <w:rPr>
          <w:rFonts w:asciiTheme="minorHAnsi" w:eastAsiaTheme="minorEastAsia" w:hAnsiTheme="minorHAnsi" w:cstheme="minorBidi"/>
          <w:b w:val="0"/>
          <w:sz w:val="22"/>
          <w:szCs w:val="22"/>
          <w:lang w:eastAsia="en-AU"/>
        </w:rPr>
      </w:pPr>
      <w:hyperlink w:anchor="_Toc104975966" w:history="1">
        <w:r w:rsidR="00AA445F" w:rsidRPr="008E53ED">
          <w:rPr>
            <w:rStyle w:val="Hyperlink"/>
          </w:rPr>
          <w:t>Appendix 4: Summary of Australian and New Zealand Society of Blood Transfusion practical guidelines</w:t>
        </w:r>
        <w:r w:rsidR="00AA445F">
          <w:rPr>
            <w:webHidden/>
          </w:rPr>
          <w:tab/>
        </w:r>
        <w:r w:rsidR="00AA445F">
          <w:rPr>
            <w:webHidden/>
          </w:rPr>
          <w:fldChar w:fldCharType="begin"/>
        </w:r>
        <w:r w:rsidR="00AA445F">
          <w:rPr>
            <w:webHidden/>
          </w:rPr>
          <w:instrText xml:space="preserve"> PAGEREF _Toc104975966 \h </w:instrText>
        </w:r>
        <w:r w:rsidR="00AA445F">
          <w:rPr>
            <w:webHidden/>
          </w:rPr>
        </w:r>
        <w:r w:rsidR="00AA445F">
          <w:rPr>
            <w:webHidden/>
          </w:rPr>
          <w:fldChar w:fldCharType="separate"/>
        </w:r>
        <w:r w:rsidR="00AA445F">
          <w:rPr>
            <w:webHidden/>
          </w:rPr>
          <w:t>76</w:t>
        </w:r>
        <w:r w:rsidR="00AA445F">
          <w:rPr>
            <w:webHidden/>
          </w:rPr>
          <w:fldChar w:fldCharType="end"/>
        </w:r>
      </w:hyperlink>
    </w:p>
    <w:p w14:paraId="5D6A4702" w14:textId="620506DC" w:rsidR="00AA445F" w:rsidRDefault="00F751A0">
      <w:pPr>
        <w:pStyle w:val="TOC1"/>
        <w:rPr>
          <w:rFonts w:asciiTheme="minorHAnsi" w:eastAsiaTheme="minorEastAsia" w:hAnsiTheme="minorHAnsi" w:cstheme="minorBidi"/>
          <w:b w:val="0"/>
          <w:sz w:val="22"/>
          <w:szCs w:val="22"/>
          <w:lang w:eastAsia="en-AU"/>
        </w:rPr>
      </w:pPr>
      <w:hyperlink w:anchor="_Toc104975967" w:history="1">
        <w:r w:rsidR="00AA445F" w:rsidRPr="008E53ED">
          <w:rPr>
            <w:rStyle w:val="Hyperlink"/>
          </w:rPr>
          <w:t>Appendix 5: Summary of clinical governance recommendations for EMRs</w:t>
        </w:r>
        <w:r w:rsidR="00AA445F">
          <w:rPr>
            <w:webHidden/>
          </w:rPr>
          <w:tab/>
        </w:r>
        <w:r w:rsidR="00AA445F">
          <w:rPr>
            <w:webHidden/>
          </w:rPr>
          <w:fldChar w:fldCharType="begin"/>
        </w:r>
        <w:r w:rsidR="00AA445F">
          <w:rPr>
            <w:webHidden/>
          </w:rPr>
          <w:instrText xml:space="preserve"> PAGEREF _Toc104975967 \h </w:instrText>
        </w:r>
        <w:r w:rsidR="00AA445F">
          <w:rPr>
            <w:webHidden/>
          </w:rPr>
        </w:r>
        <w:r w:rsidR="00AA445F">
          <w:rPr>
            <w:webHidden/>
          </w:rPr>
          <w:fldChar w:fldCharType="separate"/>
        </w:r>
        <w:r w:rsidR="00AA445F">
          <w:rPr>
            <w:webHidden/>
          </w:rPr>
          <w:t>78</w:t>
        </w:r>
        <w:r w:rsidR="00AA445F">
          <w:rPr>
            <w:webHidden/>
          </w:rPr>
          <w:fldChar w:fldCharType="end"/>
        </w:r>
      </w:hyperlink>
    </w:p>
    <w:p w14:paraId="12C67E62" w14:textId="513309D7" w:rsidR="00455776" w:rsidRDefault="00AD784C" w:rsidP="009742AB">
      <w:pPr>
        <w:pStyle w:val="Heading1"/>
      </w:pPr>
      <w:r>
        <w:fldChar w:fldCharType="end"/>
      </w:r>
      <w:r w:rsidR="00455776">
        <w:br w:type="page"/>
      </w:r>
    </w:p>
    <w:p w14:paraId="59982B13" w14:textId="77777777" w:rsidR="00E9700E" w:rsidRPr="00E9700E" w:rsidRDefault="00E9700E" w:rsidP="00E9700E">
      <w:pPr>
        <w:pStyle w:val="Heading1"/>
      </w:pPr>
      <w:bookmarkStart w:id="4" w:name="_Toc101285660"/>
      <w:bookmarkStart w:id="5" w:name="_Toc101947682"/>
      <w:bookmarkStart w:id="6" w:name="_Toc104975906"/>
      <w:r w:rsidRPr="00E9700E">
        <w:lastRenderedPageBreak/>
        <w:t>Limitations</w:t>
      </w:r>
      <w:bookmarkEnd w:id="4"/>
      <w:bookmarkEnd w:id="5"/>
      <w:bookmarkEnd w:id="6"/>
    </w:p>
    <w:p w14:paraId="3DB95FE7" w14:textId="77777777" w:rsidR="00E9700E" w:rsidRPr="00176D37" w:rsidRDefault="00E9700E" w:rsidP="00E9700E">
      <w:pPr>
        <w:pStyle w:val="Body"/>
      </w:pPr>
      <w:r w:rsidRPr="00176D37">
        <w:t>Blood Matters would like to outline the following limitations:</w:t>
      </w:r>
    </w:p>
    <w:p w14:paraId="0BA0FF42" w14:textId="77777777" w:rsidR="00E9700E" w:rsidRPr="00E9700E" w:rsidRDefault="00E9700E" w:rsidP="00E9700E">
      <w:pPr>
        <w:pStyle w:val="Bullet1"/>
      </w:pPr>
      <w:r w:rsidRPr="00E9700E">
        <w:t>Health service participation in the survey was voluntary, and some may not have contributed due to the impact on services related to COVID-19.</w:t>
      </w:r>
    </w:p>
    <w:p w14:paraId="3A6D2E64" w14:textId="77777777" w:rsidR="00E9700E" w:rsidRPr="00E9700E" w:rsidRDefault="00E9700E" w:rsidP="00E9700E">
      <w:pPr>
        <w:pStyle w:val="Bullet1"/>
      </w:pPr>
      <w:r w:rsidRPr="00E9700E">
        <w:t>The respondents were not trained; however, the surveys were accompanied with instructions for completing the survey, including definitions to ensure completeness of data.</w:t>
      </w:r>
    </w:p>
    <w:p w14:paraId="09997AA3" w14:textId="23185136" w:rsidR="00E9700E" w:rsidRPr="00E9700E" w:rsidRDefault="000913FC" w:rsidP="00E9700E">
      <w:pPr>
        <w:pStyle w:val="Bullet1"/>
      </w:pPr>
      <w:r>
        <w:t>We included a</w:t>
      </w:r>
      <w:r w:rsidRPr="00E9700E">
        <w:t xml:space="preserve">n </w:t>
      </w:r>
      <w:r>
        <w:t>‘</w:t>
      </w:r>
      <w:r w:rsidR="00E9700E" w:rsidRPr="00E9700E">
        <w:t>unsure</w:t>
      </w:r>
      <w:r>
        <w:t>’</w:t>
      </w:r>
      <w:r w:rsidR="00E9700E" w:rsidRPr="00E9700E">
        <w:t xml:space="preserve"> field following early feedback from health services after the survey opened. In hindsight, this may have led to this field being chosen inappropriately or confused with N/A.</w:t>
      </w:r>
    </w:p>
    <w:p w14:paraId="60027D8E" w14:textId="77777777" w:rsidR="00E9700E" w:rsidRPr="00E9700E" w:rsidRDefault="00E9700E" w:rsidP="00E9700E">
      <w:pPr>
        <w:pStyle w:val="Bullet1"/>
      </w:pPr>
      <w:r w:rsidRPr="00E9700E">
        <w:t>The responses submitted were individual, expressed as their own experience and observations.</w:t>
      </w:r>
    </w:p>
    <w:p w14:paraId="5A978F38" w14:textId="6E0A9682" w:rsidR="00E9700E" w:rsidRPr="00E9700E" w:rsidRDefault="00E9700E" w:rsidP="00E9700E">
      <w:pPr>
        <w:pStyle w:val="Bullet1"/>
      </w:pPr>
      <w:r w:rsidRPr="00E9700E">
        <w:t>Some individuals provided conflicting information within a single health service. Where possible</w:t>
      </w:r>
      <w:r w:rsidR="000913FC">
        <w:t>,</w:t>
      </w:r>
      <w:r w:rsidRPr="00E9700E">
        <w:t xml:space="preserve"> verification of the correct response was sought. If no response the majority response was included.</w:t>
      </w:r>
    </w:p>
    <w:p w14:paraId="035E40FF" w14:textId="77777777" w:rsidR="00E9700E" w:rsidRPr="00E9700E" w:rsidRDefault="00E9700E" w:rsidP="00E9700E">
      <w:pPr>
        <w:pStyle w:val="Heading1"/>
      </w:pPr>
      <w:bookmarkStart w:id="7" w:name="_Toc101285661"/>
      <w:bookmarkStart w:id="8" w:name="_Toc101947683"/>
      <w:bookmarkStart w:id="9" w:name="_Toc104975907"/>
      <w:r w:rsidRPr="00E9700E">
        <w:t>Acknowledgements</w:t>
      </w:r>
      <w:bookmarkEnd w:id="7"/>
      <w:bookmarkEnd w:id="8"/>
      <w:bookmarkEnd w:id="9"/>
    </w:p>
    <w:p w14:paraId="51F02E75" w14:textId="77777777" w:rsidR="00E9700E" w:rsidRPr="00176D37" w:rsidRDefault="00E9700E" w:rsidP="00E9700E">
      <w:pPr>
        <w:pStyle w:val="Rae"/>
      </w:pPr>
      <w:r w:rsidRPr="00176D37">
        <w:t>Blood Matters would like to acknowledge and thank:</w:t>
      </w:r>
    </w:p>
    <w:p w14:paraId="063324B6" w14:textId="2E76706F" w:rsidR="00E9700E" w:rsidRPr="00176D37" w:rsidRDefault="000913FC" w:rsidP="00E9700E">
      <w:pPr>
        <w:pStyle w:val="Bullet1"/>
      </w:pPr>
      <w:r>
        <w:t>a</w:t>
      </w:r>
      <w:r w:rsidR="00E9700E" w:rsidRPr="00176D37">
        <w:t xml:space="preserve">ll the </w:t>
      </w:r>
      <w:r>
        <w:t>people</w:t>
      </w:r>
      <w:r w:rsidRPr="00176D37">
        <w:t xml:space="preserve"> </w:t>
      </w:r>
      <w:r w:rsidR="00E9700E" w:rsidRPr="00176D37">
        <w:t>and participating health services for their time and responses during challenging times</w:t>
      </w:r>
    </w:p>
    <w:p w14:paraId="7314044D" w14:textId="10C421AD" w:rsidR="00E9700E" w:rsidRPr="00176D37" w:rsidRDefault="00E9700E" w:rsidP="00E9700E">
      <w:pPr>
        <w:pStyle w:val="Bullet1"/>
      </w:pPr>
      <w:r w:rsidRPr="00176D37">
        <w:t>Professor Erica Wood for your time and contributions to survey development</w:t>
      </w:r>
    </w:p>
    <w:p w14:paraId="61F5E1ED" w14:textId="77777777" w:rsidR="00E9700E" w:rsidRPr="00176D37" w:rsidRDefault="00E9700E" w:rsidP="00E9700E">
      <w:pPr>
        <w:pStyle w:val="Bullet1"/>
      </w:pPr>
      <w:r w:rsidRPr="00176D37">
        <w:t>Blood Matters Advisory Committee for review of the survey prior to distribution.</w:t>
      </w:r>
    </w:p>
    <w:p w14:paraId="30E926ED" w14:textId="0A843385" w:rsidR="00E9700E" w:rsidRDefault="00E9700E" w:rsidP="000913FC">
      <w:pPr>
        <w:pStyle w:val="Bodyafterbullets"/>
      </w:pPr>
      <w:r w:rsidRPr="00176D37">
        <w:t xml:space="preserve">Blood Matters also </w:t>
      </w:r>
      <w:r w:rsidRPr="000913FC">
        <w:t>acknowledge</w:t>
      </w:r>
      <w:r w:rsidR="000913FC">
        <w:t>s</w:t>
      </w:r>
      <w:r w:rsidRPr="00176D37">
        <w:t xml:space="preserve"> the publication of the </w:t>
      </w:r>
      <w:r w:rsidRPr="00881C66">
        <w:t xml:space="preserve">Australian and New Zealand Society of Blood Transfusion (ANZSBT) </w:t>
      </w:r>
      <w:r w:rsidR="00881C66">
        <w:rPr>
          <w:i/>
          <w:iCs/>
        </w:rPr>
        <w:t>G</w:t>
      </w:r>
      <w:r w:rsidR="000913FC" w:rsidRPr="009742AB">
        <w:rPr>
          <w:i/>
          <w:iCs/>
        </w:rPr>
        <w:t xml:space="preserve">uidelines </w:t>
      </w:r>
      <w:r w:rsidRPr="009742AB">
        <w:rPr>
          <w:i/>
          <w:iCs/>
        </w:rPr>
        <w:t xml:space="preserve">for </w:t>
      </w:r>
      <w:r w:rsidR="000913FC" w:rsidRPr="000913FC">
        <w:rPr>
          <w:i/>
          <w:iCs/>
        </w:rPr>
        <w:t>the implementation and use of electronic medical records for transfusio</w:t>
      </w:r>
      <w:r w:rsidRPr="009742AB">
        <w:rPr>
          <w:i/>
          <w:iCs/>
        </w:rPr>
        <w:t>n,</w:t>
      </w:r>
      <w:r w:rsidRPr="00176D37">
        <w:t xml:space="preserve"> July 2021 </w:t>
      </w:r>
      <w:r w:rsidR="000913FC" w:rsidRPr="00176D37">
        <w:t>(ANZSBT 2021)</w:t>
      </w:r>
      <w:r w:rsidRPr="00176D37">
        <w:t xml:space="preserve"> and a recent paper by Crispin et al. </w:t>
      </w:r>
      <w:r w:rsidR="000913FC">
        <w:t>that</w:t>
      </w:r>
      <w:r w:rsidRPr="00176D37">
        <w:t xml:space="preserve"> provides helpful summaries from the ANZSBT </w:t>
      </w:r>
      <w:r w:rsidR="000913FC">
        <w:t>g</w:t>
      </w:r>
      <w:r w:rsidR="000913FC" w:rsidRPr="00176D37">
        <w:t>uidelines (Crispin 2022)</w:t>
      </w:r>
      <w:r w:rsidRPr="00176D37">
        <w:t>.</w:t>
      </w:r>
    </w:p>
    <w:p w14:paraId="15547B90" w14:textId="43C8823F" w:rsidR="00DE0FBB" w:rsidRPr="00176D37" w:rsidRDefault="00DE0FBB" w:rsidP="000913FC">
      <w:pPr>
        <w:pStyle w:val="Bodyafterbullets"/>
      </w:pPr>
      <w:r>
        <w:t xml:space="preserve">Contact </w:t>
      </w:r>
      <w:hyperlink r:id="rId17" w:history="1">
        <w:r w:rsidRPr="00DE0FBB">
          <w:rPr>
            <w:rStyle w:val="Hyperlink"/>
          </w:rPr>
          <w:t>Blood Matters</w:t>
        </w:r>
      </w:hyperlink>
      <w:r>
        <w:t xml:space="preserve"> &lt;</w:t>
      </w:r>
      <w:r w:rsidRPr="00CE52EE">
        <w:t>bloodmatters@redcrossblood.org.au</w:t>
      </w:r>
      <w:r>
        <w:t>&gt; if you would like to receive a copy of the summary reports provided to health services.</w:t>
      </w:r>
    </w:p>
    <w:p w14:paraId="7B87262A" w14:textId="77777777" w:rsidR="00E9700E" w:rsidRPr="00176D37" w:rsidRDefault="00E9700E" w:rsidP="00E9700E">
      <w:pPr>
        <w:rPr>
          <w:rFonts w:cs="Arial"/>
        </w:rPr>
      </w:pPr>
      <w:r w:rsidRPr="00176D37">
        <w:rPr>
          <w:rFonts w:cs="Arial"/>
        </w:rPr>
        <w:br w:type="page"/>
      </w:r>
    </w:p>
    <w:p w14:paraId="0AD011D2" w14:textId="77777777" w:rsidR="00E9700E" w:rsidRPr="00176D37" w:rsidRDefault="00E9700E" w:rsidP="00E9700E">
      <w:pPr>
        <w:pStyle w:val="Heading1"/>
        <w:spacing w:after="120" w:line="360" w:lineRule="auto"/>
      </w:pPr>
      <w:bookmarkStart w:id="10" w:name="_Toc101285662"/>
      <w:bookmarkStart w:id="11" w:name="_Toc101947684"/>
      <w:bookmarkStart w:id="12" w:name="_Toc104975908"/>
      <w:r w:rsidRPr="00176D37">
        <w:lastRenderedPageBreak/>
        <w:t>Executive summary</w:t>
      </w:r>
      <w:bookmarkEnd w:id="10"/>
      <w:bookmarkEnd w:id="11"/>
      <w:bookmarkEnd w:id="12"/>
    </w:p>
    <w:p w14:paraId="6B4862CE" w14:textId="176A02CC" w:rsidR="00E9700E" w:rsidRPr="00176D37" w:rsidRDefault="00E9700E" w:rsidP="0029376A">
      <w:pPr>
        <w:pStyle w:val="Body"/>
      </w:pPr>
      <w:r w:rsidRPr="00176D37">
        <w:t xml:space="preserve">Thanks goes to the </w:t>
      </w:r>
      <w:r w:rsidR="000913FC">
        <w:t>111 people</w:t>
      </w:r>
      <w:r w:rsidR="000913FC" w:rsidRPr="00176D37">
        <w:t xml:space="preserve"> </w:t>
      </w:r>
      <w:r w:rsidR="000913FC">
        <w:t xml:space="preserve">from 59 </w:t>
      </w:r>
      <w:r w:rsidRPr="00176D37">
        <w:t>health services who completed the survey in challenging times. The survey included 113 questions that cascaded according to prior responses. This resulted in a complex and at times contradictory, large data set, and as such the report is comprehensive.</w:t>
      </w:r>
    </w:p>
    <w:p w14:paraId="5303578B" w14:textId="24D3C092" w:rsidR="00E9700E" w:rsidRPr="00176D37" w:rsidRDefault="00E9700E" w:rsidP="0029376A">
      <w:pPr>
        <w:pStyle w:val="Body"/>
      </w:pPr>
      <w:r w:rsidRPr="00176D37">
        <w:t>At the time of the survey</w:t>
      </w:r>
      <w:r w:rsidR="000913FC">
        <w:t>,</w:t>
      </w:r>
      <w:r w:rsidRPr="00176D37">
        <w:t xml:space="preserve"> there were 20 health services using an</w:t>
      </w:r>
      <w:r w:rsidR="000913FC">
        <w:t xml:space="preserve"> electronic medical record (</w:t>
      </w:r>
      <w:r w:rsidRPr="00176D37">
        <w:t>EMR</w:t>
      </w:r>
      <w:r w:rsidR="000913FC">
        <w:t xml:space="preserve">) and </w:t>
      </w:r>
      <w:r w:rsidRPr="00176D37">
        <w:t>39 without an EMR</w:t>
      </w:r>
      <w:r w:rsidR="000913FC">
        <w:t xml:space="preserve">. Of these 39, </w:t>
      </w:r>
      <w:r w:rsidRPr="00176D37">
        <w:t xml:space="preserve">13 </w:t>
      </w:r>
      <w:r w:rsidR="000913FC">
        <w:t>plan</w:t>
      </w:r>
      <w:r w:rsidRPr="00176D37">
        <w:t xml:space="preserve"> to implement an EMR in the next </w:t>
      </w:r>
      <w:r w:rsidR="000913FC">
        <w:t>five</w:t>
      </w:r>
      <w:r w:rsidRPr="00176D37">
        <w:t xml:space="preserve"> years. For those in the planning phases of EMR implementation Blood Matters encourages them to review: </w:t>
      </w:r>
    </w:p>
    <w:p w14:paraId="4242601D" w14:textId="6A8F64FF" w:rsidR="00E9700E" w:rsidRPr="00176D37" w:rsidRDefault="000913FC" w:rsidP="0029376A">
      <w:pPr>
        <w:pStyle w:val="Bullet1"/>
      </w:pPr>
      <w:r>
        <w:t>t</w:t>
      </w:r>
      <w:r w:rsidR="00E9700E" w:rsidRPr="00176D37">
        <w:t>his report for lessons learnt to allow them to build on the experiences of others</w:t>
      </w:r>
    </w:p>
    <w:p w14:paraId="076E129A" w14:textId="489EBF59" w:rsidR="00E9700E" w:rsidRPr="00176D37" w:rsidRDefault="000913FC" w:rsidP="0029376A">
      <w:pPr>
        <w:pStyle w:val="Bullet1"/>
      </w:pPr>
      <w:r>
        <w:t>u</w:t>
      </w:r>
      <w:r w:rsidRPr="00176D37">
        <w:t>ser</w:t>
      </w:r>
      <w:r w:rsidR="00455776">
        <w:t>-</w:t>
      </w:r>
      <w:r w:rsidR="00E9700E" w:rsidRPr="00176D37">
        <w:t>suggested improvements (Appendix</w:t>
      </w:r>
      <w:r w:rsidR="00DB1164">
        <w:t xml:space="preserve"> </w:t>
      </w:r>
      <w:r w:rsidR="00E9700E" w:rsidRPr="00176D37">
        <w:t>1)</w:t>
      </w:r>
    </w:p>
    <w:p w14:paraId="24CC5E29" w14:textId="38C25C76" w:rsidR="00E9700E" w:rsidRPr="00176D37" w:rsidRDefault="00E9700E" w:rsidP="0029376A">
      <w:pPr>
        <w:pStyle w:val="Bullet1"/>
      </w:pPr>
      <w:r w:rsidRPr="00881C66">
        <w:t>ANZSBT</w:t>
      </w:r>
      <w:r w:rsidRPr="009742AB">
        <w:rPr>
          <w:i/>
          <w:iCs/>
        </w:rPr>
        <w:t xml:space="preserve"> </w:t>
      </w:r>
      <w:r w:rsidR="00881C66">
        <w:rPr>
          <w:i/>
          <w:iCs/>
        </w:rPr>
        <w:t>G</w:t>
      </w:r>
      <w:r w:rsidR="00881C66" w:rsidRPr="00455776">
        <w:rPr>
          <w:i/>
          <w:iCs/>
        </w:rPr>
        <w:t xml:space="preserve">uidelines </w:t>
      </w:r>
      <w:r w:rsidR="00455776" w:rsidRPr="00455776">
        <w:rPr>
          <w:i/>
          <w:iCs/>
        </w:rPr>
        <w:t>for the implementation and use of electronic medical records for transfusion</w:t>
      </w:r>
      <w:r w:rsidRPr="00176D37">
        <w:t>, July 2021, and undertake a thorough gap analysis of the planned EMR functionality with these guidelines.</w:t>
      </w:r>
    </w:p>
    <w:p w14:paraId="4F4517EC" w14:textId="0D1F8ED4" w:rsidR="00E9700E" w:rsidRPr="00176D37" w:rsidRDefault="00E9700E" w:rsidP="009742AB">
      <w:pPr>
        <w:pStyle w:val="Bodyafterbullets"/>
      </w:pPr>
      <w:r w:rsidRPr="00176D37">
        <w:t xml:space="preserve">Participating health services </w:t>
      </w:r>
      <w:r w:rsidR="00455776">
        <w:t>were given</w:t>
      </w:r>
      <w:r w:rsidRPr="00176D37">
        <w:t xml:space="preserve"> a summary of the guidelines (Crispin 2022) that include</w:t>
      </w:r>
      <w:r w:rsidR="00455776">
        <w:t>s</w:t>
      </w:r>
      <w:r w:rsidRPr="00176D37">
        <w:t xml:space="preserve"> aggregated survey findings </w:t>
      </w:r>
      <w:r w:rsidRPr="00455776">
        <w:t>and</w:t>
      </w:r>
      <w:r w:rsidRPr="00176D37">
        <w:t xml:space="preserve"> summarised individual health service responses. </w:t>
      </w:r>
    </w:p>
    <w:p w14:paraId="0BB6368C" w14:textId="45014FBF" w:rsidR="00455776" w:rsidRDefault="00E9700E" w:rsidP="0029376A">
      <w:pPr>
        <w:pStyle w:val="Body"/>
      </w:pPr>
      <w:r w:rsidRPr="00176D37">
        <w:t xml:space="preserve">Our survey focused on the inclusion of blood management and transfusion practices within an EMR. </w:t>
      </w:r>
      <w:r w:rsidR="00455776">
        <w:t>The results</w:t>
      </w:r>
      <w:r w:rsidR="00455776" w:rsidRPr="00176D37">
        <w:t xml:space="preserve"> </w:t>
      </w:r>
      <w:r w:rsidRPr="00176D37">
        <w:t xml:space="preserve">reinforce the importance of including subject matter experts (SMEs) in the selection, </w:t>
      </w:r>
      <w:proofErr w:type="gramStart"/>
      <w:r w:rsidRPr="00176D37">
        <w:t>development</w:t>
      </w:r>
      <w:proofErr w:type="gramEnd"/>
      <w:r w:rsidRPr="00176D37">
        <w:t xml:space="preserve"> and implementation of the EMR, along with training and ongoing support. </w:t>
      </w:r>
    </w:p>
    <w:p w14:paraId="28B38816" w14:textId="212698C4" w:rsidR="00E9700E" w:rsidRPr="00176D37" w:rsidRDefault="00E9700E" w:rsidP="0029376A">
      <w:pPr>
        <w:pStyle w:val="Body"/>
      </w:pPr>
      <w:r w:rsidRPr="00176D37">
        <w:t xml:space="preserve">Design should be intuitive to the user to reduce error potential. </w:t>
      </w:r>
      <w:r w:rsidR="00455776">
        <w:t>Health services did not commonly report the presence of d</w:t>
      </w:r>
      <w:r w:rsidRPr="00176D37">
        <w:t>ecision support tools</w:t>
      </w:r>
      <w:r w:rsidR="00455776">
        <w:t xml:space="preserve">, which </w:t>
      </w:r>
      <w:r w:rsidRPr="00176D37">
        <w:t xml:space="preserve">may in part be </w:t>
      </w:r>
      <w:r w:rsidR="00455776">
        <w:t>due to the fact</w:t>
      </w:r>
      <w:r w:rsidRPr="00176D37">
        <w:t xml:space="preserve"> generic EMR platforms </w:t>
      </w:r>
      <w:r w:rsidR="00455776">
        <w:t>do n</w:t>
      </w:r>
      <w:r w:rsidR="00455776" w:rsidRPr="00176D37">
        <w:t xml:space="preserve">ot </w:t>
      </w:r>
      <w:r w:rsidRPr="00176D37">
        <w:t>suppor</w:t>
      </w:r>
      <w:r w:rsidR="00DB1164">
        <w:t>t</w:t>
      </w:r>
      <w:r w:rsidRPr="00176D37">
        <w:t xml:space="preserve"> these tools.</w:t>
      </w:r>
    </w:p>
    <w:p w14:paraId="0A78752F" w14:textId="4713244F" w:rsidR="00E9700E" w:rsidRPr="00176D37" w:rsidRDefault="00E9700E" w:rsidP="0029376A">
      <w:pPr>
        <w:pStyle w:val="Body"/>
      </w:pPr>
      <w:r w:rsidRPr="00176D37">
        <w:t xml:space="preserve">Our respondents shared things that have worked well </w:t>
      </w:r>
      <w:proofErr w:type="gramStart"/>
      <w:r w:rsidRPr="00176D37">
        <w:t>and also</w:t>
      </w:r>
      <w:proofErr w:type="gramEnd"/>
      <w:r w:rsidRPr="00176D37">
        <w:t xml:space="preserve"> suggested improvements that could assist health services</w:t>
      </w:r>
      <w:r w:rsidR="00455776">
        <w:t xml:space="preserve">, </w:t>
      </w:r>
      <w:r w:rsidRPr="00176D37">
        <w:t>both with EMR development and enhancement.</w:t>
      </w:r>
    </w:p>
    <w:p w14:paraId="4A344099" w14:textId="4464C61D" w:rsidR="00E9700E" w:rsidRPr="00176D37" w:rsidRDefault="00E9700E" w:rsidP="0029376A">
      <w:pPr>
        <w:pStyle w:val="Body"/>
        <w:rPr>
          <w:rFonts w:eastAsiaTheme="majorEastAsia"/>
          <w:color w:val="002060"/>
          <w:sz w:val="32"/>
          <w:szCs w:val="32"/>
        </w:rPr>
      </w:pPr>
      <w:r w:rsidRPr="00176D37">
        <w:t xml:space="preserve">The benefits of EMR can be immense if designed and implemented well. Awareness </w:t>
      </w:r>
      <w:r w:rsidR="00455776">
        <w:t>of</w:t>
      </w:r>
      <w:r w:rsidR="00455776" w:rsidRPr="00176D37">
        <w:t xml:space="preserve"> </w:t>
      </w:r>
      <w:r w:rsidRPr="00176D37">
        <w:t>best practice, adherence to guidelines and collaboration between healthcare groups is vital to ensure the EMR adds value to, rather than hinder</w:t>
      </w:r>
      <w:r w:rsidR="00455776">
        <w:t>s</w:t>
      </w:r>
      <w:r w:rsidRPr="00176D37">
        <w:t xml:space="preserve">, safe patient care. </w:t>
      </w:r>
      <w:r w:rsidRPr="00176D37">
        <w:rPr>
          <w:color w:val="002060"/>
        </w:rPr>
        <w:br w:type="page"/>
      </w:r>
    </w:p>
    <w:p w14:paraId="519F1415" w14:textId="77777777" w:rsidR="00E9700E" w:rsidRPr="008614CA" w:rsidRDefault="00E9700E" w:rsidP="008614CA">
      <w:pPr>
        <w:pStyle w:val="Heading1"/>
      </w:pPr>
      <w:bookmarkStart w:id="13" w:name="_Toc101285663"/>
      <w:bookmarkStart w:id="14" w:name="_Toc101947685"/>
      <w:bookmarkStart w:id="15" w:name="_Toc104975909"/>
      <w:r w:rsidRPr="008614CA">
        <w:lastRenderedPageBreak/>
        <w:t>Introduction</w:t>
      </w:r>
      <w:bookmarkEnd w:id="13"/>
      <w:bookmarkEnd w:id="14"/>
      <w:bookmarkEnd w:id="15"/>
    </w:p>
    <w:p w14:paraId="7E03CE71" w14:textId="77777777" w:rsidR="00884DEF" w:rsidRDefault="00E9700E" w:rsidP="008614CA">
      <w:pPr>
        <w:pStyle w:val="Body"/>
      </w:pPr>
      <w:r w:rsidRPr="00176D37">
        <w:t xml:space="preserve">Medical records, whether electronic or paper, are a collection of information about a patient’s healthcare that are essential for their present and future care. An EMR replaces paper-based medical records by electronically documenting the information relevant to a patient’s healthcare. </w:t>
      </w:r>
    </w:p>
    <w:p w14:paraId="5ED2560C" w14:textId="26408097" w:rsidR="00E9700E" w:rsidRPr="00176D37" w:rsidRDefault="00E9700E" w:rsidP="008614CA">
      <w:pPr>
        <w:pStyle w:val="Body"/>
      </w:pPr>
      <w:r w:rsidRPr="00176D37">
        <w:t>They can be more than a simple device for recording information</w:t>
      </w:r>
      <w:r w:rsidR="00DE0FBB">
        <w:t>: t</w:t>
      </w:r>
      <w:r w:rsidRPr="00176D37">
        <w:t xml:space="preserve">hey can include decision support tools and safety systems to help improve care. EMRs regularly link many information systems, and often the development and implementation of these platforms may not prioritise transfusion </w:t>
      </w:r>
      <w:r w:rsidR="00DE0FBB" w:rsidRPr="00176D37">
        <w:rPr>
          <w:noProof/>
        </w:rPr>
        <w:t>(Crispin 2022)</w:t>
      </w:r>
      <w:r w:rsidR="00DE0FBB">
        <w:t>.</w:t>
      </w:r>
    </w:p>
    <w:p w14:paraId="463C0431" w14:textId="328A0835" w:rsidR="00E9700E" w:rsidRPr="00176D37" w:rsidRDefault="00E9700E" w:rsidP="008614CA">
      <w:pPr>
        <w:pStyle w:val="Body"/>
      </w:pPr>
      <w:r w:rsidRPr="00176D37">
        <w:t xml:space="preserve">While there is no universally agreed standard definition of an EMR, for the purpose of this survey we used the Victorian Department of Health definition. </w:t>
      </w:r>
      <w:bookmarkStart w:id="16" w:name="_Hlk94598057"/>
      <w:r w:rsidRPr="00176D37">
        <w:t>An EMR encompasses the information and capabilities required to support healthcare service delivery, where the information is captured in a computer-readable form that supports interoperability and clinical decision support</w:t>
      </w:r>
      <w:r w:rsidR="00DE0FBB" w:rsidRPr="00176D37">
        <w:rPr>
          <w:noProof/>
        </w:rPr>
        <w:t xml:space="preserve"> (State Government Victoria, Department of Health 2012)</w:t>
      </w:r>
      <w:r w:rsidRPr="00176D37">
        <w:t xml:space="preserve">, this includes both standalone systems and those interfaced with other systems in the healthcare service. </w:t>
      </w:r>
      <w:bookmarkEnd w:id="16"/>
    </w:p>
    <w:p w14:paraId="0779B2FB" w14:textId="4DD2B73D" w:rsidR="00E9700E" w:rsidRPr="00176D37" w:rsidRDefault="00DE0FBB" w:rsidP="008614CA">
      <w:pPr>
        <w:pStyle w:val="Body"/>
      </w:pPr>
      <w:r w:rsidRPr="00176D37">
        <w:rPr>
          <w:noProof/>
        </w:rPr>
        <w:t>Verrall</w:t>
      </w:r>
      <w:r>
        <w:rPr>
          <w:noProof/>
        </w:rPr>
        <w:t xml:space="preserve"> (</w:t>
      </w:r>
      <w:r w:rsidRPr="00176D37">
        <w:rPr>
          <w:noProof/>
        </w:rPr>
        <w:t>2019)</w:t>
      </w:r>
      <w:r w:rsidR="00E9700E" w:rsidRPr="00176D37">
        <w:t xml:space="preserve"> reports that there are many EMR systems used within Australia. Some jurisdictions have a common EMR throughout the jurisdiction (</w:t>
      </w:r>
      <w:r w:rsidR="00B4635A">
        <w:t>that is,</w:t>
      </w:r>
      <w:r w:rsidR="00E9700E" w:rsidRPr="00176D37">
        <w:t xml:space="preserve"> </w:t>
      </w:r>
      <w:proofErr w:type="spellStart"/>
      <w:r w:rsidR="00E9700E" w:rsidRPr="00176D37">
        <w:t>statewide</w:t>
      </w:r>
      <w:proofErr w:type="spellEnd"/>
      <w:r w:rsidR="00E9700E" w:rsidRPr="00176D37">
        <w:t xml:space="preserve"> system across all hospitals), whereas others use different systems at different hospitals. Even where there are </w:t>
      </w:r>
      <w:proofErr w:type="spellStart"/>
      <w:r w:rsidR="00E9700E" w:rsidRPr="00176D37">
        <w:t>statewide</w:t>
      </w:r>
      <w:proofErr w:type="spellEnd"/>
      <w:r w:rsidR="00E9700E" w:rsidRPr="00176D37">
        <w:t xml:space="preserve"> systems in place, the hospitals are often at different stages of implementation.</w:t>
      </w:r>
    </w:p>
    <w:p w14:paraId="62D3FF3A" w14:textId="27CC8D02" w:rsidR="00E9700E" w:rsidRPr="00176D37" w:rsidRDefault="00E9700E" w:rsidP="008614CA">
      <w:pPr>
        <w:pStyle w:val="Body"/>
      </w:pPr>
      <w:r w:rsidRPr="00176D37">
        <w:t xml:space="preserve">Limited information is available about the implementation and use of </w:t>
      </w:r>
      <w:r w:rsidR="00DE0FBB">
        <w:t>EMRs</w:t>
      </w:r>
      <w:r w:rsidRPr="00176D37">
        <w:t xml:space="preserve"> with specific regard to blood management and transfusion practice. The survey’s intent was to understand the value that an EMR can deliver, the unintentional risks that may come with it, and how risks could be mitigated through development, clinical engagement, and education.</w:t>
      </w:r>
    </w:p>
    <w:p w14:paraId="79F34F2D" w14:textId="00685C2B" w:rsidR="00E9700E" w:rsidRPr="00176D37" w:rsidRDefault="00E9700E" w:rsidP="008614CA">
      <w:pPr>
        <w:pStyle w:val="Body"/>
      </w:pPr>
      <w:r w:rsidRPr="00176D37">
        <w:t xml:space="preserve">The Australian and New Zealand Society of Blood Transfusion (ANZSBT) published the </w:t>
      </w:r>
      <w:r w:rsidRPr="00176D37">
        <w:rPr>
          <w:i/>
          <w:iCs/>
        </w:rPr>
        <w:t xml:space="preserve">Guidelines for </w:t>
      </w:r>
      <w:r w:rsidR="00DE0FBB" w:rsidRPr="00176D37">
        <w:rPr>
          <w:i/>
          <w:iCs/>
        </w:rPr>
        <w:t>the implementation and use of electronic medical records for transfusion</w:t>
      </w:r>
      <w:r w:rsidR="00DE0FBB">
        <w:t xml:space="preserve"> in </w:t>
      </w:r>
      <w:r w:rsidRPr="00176D37">
        <w:t xml:space="preserve">July 2021 </w:t>
      </w:r>
      <w:r w:rsidR="007F16CD" w:rsidRPr="00176D37">
        <w:rPr>
          <w:noProof/>
        </w:rPr>
        <w:t>(ANZSBT 2021)</w:t>
      </w:r>
      <w:r w:rsidR="00DE0FBB">
        <w:rPr>
          <w:noProof/>
        </w:rPr>
        <w:t>,</w:t>
      </w:r>
      <w:r w:rsidRPr="00176D37">
        <w:t xml:space="preserve"> after th</w:t>
      </w:r>
      <w:r w:rsidR="00DB1164">
        <w:t>is</w:t>
      </w:r>
      <w:r w:rsidRPr="00176D37">
        <w:t xml:space="preserve"> survey had been completed and approved for distribution.</w:t>
      </w:r>
    </w:p>
    <w:p w14:paraId="7911213E" w14:textId="4C537135" w:rsidR="00DE0FBB" w:rsidRPr="00176D37" w:rsidRDefault="00E9700E" w:rsidP="008614CA">
      <w:pPr>
        <w:pStyle w:val="Body"/>
      </w:pPr>
      <w:r w:rsidRPr="00176D37">
        <w:t>Th</w:t>
      </w:r>
      <w:r w:rsidR="00DB1164">
        <w:t>is</w:t>
      </w:r>
      <w:r w:rsidRPr="00176D37">
        <w:t xml:space="preserve"> report illustrates current design and implementation of blood management and transfusion practice within an EMR. Data could assist sites yet to implement an </w:t>
      </w:r>
      <w:proofErr w:type="gramStart"/>
      <w:r w:rsidRPr="00176D37">
        <w:t>EMR, and</w:t>
      </w:r>
      <w:proofErr w:type="gramEnd"/>
      <w:r w:rsidRPr="00176D37">
        <w:t xml:space="preserve"> help identify areas for optimisation for those with an EMR. Reported success factors, challenges, failures, and benefits of the various implementation approaches are highlighted.</w:t>
      </w:r>
    </w:p>
    <w:p w14:paraId="2E9F456C" w14:textId="77777777" w:rsidR="00E9700E" w:rsidRPr="008614CA" w:rsidRDefault="00E9700E" w:rsidP="008614CA">
      <w:pPr>
        <w:pStyle w:val="Heading1"/>
      </w:pPr>
      <w:bookmarkStart w:id="17" w:name="_Toc101285664"/>
      <w:bookmarkStart w:id="18" w:name="_Toc101947686"/>
      <w:bookmarkStart w:id="19" w:name="_Toc104975910"/>
      <w:bookmarkStart w:id="20" w:name="_Hlk94598318"/>
      <w:r w:rsidRPr="008614CA">
        <w:t>Survey aims</w:t>
      </w:r>
      <w:bookmarkEnd w:id="17"/>
      <w:bookmarkEnd w:id="18"/>
      <w:bookmarkEnd w:id="19"/>
    </w:p>
    <w:p w14:paraId="2F3702EC" w14:textId="77777777" w:rsidR="00E9700E" w:rsidRPr="00176D37" w:rsidRDefault="00E9700E" w:rsidP="008614CA">
      <w:pPr>
        <w:pStyle w:val="Body"/>
      </w:pPr>
      <w:r w:rsidRPr="00176D37">
        <w:t>The aims of the survey were to identify:</w:t>
      </w:r>
    </w:p>
    <w:p w14:paraId="6C77E489" w14:textId="77777777" w:rsidR="00E9700E" w:rsidRPr="00176D37" w:rsidRDefault="00E9700E" w:rsidP="008614CA">
      <w:pPr>
        <w:pStyle w:val="Bullet1"/>
      </w:pPr>
      <w:r w:rsidRPr="00176D37">
        <w:t>The number of health services with an EMR</w:t>
      </w:r>
    </w:p>
    <w:p w14:paraId="4E873C94" w14:textId="77777777" w:rsidR="00E9700E" w:rsidRPr="00176D37" w:rsidRDefault="00E9700E" w:rsidP="008614CA">
      <w:pPr>
        <w:pStyle w:val="Bullet1"/>
      </w:pPr>
      <w:r w:rsidRPr="00176D37">
        <w:t xml:space="preserve">Which staff have been involved in the design, development, and implementation of the EMR, and the extent of their </w:t>
      </w:r>
      <w:proofErr w:type="gramStart"/>
      <w:r w:rsidRPr="00176D37">
        <w:t>involvement</w:t>
      </w:r>
      <w:proofErr w:type="gramEnd"/>
    </w:p>
    <w:p w14:paraId="352BC751" w14:textId="77777777" w:rsidR="00E9700E" w:rsidRPr="00176D37" w:rsidRDefault="00E9700E" w:rsidP="008614CA">
      <w:pPr>
        <w:pStyle w:val="Bullet1"/>
      </w:pPr>
      <w:r w:rsidRPr="00176D37">
        <w:t>The extent and types of education associated with the EMR implementation</w:t>
      </w:r>
    </w:p>
    <w:p w14:paraId="6B8A4830" w14:textId="77777777" w:rsidR="00E9700E" w:rsidRPr="00176D37" w:rsidRDefault="00E9700E" w:rsidP="008614CA">
      <w:pPr>
        <w:pStyle w:val="Bullet1"/>
      </w:pPr>
      <w:r w:rsidRPr="00176D37">
        <w:t>If the EMR offers blood management and transfusion practice assistance and decision support</w:t>
      </w:r>
    </w:p>
    <w:p w14:paraId="33004A81" w14:textId="77777777" w:rsidR="00E9700E" w:rsidRPr="00176D37" w:rsidRDefault="00E9700E" w:rsidP="008614CA">
      <w:pPr>
        <w:pStyle w:val="Bullet1"/>
      </w:pPr>
      <w:r w:rsidRPr="00176D37">
        <w:t>Process and patient safety outcomes achieved, including any issues that may have occurred since implementation, both expected and unexpected.</w:t>
      </w:r>
    </w:p>
    <w:p w14:paraId="2D371473" w14:textId="77777777" w:rsidR="00E9700E" w:rsidRPr="008614CA" w:rsidRDefault="00E9700E" w:rsidP="008614CA">
      <w:pPr>
        <w:pStyle w:val="Heading1"/>
      </w:pPr>
      <w:bookmarkStart w:id="21" w:name="_Toc101285665"/>
      <w:bookmarkStart w:id="22" w:name="_Toc101947687"/>
      <w:bookmarkStart w:id="23" w:name="_Toc104975911"/>
      <w:bookmarkStart w:id="24" w:name="_Hlk94598355"/>
      <w:bookmarkEnd w:id="20"/>
      <w:r w:rsidRPr="008614CA">
        <w:lastRenderedPageBreak/>
        <w:t>Methodology</w:t>
      </w:r>
      <w:bookmarkEnd w:id="21"/>
      <w:bookmarkEnd w:id="22"/>
      <w:bookmarkEnd w:id="23"/>
    </w:p>
    <w:p w14:paraId="35185499" w14:textId="4E49BF59" w:rsidR="00E9700E" w:rsidRPr="00176D37" w:rsidRDefault="00E9700E" w:rsidP="008614CA">
      <w:pPr>
        <w:pStyle w:val="Body"/>
      </w:pPr>
      <w:r w:rsidRPr="00176D37">
        <w:t>One hundred and thirty-one health services from four Australian jurisdictions (Victoria, Australian Capital Territory, Northern Territory and Tasmania) were invited to participate in the survey. To include perspectives of the different craft groups involved in blood management and transfusion practice</w:t>
      </w:r>
      <w:r w:rsidR="00095FAF">
        <w:t>,</w:t>
      </w:r>
      <w:r w:rsidRPr="00176D37">
        <w:t xml:space="preserve"> we invited up to six </w:t>
      </w:r>
      <w:r w:rsidR="00095FAF">
        <w:t>people</w:t>
      </w:r>
      <w:r w:rsidR="00095FAF" w:rsidRPr="00176D37">
        <w:t xml:space="preserve"> </w:t>
      </w:r>
      <w:r w:rsidRPr="00176D37">
        <w:t xml:space="preserve">in </w:t>
      </w:r>
      <w:r w:rsidR="00095FAF">
        <w:t>different</w:t>
      </w:r>
      <w:r w:rsidR="00095FAF" w:rsidRPr="00176D37">
        <w:t xml:space="preserve"> </w:t>
      </w:r>
      <w:r w:rsidRPr="00176D37">
        <w:t xml:space="preserve">roles across each organisation to complete the survey. </w:t>
      </w:r>
    </w:p>
    <w:p w14:paraId="01723CBD" w14:textId="7DC9F531" w:rsidR="00E9700E" w:rsidRPr="00176D37" w:rsidRDefault="00E9700E" w:rsidP="008614CA">
      <w:pPr>
        <w:pStyle w:val="Body"/>
      </w:pPr>
      <w:r w:rsidRPr="00176D37">
        <w:t xml:space="preserve">We asked for the survey to be completed by a minimum of one person (recommending the </w:t>
      </w:r>
      <w:bookmarkStart w:id="25" w:name="_Hlk94518393"/>
      <w:r w:rsidR="00C16807" w:rsidRPr="00176D37">
        <w:t>blood management/transfusion nurse/trainer/quality officer</w:t>
      </w:r>
      <w:bookmarkEnd w:id="25"/>
      <w:r w:rsidR="00C16807" w:rsidRPr="00176D37">
        <w:t xml:space="preserve">) </w:t>
      </w:r>
      <w:r w:rsidRPr="00176D37">
        <w:t>and a maximum of six. The staff member may or may not have been directly involved in the design and implementation</w:t>
      </w:r>
      <w:r w:rsidR="00095FAF">
        <w:t xml:space="preserve"> of the EMR</w:t>
      </w:r>
      <w:r w:rsidRPr="00176D37">
        <w:t>.</w:t>
      </w:r>
    </w:p>
    <w:p w14:paraId="1690D942" w14:textId="77777777" w:rsidR="00E9700E" w:rsidRPr="00176D37" w:rsidRDefault="00E9700E" w:rsidP="008614CA">
      <w:pPr>
        <w:pStyle w:val="Body"/>
      </w:pPr>
      <w:r w:rsidRPr="00176D37">
        <w:t>Roles to include for survey completion:</w:t>
      </w:r>
    </w:p>
    <w:p w14:paraId="4DEB6E1A" w14:textId="7E3EA30D" w:rsidR="00E9700E" w:rsidRPr="00176D37" w:rsidRDefault="00095FAF" w:rsidP="008614CA">
      <w:pPr>
        <w:pStyle w:val="Bullet1"/>
      </w:pPr>
      <w:r>
        <w:t>e</w:t>
      </w:r>
      <w:r w:rsidRPr="00176D37">
        <w:t xml:space="preserve">xecutive </w:t>
      </w:r>
      <w:r w:rsidR="00E9700E" w:rsidRPr="00176D37">
        <w:t>(ideally the executive sponsor for the Blood Management Standard)</w:t>
      </w:r>
    </w:p>
    <w:p w14:paraId="5BEBB878" w14:textId="4402353D" w:rsidR="00E9700E" w:rsidRPr="00176D37" w:rsidRDefault="00095FAF" w:rsidP="008614CA">
      <w:pPr>
        <w:pStyle w:val="Bullet1"/>
      </w:pPr>
      <w:r>
        <w:t>q</w:t>
      </w:r>
      <w:r w:rsidRPr="00176D37">
        <w:t xml:space="preserve">uality </w:t>
      </w:r>
      <w:r w:rsidR="00E9700E" w:rsidRPr="00176D37">
        <w:t xml:space="preserve">coordinator/consultant with responsibility for the Blood Management Standard, including </w:t>
      </w:r>
      <w:r w:rsidR="00C16807" w:rsidRPr="00176D37">
        <w:t>blood management/transfusion nurse/trainer/quality officers</w:t>
      </w:r>
    </w:p>
    <w:p w14:paraId="7D10ADA7" w14:textId="23C14765" w:rsidR="00E9700E" w:rsidRPr="00176D37" w:rsidRDefault="00095FAF" w:rsidP="008614CA">
      <w:pPr>
        <w:pStyle w:val="Bullet1"/>
      </w:pPr>
      <w:r>
        <w:t>c</w:t>
      </w:r>
      <w:r w:rsidRPr="00176D37">
        <w:t xml:space="preserve">linical </w:t>
      </w:r>
      <w:r w:rsidR="00E9700E" w:rsidRPr="00176D37">
        <w:t>nursing, including a nurse unit manager where blood and blood products are used</w:t>
      </w:r>
    </w:p>
    <w:p w14:paraId="03E2EC9D" w14:textId="48DCA630" w:rsidR="00E9700E" w:rsidRPr="00176D37" w:rsidRDefault="00095FAF" w:rsidP="008614CA">
      <w:pPr>
        <w:pStyle w:val="Bullet1"/>
      </w:pPr>
      <w:r>
        <w:t>m</w:t>
      </w:r>
      <w:r w:rsidRPr="00176D37">
        <w:t xml:space="preserve">edical </w:t>
      </w:r>
      <w:r w:rsidR="00E9700E" w:rsidRPr="00176D37">
        <w:t>staff, including those in management roles, who are involved in the care of patients who require blood and blood product transfusion</w:t>
      </w:r>
    </w:p>
    <w:p w14:paraId="339BE9C6" w14:textId="53E057A1" w:rsidR="00E9700E" w:rsidRPr="00176D37" w:rsidRDefault="00095FAF" w:rsidP="008614CA">
      <w:pPr>
        <w:pStyle w:val="Bullet1"/>
      </w:pPr>
      <w:r>
        <w:t>l</w:t>
      </w:r>
      <w:r w:rsidRPr="00176D37">
        <w:t xml:space="preserve">aboratory </w:t>
      </w:r>
      <w:r w:rsidR="00E9700E" w:rsidRPr="00176D37">
        <w:t>staff, including external pathology providers if relevant</w:t>
      </w:r>
    </w:p>
    <w:p w14:paraId="7F64273E" w14:textId="608E8D4F" w:rsidR="00E9700E" w:rsidRPr="00176D37" w:rsidRDefault="00095FAF" w:rsidP="008614CA">
      <w:pPr>
        <w:pStyle w:val="Bullet1"/>
      </w:pPr>
      <w:r>
        <w:t>i</w:t>
      </w:r>
      <w:r w:rsidRPr="00176D37">
        <w:t xml:space="preserve">nformation </w:t>
      </w:r>
      <w:r w:rsidR="00E9700E" w:rsidRPr="00176D37">
        <w:t>technology staff, who have been involved with the EMR</w:t>
      </w:r>
    </w:p>
    <w:p w14:paraId="40427F51" w14:textId="57CFF706" w:rsidR="00E9700E" w:rsidRPr="00176D37" w:rsidRDefault="00095FAF" w:rsidP="008614CA">
      <w:pPr>
        <w:pStyle w:val="Bullet1"/>
      </w:pPr>
      <w:r>
        <w:t>o</w:t>
      </w:r>
      <w:r w:rsidRPr="00176D37">
        <w:t xml:space="preserve">ther </w:t>
      </w:r>
      <w:r w:rsidR="00E9700E" w:rsidRPr="00176D37">
        <w:t>staff that might be relevant to the EMR initiative in the health service.</w:t>
      </w:r>
    </w:p>
    <w:p w14:paraId="521B21C3" w14:textId="7DCF567F" w:rsidR="00E9700E" w:rsidRPr="00176D37" w:rsidRDefault="00E9700E" w:rsidP="009742AB">
      <w:pPr>
        <w:pStyle w:val="Bodyafterbullets"/>
      </w:pPr>
      <w:r w:rsidRPr="00176D37">
        <w:t xml:space="preserve">Respondents were asked to record their own experience and observations, answering </w:t>
      </w:r>
      <w:r w:rsidR="00095FAF">
        <w:t>‘</w:t>
      </w:r>
      <w:r w:rsidRPr="00176D37">
        <w:t>unsure</w:t>
      </w:r>
      <w:r w:rsidR="00095FAF">
        <w:t>’</w:t>
      </w:r>
      <w:r w:rsidRPr="00176D37">
        <w:t xml:space="preserve"> where they did not have information. Responses were </w:t>
      </w:r>
      <w:bookmarkStart w:id="26" w:name="_Hlk94598488"/>
      <w:bookmarkEnd w:id="24"/>
      <w:r w:rsidRPr="00176D37">
        <w:t xml:space="preserve">used as aggregate information and individual health </w:t>
      </w:r>
      <w:r w:rsidRPr="00095FAF">
        <w:t>services</w:t>
      </w:r>
      <w:r w:rsidRPr="00176D37">
        <w:t xml:space="preserve"> are not identified in the data or any subsequent material developed from the survey.</w:t>
      </w:r>
    </w:p>
    <w:p w14:paraId="75EB1FC9" w14:textId="77777777" w:rsidR="00E9700E" w:rsidRPr="00176D37" w:rsidRDefault="00E9700E" w:rsidP="008614CA">
      <w:pPr>
        <w:pStyle w:val="Body"/>
      </w:pPr>
      <w:r w:rsidRPr="00176D37">
        <w:t>The survey comprised 113 questions divided into craft group sections. Questions would cascade depending on previous responses given.</w:t>
      </w:r>
    </w:p>
    <w:p w14:paraId="582F5C14" w14:textId="60448D86" w:rsidR="00E9700E" w:rsidRPr="00176D37" w:rsidRDefault="00E9700E" w:rsidP="008614CA">
      <w:pPr>
        <w:pStyle w:val="Body"/>
      </w:pPr>
      <w:r w:rsidRPr="00176D37">
        <w:t xml:space="preserve">The survey was open from 2 August </w:t>
      </w:r>
      <w:r w:rsidR="00095FAF">
        <w:t>to</w:t>
      </w:r>
      <w:r w:rsidR="00095FAF" w:rsidRPr="00176D37">
        <w:t xml:space="preserve"> </w:t>
      </w:r>
      <w:r w:rsidRPr="00176D37">
        <w:t>24 September 2021.</w:t>
      </w:r>
      <w:bookmarkEnd w:id="26"/>
    </w:p>
    <w:p w14:paraId="2BEC410F" w14:textId="77777777" w:rsidR="00E9700E" w:rsidRPr="008614CA" w:rsidRDefault="00E9700E" w:rsidP="008614CA">
      <w:pPr>
        <w:pStyle w:val="Heading1"/>
      </w:pPr>
      <w:bookmarkStart w:id="27" w:name="_Toc101285666"/>
      <w:bookmarkStart w:id="28" w:name="_Toc101947688"/>
      <w:bookmarkStart w:id="29" w:name="_Toc104975912"/>
      <w:bookmarkStart w:id="30" w:name="_Hlk94598571"/>
      <w:r w:rsidRPr="008614CA">
        <w:t>Results</w:t>
      </w:r>
      <w:bookmarkEnd w:id="27"/>
      <w:bookmarkEnd w:id="28"/>
      <w:bookmarkEnd w:id="29"/>
    </w:p>
    <w:p w14:paraId="2188B577" w14:textId="0D36A160" w:rsidR="00E9700E" w:rsidRPr="00176D37" w:rsidRDefault="00E9700E" w:rsidP="008614CA">
      <w:pPr>
        <w:pStyle w:val="Body"/>
      </w:pPr>
      <w:r w:rsidRPr="00176D37">
        <w:t>A total of 59 health services responded to the survey (45 per cent of those invited)</w:t>
      </w:r>
      <w:r w:rsidR="00095FAF">
        <w:t>,</w:t>
      </w:r>
      <w:r w:rsidRPr="00176D37">
        <w:t xml:space="preserve"> with 111 individual responses (number of responses per health service: average 1.9, median value 1, range 1</w:t>
      </w:r>
      <w:r w:rsidR="00095FAF">
        <w:t>–</w:t>
      </w:r>
      <w:r w:rsidRPr="00176D37">
        <w:t>6).</w:t>
      </w:r>
    </w:p>
    <w:p w14:paraId="14A667FB" w14:textId="77777777" w:rsidR="00E9700E" w:rsidRPr="006B1412" w:rsidRDefault="00E9700E" w:rsidP="006B1412">
      <w:pPr>
        <w:pStyle w:val="Heading2"/>
      </w:pPr>
      <w:bookmarkStart w:id="31" w:name="_Toc101285667"/>
      <w:bookmarkStart w:id="32" w:name="_Toc101947689"/>
      <w:bookmarkStart w:id="33" w:name="_Toc104975913"/>
      <w:r w:rsidRPr="006B1412">
        <w:t>EMR not used at the time of survey</w:t>
      </w:r>
      <w:bookmarkEnd w:id="31"/>
      <w:bookmarkEnd w:id="32"/>
      <w:bookmarkEnd w:id="33"/>
    </w:p>
    <w:p w14:paraId="4EEFC22D" w14:textId="03D9857E" w:rsidR="00E9700E" w:rsidRPr="00176D37" w:rsidRDefault="00E9700E" w:rsidP="008614CA">
      <w:pPr>
        <w:pStyle w:val="Body"/>
      </w:pPr>
      <w:r w:rsidRPr="00176D37">
        <w:t xml:space="preserve">Of the 59 health services </w:t>
      </w:r>
      <w:r w:rsidR="00095FAF">
        <w:t>that</w:t>
      </w:r>
      <w:r w:rsidR="00095FAF" w:rsidRPr="00176D37">
        <w:t xml:space="preserve"> </w:t>
      </w:r>
      <w:r w:rsidRPr="00176D37">
        <w:t xml:space="preserve">responded, 39 (66 per cent) did not have an EMR in place at the time. </w:t>
      </w:r>
    </w:p>
    <w:p w14:paraId="5EF928D0" w14:textId="3141350F" w:rsidR="00E9700E" w:rsidRPr="00176D37" w:rsidRDefault="00E9700E" w:rsidP="008614CA">
      <w:pPr>
        <w:pStyle w:val="Body"/>
      </w:pPr>
      <w:r w:rsidRPr="00176D37">
        <w:t xml:space="preserve">From the 39 health services without an EMR there were 60 individual responses (number of responses per health service: average 1.5, median 1, range 1-5). </w:t>
      </w:r>
      <w:r w:rsidRPr="00176D37">
        <w:fldChar w:fldCharType="begin"/>
      </w:r>
      <w:r w:rsidRPr="00176D37">
        <w:instrText xml:space="preserve"> REF _Ref100678493 \h  \* MERGEFORMAT </w:instrText>
      </w:r>
      <w:r w:rsidRPr="00176D37">
        <w:fldChar w:fldCharType="separate"/>
      </w:r>
      <w:r w:rsidR="00E73E2F" w:rsidRPr="00176D37">
        <w:t xml:space="preserve">Table </w:t>
      </w:r>
      <w:r w:rsidR="00E73E2F">
        <w:rPr>
          <w:noProof/>
        </w:rPr>
        <w:t>1</w:t>
      </w:r>
      <w:r w:rsidRPr="00176D37">
        <w:fldChar w:fldCharType="end"/>
      </w:r>
      <w:r w:rsidRPr="00176D37">
        <w:t xml:space="preserve"> shows if the health services plan to implement an EMR within the next five years.</w:t>
      </w:r>
    </w:p>
    <w:p w14:paraId="179FA60E" w14:textId="6DC34E31" w:rsidR="00E9700E" w:rsidRPr="00176D37" w:rsidRDefault="00E9700E" w:rsidP="009742AB">
      <w:pPr>
        <w:pStyle w:val="Tablecaption"/>
        <w:spacing w:line="240" w:lineRule="auto"/>
      </w:pPr>
      <w:bookmarkStart w:id="34" w:name="_Ref100678493"/>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1</w:t>
      </w:r>
      <w:r w:rsidR="00F751A0">
        <w:rPr>
          <w:noProof/>
        </w:rPr>
        <w:fldChar w:fldCharType="end"/>
      </w:r>
      <w:bookmarkEnd w:id="34"/>
      <w:r w:rsidRPr="00176D37">
        <w:t>: EMR planning</w:t>
      </w:r>
    </w:p>
    <w:tbl>
      <w:tblPr>
        <w:tblStyle w:val="TableGrid"/>
        <w:tblW w:w="0" w:type="auto"/>
        <w:tblLook w:val="04A0" w:firstRow="1" w:lastRow="0" w:firstColumn="1" w:lastColumn="0" w:noHBand="0" w:noVBand="1"/>
      </w:tblPr>
      <w:tblGrid>
        <w:gridCol w:w="3005"/>
        <w:gridCol w:w="3005"/>
      </w:tblGrid>
      <w:tr w:rsidR="00E9700E" w:rsidRPr="00176D37" w14:paraId="288FF930" w14:textId="77777777" w:rsidTr="00A173F8">
        <w:tc>
          <w:tcPr>
            <w:tcW w:w="3005" w:type="dxa"/>
          </w:tcPr>
          <w:p w14:paraId="62B22F8A" w14:textId="6D05513F" w:rsidR="00E9700E" w:rsidRPr="00176D37" w:rsidRDefault="007A0348" w:rsidP="009742AB">
            <w:pPr>
              <w:pStyle w:val="Tablecolhead"/>
              <w:keepNext/>
              <w:keepLines/>
            </w:pPr>
            <w:bookmarkStart w:id="35" w:name="_Hlk94598713"/>
            <w:bookmarkEnd w:id="30"/>
            <w:r>
              <w:t>Planning status</w:t>
            </w:r>
          </w:p>
        </w:tc>
        <w:tc>
          <w:tcPr>
            <w:tcW w:w="3005" w:type="dxa"/>
          </w:tcPr>
          <w:p w14:paraId="68D6B3C5" w14:textId="77777777" w:rsidR="00E9700E" w:rsidRPr="00176D37" w:rsidRDefault="00E9700E" w:rsidP="009742AB">
            <w:pPr>
              <w:pStyle w:val="Tablecolhead"/>
              <w:keepNext/>
              <w:keepLines/>
            </w:pPr>
            <w:r w:rsidRPr="00176D37">
              <w:t xml:space="preserve">Health service count </w:t>
            </w:r>
          </w:p>
          <w:p w14:paraId="0FBB8953" w14:textId="4AE2ED4B" w:rsidR="00E9700E" w:rsidRPr="00176D37" w:rsidRDefault="007A0348" w:rsidP="009742AB">
            <w:pPr>
              <w:pStyle w:val="Tablecolhead"/>
              <w:keepNext/>
              <w:keepLines/>
              <w:rPr>
                <w:bCs/>
              </w:rPr>
            </w:pPr>
            <w:r>
              <w:rPr>
                <w:bCs/>
              </w:rPr>
              <w:t>n </w:t>
            </w:r>
            <w:r w:rsidR="00E9700E" w:rsidRPr="00176D37">
              <w:rPr>
                <w:bCs/>
              </w:rPr>
              <w:t>=</w:t>
            </w:r>
            <w:r>
              <w:rPr>
                <w:bCs/>
              </w:rPr>
              <w:t> </w:t>
            </w:r>
            <w:r w:rsidR="00E9700E" w:rsidRPr="00176D37">
              <w:rPr>
                <w:bCs/>
              </w:rPr>
              <w:t>39, (%)</w:t>
            </w:r>
          </w:p>
        </w:tc>
      </w:tr>
      <w:tr w:rsidR="00E9700E" w:rsidRPr="00176D37" w14:paraId="304ECB8F" w14:textId="77777777" w:rsidTr="00A173F8">
        <w:tc>
          <w:tcPr>
            <w:tcW w:w="3005" w:type="dxa"/>
          </w:tcPr>
          <w:p w14:paraId="36577D94" w14:textId="77777777" w:rsidR="00E9700E" w:rsidRPr="00176D37" w:rsidRDefault="00E9700E" w:rsidP="009742AB">
            <w:pPr>
              <w:pStyle w:val="Tabletext"/>
              <w:keepNext/>
              <w:keepLines/>
            </w:pPr>
            <w:r w:rsidRPr="00176D37">
              <w:t>EMR planned</w:t>
            </w:r>
          </w:p>
        </w:tc>
        <w:tc>
          <w:tcPr>
            <w:tcW w:w="3005" w:type="dxa"/>
          </w:tcPr>
          <w:p w14:paraId="55797A1F" w14:textId="77777777" w:rsidR="00E9700E" w:rsidRPr="00176D37" w:rsidRDefault="00E9700E" w:rsidP="009742AB">
            <w:pPr>
              <w:pStyle w:val="Tabletext"/>
              <w:keepNext/>
              <w:keepLines/>
              <w:jc w:val="right"/>
            </w:pPr>
            <w:r w:rsidRPr="00176D37">
              <w:t>13 (33%)</w:t>
            </w:r>
          </w:p>
        </w:tc>
      </w:tr>
      <w:tr w:rsidR="00E9700E" w:rsidRPr="00176D37" w14:paraId="7772721A" w14:textId="77777777" w:rsidTr="00A173F8">
        <w:tc>
          <w:tcPr>
            <w:tcW w:w="3005" w:type="dxa"/>
          </w:tcPr>
          <w:p w14:paraId="59E3EDB0" w14:textId="77777777" w:rsidR="00E9700E" w:rsidRPr="00176D37" w:rsidRDefault="00E9700E" w:rsidP="009742AB">
            <w:pPr>
              <w:pStyle w:val="Tabletext"/>
              <w:keepNext/>
              <w:keepLines/>
            </w:pPr>
            <w:r w:rsidRPr="00176D37">
              <w:t>EMR not planned</w:t>
            </w:r>
          </w:p>
        </w:tc>
        <w:tc>
          <w:tcPr>
            <w:tcW w:w="3005" w:type="dxa"/>
          </w:tcPr>
          <w:p w14:paraId="18225062" w14:textId="77777777" w:rsidR="00E9700E" w:rsidRPr="00176D37" w:rsidRDefault="00E9700E" w:rsidP="009742AB">
            <w:pPr>
              <w:pStyle w:val="Tabletext"/>
              <w:keepNext/>
              <w:keepLines/>
              <w:jc w:val="right"/>
            </w:pPr>
            <w:r w:rsidRPr="00176D37">
              <w:t>1 (3%)</w:t>
            </w:r>
          </w:p>
        </w:tc>
      </w:tr>
      <w:tr w:rsidR="00E9700E" w:rsidRPr="00176D37" w14:paraId="33EFE84D" w14:textId="77777777" w:rsidTr="00A173F8">
        <w:tc>
          <w:tcPr>
            <w:tcW w:w="3005" w:type="dxa"/>
          </w:tcPr>
          <w:p w14:paraId="7C90399E" w14:textId="77777777" w:rsidR="00E9700E" w:rsidRPr="00176D37" w:rsidRDefault="00E9700E" w:rsidP="009742AB">
            <w:pPr>
              <w:pStyle w:val="Tabletext"/>
              <w:keepNext/>
              <w:keepLines/>
            </w:pPr>
            <w:r w:rsidRPr="00176D37">
              <w:t>Unsure of EMR plans</w:t>
            </w:r>
          </w:p>
        </w:tc>
        <w:tc>
          <w:tcPr>
            <w:tcW w:w="3005" w:type="dxa"/>
          </w:tcPr>
          <w:p w14:paraId="43FF4B13" w14:textId="77777777" w:rsidR="00E9700E" w:rsidRPr="00176D37" w:rsidRDefault="00E9700E" w:rsidP="009742AB">
            <w:pPr>
              <w:pStyle w:val="Tabletext"/>
              <w:keepNext/>
              <w:keepLines/>
              <w:jc w:val="right"/>
            </w:pPr>
            <w:r w:rsidRPr="00176D37">
              <w:t>25 (64%)</w:t>
            </w:r>
          </w:p>
        </w:tc>
      </w:tr>
    </w:tbl>
    <w:p w14:paraId="15AFA7FE" w14:textId="7EB62AC3" w:rsidR="00E9700E" w:rsidRPr="008614CA" w:rsidRDefault="00E9700E" w:rsidP="006B1412">
      <w:pPr>
        <w:pStyle w:val="Heading2"/>
      </w:pPr>
      <w:bookmarkStart w:id="36" w:name="_Toc101285668"/>
      <w:bookmarkStart w:id="37" w:name="_Toc101947690"/>
      <w:bookmarkStart w:id="38" w:name="_Toc104975914"/>
      <w:bookmarkStart w:id="39" w:name="_Hlk94598775"/>
      <w:bookmarkEnd w:id="35"/>
      <w:r w:rsidRPr="008614CA">
        <w:t xml:space="preserve">EMR planned in the next </w:t>
      </w:r>
      <w:r w:rsidR="007A0348">
        <w:t>five</w:t>
      </w:r>
      <w:r w:rsidR="007A0348" w:rsidRPr="008614CA">
        <w:t xml:space="preserve"> </w:t>
      </w:r>
      <w:r w:rsidRPr="008614CA">
        <w:t>years</w:t>
      </w:r>
      <w:bookmarkEnd w:id="36"/>
      <w:bookmarkEnd w:id="37"/>
      <w:bookmarkEnd w:id="38"/>
    </w:p>
    <w:p w14:paraId="0ECC82D5" w14:textId="549D0B0F" w:rsidR="00E9700E" w:rsidRPr="00176D37" w:rsidRDefault="00E9700E" w:rsidP="008614CA">
      <w:pPr>
        <w:pStyle w:val="Body"/>
      </w:pPr>
      <w:r w:rsidRPr="00176D37">
        <w:t>From the 13 health services with a plan to implement an EMR in the next five years</w:t>
      </w:r>
      <w:r w:rsidR="007A0348">
        <w:t>,</w:t>
      </w:r>
      <w:r w:rsidRPr="00176D37">
        <w:t xml:space="preserve"> there were 20 individual responses.</w:t>
      </w:r>
    </w:p>
    <w:p w14:paraId="56C3EAC3" w14:textId="2D9376D9" w:rsidR="00E9700E" w:rsidRPr="00176D37" w:rsidRDefault="00E9700E" w:rsidP="008614CA">
      <w:pPr>
        <w:pStyle w:val="Body"/>
      </w:pPr>
      <w:r w:rsidRPr="00176D37">
        <w:t xml:space="preserve">Four health services had chosen a vendor, and the remaining nine health services reported this is either still being decided or </w:t>
      </w:r>
      <w:r w:rsidR="007A0348">
        <w:t xml:space="preserve">were </w:t>
      </w:r>
      <w:r w:rsidRPr="00176D37">
        <w:t xml:space="preserve">unsure </w:t>
      </w:r>
      <w:r w:rsidR="007A0348">
        <w:t>of</w:t>
      </w:r>
      <w:r w:rsidR="007A0348" w:rsidRPr="00176D37">
        <w:t xml:space="preserve"> </w:t>
      </w:r>
      <w:r w:rsidRPr="00176D37">
        <w:t>the decision.</w:t>
      </w:r>
    </w:p>
    <w:p w14:paraId="35121C53" w14:textId="15D5195B" w:rsidR="00E9700E" w:rsidRPr="00176D37" w:rsidRDefault="007A0348" w:rsidP="008614CA">
      <w:pPr>
        <w:pStyle w:val="Body"/>
      </w:pPr>
      <w:r>
        <w:t>Table 2 shows t</w:t>
      </w:r>
      <w:r w:rsidR="00E9700E" w:rsidRPr="00176D37">
        <w:t xml:space="preserve">he anticipated involvement of 20 respondents from the different craft groups for health services planning to implement an EMR in the next five years. </w:t>
      </w:r>
    </w:p>
    <w:p w14:paraId="12D55BB2" w14:textId="0E90667A" w:rsidR="00E9700E" w:rsidRPr="00176D37" w:rsidRDefault="00E9700E" w:rsidP="008614CA">
      <w:pPr>
        <w:pStyle w:val="Tablecaption"/>
      </w:pPr>
      <w:bookmarkStart w:id="40" w:name="_Ref100678513"/>
      <w:r w:rsidRPr="00176D37">
        <w:t xml:space="preserve">Table </w:t>
      </w:r>
      <w:r w:rsidR="00F751A0">
        <w:fldChar w:fldCharType="begin"/>
      </w:r>
      <w:r w:rsidR="00F751A0">
        <w:instrText xml:space="preserve"> SEQ Table \* ARABIC </w:instrText>
      </w:r>
      <w:r w:rsidR="00F751A0">
        <w:fldChar w:fldCharType="separate"/>
      </w:r>
      <w:r w:rsidR="00E73E2F">
        <w:rPr>
          <w:noProof/>
        </w:rPr>
        <w:t>2</w:t>
      </w:r>
      <w:r w:rsidR="00F751A0">
        <w:rPr>
          <w:noProof/>
        </w:rPr>
        <w:fldChar w:fldCharType="end"/>
      </w:r>
      <w:bookmarkEnd w:id="40"/>
      <w:r w:rsidRPr="00176D37">
        <w:t>: Anticipated involvement in EMR implementation, by staff in different craft groups</w:t>
      </w:r>
      <w:r w:rsidRPr="00176D37">
        <w:rPr>
          <w:rStyle w:val="FootnoteReference"/>
          <w:rFonts w:cs="Arial"/>
          <w:sz w:val="22"/>
          <w:szCs w:val="22"/>
        </w:rPr>
        <w:footnoteReference w:id="1"/>
      </w:r>
    </w:p>
    <w:tbl>
      <w:tblPr>
        <w:tblStyle w:val="TableGrid"/>
        <w:tblW w:w="9220" w:type="dxa"/>
        <w:tblLayout w:type="fixed"/>
        <w:tblLook w:val="04A0" w:firstRow="1" w:lastRow="0" w:firstColumn="1" w:lastColumn="0" w:noHBand="0" w:noVBand="1"/>
      </w:tblPr>
      <w:tblGrid>
        <w:gridCol w:w="1474"/>
        <w:gridCol w:w="1291"/>
        <w:gridCol w:w="1291"/>
        <w:gridCol w:w="1291"/>
        <w:gridCol w:w="1291"/>
        <w:gridCol w:w="1291"/>
        <w:gridCol w:w="1291"/>
      </w:tblGrid>
      <w:tr w:rsidR="00E9700E" w:rsidRPr="00176D37" w14:paraId="797ADA52" w14:textId="77777777" w:rsidTr="009742AB">
        <w:trPr>
          <w:cantSplit/>
          <w:tblHeader/>
        </w:trPr>
        <w:tc>
          <w:tcPr>
            <w:tcW w:w="1474" w:type="dxa"/>
          </w:tcPr>
          <w:p w14:paraId="1E2B7057" w14:textId="77777777" w:rsidR="00E9700E" w:rsidRPr="00176D37" w:rsidRDefault="00E9700E" w:rsidP="008614CA">
            <w:pPr>
              <w:pStyle w:val="Tablecolhead"/>
            </w:pPr>
            <w:bookmarkStart w:id="41" w:name="_Hlk94598853"/>
            <w:bookmarkEnd w:id="39"/>
            <w:r w:rsidRPr="00176D37">
              <w:t>Level of involvement</w:t>
            </w:r>
          </w:p>
        </w:tc>
        <w:tc>
          <w:tcPr>
            <w:tcW w:w="1291" w:type="dxa"/>
          </w:tcPr>
          <w:p w14:paraId="038187AF" w14:textId="44136050" w:rsidR="00E9700E" w:rsidRPr="00176D37" w:rsidRDefault="00E9700E" w:rsidP="008614CA">
            <w:pPr>
              <w:pStyle w:val="Tablecolhead"/>
            </w:pPr>
            <w:r w:rsidRPr="00176D37">
              <w:t>Clinical nursing n</w:t>
            </w:r>
            <w:r w:rsidR="007A0348">
              <w:t> </w:t>
            </w:r>
            <w:r w:rsidRPr="00176D37">
              <w:t>=</w:t>
            </w:r>
            <w:r w:rsidR="007A0348">
              <w:t> </w:t>
            </w:r>
            <w:r w:rsidRPr="00176D37">
              <w:t>6</w:t>
            </w:r>
          </w:p>
        </w:tc>
        <w:tc>
          <w:tcPr>
            <w:tcW w:w="1291" w:type="dxa"/>
          </w:tcPr>
          <w:p w14:paraId="1B3F0265" w14:textId="77777777" w:rsidR="00E9700E" w:rsidRPr="00176D37" w:rsidRDefault="00E9700E" w:rsidP="008614CA">
            <w:pPr>
              <w:pStyle w:val="Tablecolhead"/>
            </w:pPr>
            <w:r w:rsidRPr="00176D37">
              <w:t>Executive</w:t>
            </w:r>
          </w:p>
          <w:p w14:paraId="5B4B8A8C" w14:textId="2B3A6338" w:rsidR="00E9700E" w:rsidRPr="00176D37" w:rsidRDefault="007A0348" w:rsidP="008614CA">
            <w:pPr>
              <w:pStyle w:val="Tablecolhead"/>
            </w:pPr>
            <w:r>
              <w:t>n </w:t>
            </w:r>
            <w:r w:rsidR="00E9700E" w:rsidRPr="00176D37">
              <w:t>=</w:t>
            </w:r>
            <w:r>
              <w:t> </w:t>
            </w:r>
            <w:r w:rsidR="00E9700E" w:rsidRPr="00176D37">
              <w:t>3</w:t>
            </w:r>
          </w:p>
        </w:tc>
        <w:tc>
          <w:tcPr>
            <w:tcW w:w="1291" w:type="dxa"/>
          </w:tcPr>
          <w:p w14:paraId="7C0EFCFD" w14:textId="79FD26CB" w:rsidR="00E9700E" w:rsidRPr="00176D37" w:rsidRDefault="00E9700E" w:rsidP="008614CA">
            <w:pPr>
              <w:pStyle w:val="Tablecolhead"/>
            </w:pPr>
            <w:proofErr w:type="spellStart"/>
            <w:r w:rsidRPr="00176D37">
              <w:t>Labora</w:t>
            </w:r>
            <w:proofErr w:type="spellEnd"/>
            <w:r w:rsidR="007A0348">
              <w:t>-</w:t>
            </w:r>
            <w:r w:rsidRPr="00176D37">
              <w:t>t</w:t>
            </w:r>
            <w:r w:rsidR="007A0348">
              <w:t>o</w:t>
            </w:r>
            <w:r w:rsidRPr="00176D37">
              <w:t>ry</w:t>
            </w:r>
          </w:p>
          <w:p w14:paraId="660C77D5" w14:textId="7FC63693" w:rsidR="00E9700E" w:rsidRPr="00176D37" w:rsidRDefault="007A0348" w:rsidP="008614CA">
            <w:pPr>
              <w:pStyle w:val="Tablecolhead"/>
            </w:pPr>
            <w:r>
              <w:t>n </w:t>
            </w:r>
            <w:r w:rsidR="00E9700E" w:rsidRPr="00176D37">
              <w:t>=</w:t>
            </w:r>
            <w:r>
              <w:t> </w:t>
            </w:r>
            <w:r w:rsidR="00E9700E" w:rsidRPr="00176D37">
              <w:t>1</w:t>
            </w:r>
          </w:p>
        </w:tc>
        <w:tc>
          <w:tcPr>
            <w:tcW w:w="1291" w:type="dxa"/>
          </w:tcPr>
          <w:p w14:paraId="075E2563" w14:textId="77777777" w:rsidR="00E9700E" w:rsidRPr="00176D37" w:rsidRDefault="00E9700E" w:rsidP="008614CA">
            <w:pPr>
              <w:pStyle w:val="Tablecolhead"/>
            </w:pPr>
            <w:r w:rsidRPr="00176D37">
              <w:t>Medical</w:t>
            </w:r>
          </w:p>
          <w:p w14:paraId="41CCF5DF" w14:textId="48E7916F" w:rsidR="00E9700E" w:rsidRPr="00176D37" w:rsidRDefault="00E9700E" w:rsidP="008614CA">
            <w:pPr>
              <w:pStyle w:val="Tablecolhead"/>
            </w:pPr>
            <w:r w:rsidRPr="00176D37">
              <w:t>n</w:t>
            </w:r>
            <w:r w:rsidR="007A0348">
              <w:t> </w:t>
            </w:r>
            <w:r w:rsidRPr="00176D37">
              <w:t>=</w:t>
            </w:r>
            <w:r w:rsidR="007A0348">
              <w:t xml:space="preserve"> </w:t>
            </w:r>
            <w:r w:rsidRPr="00176D37">
              <w:t>1</w:t>
            </w:r>
          </w:p>
        </w:tc>
        <w:tc>
          <w:tcPr>
            <w:tcW w:w="1291" w:type="dxa"/>
          </w:tcPr>
          <w:p w14:paraId="6F013A9C" w14:textId="7089903C" w:rsidR="00E9700E" w:rsidRPr="00176D37" w:rsidRDefault="00E9700E" w:rsidP="008614CA">
            <w:pPr>
              <w:pStyle w:val="Tablecolhead"/>
            </w:pPr>
            <w:proofErr w:type="spellStart"/>
            <w:r w:rsidRPr="00176D37">
              <w:t>Organis</w:t>
            </w:r>
            <w:r w:rsidR="007A0348">
              <w:t>-</w:t>
            </w:r>
            <w:r w:rsidRPr="00176D37">
              <w:t>ational</w:t>
            </w:r>
            <w:proofErr w:type="spellEnd"/>
            <w:r w:rsidRPr="00176D37">
              <w:t xml:space="preserve"> IT</w:t>
            </w:r>
          </w:p>
          <w:p w14:paraId="1D326145" w14:textId="1BBAD64E" w:rsidR="00E9700E" w:rsidRPr="00176D37" w:rsidRDefault="00E9700E" w:rsidP="008614CA">
            <w:pPr>
              <w:pStyle w:val="Tablecolhead"/>
            </w:pPr>
            <w:r w:rsidRPr="00176D37">
              <w:t>n</w:t>
            </w:r>
            <w:r w:rsidR="007A0348">
              <w:t> </w:t>
            </w:r>
            <w:r w:rsidRPr="00176D37">
              <w:t>=</w:t>
            </w:r>
            <w:r w:rsidR="007A0348">
              <w:t> </w:t>
            </w:r>
            <w:r w:rsidRPr="00176D37">
              <w:t>1</w:t>
            </w:r>
          </w:p>
        </w:tc>
        <w:tc>
          <w:tcPr>
            <w:tcW w:w="1291" w:type="dxa"/>
          </w:tcPr>
          <w:p w14:paraId="30CA4B71" w14:textId="77777777" w:rsidR="00E9700E" w:rsidRPr="00176D37" w:rsidRDefault="00E9700E" w:rsidP="008614CA">
            <w:pPr>
              <w:pStyle w:val="Tablecolhead"/>
            </w:pPr>
            <w:r w:rsidRPr="00176D37">
              <w:t>Quality</w:t>
            </w:r>
          </w:p>
          <w:p w14:paraId="5BBCEA71" w14:textId="095C36B9" w:rsidR="00E9700E" w:rsidRPr="00176D37" w:rsidRDefault="00E9700E" w:rsidP="008614CA">
            <w:pPr>
              <w:pStyle w:val="Tablecolhead"/>
            </w:pPr>
            <w:r w:rsidRPr="00176D37">
              <w:t>n</w:t>
            </w:r>
            <w:r w:rsidR="007A0348">
              <w:t> </w:t>
            </w:r>
            <w:r w:rsidRPr="00176D37">
              <w:t>=</w:t>
            </w:r>
            <w:r w:rsidR="007A0348">
              <w:t xml:space="preserve"> </w:t>
            </w:r>
            <w:r w:rsidRPr="00176D37">
              <w:t>8</w:t>
            </w:r>
          </w:p>
        </w:tc>
      </w:tr>
      <w:tr w:rsidR="00E9700E" w:rsidRPr="00176D37" w14:paraId="7E83A24F" w14:textId="77777777" w:rsidTr="009742AB">
        <w:tc>
          <w:tcPr>
            <w:tcW w:w="1474" w:type="dxa"/>
          </w:tcPr>
          <w:p w14:paraId="791683DB" w14:textId="77777777" w:rsidR="00E9700E" w:rsidRPr="00176D37" w:rsidRDefault="00E9700E" w:rsidP="008614CA">
            <w:pPr>
              <w:pStyle w:val="Tabletext"/>
            </w:pPr>
            <w:r w:rsidRPr="00176D37">
              <w:t>None planned</w:t>
            </w:r>
          </w:p>
        </w:tc>
        <w:tc>
          <w:tcPr>
            <w:tcW w:w="1291" w:type="dxa"/>
          </w:tcPr>
          <w:p w14:paraId="6FCD635D" w14:textId="77777777" w:rsidR="00E9700E" w:rsidRPr="00176D37" w:rsidRDefault="00E9700E" w:rsidP="009742AB">
            <w:pPr>
              <w:pStyle w:val="Tabletext"/>
              <w:jc w:val="right"/>
            </w:pPr>
            <w:r w:rsidRPr="00176D37">
              <w:t>1</w:t>
            </w:r>
          </w:p>
        </w:tc>
        <w:tc>
          <w:tcPr>
            <w:tcW w:w="1291" w:type="dxa"/>
          </w:tcPr>
          <w:p w14:paraId="3569DBE6" w14:textId="77777777" w:rsidR="00E9700E" w:rsidRPr="00176D37" w:rsidRDefault="00E9700E" w:rsidP="009742AB">
            <w:pPr>
              <w:pStyle w:val="Tabletext"/>
              <w:jc w:val="right"/>
            </w:pPr>
            <w:r w:rsidRPr="00176D37">
              <w:t>-</w:t>
            </w:r>
          </w:p>
        </w:tc>
        <w:tc>
          <w:tcPr>
            <w:tcW w:w="1291" w:type="dxa"/>
          </w:tcPr>
          <w:p w14:paraId="3925DCCC" w14:textId="77777777" w:rsidR="00E9700E" w:rsidRPr="00176D37" w:rsidRDefault="00E9700E" w:rsidP="009742AB">
            <w:pPr>
              <w:pStyle w:val="Tabletext"/>
              <w:jc w:val="right"/>
            </w:pPr>
            <w:r w:rsidRPr="00176D37">
              <w:t>1</w:t>
            </w:r>
          </w:p>
        </w:tc>
        <w:tc>
          <w:tcPr>
            <w:tcW w:w="1291" w:type="dxa"/>
          </w:tcPr>
          <w:p w14:paraId="7C945A91" w14:textId="77777777" w:rsidR="00E9700E" w:rsidRPr="00176D37" w:rsidRDefault="00E9700E" w:rsidP="009742AB">
            <w:pPr>
              <w:pStyle w:val="Tabletext"/>
              <w:jc w:val="right"/>
            </w:pPr>
            <w:r w:rsidRPr="00176D37">
              <w:t>-</w:t>
            </w:r>
          </w:p>
        </w:tc>
        <w:tc>
          <w:tcPr>
            <w:tcW w:w="1291" w:type="dxa"/>
          </w:tcPr>
          <w:p w14:paraId="6263726C" w14:textId="77777777" w:rsidR="00E9700E" w:rsidRPr="00176D37" w:rsidRDefault="00E9700E" w:rsidP="009742AB">
            <w:pPr>
              <w:pStyle w:val="Tabletext"/>
              <w:jc w:val="right"/>
            </w:pPr>
            <w:r w:rsidRPr="00176D37">
              <w:t>-</w:t>
            </w:r>
          </w:p>
        </w:tc>
        <w:tc>
          <w:tcPr>
            <w:tcW w:w="1291" w:type="dxa"/>
          </w:tcPr>
          <w:p w14:paraId="1C297BEB" w14:textId="77777777" w:rsidR="00E9700E" w:rsidRPr="00176D37" w:rsidRDefault="00E9700E" w:rsidP="009742AB">
            <w:pPr>
              <w:pStyle w:val="Tabletext"/>
              <w:jc w:val="right"/>
            </w:pPr>
            <w:r w:rsidRPr="00176D37">
              <w:t>3</w:t>
            </w:r>
          </w:p>
        </w:tc>
      </w:tr>
      <w:tr w:rsidR="00E9700E" w:rsidRPr="00176D37" w14:paraId="0824CD36" w14:textId="77777777" w:rsidTr="009742AB">
        <w:tc>
          <w:tcPr>
            <w:tcW w:w="1474" w:type="dxa"/>
          </w:tcPr>
          <w:p w14:paraId="1AF6BCE5" w14:textId="77777777" w:rsidR="00E9700E" w:rsidRPr="00176D37" w:rsidRDefault="00E9700E" w:rsidP="008614CA">
            <w:pPr>
              <w:pStyle w:val="Tabletext"/>
            </w:pPr>
            <w:r w:rsidRPr="00176D37">
              <w:t>Plan to be involved</w:t>
            </w:r>
          </w:p>
        </w:tc>
        <w:tc>
          <w:tcPr>
            <w:tcW w:w="1291" w:type="dxa"/>
          </w:tcPr>
          <w:p w14:paraId="06B94AFA" w14:textId="77777777" w:rsidR="00E9700E" w:rsidRPr="00176D37" w:rsidRDefault="00E9700E" w:rsidP="009742AB">
            <w:pPr>
              <w:pStyle w:val="Tabletext"/>
              <w:jc w:val="right"/>
            </w:pPr>
            <w:r w:rsidRPr="00176D37">
              <w:t>2</w:t>
            </w:r>
          </w:p>
        </w:tc>
        <w:tc>
          <w:tcPr>
            <w:tcW w:w="1291" w:type="dxa"/>
          </w:tcPr>
          <w:p w14:paraId="0D7E0BA0" w14:textId="77777777" w:rsidR="00E9700E" w:rsidRPr="00176D37" w:rsidRDefault="00E9700E" w:rsidP="009742AB">
            <w:pPr>
              <w:pStyle w:val="Tabletext"/>
              <w:jc w:val="right"/>
            </w:pPr>
            <w:r w:rsidRPr="00176D37">
              <w:t>1</w:t>
            </w:r>
          </w:p>
        </w:tc>
        <w:tc>
          <w:tcPr>
            <w:tcW w:w="1291" w:type="dxa"/>
          </w:tcPr>
          <w:p w14:paraId="3790B272" w14:textId="77777777" w:rsidR="00E9700E" w:rsidRPr="00176D37" w:rsidRDefault="00E9700E" w:rsidP="009742AB">
            <w:pPr>
              <w:pStyle w:val="Tabletext"/>
              <w:jc w:val="right"/>
            </w:pPr>
            <w:r w:rsidRPr="00176D37">
              <w:t>-</w:t>
            </w:r>
          </w:p>
        </w:tc>
        <w:tc>
          <w:tcPr>
            <w:tcW w:w="1291" w:type="dxa"/>
          </w:tcPr>
          <w:p w14:paraId="451A9788" w14:textId="77777777" w:rsidR="00E9700E" w:rsidRPr="00176D37" w:rsidRDefault="00E9700E" w:rsidP="009742AB">
            <w:pPr>
              <w:pStyle w:val="Tabletext"/>
              <w:jc w:val="right"/>
            </w:pPr>
            <w:r w:rsidRPr="00176D37">
              <w:t>-</w:t>
            </w:r>
          </w:p>
        </w:tc>
        <w:tc>
          <w:tcPr>
            <w:tcW w:w="1291" w:type="dxa"/>
          </w:tcPr>
          <w:p w14:paraId="28340743" w14:textId="77777777" w:rsidR="00E9700E" w:rsidRPr="00176D37" w:rsidRDefault="00E9700E" w:rsidP="009742AB">
            <w:pPr>
              <w:pStyle w:val="Tabletext"/>
              <w:jc w:val="right"/>
            </w:pPr>
            <w:r w:rsidRPr="00176D37">
              <w:t>1</w:t>
            </w:r>
          </w:p>
        </w:tc>
        <w:tc>
          <w:tcPr>
            <w:tcW w:w="1291" w:type="dxa"/>
          </w:tcPr>
          <w:p w14:paraId="6F075A6C" w14:textId="77777777" w:rsidR="00E9700E" w:rsidRPr="00176D37" w:rsidRDefault="00E9700E" w:rsidP="009742AB">
            <w:pPr>
              <w:pStyle w:val="Tabletext"/>
              <w:jc w:val="right"/>
            </w:pPr>
            <w:r w:rsidRPr="00176D37">
              <w:t>4</w:t>
            </w:r>
          </w:p>
        </w:tc>
      </w:tr>
      <w:tr w:rsidR="00E9700E" w:rsidRPr="00176D37" w14:paraId="34785B5F" w14:textId="77777777" w:rsidTr="009742AB">
        <w:tc>
          <w:tcPr>
            <w:tcW w:w="1474" w:type="dxa"/>
          </w:tcPr>
          <w:p w14:paraId="06E13A5B" w14:textId="77777777" w:rsidR="00E9700E" w:rsidRPr="00176D37" w:rsidRDefault="00E9700E" w:rsidP="008614CA">
            <w:pPr>
              <w:pStyle w:val="Tabletext"/>
            </w:pPr>
            <w:r w:rsidRPr="00176D37">
              <w:t>Selecting EMR</w:t>
            </w:r>
          </w:p>
        </w:tc>
        <w:tc>
          <w:tcPr>
            <w:tcW w:w="1291" w:type="dxa"/>
          </w:tcPr>
          <w:p w14:paraId="09886F35" w14:textId="77777777" w:rsidR="00E9700E" w:rsidRPr="00176D37" w:rsidRDefault="00E9700E" w:rsidP="009742AB">
            <w:pPr>
              <w:pStyle w:val="Tabletext"/>
              <w:jc w:val="right"/>
            </w:pPr>
            <w:r w:rsidRPr="00176D37">
              <w:t>1</w:t>
            </w:r>
          </w:p>
        </w:tc>
        <w:tc>
          <w:tcPr>
            <w:tcW w:w="1291" w:type="dxa"/>
          </w:tcPr>
          <w:p w14:paraId="521EF5EE" w14:textId="77777777" w:rsidR="00E9700E" w:rsidRPr="00176D37" w:rsidRDefault="00E9700E" w:rsidP="009742AB">
            <w:pPr>
              <w:pStyle w:val="Tabletext"/>
              <w:jc w:val="right"/>
            </w:pPr>
            <w:r w:rsidRPr="00176D37">
              <w:t>2</w:t>
            </w:r>
          </w:p>
        </w:tc>
        <w:tc>
          <w:tcPr>
            <w:tcW w:w="1291" w:type="dxa"/>
          </w:tcPr>
          <w:p w14:paraId="08CD95B7" w14:textId="77777777" w:rsidR="00E9700E" w:rsidRPr="00176D37" w:rsidRDefault="00E9700E" w:rsidP="009742AB">
            <w:pPr>
              <w:pStyle w:val="Tabletext"/>
              <w:jc w:val="right"/>
            </w:pPr>
            <w:r w:rsidRPr="00176D37">
              <w:t>-</w:t>
            </w:r>
          </w:p>
        </w:tc>
        <w:tc>
          <w:tcPr>
            <w:tcW w:w="1291" w:type="dxa"/>
          </w:tcPr>
          <w:p w14:paraId="51F53052" w14:textId="77777777" w:rsidR="00E9700E" w:rsidRPr="00176D37" w:rsidRDefault="00E9700E" w:rsidP="009742AB">
            <w:pPr>
              <w:pStyle w:val="Tabletext"/>
              <w:jc w:val="right"/>
            </w:pPr>
            <w:r w:rsidRPr="00176D37">
              <w:t>-</w:t>
            </w:r>
          </w:p>
        </w:tc>
        <w:tc>
          <w:tcPr>
            <w:tcW w:w="1291" w:type="dxa"/>
          </w:tcPr>
          <w:p w14:paraId="464BA563" w14:textId="77777777" w:rsidR="00E9700E" w:rsidRPr="00176D37" w:rsidRDefault="00E9700E" w:rsidP="009742AB">
            <w:pPr>
              <w:pStyle w:val="Tabletext"/>
              <w:jc w:val="right"/>
            </w:pPr>
            <w:r w:rsidRPr="00176D37">
              <w:t>-</w:t>
            </w:r>
          </w:p>
        </w:tc>
        <w:tc>
          <w:tcPr>
            <w:tcW w:w="1291" w:type="dxa"/>
          </w:tcPr>
          <w:p w14:paraId="5F149A82" w14:textId="77777777" w:rsidR="00E9700E" w:rsidRPr="00176D37" w:rsidRDefault="00E9700E" w:rsidP="009742AB">
            <w:pPr>
              <w:pStyle w:val="Tabletext"/>
              <w:jc w:val="right"/>
            </w:pPr>
            <w:r w:rsidRPr="00176D37">
              <w:t>-</w:t>
            </w:r>
          </w:p>
        </w:tc>
      </w:tr>
      <w:tr w:rsidR="00E9700E" w:rsidRPr="00176D37" w14:paraId="7E86E8B1" w14:textId="77777777" w:rsidTr="009742AB">
        <w:tc>
          <w:tcPr>
            <w:tcW w:w="1474" w:type="dxa"/>
          </w:tcPr>
          <w:p w14:paraId="085625CE" w14:textId="77777777" w:rsidR="00E9700E" w:rsidRPr="00176D37" w:rsidRDefault="00E9700E" w:rsidP="008614CA">
            <w:pPr>
              <w:pStyle w:val="Tabletext"/>
            </w:pPr>
            <w:r w:rsidRPr="00176D37">
              <w:t>Content development</w:t>
            </w:r>
          </w:p>
        </w:tc>
        <w:tc>
          <w:tcPr>
            <w:tcW w:w="1291" w:type="dxa"/>
          </w:tcPr>
          <w:p w14:paraId="6BF4FE97" w14:textId="77777777" w:rsidR="00E9700E" w:rsidRPr="00176D37" w:rsidRDefault="00E9700E" w:rsidP="009742AB">
            <w:pPr>
              <w:pStyle w:val="Tabletext"/>
              <w:jc w:val="right"/>
            </w:pPr>
            <w:r w:rsidRPr="00176D37">
              <w:t>-</w:t>
            </w:r>
          </w:p>
        </w:tc>
        <w:tc>
          <w:tcPr>
            <w:tcW w:w="1291" w:type="dxa"/>
          </w:tcPr>
          <w:p w14:paraId="30D7CDE2" w14:textId="77777777" w:rsidR="00E9700E" w:rsidRPr="00176D37" w:rsidRDefault="00E9700E" w:rsidP="009742AB">
            <w:pPr>
              <w:pStyle w:val="Tabletext"/>
              <w:jc w:val="right"/>
            </w:pPr>
            <w:r w:rsidRPr="00176D37">
              <w:t>-</w:t>
            </w:r>
          </w:p>
        </w:tc>
        <w:tc>
          <w:tcPr>
            <w:tcW w:w="1291" w:type="dxa"/>
          </w:tcPr>
          <w:p w14:paraId="620227A6" w14:textId="77777777" w:rsidR="00E9700E" w:rsidRPr="00176D37" w:rsidRDefault="00E9700E" w:rsidP="009742AB">
            <w:pPr>
              <w:pStyle w:val="Tabletext"/>
              <w:jc w:val="right"/>
            </w:pPr>
            <w:r w:rsidRPr="00176D37">
              <w:t>-</w:t>
            </w:r>
          </w:p>
        </w:tc>
        <w:tc>
          <w:tcPr>
            <w:tcW w:w="1291" w:type="dxa"/>
          </w:tcPr>
          <w:p w14:paraId="07B7EF43" w14:textId="77777777" w:rsidR="00E9700E" w:rsidRPr="00176D37" w:rsidRDefault="00E9700E" w:rsidP="009742AB">
            <w:pPr>
              <w:pStyle w:val="Tabletext"/>
              <w:jc w:val="right"/>
            </w:pPr>
            <w:r w:rsidRPr="00176D37">
              <w:t>1</w:t>
            </w:r>
          </w:p>
        </w:tc>
        <w:tc>
          <w:tcPr>
            <w:tcW w:w="1291" w:type="dxa"/>
          </w:tcPr>
          <w:p w14:paraId="36629CA8" w14:textId="77777777" w:rsidR="00E9700E" w:rsidRPr="00176D37" w:rsidRDefault="00E9700E" w:rsidP="009742AB">
            <w:pPr>
              <w:pStyle w:val="Tabletext"/>
              <w:jc w:val="right"/>
            </w:pPr>
            <w:r w:rsidRPr="00176D37">
              <w:t>-</w:t>
            </w:r>
          </w:p>
        </w:tc>
        <w:tc>
          <w:tcPr>
            <w:tcW w:w="1291" w:type="dxa"/>
          </w:tcPr>
          <w:p w14:paraId="00209F2B" w14:textId="77777777" w:rsidR="00E9700E" w:rsidRPr="00176D37" w:rsidRDefault="00E9700E" w:rsidP="009742AB">
            <w:pPr>
              <w:pStyle w:val="Tabletext"/>
              <w:jc w:val="right"/>
            </w:pPr>
            <w:r w:rsidRPr="00176D37">
              <w:t>-</w:t>
            </w:r>
          </w:p>
        </w:tc>
      </w:tr>
      <w:tr w:rsidR="00E9700E" w:rsidRPr="00176D37" w14:paraId="1EE02030" w14:textId="77777777" w:rsidTr="009742AB">
        <w:tc>
          <w:tcPr>
            <w:tcW w:w="1474" w:type="dxa"/>
          </w:tcPr>
          <w:p w14:paraId="1899D7B9" w14:textId="77777777" w:rsidR="00E9700E" w:rsidRPr="00176D37" w:rsidRDefault="00E9700E" w:rsidP="008614CA">
            <w:pPr>
              <w:pStyle w:val="Tabletext"/>
            </w:pPr>
            <w:r w:rsidRPr="00176D37">
              <w:t>Review of content</w:t>
            </w:r>
          </w:p>
        </w:tc>
        <w:tc>
          <w:tcPr>
            <w:tcW w:w="1291" w:type="dxa"/>
          </w:tcPr>
          <w:p w14:paraId="60F59B03" w14:textId="77777777" w:rsidR="00E9700E" w:rsidRPr="00176D37" w:rsidRDefault="00E9700E" w:rsidP="009742AB">
            <w:pPr>
              <w:pStyle w:val="Tabletext"/>
              <w:jc w:val="right"/>
            </w:pPr>
            <w:r w:rsidRPr="00176D37">
              <w:t>2</w:t>
            </w:r>
          </w:p>
        </w:tc>
        <w:tc>
          <w:tcPr>
            <w:tcW w:w="1291" w:type="dxa"/>
          </w:tcPr>
          <w:p w14:paraId="4948B4E1" w14:textId="77777777" w:rsidR="00E9700E" w:rsidRPr="00176D37" w:rsidRDefault="00E9700E" w:rsidP="009742AB">
            <w:pPr>
              <w:pStyle w:val="Tabletext"/>
              <w:jc w:val="right"/>
            </w:pPr>
            <w:r w:rsidRPr="00176D37">
              <w:t>1</w:t>
            </w:r>
          </w:p>
        </w:tc>
        <w:tc>
          <w:tcPr>
            <w:tcW w:w="1291" w:type="dxa"/>
          </w:tcPr>
          <w:p w14:paraId="05500012" w14:textId="77777777" w:rsidR="00E9700E" w:rsidRPr="00176D37" w:rsidRDefault="00E9700E" w:rsidP="009742AB">
            <w:pPr>
              <w:pStyle w:val="Tabletext"/>
              <w:jc w:val="right"/>
            </w:pPr>
            <w:r w:rsidRPr="00176D37">
              <w:t>-</w:t>
            </w:r>
          </w:p>
        </w:tc>
        <w:tc>
          <w:tcPr>
            <w:tcW w:w="1291" w:type="dxa"/>
          </w:tcPr>
          <w:p w14:paraId="691F6E54" w14:textId="77777777" w:rsidR="00E9700E" w:rsidRPr="00176D37" w:rsidRDefault="00E9700E" w:rsidP="009742AB">
            <w:pPr>
              <w:pStyle w:val="Tabletext"/>
              <w:jc w:val="right"/>
            </w:pPr>
            <w:r w:rsidRPr="00176D37">
              <w:t>1</w:t>
            </w:r>
          </w:p>
        </w:tc>
        <w:tc>
          <w:tcPr>
            <w:tcW w:w="1291" w:type="dxa"/>
          </w:tcPr>
          <w:p w14:paraId="75D88AC4" w14:textId="77777777" w:rsidR="00E9700E" w:rsidRPr="00176D37" w:rsidRDefault="00E9700E" w:rsidP="009742AB">
            <w:pPr>
              <w:pStyle w:val="Tabletext"/>
              <w:jc w:val="right"/>
            </w:pPr>
            <w:r w:rsidRPr="00176D37">
              <w:t>-</w:t>
            </w:r>
          </w:p>
        </w:tc>
        <w:tc>
          <w:tcPr>
            <w:tcW w:w="1291" w:type="dxa"/>
          </w:tcPr>
          <w:p w14:paraId="0F5083E2" w14:textId="77777777" w:rsidR="00E9700E" w:rsidRPr="00176D37" w:rsidRDefault="00E9700E" w:rsidP="009742AB">
            <w:pPr>
              <w:pStyle w:val="Tabletext"/>
              <w:jc w:val="right"/>
            </w:pPr>
            <w:r w:rsidRPr="00176D37">
              <w:t>1</w:t>
            </w:r>
          </w:p>
        </w:tc>
      </w:tr>
      <w:tr w:rsidR="00E9700E" w:rsidRPr="00176D37" w14:paraId="4225E97E" w14:textId="77777777" w:rsidTr="009742AB">
        <w:tc>
          <w:tcPr>
            <w:tcW w:w="1474" w:type="dxa"/>
          </w:tcPr>
          <w:p w14:paraId="173F95ED" w14:textId="77777777" w:rsidR="00E9700E" w:rsidRPr="00176D37" w:rsidRDefault="00E9700E" w:rsidP="008614CA">
            <w:pPr>
              <w:pStyle w:val="Tabletext"/>
            </w:pPr>
            <w:r w:rsidRPr="00176D37">
              <w:t>Workflow</w:t>
            </w:r>
          </w:p>
        </w:tc>
        <w:tc>
          <w:tcPr>
            <w:tcW w:w="1291" w:type="dxa"/>
          </w:tcPr>
          <w:p w14:paraId="7D675952" w14:textId="77777777" w:rsidR="00E9700E" w:rsidRPr="00176D37" w:rsidRDefault="00E9700E" w:rsidP="009742AB">
            <w:pPr>
              <w:pStyle w:val="Tabletext"/>
              <w:jc w:val="right"/>
            </w:pPr>
            <w:r w:rsidRPr="00176D37">
              <w:t>1</w:t>
            </w:r>
          </w:p>
        </w:tc>
        <w:tc>
          <w:tcPr>
            <w:tcW w:w="1291" w:type="dxa"/>
          </w:tcPr>
          <w:p w14:paraId="00DA8FC9" w14:textId="77777777" w:rsidR="00E9700E" w:rsidRPr="00176D37" w:rsidRDefault="00E9700E" w:rsidP="009742AB">
            <w:pPr>
              <w:pStyle w:val="Tabletext"/>
              <w:jc w:val="right"/>
            </w:pPr>
            <w:r w:rsidRPr="00176D37">
              <w:t>-</w:t>
            </w:r>
          </w:p>
        </w:tc>
        <w:tc>
          <w:tcPr>
            <w:tcW w:w="1291" w:type="dxa"/>
          </w:tcPr>
          <w:p w14:paraId="5BCAC232" w14:textId="77777777" w:rsidR="00E9700E" w:rsidRPr="00176D37" w:rsidRDefault="00E9700E" w:rsidP="009742AB">
            <w:pPr>
              <w:pStyle w:val="Tabletext"/>
              <w:jc w:val="right"/>
            </w:pPr>
            <w:r w:rsidRPr="00176D37">
              <w:t>-</w:t>
            </w:r>
          </w:p>
        </w:tc>
        <w:tc>
          <w:tcPr>
            <w:tcW w:w="1291" w:type="dxa"/>
          </w:tcPr>
          <w:p w14:paraId="0C88F081" w14:textId="77777777" w:rsidR="00E9700E" w:rsidRPr="00176D37" w:rsidRDefault="00E9700E" w:rsidP="009742AB">
            <w:pPr>
              <w:pStyle w:val="Tabletext"/>
              <w:jc w:val="right"/>
            </w:pPr>
            <w:r w:rsidRPr="00176D37">
              <w:t>1</w:t>
            </w:r>
          </w:p>
        </w:tc>
        <w:tc>
          <w:tcPr>
            <w:tcW w:w="1291" w:type="dxa"/>
          </w:tcPr>
          <w:p w14:paraId="7C7F38DC" w14:textId="77777777" w:rsidR="00E9700E" w:rsidRPr="00176D37" w:rsidRDefault="00E9700E" w:rsidP="009742AB">
            <w:pPr>
              <w:pStyle w:val="Tabletext"/>
              <w:jc w:val="right"/>
            </w:pPr>
            <w:r w:rsidRPr="00176D37">
              <w:t>-</w:t>
            </w:r>
          </w:p>
        </w:tc>
        <w:tc>
          <w:tcPr>
            <w:tcW w:w="1291" w:type="dxa"/>
          </w:tcPr>
          <w:p w14:paraId="37B5525F" w14:textId="77777777" w:rsidR="00E9700E" w:rsidRPr="00176D37" w:rsidRDefault="00E9700E" w:rsidP="009742AB">
            <w:pPr>
              <w:pStyle w:val="Tabletext"/>
              <w:jc w:val="right"/>
            </w:pPr>
            <w:r w:rsidRPr="00176D37">
              <w:t>-</w:t>
            </w:r>
          </w:p>
        </w:tc>
      </w:tr>
      <w:tr w:rsidR="00E9700E" w:rsidRPr="00176D37" w14:paraId="0F464F4E" w14:textId="77777777" w:rsidTr="009742AB">
        <w:tc>
          <w:tcPr>
            <w:tcW w:w="1474" w:type="dxa"/>
          </w:tcPr>
          <w:p w14:paraId="437B5E97" w14:textId="77777777" w:rsidR="00E9700E" w:rsidRPr="00176D37" w:rsidRDefault="00E9700E" w:rsidP="008614CA">
            <w:pPr>
              <w:pStyle w:val="Tabletext"/>
            </w:pPr>
            <w:r w:rsidRPr="00176D37">
              <w:t>Functional testing</w:t>
            </w:r>
          </w:p>
        </w:tc>
        <w:tc>
          <w:tcPr>
            <w:tcW w:w="1291" w:type="dxa"/>
          </w:tcPr>
          <w:p w14:paraId="6EE89C32" w14:textId="77777777" w:rsidR="00E9700E" w:rsidRPr="00176D37" w:rsidRDefault="00E9700E" w:rsidP="009742AB">
            <w:pPr>
              <w:pStyle w:val="Tabletext"/>
              <w:jc w:val="right"/>
            </w:pPr>
            <w:r w:rsidRPr="00176D37">
              <w:t>-</w:t>
            </w:r>
          </w:p>
        </w:tc>
        <w:tc>
          <w:tcPr>
            <w:tcW w:w="1291" w:type="dxa"/>
          </w:tcPr>
          <w:p w14:paraId="6CBD2618" w14:textId="77777777" w:rsidR="00E9700E" w:rsidRPr="00176D37" w:rsidRDefault="00E9700E" w:rsidP="009742AB">
            <w:pPr>
              <w:pStyle w:val="Tabletext"/>
              <w:jc w:val="right"/>
            </w:pPr>
            <w:r w:rsidRPr="00176D37">
              <w:t>-</w:t>
            </w:r>
          </w:p>
        </w:tc>
        <w:tc>
          <w:tcPr>
            <w:tcW w:w="1291" w:type="dxa"/>
          </w:tcPr>
          <w:p w14:paraId="2F6B5158" w14:textId="77777777" w:rsidR="00E9700E" w:rsidRPr="00176D37" w:rsidRDefault="00E9700E" w:rsidP="009742AB">
            <w:pPr>
              <w:pStyle w:val="Tabletext"/>
              <w:jc w:val="right"/>
            </w:pPr>
            <w:r w:rsidRPr="00176D37">
              <w:t>-</w:t>
            </w:r>
          </w:p>
        </w:tc>
        <w:tc>
          <w:tcPr>
            <w:tcW w:w="1291" w:type="dxa"/>
          </w:tcPr>
          <w:p w14:paraId="431C62BA" w14:textId="77777777" w:rsidR="00E9700E" w:rsidRPr="00176D37" w:rsidRDefault="00E9700E" w:rsidP="009742AB">
            <w:pPr>
              <w:pStyle w:val="Tabletext"/>
              <w:jc w:val="right"/>
            </w:pPr>
            <w:r w:rsidRPr="00176D37">
              <w:t>1</w:t>
            </w:r>
          </w:p>
        </w:tc>
        <w:tc>
          <w:tcPr>
            <w:tcW w:w="1291" w:type="dxa"/>
          </w:tcPr>
          <w:p w14:paraId="33045788" w14:textId="77777777" w:rsidR="00E9700E" w:rsidRPr="00176D37" w:rsidRDefault="00E9700E" w:rsidP="009742AB">
            <w:pPr>
              <w:pStyle w:val="Tabletext"/>
              <w:jc w:val="right"/>
            </w:pPr>
            <w:r w:rsidRPr="00176D37">
              <w:t>-</w:t>
            </w:r>
          </w:p>
        </w:tc>
        <w:tc>
          <w:tcPr>
            <w:tcW w:w="1291" w:type="dxa"/>
          </w:tcPr>
          <w:p w14:paraId="489ECDB4" w14:textId="77777777" w:rsidR="00E9700E" w:rsidRPr="00176D37" w:rsidRDefault="00E9700E" w:rsidP="009742AB">
            <w:pPr>
              <w:pStyle w:val="Tabletext"/>
              <w:jc w:val="right"/>
            </w:pPr>
            <w:r w:rsidRPr="00176D37">
              <w:t>-</w:t>
            </w:r>
          </w:p>
        </w:tc>
      </w:tr>
      <w:tr w:rsidR="00E9700E" w:rsidRPr="00176D37" w14:paraId="65F64B3D" w14:textId="77777777" w:rsidTr="009742AB">
        <w:tc>
          <w:tcPr>
            <w:tcW w:w="1474" w:type="dxa"/>
          </w:tcPr>
          <w:p w14:paraId="175D1FCE" w14:textId="77777777" w:rsidR="00E9700E" w:rsidRPr="00176D37" w:rsidRDefault="00E9700E" w:rsidP="008614CA">
            <w:pPr>
              <w:pStyle w:val="Tabletext"/>
            </w:pPr>
            <w:r w:rsidRPr="00176D37">
              <w:t>Planning go-live</w:t>
            </w:r>
          </w:p>
        </w:tc>
        <w:tc>
          <w:tcPr>
            <w:tcW w:w="1291" w:type="dxa"/>
          </w:tcPr>
          <w:p w14:paraId="6A99EBB7" w14:textId="77777777" w:rsidR="00E9700E" w:rsidRPr="00176D37" w:rsidRDefault="00E9700E" w:rsidP="009742AB">
            <w:pPr>
              <w:pStyle w:val="Tabletext"/>
              <w:jc w:val="right"/>
            </w:pPr>
            <w:r w:rsidRPr="00176D37">
              <w:t>-</w:t>
            </w:r>
          </w:p>
        </w:tc>
        <w:tc>
          <w:tcPr>
            <w:tcW w:w="1291" w:type="dxa"/>
          </w:tcPr>
          <w:p w14:paraId="2DF4A911" w14:textId="77777777" w:rsidR="00E9700E" w:rsidRPr="00176D37" w:rsidRDefault="00E9700E" w:rsidP="009742AB">
            <w:pPr>
              <w:pStyle w:val="Tabletext"/>
              <w:jc w:val="right"/>
            </w:pPr>
            <w:r w:rsidRPr="00176D37">
              <w:t>1</w:t>
            </w:r>
          </w:p>
        </w:tc>
        <w:tc>
          <w:tcPr>
            <w:tcW w:w="1291" w:type="dxa"/>
          </w:tcPr>
          <w:p w14:paraId="1E06C5FF" w14:textId="77777777" w:rsidR="00E9700E" w:rsidRPr="00176D37" w:rsidRDefault="00E9700E" w:rsidP="009742AB">
            <w:pPr>
              <w:pStyle w:val="Tabletext"/>
              <w:jc w:val="right"/>
            </w:pPr>
            <w:r w:rsidRPr="00176D37">
              <w:t>-</w:t>
            </w:r>
          </w:p>
        </w:tc>
        <w:tc>
          <w:tcPr>
            <w:tcW w:w="1291" w:type="dxa"/>
          </w:tcPr>
          <w:p w14:paraId="04E692CB" w14:textId="77777777" w:rsidR="00E9700E" w:rsidRPr="00176D37" w:rsidRDefault="00E9700E" w:rsidP="009742AB">
            <w:pPr>
              <w:pStyle w:val="Tabletext"/>
              <w:jc w:val="right"/>
            </w:pPr>
            <w:r w:rsidRPr="00176D37">
              <w:t>-</w:t>
            </w:r>
          </w:p>
        </w:tc>
        <w:tc>
          <w:tcPr>
            <w:tcW w:w="1291" w:type="dxa"/>
          </w:tcPr>
          <w:p w14:paraId="1C9A3058" w14:textId="77777777" w:rsidR="00E9700E" w:rsidRPr="00176D37" w:rsidRDefault="00E9700E" w:rsidP="009742AB">
            <w:pPr>
              <w:pStyle w:val="Tabletext"/>
              <w:jc w:val="right"/>
            </w:pPr>
            <w:r w:rsidRPr="00176D37">
              <w:t>-</w:t>
            </w:r>
          </w:p>
        </w:tc>
        <w:tc>
          <w:tcPr>
            <w:tcW w:w="1291" w:type="dxa"/>
          </w:tcPr>
          <w:p w14:paraId="623D5517" w14:textId="77777777" w:rsidR="00E9700E" w:rsidRPr="00176D37" w:rsidRDefault="00E9700E" w:rsidP="009742AB">
            <w:pPr>
              <w:pStyle w:val="Tabletext"/>
              <w:jc w:val="right"/>
            </w:pPr>
            <w:r w:rsidRPr="00176D37">
              <w:t>-</w:t>
            </w:r>
          </w:p>
        </w:tc>
      </w:tr>
      <w:tr w:rsidR="00E9700E" w:rsidRPr="00176D37" w14:paraId="31E555CD" w14:textId="77777777" w:rsidTr="009742AB">
        <w:tc>
          <w:tcPr>
            <w:tcW w:w="1474" w:type="dxa"/>
          </w:tcPr>
          <w:p w14:paraId="34B154FA" w14:textId="77777777" w:rsidR="00E9700E" w:rsidRPr="00176D37" w:rsidRDefault="00E9700E" w:rsidP="008614CA">
            <w:pPr>
              <w:pStyle w:val="Tabletext"/>
            </w:pPr>
            <w:r w:rsidRPr="00176D37">
              <w:t>Staff education</w:t>
            </w:r>
          </w:p>
        </w:tc>
        <w:tc>
          <w:tcPr>
            <w:tcW w:w="1291" w:type="dxa"/>
          </w:tcPr>
          <w:p w14:paraId="1215D14A" w14:textId="77777777" w:rsidR="00E9700E" w:rsidRPr="00176D37" w:rsidRDefault="00E9700E" w:rsidP="009742AB">
            <w:pPr>
              <w:pStyle w:val="Tabletext"/>
              <w:jc w:val="right"/>
            </w:pPr>
            <w:r w:rsidRPr="00176D37">
              <w:t>2</w:t>
            </w:r>
          </w:p>
        </w:tc>
        <w:tc>
          <w:tcPr>
            <w:tcW w:w="1291" w:type="dxa"/>
          </w:tcPr>
          <w:p w14:paraId="6A0ACEE2" w14:textId="77777777" w:rsidR="00E9700E" w:rsidRPr="00176D37" w:rsidRDefault="00E9700E" w:rsidP="009742AB">
            <w:pPr>
              <w:pStyle w:val="Tabletext"/>
              <w:jc w:val="right"/>
            </w:pPr>
            <w:r w:rsidRPr="00176D37">
              <w:t>1</w:t>
            </w:r>
          </w:p>
        </w:tc>
        <w:tc>
          <w:tcPr>
            <w:tcW w:w="1291" w:type="dxa"/>
          </w:tcPr>
          <w:p w14:paraId="3BAFAD7C" w14:textId="77777777" w:rsidR="00E9700E" w:rsidRPr="00176D37" w:rsidRDefault="00E9700E" w:rsidP="009742AB">
            <w:pPr>
              <w:pStyle w:val="Tabletext"/>
              <w:jc w:val="right"/>
            </w:pPr>
            <w:r w:rsidRPr="00176D37">
              <w:t>-</w:t>
            </w:r>
          </w:p>
        </w:tc>
        <w:tc>
          <w:tcPr>
            <w:tcW w:w="1291" w:type="dxa"/>
          </w:tcPr>
          <w:p w14:paraId="5D9F51C6" w14:textId="77777777" w:rsidR="00E9700E" w:rsidRPr="00176D37" w:rsidRDefault="00E9700E" w:rsidP="009742AB">
            <w:pPr>
              <w:pStyle w:val="Tabletext"/>
              <w:jc w:val="right"/>
            </w:pPr>
            <w:r w:rsidRPr="00176D37">
              <w:t>-</w:t>
            </w:r>
          </w:p>
        </w:tc>
        <w:tc>
          <w:tcPr>
            <w:tcW w:w="1291" w:type="dxa"/>
          </w:tcPr>
          <w:p w14:paraId="44111011" w14:textId="77777777" w:rsidR="00E9700E" w:rsidRPr="00176D37" w:rsidRDefault="00E9700E" w:rsidP="009742AB">
            <w:pPr>
              <w:pStyle w:val="Tabletext"/>
              <w:jc w:val="right"/>
            </w:pPr>
            <w:r w:rsidRPr="00176D37">
              <w:t>-</w:t>
            </w:r>
          </w:p>
        </w:tc>
        <w:tc>
          <w:tcPr>
            <w:tcW w:w="1291" w:type="dxa"/>
          </w:tcPr>
          <w:p w14:paraId="5DA22EAC" w14:textId="77777777" w:rsidR="00E9700E" w:rsidRPr="00176D37" w:rsidRDefault="00E9700E" w:rsidP="009742AB">
            <w:pPr>
              <w:pStyle w:val="Tabletext"/>
              <w:jc w:val="right"/>
            </w:pPr>
            <w:r w:rsidRPr="00176D37">
              <w:t>-</w:t>
            </w:r>
          </w:p>
        </w:tc>
      </w:tr>
    </w:tbl>
    <w:p w14:paraId="461960BB" w14:textId="77777777" w:rsidR="00E9700E" w:rsidRPr="00176D37" w:rsidRDefault="00E9700E" w:rsidP="00B44956">
      <w:pPr>
        <w:pStyle w:val="Body"/>
        <w:spacing w:before="240"/>
      </w:pPr>
      <w:bookmarkStart w:id="42" w:name="_Hlk94598995"/>
      <w:bookmarkEnd w:id="41"/>
      <w:r w:rsidRPr="00176D37">
        <w:t xml:space="preserve">Five respondents (25 per cent) in total reported no planned involvement in the implementation process. </w:t>
      </w:r>
    </w:p>
    <w:p w14:paraId="23F9432C" w14:textId="722896EA" w:rsidR="007A0348" w:rsidRDefault="00E9700E" w:rsidP="00743E2F">
      <w:pPr>
        <w:pStyle w:val="Body"/>
      </w:pPr>
      <w:r w:rsidRPr="00176D37">
        <w:lastRenderedPageBreak/>
        <w:t xml:space="preserve">Of interest, three (38 per cent) respondents in quality roles (including transfusion nurses/trainers/officers and others with responsibility for the Blood Management Standard), have no planned involvement in EMR selection, content development or implementation at their institution. This may be due to plans being too far in the future to know how they will be </w:t>
      </w:r>
      <w:proofErr w:type="gramStart"/>
      <w:r w:rsidRPr="00176D37">
        <w:t>involved</w:t>
      </w:r>
      <w:proofErr w:type="gramEnd"/>
      <w:r w:rsidR="00924D0A">
        <w:t xml:space="preserve"> or other factors not explored in the survey</w:t>
      </w:r>
      <w:r w:rsidRPr="00176D37">
        <w:t xml:space="preserve">. </w:t>
      </w:r>
    </w:p>
    <w:p w14:paraId="56A0B5CE" w14:textId="1572B504" w:rsidR="00E9700E" w:rsidRPr="00176D37" w:rsidRDefault="00E9700E" w:rsidP="00743E2F">
      <w:pPr>
        <w:pStyle w:val="Body"/>
      </w:pPr>
      <w:r w:rsidRPr="00176D37">
        <w:t>However, staff working in these quality roles</w:t>
      </w:r>
      <w:r w:rsidR="007A0348">
        <w:t xml:space="preserve"> who have</w:t>
      </w:r>
      <w:r w:rsidRPr="00176D37">
        <w:t xml:space="preserve"> thorough understanding of blood management and requirements for safe transfusion should be involved in the development and implementation of these aspects of an EMR</w:t>
      </w:r>
      <w:r w:rsidR="007A0348">
        <w:t>. This includes</w:t>
      </w:r>
      <w:r w:rsidRPr="00176D37">
        <w:t xml:space="preserve"> workflow planning, functionality testing, go-live </w:t>
      </w:r>
      <w:proofErr w:type="gramStart"/>
      <w:r w:rsidRPr="00176D37">
        <w:t>strategies</w:t>
      </w:r>
      <w:proofErr w:type="gramEnd"/>
      <w:r w:rsidRPr="00176D37">
        <w:t xml:space="preserve"> and education. </w:t>
      </w:r>
      <w:bookmarkEnd w:id="42"/>
    </w:p>
    <w:p w14:paraId="6E6B91CD" w14:textId="5F28D494" w:rsidR="00E9700E" w:rsidRDefault="00306FAE" w:rsidP="00743E2F">
      <w:pPr>
        <w:pStyle w:val="Body"/>
      </w:pPr>
      <w:r>
        <w:t>There was o</w:t>
      </w:r>
      <w:r w:rsidR="00E9700E" w:rsidRPr="00176D37">
        <w:t>ne laboratory respondent</w:t>
      </w:r>
      <w:r>
        <w:t>,</w:t>
      </w:r>
      <w:r w:rsidR="00E10B44">
        <w:t xml:space="preserve"> </w:t>
      </w:r>
      <w:r>
        <w:t>who</w:t>
      </w:r>
      <w:r w:rsidR="00E9700E" w:rsidRPr="00176D37">
        <w:t xml:space="preserve"> indicated they had no planned involvement in the implementation process. Given the significance of the laboratory and clinical interface for blood management and transfusion practice it would be expected that laboratory staff would be included in planning an EMR. </w:t>
      </w:r>
    </w:p>
    <w:tbl>
      <w:tblPr>
        <w:tblStyle w:val="TableGrid"/>
        <w:tblW w:w="0" w:type="auto"/>
        <w:tblLook w:val="04A0" w:firstRow="1" w:lastRow="0" w:firstColumn="1" w:lastColumn="0" w:noHBand="0" w:noVBand="1"/>
      </w:tblPr>
      <w:tblGrid>
        <w:gridCol w:w="9288"/>
      </w:tblGrid>
      <w:tr w:rsidR="007A0348" w14:paraId="7D7CBB3D" w14:textId="77777777" w:rsidTr="009742AB">
        <w:tc>
          <w:tcPr>
            <w:tcW w:w="9288" w:type="dxa"/>
            <w:tcBorders>
              <w:left w:val="nil"/>
              <w:right w:val="nil"/>
            </w:tcBorders>
          </w:tcPr>
          <w:p w14:paraId="50280F23" w14:textId="62B40FCD" w:rsidR="007A0348" w:rsidRPr="007A0348" w:rsidRDefault="007A0348" w:rsidP="009742AB">
            <w:pPr>
              <w:pStyle w:val="Quotetext"/>
            </w:pPr>
            <w:r w:rsidRPr="007A0348">
              <w:t>Health services planning to implement an EMR within the next five (5) years are encouraged to review:</w:t>
            </w:r>
          </w:p>
          <w:p w14:paraId="2BD982B7" w14:textId="134EE67F" w:rsidR="007A0348" w:rsidRPr="00AB5DB9" w:rsidRDefault="007A0348" w:rsidP="009742AB">
            <w:pPr>
              <w:pStyle w:val="Quotebullet2"/>
            </w:pPr>
            <w:r w:rsidRPr="00AB5DB9">
              <w:t xml:space="preserve">this report for lessons learnt to build on the experiences of others </w:t>
            </w:r>
          </w:p>
          <w:p w14:paraId="52786784" w14:textId="0514113F" w:rsidR="007A0348" w:rsidRPr="00AB5DB9" w:rsidRDefault="007A0348" w:rsidP="009742AB">
            <w:pPr>
              <w:pStyle w:val="Quotebullet2"/>
            </w:pPr>
            <w:r w:rsidRPr="00AB5DB9">
              <w:t>user-suggested improvements (Appendix 1)</w:t>
            </w:r>
          </w:p>
          <w:p w14:paraId="70282644" w14:textId="36EED86A" w:rsidR="007A0348" w:rsidRPr="00AB5DB9" w:rsidRDefault="007A0348" w:rsidP="009742AB">
            <w:pPr>
              <w:pStyle w:val="Quotebullet2"/>
            </w:pPr>
            <w:r w:rsidRPr="00AB5DB9">
              <w:t xml:space="preserve">ANZSBT </w:t>
            </w:r>
            <w:r w:rsidR="007F16CD" w:rsidRPr="009742AB">
              <w:rPr>
                <w:i/>
                <w:iCs/>
              </w:rPr>
              <w:t>G</w:t>
            </w:r>
            <w:r w:rsidRPr="007F16CD">
              <w:rPr>
                <w:i/>
                <w:iCs/>
              </w:rPr>
              <w:t>uidelines for the implementation and use of electronic medical records for transfusion</w:t>
            </w:r>
            <w:r w:rsidRPr="00AB5DB9">
              <w:t xml:space="preserve"> (July 2021) and undertake a thorough gap analysis of the planned EMR functionality with these guidelines.</w:t>
            </w:r>
          </w:p>
          <w:p w14:paraId="360874FC" w14:textId="77777777" w:rsidR="007A0348" w:rsidRDefault="007A0348" w:rsidP="00743E2F">
            <w:pPr>
              <w:pStyle w:val="Body"/>
            </w:pPr>
          </w:p>
        </w:tc>
      </w:tr>
    </w:tbl>
    <w:p w14:paraId="3EAFFF80" w14:textId="7C25FEF9" w:rsidR="00E9700E" w:rsidRPr="00176D37" w:rsidRDefault="00E9700E" w:rsidP="00743E2F">
      <w:pPr>
        <w:pStyle w:val="Heading2"/>
      </w:pPr>
      <w:bookmarkStart w:id="43" w:name="_Toc101947691"/>
      <w:bookmarkStart w:id="44" w:name="_Toc101285669"/>
      <w:bookmarkStart w:id="45" w:name="_Toc104975915"/>
      <w:r w:rsidRPr="00176D37">
        <w:t>EMR currently in place</w:t>
      </w:r>
      <w:bookmarkEnd w:id="43"/>
      <w:bookmarkEnd w:id="44"/>
      <w:bookmarkEnd w:id="45"/>
    </w:p>
    <w:p w14:paraId="00E9A546" w14:textId="040BAF32" w:rsidR="00E9700E" w:rsidRPr="00176D37" w:rsidRDefault="00E9700E" w:rsidP="00743E2F">
      <w:pPr>
        <w:pStyle w:val="Body"/>
      </w:pPr>
      <w:r w:rsidRPr="00176D37">
        <w:t>There were 51 responses from 20 health services (2</w:t>
      </w:r>
      <w:r w:rsidR="007A0348">
        <w:t xml:space="preserve">0 of </w:t>
      </w:r>
      <w:r w:rsidRPr="00176D37">
        <w:t xml:space="preserve">59 health services, 34 per cent) </w:t>
      </w:r>
      <w:r w:rsidR="007A0348">
        <w:t>that</w:t>
      </w:r>
      <w:r w:rsidR="007A0348" w:rsidRPr="00176D37">
        <w:t xml:space="preserve"> </w:t>
      </w:r>
      <w:r w:rsidRPr="00176D37">
        <w:t>currently have an EMR (number of responses per health service: average 2.5, median 2, range 1</w:t>
      </w:r>
      <w:r w:rsidR="007A0348">
        <w:t>–</w:t>
      </w:r>
      <w:r w:rsidRPr="00176D37">
        <w:t xml:space="preserve">6). </w:t>
      </w:r>
      <w:r w:rsidRPr="00176D37">
        <w:fldChar w:fldCharType="begin"/>
      </w:r>
      <w:r w:rsidRPr="00176D37">
        <w:instrText xml:space="preserve"> REF _Ref100678530 \h  \* MERGEFORMAT </w:instrText>
      </w:r>
      <w:r w:rsidRPr="00176D37">
        <w:fldChar w:fldCharType="separate"/>
      </w:r>
      <w:r w:rsidR="00E73E2F" w:rsidRPr="00176D37">
        <w:t xml:space="preserve">Table </w:t>
      </w:r>
      <w:r w:rsidR="00E73E2F">
        <w:rPr>
          <w:noProof/>
        </w:rPr>
        <w:t>3</w:t>
      </w:r>
      <w:r w:rsidRPr="00176D37">
        <w:fldChar w:fldCharType="end"/>
      </w:r>
      <w:r w:rsidRPr="00176D37">
        <w:t xml:space="preserve"> shows a breakdown of respondents.</w:t>
      </w:r>
    </w:p>
    <w:p w14:paraId="1E7624C1" w14:textId="64AE80FB" w:rsidR="00E9700E" w:rsidRPr="00176D37" w:rsidRDefault="00E9700E" w:rsidP="00743E2F">
      <w:pPr>
        <w:pStyle w:val="Tablecaption"/>
      </w:pPr>
      <w:bookmarkStart w:id="46" w:name="_Ref100678530"/>
      <w:r w:rsidRPr="00176D37">
        <w:t xml:space="preserve">Table </w:t>
      </w:r>
      <w:r w:rsidR="00F751A0">
        <w:fldChar w:fldCharType="begin"/>
      </w:r>
      <w:r w:rsidR="00F751A0">
        <w:instrText xml:space="preserve"> SEQ Table \* ARABIC </w:instrText>
      </w:r>
      <w:r w:rsidR="00F751A0">
        <w:fldChar w:fldCharType="separate"/>
      </w:r>
      <w:r w:rsidR="00E73E2F">
        <w:rPr>
          <w:noProof/>
        </w:rPr>
        <w:t>3</w:t>
      </w:r>
      <w:r w:rsidR="00F751A0">
        <w:rPr>
          <w:noProof/>
        </w:rPr>
        <w:fldChar w:fldCharType="end"/>
      </w:r>
      <w:bookmarkEnd w:id="46"/>
      <w:r w:rsidRPr="00176D37">
        <w:t>: Respondents’ role at sites with an EMR in place</w:t>
      </w:r>
    </w:p>
    <w:tbl>
      <w:tblPr>
        <w:tblStyle w:val="TableGrid"/>
        <w:tblW w:w="0" w:type="auto"/>
        <w:tblLook w:val="04A0" w:firstRow="1" w:lastRow="0" w:firstColumn="1" w:lastColumn="0" w:noHBand="0" w:noVBand="1"/>
      </w:tblPr>
      <w:tblGrid>
        <w:gridCol w:w="2830"/>
        <w:gridCol w:w="3402"/>
      </w:tblGrid>
      <w:tr w:rsidR="00E9700E" w:rsidRPr="00176D37" w14:paraId="0A3E4907" w14:textId="77777777" w:rsidTr="009742AB">
        <w:trPr>
          <w:tblHeader/>
        </w:trPr>
        <w:tc>
          <w:tcPr>
            <w:tcW w:w="2830" w:type="dxa"/>
          </w:tcPr>
          <w:p w14:paraId="356CCE0A" w14:textId="77777777" w:rsidR="00E9700E" w:rsidRPr="00176D37" w:rsidRDefault="00E9700E" w:rsidP="00743E2F">
            <w:pPr>
              <w:pStyle w:val="Tablecolhead"/>
            </w:pPr>
            <w:r w:rsidRPr="00176D37">
              <w:t>Role</w:t>
            </w:r>
          </w:p>
        </w:tc>
        <w:tc>
          <w:tcPr>
            <w:tcW w:w="3402" w:type="dxa"/>
          </w:tcPr>
          <w:p w14:paraId="2A293761" w14:textId="77777777" w:rsidR="00E9700E" w:rsidRPr="00176D37" w:rsidRDefault="00E9700E" w:rsidP="00743E2F">
            <w:pPr>
              <w:pStyle w:val="Tablecolhead"/>
            </w:pPr>
            <w:r w:rsidRPr="00176D37">
              <w:t xml:space="preserve">Respondents count </w:t>
            </w:r>
          </w:p>
        </w:tc>
      </w:tr>
      <w:tr w:rsidR="00E9700E" w:rsidRPr="00176D37" w14:paraId="1E9CA904" w14:textId="77777777" w:rsidTr="009742AB">
        <w:tc>
          <w:tcPr>
            <w:tcW w:w="2830" w:type="dxa"/>
          </w:tcPr>
          <w:p w14:paraId="12843B48" w14:textId="77777777" w:rsidR="00E9700E" w:rsidRPr="00176D37" w:rsidRDefault="00E9700E" w:rsidP="00743E2F">
            <w:pPr>
              <w:pStyle w:val="Tabletext"/>
            </w:pPr>
            <w:r w:rsidRPr="00176D37">
              <w:t>Clinical nursing</w:t>
            </w:r>
          </w:p>
        </w:tc>
        <w:tc>
          <w:tcPr>
            <w:tcW w:w="3402" w:type="dxa"/>
          </w:tcPr>
          <w:p w14:paraId="75E2F34C" w14:textId="77777777" w:rsidR="00E9700E" w:rsidRPr="00176D37" w:rsidRDefault="00E9700E" w:rsidP="009742AB">
            <w:pPr>
              <w:pStyle w:val="Tabletext"/>
              <w:jc w:val="right"/>
            </w:pPr>
            <w:r w:rsidRPr="00176D37">
              <w:t>6</w:t>
            </w:r>
          </w:p>
        </w:tc>
      </w:tr>
      <w:tr w:rsidR="00E9700E" w:rsidRPr="00176D37" w14:paraId="7D3DF6D5" w14:textId="77777777" w:rsidTr="009742AB">
        <w:tc>
          <w:tcPr>
            <w:tcW w:w="2830" w:type="dxa"/>
          </w:tcPr>
          <w:p w14:paraId="7B0CC269" w14:textId="77777777" w:rsidR="00E9700E" w:rsidRPr="00176D37" w:rsidRDefault="00E9700E" w:rsidP="00743E2F">
            <w:pPr>
              <w:pStyle w:val="Tabletext"/>
            </w:pPr>
            <w:r w:rsidRPr="00176D37">
              <w:t>Executive</w:t>
            </w:r>
          </w:p>
        </w:tc>
        <w:tc>
          <w:tcPr>
            <w:tcW w:w="3402" w:type="dxa"/>
          </w:tcPr>
          <w:p w14:paraId="338B2CAF" w14:textId="77777777" w:rsidR="00E9700E" w:rsidRPr="00176D37" w:rsidRDefault="00E9700E" w:rsidP="009742AB">
            <w:pPr>
              <w:pStyle w:val="Tabletext"/>
              <w:jc w:val="right"/>
            </w:pPr>
            <w:r w:rsidRPr="00176D37">
              <w:t>5</w:t>
            </w:r>
          </w:p>
        </w:tc>
      </w:tr>
      <w:tr w:rsidR="00E9700E" w:rsidRPr="00176D37" w14:paraId="370B55E8" w14:textId="77777777" w:rsidTr="009742AB">
        <w:tc>
          <w:tcPr>
            <w:tcW w:w="2830" w:type="dxa"/>
          </w:tcPr>
          <w:p w14:paraId="4D335199" w14:textId="4D68C931" w:rsidR="00E9700E" w:rsidRPr="00176D37" w:rsidRDefault="00E9700E" w:rsidP="00743E2F">
            <w:pPr>
              <w:pStyle w:val="Tabletext"/>
            </w:pPr>
            <w:r w:rsidRPr="00176D37">
              <w:t>IT (</w:t>
            </w:r>
            <w:r w:rsidR="007A0348">
              <w:t>o</w:t>
            </w:r>
            <w:r w:rsidR="007A0348" w:rsidRPr="00176D37">
              <w:t>rganisation</w:t>
            </w:r>
            <w:r w:rsidRPr="00176D37">
              <w:t>)</w:t>
            </w:r>
          </w:p>
        </w:tc>
        <w:tc>
          <w:tcPr>
            <w:tcW w:w="3402" w:type="dxa"/>
          </w:tcPr>
          <w:p w14:paraId="44CE3D1D" w14:textId="77777777" w:rsidR="00E9700E" w:rsidRPr="00176D37" w:rsidRDefault="00E9700E" w:rsidP="009742AB">
            <w:pPr>
              <w:pStyle w:val="Tabletext"/>
              <w:jc w:val="right"/>
            </w:pPr>
            <w:r w:rsidRPr="00176D37">
              <w:t>3</w:t>
            </w:r>
          </w:p>
        </w:tc>
      </w:tr>
      <w:tr w:rsidR="00E9700E" w:rsidRPr="00176D37" w14:paraId="282625AD" w14:textId="77777777" w:rsidTr="009742AB">
        <w:tc>
          <w:tcPr>
            <w:tcW w:w="2830" w:type="dxa"/>
          </w:tcPr>
          <w:p w14:paraId="48EB6CFD" w14:textId="47FB38E3" w:rsidR="00E9700E" w:rsidRPr="00176D37" w:rsidRDefault="00E9700E" w:rsidP="00743E2F">
            <w:pPr>
              <w:pStyle w:val="Tabletext"/>
            </w:pPr>
            <w:r w:rsidRPr="00176D37">
              <w:t>Laboratory (</w:t>
            </w:r>
            <w:r w:rsidR="007A0348">
              <w:t>s</w:t>
            </w:r>
            <w:r w:rsidRPr="00176D37">
              <w:t>enior staff)</w:t>
            </w:r>
          </w:p>
        </w:tc>
        <w:tc>
          <w:tcPr>
            <w:tcW w:w="3402" w:type="dxa"/>
          </w:tcPr>
          <w:p w14:paraId="0AC0F93C" w14:textId="77777777" w:rsidR="00E9700E" w:rsidRPr="00176D37" w:rsidRDefault="00E9700E" w:rsidP="009742AB">
            <w:pPr>
              <w:pStyle w:val="Tabletext"/>
              <w:jc w:val="right"/>
            </w:pPr>
            <w:r w:rsidRPr="00176D37">
              <w:t>7</w:t>
            </w:r>
          </w:p>
        </w:tc>
      </w:tr>
      <w:tr w:rsidR="00E9700E" w:rsidRPr="00176D37" w14:paraId="26222959" w14:textId="77777777" w:rsidTr="009742AB">
        <w:tc>
          <w:tcPr>
            <w:tcW w:w="2830" w:type="dxa"/>
          </w:tcPr>
          <w:p w14:paraId="5A801E23" w14:textId="0BC23F60" w:rsidR="00E9700E" w:rsidRPr="00176D37" w:rsidRDefault="00E9700E" w:rsidP="00743E2F">
            <w:pPr>
              <w:pStyle w:val="Tabletext"/>
            </w:pPr>
            <w:r w:rsidRPr="00176D37">
              <w:t>Medical (</w:t>
            </w:r>
            <w:r w:rsidR="007A0348">
              <w:t>c</w:t>
            </w:r>
            <w:r w:rsidR="007A0348" w:rsidRPr="00176D37">
              <w:t>linical</w:t>
            </w:r>
            <w:r w:rsidRPr="00176D37">
              <w:t>)</w:t>
            </w:r>
          </w:p>
        </w:tc>
        <w:tc>
          <w:tcPr>
            <w:tcW w:w="3402" w:type="dxa"/>
          </w:tcPr>
          <w:p w14:paraId="0010F8B7" w14:textId="77777777" w:rsidR="00E9700E" w:rsidRPr="00176D37" w:rsidRDefault="00E9700E" w:rsidP="009742AB">
            <w:pPr>
              <w:pStyle w:val="Tabletext"/>
              <w:jc w:val="right"/>
            </w:pPr>
            <w:r w:rsidRPr="00176D37">
              <w:t>6</w:t>
            </w:r>
          </w:p>
        </w:tc>
      </w:tr>
      <w:tr w:rsidR="00E9700E" w:rsidRPr="00176D37" w14:paraId="6A68CC4E" w14:textId="77777777" w:rsidTr="009742AB">
        <w:tc>
          <w:tcPr>
            <w:tcW w:w="2830" w:type="dxa"/>
          </w:tcPr>
          <w:p w14:paraId="0798FCE6" w14:textId="77777777" w:rsidR="00E9700E" w:rsidRPr="00176D37" w:rsidRDefault="00E9700E" w:rsidP="00743E2F">
            <w:pPr>
              <w:pStyle w:val="Tabletext"/>
            </w:pPr>
            <w:r w:rsidRPr="00176D37">
              <w:t xml:space="preserve">Other </w:t>
            </w:r>
          </w:p>
        </w:tc>
        <w:tc>
          <w:tcPr>
            <w:tcW w:w="3402" w:type="dxa"/>
          </w:tcPr>
          <w:p w14:paraId="132AC233" w14:textId="77777777" w:rsidR="00E9700E" w:rsidRPr="00176D37" w:rsidRDefault="00E9700E" w:rsidP="009742AB">
            <w:pPr>
              <w:pStyle w:val="Tabletext"/>
              <w:jc w:val="right"/>
            </w:pPr>
            <w:r w:rsidRPr="00176D37">
              <w:t>4</w:t>
            </w:r>
          </w:p>
        </w:tc>
      </w:tr>
      <w:tr w:rsidR="00E9700E" w:rsidRPr="00176D37" w14:paraId="76754E35" w14:textId="77777777" w:rsidTr="009742AB">
        <w:tc>
          <w:tcPr>
            <w:tcW w:w="2830" w:type="dxa"/>
          </w:tcPr>
          <w:p w14:paraId="5172CBDD" w14:textId="77777777" w:rsidR="00E9700E" w:rsidRPr="00176D37" w:rsidRDefault="00E9700E" w:rsidP="00743E2F">
            <w:pPr>
              <w:pStyle w:val="Tabletext"/>
            </w:pPr>
            <w:r w:rsidRPr="00176D37">
              <w:t>Quality</w:t>
            </w:r>
          </w:p>
        </w:tc>
        <w:tc>
          <w:tcPr>
            <w:tcW w:w="3402" w:type="dxa"/>
          </w:tcPr>
          <w:p w14:paraId="3C03BCF8" w14:textId="77777777" w:rsidR="00E9700E" w:rsidRPr="00176D37" w:rsidRDefault="00E9700E" w:rsidP="009742AB">
            <w:pPr>
              <w:pStyle w:val="Tabletext"/>
              <w:jc w:val="right"/>
            </w:pPr>
            <w:r w:rsidRPr="00176D37">
              <w:t>20</w:t>
            </w:r>
          </w:p>
        </w:tc>
      </w:tr>
      <w:tr w:rsidR="00E9700E" w:rsidRPr="00176D37" w14:paraId="170F2E7A" w14:textId="77777777" w:rsidTr="009742AB">
        <w:tc>
          <w:tcPr>
            <w:tcW w:w="2830" w:type="dxa"/>
          </w:tcPr>
          <w:p w14:paraId="0D463879" w14:textId="77777777" w:rsidR="00E9700E" w:rsidRPr="00176D37" w:rsidRDefault="00E9700E" w:rsidP="00743E2F">
            <w:pPr>
              <w:pStyle w:val="Tabletext"/>
              <w:rPr>
                <w:b/>
              </w:rPr>
            </w:pPr>
            <w:r w:rsidRPr="00176D37">
              <w:rPr>
                <w:b/>
              </w:rPr>
              <w:t>Total</w:t>
            </w:r>
          </w:p>
        </w:tc>
        <w:tc>
          <w:tcPr>
            <w:tcW w:w="3402" w:type="dxa"/>
          </w:tcPr>
          <w:p w14:paraId="59F13F1D" w14:textId="77777777" w:rsidR="00E9700E" w:rsidRPr="00176D37" w:rsidRDefault="00E9700E" w:rsidP="009742AB">
            <w:pPr>
              <w:pStyle w:val="Tabletext"/>
              <w:jc w:val="right"/>
              <w:rPr>
                <w:b/>
              </w:rPr>
            </w:pPr>
            <w:r w:rsidRPr="00176D37">
              <w:rPr>
                <w:b/>
              </w:rPr>
              <w:t>51</w:t>
            </w:r>
          </w:p>
        </w:tc>
      </w:tr>
    </w:tbl>
    <w:p w14:paraId="3C76CA39" w14:textId="77777777" w:rsidR="00E9700E" w:rsidRPr="00176D37" w:rsidRDefault="00E9700E" w:rsidP="00E9700E">
      <w:pPr>
        <w:pStyle w:val="Rae"/>
        <w:spacing w:line="360" w:lineRule="auto"/>
        <w:rPr>
          <w:rFonts w:cs="Arial"/>
        </w:rPr>
      </w:pPr>
    </w:p>
    <w:p w14:paraId="3438C69F" w14:textId="77777777" w:rsidR="00E9700E" w:rsidRPr="00176D37" w:rsidRDefault="00E9700E" w:rsidP="00743E2F">
      <w:pPr>
        <w:pStyle w:val="Heading1"/>
      </w:pPr>
      <w:bookmarkStart w:id="47" w:name="_Toc101285670"/>
      <w:bookmarkStart w:id="48" w:name="_Toc101947692"/>
      <w:bookmarkStart w:id="49" w:name="_Toc104975916"/>
      <w:r w:rsidRPr="00176D37">
        <w:lastRenderedPageBreak/>
        <w:t>Date of implementation</w:t>
      </w:r>
      <w:bookmarkEnd w:id="47"/>
      <w:bookmarkEnd w:id="48"/>
      <w:bookmarkEnd w:id="49"/>
    </w:p>
    <w:p w14:paraId="01289A68" w14:textId="4D744C85" w:rsidR="00E9700E" w:rsidRPr="00176D37" w:rsidRDefault="00E9700E" w:rsidP="00743E2F">
      <w:pPr>
        <w:pStyle w:val="Body"/>
      </w:pPr>
      <w:r w:rsidRPr="00176D37">
        <w:t>Respondents reported EMR implementation from 2004 to 2021 (</w:t>
      </w:r>
      <w:r w:rsidRPr="00176D37">
        <w:fldChar w:fldCharType="begin"/>
      </w:r>
      <w:r w:rsidRPr="00176D37">
        <w:instrText xml:space="preserve"> REF _Ref100678542 \h  \* MERGEFORMAT </w:instrText>
      </w:r>
      <w:r w:rsidRPr="00176D37">
        <w:fldChar w:fldCharType="separate"/>
      </w:r>
      <w:r w:rsidR="00E73E2F" w:rsidRPr="00176D37">
        <w:t xml:space="preserve">Table </w:t>
      </w:r>
      <w:r w:rsidR="00E73E2F">
        <w:rPr>
          <w:noProof/>
        </w:rPr>
        <w:t>4</w:t>
      </w:r>
      <w:r w:rsidRPr="00176D37">
        <w:fldChar w:fldCharType="end"/>
      </w:r>
      <w:r w:rsidRPr="00176D37">
        <w:t xml:space="preserve">). The more recent EMRs are likely to have included additional functionality and sophistication as time has progressed. </w:t>
      </w:r>
    </w:p>
    <w:p w14:paraId="0DB836B1" w14:textId="7EFC25B2" w:rsidR="00E9700E" w:rsidRPr="00176D37" w:rsidRDefault="00E9700E" w:rsidP="00743E2F">
      <w:pPr>
        <w:pStyle w:val="Tablecaption"/>
      </w:pPr>
      <w:bookmarkStart w:id="50" w:name="_Ref100678542"/>
      <w:r w:rsidRPr="00176D37">
        <w:t xml:space="preserve">Table </w:t>
      </w:r>
      <w:r w:rsidR="00F751A0">
        <w:fldChar w:fldCharType="begin"/>
      </w:r>
      <w:r w:rsidR="00F751A0">
        <w:instrText xml:space="preserve"> SEQ Table \* A</w:instrText>
      </w:r>
      <w:r w:rsidR="00F751A0">
        <w:instrText xml:space="preserve">RABIC </w:instrText>
      </w:r>
      <w:r w:rsidR="00F751A0">
        <w:fldChar w:fldCharType="separate"/>
      </w:r>
      <w:r w:rsidR="00E73E2F">
        <w:rPr>
          <w:noProof/>
        </w:rPr>
        <w:t>4</w:t>
      </w:r>
      <w:r w:rsidR="00F751A0">
        <w:rPr>
          <w:noProof/>
        </w:rPr>
        <w:fldChar w:fldCharType="end"/>
      </w:r>
      <w:bookmarkEnd w:id="50"/>
      <w:r w:rsidRPr="00176D37">
        <w:t>: Year of reported EMR implementation</w:t>
      </w:r>
    </w:p>
    <w:tbl>
      <w:tblPr>
        <w:tblStyle w:val="TableGrid"/>
        <w:tblW w:w="0" w:type="auto"/>
        <w:tblLook w:val="04A0" w:firstRow="1" w:lastRow="0" w:firstColumn="1" w:lastColumn="0" w:noHBand="0" w:noVBand="1"/>
      </w:tblPr>
      <w:tblGrid>
        <w:gridCol w:w="3375"/>
        <w:gridCol w:w="2954"/>
      </w:tblGrid>
      <w:tr w:rsidR="00E9700E" w:rsidRPr="00176D37" w14:paraId="37BADA3A" w14:textId="77777777" w:rsidTr="009742AB">
        <w:trPr>
          <w:tblHeader/>
        </w:trPr>
        <w:tc>
          <w:tcPr>
            <w:tcW w:w="3375" w:type="dxa"/>
          </w:tcPr>
          <w:p w14:paraId="6F16CC89" w14:textId="77777777" w:rsidR="00E9700E" w:rsidRPr="00176D37" w:rsidRDefault="00E9700E" w:rsidP="00743E2F">
            <w:pPr>
              <w:pStyle w:val="Tablecolhead"/>
            </w:pPr>
            <w:r w:rsidRPr="00176D37">
              <w:t>Year of implementation</w:t>
            </w:r>
          </w:p>
        </w:tc>
        <w:tc>
          <w:tcPr>
            <w:tcW w:w="2954" w:type="dxa"/>
          </w:tcPr>
          <w:p w14:paraId="58B19DDD" w14:textId="77777777" w:rsidR="00E9700E" w:rsidRPr="00176D37" w:rsidRDefault="00E9700E" w:rsidP="00743E2F">
            <w:pPr>
              <w:pStyle w:val="Tablecolhead"/>
            </w:pPr>
            <w:r w:rsidRPr="00176D37">
              <w:t xml:space="preserve">Respondents count </w:t>
            </w:r>
          </w:p>
          <w:p w14:paraId="310213B5" w14:textId="3605F05C" w:rsidR="00E9700E" w:rsidRPr="00176D37" w:rsidRDefault="00EC6A67" w:rsidP="00743E2F">
            <w:pPr>
              <w:pStyle w:val="Tablecolhead"/>
            </w:pPr>
            <w:r>
              <w:rPr>
                <w:bCs/>
              </w:rPr>
              <w:t xml:space="preserve">n </w:t>
            </w:r>
            <w:r w:rsidR="00E9700E" w:rsidRPr="00176D37">
              <w:rPr>
                <w:bCs/>
              </w:rPr>
              <w:t>=</w:t>
            </w:r>
            <w:r>
              <w:rPr>
                <w:bCs/>
              </w:rPr>
              <w:t xml:space="preserve"> </w:t>
            </w:r>
            <w:r w:rsidR="00E9700E" w:rsidRPr="00176D37">
              <w:rPr>
                <w:bCs/>
              </w:rPr>
              <w:t>20</w:t>
            </w:r>
          </w:p>
        </w:tc>
      </w:tr>
      <w:tr w:rsidR="00E9700E" w:rsidRPr="00176D37" w14:paraId="113BBD56" w14:textId="77777777" w:rsidTr="00A173F8">
        <w:tc>
          <w:tcPr>
            <w:tcW w:w="3375" w:type="dxa"/>
          </w:tcPr>
          <w:p w14:paraId="1652A3E3" w14:textId="77777777" w:rsidR="00E9700E" w:rsidRPr="00176D37" w:rsidRDefault="00E9700E" w:rsidP="00743E2F">
            <w:pPr>
              <w:pStyle w:val="Tabletext"/>
            </w:pPr>
            <w:r w:rsidRPr="00176D37">
              <w:t>2004</w:t>
            </w:r>
          </w:p>
        </w:tc>
        <w:tc>
          <w:tcPr>
            <w:tcW w:w="2954" w:type="dxa"/>
          </w:tcPr>
          <w:p w14:paraId="7B65F382" w14:textId="77777777" w:rsidR="00E9700E" w:rsidRPr="00176D37" w:rsidRDefault="00E9700E" w:rsidP="009742AB">
            <w:pPr>
              <w:pStyle w:val="Tabletext"/>
              <w:jc w:val="right"/>
            </w:pPr>
            <w:r w:rsidRPr="00176D37">
              <w:t>1</w:t>
            </w:r>
          </w:p>
        </w:tc>
      </w:tr>
      <w:tr w:rsidR="00E9700E" w:rsidRPr="00176D37" w14:paraId="52E913DA" w14:textId="77777777" w:rsidTr="00A173F8">
        <w:tc>
          <w:tcPr>
            <w:tcW w:w="3375" w:type="dxa"/>
          </w:tcPr>
          <w:p w14:paraId="3BDB5081" w14:textId="77777777" w:rsidR="00E9700E" w:rsidRPr="00176D37" w:rsidRDefault="00E9700E" w:rsidP="00743E2F">
            <w:pPr>
              <w:pStyle w:val="Tabletext"/>
            </w:pPr>
            <w:r w:rsidRPr="00176D37">
              <w:t>2009</w:t>
            </w:r>
          </w:p>
        </w:tc>
        <w:tc>
          <w:tcPr>
            <w:tcW w:w="2954" w:type="dxa"/>
          </w:tcPr>
          <w:p w14:paraId="67AC2A8B" w14:textId="77777777" w:rsidR="00E9700E" w:rsidRPr="00176D37" w:rsidRDefault="00E9700E" w:rsidP="009742AB">
            <w:pPr>
              <w:pStyle w:val="Tabletext"/>
              <w:jc w:val="right"/>
            </w:pPr>
            <w:r w:rsidRPr="00176D37">
              <w:t>1</w:t>
            </w:r>
          </w:p>
        </w:tc>
      </w:tr>
      <w:tr w:rsidR="00E9700E" w:rsidRPr="00176D37" w14:paraId="2AAB9D65" w14:textId="77777777" w:rsidTr="00A173F8">
        <w:tc>
          <w:tcPr>
            <w:tcW w:w="3375" w:type="dxa"/>
          </w:tcPr>
          <w:p w14:paraId="52AB679D" w14:textId="77777777" w:rsidR="00E9700E" w:rsidRPr="00176D37" w:rsidRDefault="00E9700E" w:rsidP="00743E2F">
            <w:pPr>
              <w:pStyle w:val="Tabletext"/>
            </w:pPr>
            <w:r w:rsidRPr="00176D37">
              <w:t>2011</w:t>
            </w:r>
          </w:p>
        </w:tc>
        <w:tc>
          <w:tcPr>
            <w:tcW w:w="2954" w:type="dxa"/>
          </w:tcPr>
          <w:p w14:paraId="14B2CE93" w14:textId="77777777" w:rsidR="00E9700E" w:rsidRPr="00176D37" w:rsidRDefault="00E9700E" w:rsidP="009742AB">
            <w:pPr>
              <w:pStyle w:val="Tabletext"/>
              <w:jc w:val="right"/>
            </w:pPr>
            <w:r w:rsidRPr="00176D37">
              <w:t>1</w:t>
            </w:r>
          </w:p>
        </w:tc>
      </w:tr>
      <w:tr w:rsidR="00E9700E" w:rsidRPr="00176D37" w14:paraId="50F229DB" w14:textId="77777777" w:rsidTr="00A173F8">
        <w:tc>
          <w:tcPr>
            <w:tcW w:w="3375" w:type="dxa"/>
          </w:tcPr>
          <w:p w14:paraId="14C1E3D1" w14:textId="77777777" w:rsidR="00E9700E" w:rsidRPr="00176D37" w:rsidRDefault="00E9700E" w:rsidP="00743E2F">
            <w:pPr>
              <w:pStyle w:val="Tabletext"/>
            </w:pPr>
            <w:r w:rsidRPr="00176D37">
              <w:t>2015</w:t>
            </w:r>
          </w:p>
        </w:tc>
        <w:tc>
          <w:tcPr>
            <w:tcW w:w="2954" w:type="dxa"/>
          </w:tcPr>
          <w:p w14:paraId="6D4D7E46" w14:textId="77777777" w:rsidR="00E9700E" w:rsidRPr="00176D37" w:rsidRDefault="00E9700E" w:rsidP="009742AB">
            <w:pPr>
              <w:pStyle w:val="Tabletext"/>
              <w:jc w:val="right"/>
            </w:pPr>
            <w:r w:rsidRPr="00176D37">
              <w:t>1</w:t>
            </w:r>
          </w:p>
        </w:tc>
      </w:tr>
      <w:tr w:rsidR="00E9700E" w:rsidRPr="00176D37" w14:paraId="05FFC20F" w14:textId="77777777" w:rsidTr="00A173F8">
        <w:tc>
          <w:tcPr>
            <w:tcW w:w="3375" w:type="dxa"/>
          </w:tcPr>
          <w:p w14:paraId="753C9C15" w14:textId="77777777" w:rsidR="00E9700E" w:rsidRPr="00176D37" w:rsidRDefault="00E9700E" w:rsidP="00743E2F">
            <w:pPr>
              <w:pStyle w:val="Tabletext"/>
            </w:pPr>
            <w:r w:rsidRPr="00176D37">
              <w:t>2016</w:t>
            </w:r>
          </w:p>
        </w:tc>
        <w:tc>
          <w:tcPr>
            <w:tcW w:w="2954" w:type="dxa"/>
          </w:tcPr>
          <w:p w14:paraId="313CD68E" w14:textId="77777777" w:rsidR="00E9700E" w:rsidRPr="00176D37" w:rsidRDefault="00E9700E" w:rsidP="009742AB">
            <w:pPr>
              <w:pStyle w:val="Tabletext"/>
              <w:jc w:val="right"/>
            </w:pPr>
            <w:r w:rsidRPr="00176D37">
              <w:t>2</w:t>
            </w:r>
          </w:p>
        </w:tc>
      </w:tr>
      <w:tr w:rsidR="00E9700E" w:rsidRPr="00176D37" w14:paraId="10B5F13F" w14:textId="77777777" w:rsidTr="00A173F8">
        <w:tc>
          <w:tcPr>
            <w:tcW w:w="3375" w:type="dxa"/>
          </w:tcPr>
          <w:p w14:paraId="3FC45CF7" w14:textId="77777777" w:rsidR="00E9700E" w:rsidRPr="00176D37" w:rsidRDefault="00E9700E" w:rsidP="00743E2F">
            <w:pPr>
              <w:pStyle w:val="Tabletext"/>
            </w:pPr>
            <w:r w:rsidRPr="00176D37">
              <w:t>2017</w:t>
            </w:r>
          </w:p>
        </w:tc>
        <w:tc>
          <w:tcPr>
            <w:tcW w:w="2954" w:type="dxa"/>
          </w:tcPr>
          <w:p w14:paraId="6B2F4D50" w14:textId="77777777" w:rsidR="00E9700E" w:rsidRPr="00176D37" w:rsidRDefault="00E9700E" w:rsidP="009742AB">
            <w:pPr>
              <w:pStyle w:val="Tabletext"/>
              <w:jc w:val="right"/>
            </w:pPr>
            <w:r w:rsidRPr="00176D37">
              <w:t>2</w:t>
            </w:r>
          </w:p>
        </w:tc>
      </w:tr>
      <w:tr w:rsidR="00E9700E" w:rsidRPr="00176D37" w14:paraId="1F332D58" w14:textId="77777777" w:rsidTr="00A173F8">
        <w:tc>
          <w:tcPr>
            <w:tcW w:w="3375" w:type="dxa"/>
          </w:tcPr>
          <w:p w14:paraId="2EF4C90B" w14:textId="77777777" w:rsidR="00E9700E" w:rsidRPr="00176D37" w:rsidRDefault="00E9700E" w:rsidP="00743E2F">
            <w:pPr>
              <w:pStyle w:val="Tabletext"/>
            </w:pPr>
            <w:r w:rsidRPr="00176D37">
              <w:t>2018</w:t>
            </w:r>
          </w:p>
        </w:tc>
        <w:tc>
          <w:tcPr>
            <w:tcW w:w="2954" w:type="dxa"/>
          </w:tcPr>
          <w:p w14:paraId="7FD16596" w14:textId="77777777" w:rsidR="00E9700E" w:rsidRPr="00176D37" w:rsidRDefault="00E9700E" w:rsidP="009742AB">
            <w:pPr>
              <w:pStyle w:val="Tabletext"/>
              <w:jc w:val="right"/>
            </w:pPr>
            <w:r w:rsidRPr="00176D37">
              <w:t>2</w:t>
            </w:r>
          </w:p>
        </w:tc>
      </w:tr>
      <w:tr w:rsidR="00E9700E" w:rsidRPr="00176D37" w14:paraId="7EDB746D" w14:textId="77777777" w:rsidTr="00A173F8">
        <w:tc>
          <w:tcPr>
            <w:tcW w:w="3375" w:type="dxa"/>
          </w:tcPr>
          <w:p w14:paraId="095F5A92" w14:textId="77777777" w:rsidR="00E9700E" w:rsidRPr="00176D37" w:rsidRDefault="00E9700E" w:rsidP="00743E2F">
            <w:pPr>
              <w:pStyle w:val="Tabletext"/>
            </w:pPr>
            <w:r w:rsidRPr="00176D37">
              <w:t>2019</w:t>
            </w:r>
          </w:p>
        </w:tc>
        <w:tc>
          <w:tcPr>
            <w:tcW w:w="2954" w:type="dxa"/>
          </w:tcPr>
          <w:p w14:paraId="2A223F19" w14:textId="77777777" w:rsidR="00E9700E" w:rsidRPr="00176D37" w:rsidRDefault="00E9700E" w:rsidP="009742AB">
            <w:pPr>
              <w:pStyle w:val="Tabletext"/>
              <w:jc w:val="right"/>
            </w:pPr>
            <w:r w:rsidRPr="00176D37">
              <w:t>2</w:t>
            </w:r>
          </w:p>
        </w:tc>
      </w:tr>
      <w:tr w:rsidR="00E9700E" w:rsidRPr="00176D37" w14:paraId="330172AD" w14:textId="77777777" w:rsidTr="00A173F8">
        <w:tc>
          <w:tcPr>
            <w:tcW w:w="3375" w:type="dxa"/>
          </w:tcPr>
          <w:p w14:paraId="440E6B57" w14:textId="77777777" w:rsidR="00E9700E" w:rsidRPr="00176D37" w:rsidRDefault="00E9700E" w:rsidP="00743E2F">
            <w:pPr>
              <w:pStyle w:val="Tabletext"/>
            </w:pPr>
            <w:r w:rsidRPr="00176D37">
              <w:t>2020</w:t>
            </w:r>
          </w:p>
        </w:tc>
        <w:tc>
          <w:tcPr>
            <w:tcW w:w="2954" w:type="dxa"/>
          </w:tcPr>
          <w:p w14:paraId="7838B840" w14:textId="77777777" w:rsidR="00E9700E" w:rsidRPr="00176D37" w:rsidRDefault="00E9700E" w:rsidP="009742AB">
            <w:pPr>
              <w:pStyle w:val="Tabletext"/>
              <w:jc w:val="right"/>
            </w:pPr>
            <w:r w:rsidRPr="00176D37">
              <w:t>4</w:t>
            </w:r>
          </w:p>
        </w:tc>
      </w:tr>
      <w:tr w:rsidR="00E9700E" w:rsidRPr="00176D37" w14:paraId="2B41555E" w14:textId="77777777" w:rsidTr="00A173F8">
        <w:tc>
          <w:tcPr>
            <w:tcW w:w="3375" w:type="dxa"/>
          </w:tcPr>
          <w:p w14:paraId="59992166" w14:textId="77777777" w:rsidR="00E9700E" w:rsidRPr="00176D37" w:rsidRDefault="00E9700E" w:rsidP="00743E2F">
            <w:pPr>
              <w:pStyle w:val="Tabletext"/>
            </w:pPr>
            <w:r w:rsidRPr="00176D37">
              <w:t>2021</w:t>
            </w:r>
          </w:p>
        </w:tc>
        <w:tc>
          <w:tcPr>
            <w:tcW w:w="2954" w:type="dxa"/>
          </w:tcPr>
          <w:p w14:paraId="62A33BFD" w14:textId="77777777" w:rsidR="00E9700E" w:rsidRPr="00176D37" w:rsidRDefault="00E9700E" w:rsidP="009742AB">
            <w:pPr>
              <w:pStyle w:val="Tabletext"/>
              <w:jc w:val="right"/>
            </w:pPr>
            <w:r w:rsidRPr="00176D37">
              <w:t>2</w:t>
            </w:r>
          </w:p>
        </w:tc>
      </w:tr>
      <w:tr w:rsidR="00E9700E" w:rsidRPr="00176D37" w14:paraId="6611F707" w14:textId="77777777" w:rsidTr="00A173F8">
        <w:tc>
          <w:tcPr>
            <w:tcW w:w="3375" w:type="dxa"/>
          </w:tcPr>
          <w:p w14:paraId="0474C5AD" w14:textId="77777777" w:rsidR="00E9700E" w:rsidRPr="00176D37" w:rsidRDefault="00E9700E" w:rsidP="00743E2F">
            <w:pPr>
              <w:pStyle w:val="Tabletext"/>
            </w:pPr>
            <w:r w:rsidRPr="00176D37">
              <w:t>Year unknown</w:t>
            </w:r>
          </w:p>
        </w:tc>
        <w:tc>
          <w:tcPr>
            <w:tcW w:w="2954" w:type="dxa"/>
          </w:tcPr>
          <w:p w14:paraId="0ED03F1D" w14:textId="77777777" w:rsidR="00E9700E" w:rsidRPr="00176D37" w:rsidRDefault="00E9700E" w:rsidP="009742AB">
            <w:pPr>
              <w:pStyle w:val="Tabletext"/>
              <w:jc w:val="right"/>
            </w:pPr>
            <w:r w:rsidRPr="00176D37">
              <w:t>2</w:t>
            </w:r>
            <w:r w:rsidRPr="00176D37">
              <w:rPr>
                <w:rStyle w:val="FootnoteReference"/>
                <w:rFonts w:cs="Arial"/>
                <w:bCs/>
              </w:rPr>
              <w:footnoteReference w:id="2"/>
            </w:r>
          </w:p>
        </w:tc>
      </w:tr>
    </w:tbl>
    <w:p w14:paraId="5A3EA9EC" w14:textId="77777777" w:rsidR="00E9700E" w:rsidRPr="00176D37" w:rsidRDefault="00E9700E" w:rsidP="00E9700E">
      <w:pPr>
        <w:pStyle w:val="Heading1"/>
        <w:spacing w:after="120" w:line="360" w:lineRule="auto"/>
      </w:pPr>
      <w:bookmarkStart w:id="51" w:name="_Toc101285671"/>
      <w:bookmarkStart w:id="52" w:name="_Toc101947693"/>
      <w:bookmarkStart w:id="53" w:name="_Toc104975917"/>
      <w:r w:rsidRPr="00176D37">
        <w:t>Involvement in development or implementation</w:t>
      </w:r>
      <w:bookmarkEnd w:id="51"/>
      <w:bookmarkEnd w:id="52"/>
      <w:bookmarkEnd w:id="53"/>
    </w:p>
    <w:p w14:paraId="3109AF88" w14:textId="340E8498" w:rsidR="00E9700E" w:rsidRDefault="00E9700E" w:rsidP="00743E2F">
      <w:pPr>
        <w:pStyle w:val="Body"/>
      </w:pPr>
      <w:r w:rsidRPr="00176D37">
        <w:t>Respondents (n</w:t>
      </w:r>
      <w:r w:rsidR="00EC6A67">
        <w:t xml:space="preserve"> </w:t>
      </w:r>
      <w:r w:rsidRPr="00176D37">
        <w:t>=</w:t>
      </w:r>
      <w:r w:rsidR="00EC6A67">
        <w:t xml:space="preserve"> </w:t>
      </w:r>
      <w:r w:rsidRPr="00176D37">
        <w:t xml:space="preserve">51) were asked how they have been involved in the development and/or implementation of the EMR. </w:t>
      </w:r>
      <w:r w:rsidRPr="00176D37">
        <w:fldChar w:fldCharType="begin"/>
      </w:r>
      <w:r w:rsidRPr="00176D37">
        <w:instrText xml:space="preserve"> REF _Ref100678557 \h  \* MERGEFORMAT </w:instrText>
      </w:r>
      <w:r w:rsidRPr="00176D37">
        <w:fldChar w:fldCharType="separate"/>
      </w:r>
      <w:r w:rsidR="00E73E2F" w:rsidRPr="00176D37">
        <w:t xml:space="preserve">Table </w:t>
      </w:r>
      <w:r w:rsidR="00E73E2F">
        <w:rPr>
          <w:noProof/>
        </w:rPr>
        <w:t>5</w:t>
      </w:r>
      <w:r w:rsidRPr="00176D37">
        <w:fldChar w:fldCharType="end"/>
      </w:r>
      <w:r w:rsidRPr="00176D37">
        <w:t xml:space="preserve"> includes a breakdown of responses by role. </w:t>
      </w:r>
    </w:p>
    <w:p w14:paraId="69AB8945" w14:textId="32E22ECB" w:rsidR="001E4608" w:rsidRPr="00176D37" w:rsidRDefault="001E4608" w:rsidP="001E4608">
      <w:pPr>
        <w:pStyle w:val="Bodyaftertablefigure"/>
      </w:pPr>
      <w:r w:rsidRPr="00176D37">
        <w:t>Five of the 20 quality respondents (25 per cent) reported no involvement in EMR implementation. This cohort includes transfusion nurses/trainers/quality safety officers who have thorough knowledge of blood management and transfusion safety requirements. Three of these five respondents do not have transfusion included in their EMR, which may explain why they were not involved. Two of the seven laboratory respondents (29 per cent), likewise, did not have any input into EMR development and implementatio</w:t>
      </w:r>
      <w:r w:rsidR="001D1CF2">
        <w:t>n</w:t>
      </w:r>
      <w:r w:rsidR="00D43B79">
        <w:t xml:space="preserve">. </w:t>
      </w:r>
    </w:p>
    <w:p w14:paraId="5B9FC45A" w14:textId="318D77F1" w:rsidR="00E9700E" w:rsidRPr="00176D37" w:rsidRDefault="00E9700E" w:rsidP="00743E2F">
      <w:pPr>
        <w:pStyle w:val="Tablecaption"/>
      </w:pPr>
      <w:bookmarkStart w:id="54" w:name="_Ref100678557"/>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5</w:t>
      </w:r>
      <w:r w:rsidR="00F751A0">
        <w:rPr>
          <w:noProof/>
        </w:rPr>
        <w:fldChar w:fldCharType="end"/>
      </w:r>
      <w:bookmarkEnd w:id="54"/>
      <w:r w:rsidRPr="00176D37">
        <w:t>: Responses of role-based involvement in EMR development and/or implementation</w:t>
      </w:r>
      <w:r w:rsidRPr="00176D37">
        <w:rPr>
          <w:rStyle w:val="FootnoteReference"/>
          <w:rFonts w:cs="Arial"/>
          <w:sz w:val="22"/>
          <w:szCs w:val="22"/>
        </w:rPr>
        <w:footnoteReference w:id="3"/>
      </w:r>
    </w:p>
    <w:tbl>
      <w:tblPr>
        <w:tblStyle w:val="TableGrid"/>
        <w:tblW w:w="9634" w:type="dxa"/>
        <w:tblLayout w:type="fixed"/>
        <w:tblLook w:val="04A0" w:firstRow="1" w:lastRow="0" w:firstColumn="1" w:lastColumn="0" w:noHBand="0" w:noVBand="1"/>
      </w:tblPr>
      <w:tblGrid>
        <w:gridCol w:w="1204"/>
        <w:gridCol w:w="1204"/>
        <w:gridCol w:w="1204"/>
        <w:gridCol w:w="1205"/>
        <w:gridCol w:w="1204"/>
        <w:gridCol w:w="1204"/>
        <w:gridCol w:w="1204"/>
        <w:gridCol w:w="1205"/>
      </w:tblGrid>
      <w:tr w:rsidR="00E9700E" w:rsidRPr="00176D37" w14:paraId="4B582734" w14:textId="77777777" w:rsidTr="00382C98">
        <w:trPr>
          <w:trHeight w:val="1181"/>
          <w:tblHeader/>
        </w:trPr>
        <w:tc>
          <w:tcPr>
            <w:tcW w:w="1204" w:type="dxa"/>
          </w:tcPr>
          <w:p w14:paraId="1B3CA9A2" w14:textId="47327C7C" w:rsidR="00E9700E" w:rsidRPr="00176D37" w:rsidRDefault="00E9700E" w:rsidP="00743E2F">
            <w:pPr>
              <w:pStyle w:val="Tablecolhead"/>
            </w:pPr>
            <w:r w:rsidRPr="00176D37">
              <w:t>Level of involve</w:t>
            </w:r>
            <w:r w:rsidR="00EC6A67">
              <w:t>-</w:t>
            </w:r>
            <w:proofErr w:type="spellStart"/>
            <w:r w:rsidRPr="00176D37">
              <w:t>ment</w:t>
            </w:r>
            <w:proofErr w:type="spellEnd"/>
          </w:p>
        </w:tc>
        <w:tc>
          <w:tcPr>
            <w:tcW w:w="1204" w:type="dxa"/>
          </w:tcPr>
          <w:p w14:paraId="014465C6" w14:textId="304D333A" w:rsidR="00E9700E" w:rsidRPr="00176D37" w:rsidRDefault="00E9700E" w:rsidP="00743E2F">
            <w:pPr>
              <w:pStyle w:val="Tablecolhead"/>
            </w:pPr>
            <w:r w:rsidRPr="00176D37">
              <w:t>Clinical nursing n</w:t>
            </w:r>
            <w:r w:rsidR="00EC6A67">
              <w:t> </w:t>
            </w:r>
            <w:r w:rsidRPr="00176D37">
              <w:t>=</w:t>
            </w:r>
            <w:r w:rsidR="00EC6A67">
              <w:t xml:space="preserve"> </w:t>
            </w:r>
            <w:r w:rsidRPr="00176D37">
              <w:t>6, (%)</w:t>
            </w:r>
          </w:p>
        </w:tc>
        <w:tc>
          <w:tcPr>
            <w:tcW w:w="1204" w:type="dxa"/>
          </w:tcPr>
          <w:p w14:paraId="38012011" w14:textId="77777777" w:rsidR="00E9700E" w:rsidRPr="00176D37" w:rsidRDefault="00E9700E" w:rsidP="00743E2F">
            <w:pPr>
              <w:pStyle w:val="Tablecolhead"/>
            </w:pPr>
            <w:r w:rsidRPr="00176D37">
              <w:t>Executive</w:t>
            </w:r>
          </w:p>
          <w:p w14:paraId="1E37FC6D" w14:textId="5FDAD675" w:rsidR="00E9700E" w:rsidRPr="00176D37" w:rsidRDefault="00E9700E" w:rsidP="00743E2F">
            <w:pPr>
              <w:pStyle w:val="Tablecolhead"/>
            </w:pPr>
            <w:r w:rsidRPr="00176D37">
              <w:t>n</w:t>
            </w:r>
            <w:r w:rsidR="00EC6A67">
              <w:t> </w:t>
            </w:r>
            <w:r w:rsidRPr="00176D37">
              <w:t>=5, (%)</w:t>
            </w:r>
          </w:p>
        </w:tc>
        <w:tc>
          <w:tcPr>
            <w:tcW w:w="1205" w:type="dxa"/>
          </w:tcPr>
          <w:p w14:paraId="64DBB524" w14:textId="7C66AE5E" w:rsidR="00E9700E" w:rsidRPr="00176D37" w:rsidRDefault="00E9700E" w:rsidP="00743E2F">
            <w:pPr>
              <w:pStyle w:val="Tablecolhead"/>
            </w:pPr>
            <w:proofErr w:type="spellStart"/>
            <w:r w:rsidRPr="00176D37">
              <w:t>Labor</w:t>
            </w:r>
            <w:r w:rsidR="00EC6A67">
              <w:t>-</w:t>
            </w:r>
            <w:r w:rsidRPr="00176D37">
              <w:t>atory</w:t>
            </w:r>
            <w:proofErr w:type="spellEnd"/>
          </w:p>
          <w:p w14:paraId="5BC11439" w14:textId="54C64B06" w:rsidR="00E9700E" w:rsidRPr="00176D37" w:rsidRDefault="00E9700E" w:rsidP="00743E2F">
            <w:pPr>
              <w:pStyle w:val="Tablecolhead"/>
            </w:pPr>
            <w:r w:rsidRPr="00176D37">
              <w:t>n</w:t>
            </w:r>
            <w:r w:rsidR="00EC6A67">
              <w:t xml:space="preserve"> </w:t>
            </w:r>
            <w:r w:rsidRPr="00176D37">
              <w:t>=</w:t>
            </w:r>
            <w:r w:rsidR="00EC6A67">
              <w:t xml:space="preserve"> </w:t>
            </w:r>
            <w:r w:rsidRPr="00176D37">
              <w:t>7, (%)</w:t>
            </w:r>
          </w:p>
        </w:tc>
        <w:tc>
          <w:tcPr>
            <w:tcW w:w="1204" w:type="dxa"/>
          </w:tcPr>
          <w:p w14:paraId="1931A900" w14:textId="77777777" w:rsidR="00E9700E" w:rsidRPr="00176D37" w:rsidRDefault="00E9700E" w:rsidP="00743E2F">
            <w:pPr>
              <w:pStyle w:val="Tablecolhead"/>
            </w:pPr>
            <w:r w:rsidRPr="00176D37">
              <w:t>Medical</w:t>
            </w:r>
          </w:p>
          <w:p w14:paraId="212D13C2" w14:textId="1CE2D2E4" w:rsidR="00E9700E" w:rsidRPr="00176D37" w:rsidRDefault="00EC6A67" w:rsidP="00743E2F">
            <w:pPr>
              <w:pStyle w:val="Tablecolhead"/>
            </w:pPr>
            <w:r>
              <w:t xml:space="preserve">n </w:t>
            </w:r>
            <w:r w:rsidR="00E9700E" w:rsidRPr="00176D37">
              <w:t>=</w:t>
            </w:r>
            <w:r>
              <w:t xml:space="preserve"> </w:t>
            </w:r>
            <w:r w:rsidR="00E9700E" w:rsidRPr="00176D37">
              <w:t>6, (%)</w:t>
            </w:r>
          </w:p>
        </w:tc>
        <w:tc>
          <w:tcPr>
            <w:tcW w:w="1204" w:type="dxa"/>
          </w:tcPr>
          <w:p w14:paraId="595BBA23" w14:textId="77777777" w:rsidR="00E9700E" w:rsidRPr="00176D37" w:rsidRDefault="00E9700E" w:rsidP="00743E2F">
            <w:pPr>
              <w:pStyle w:val="Tablecolhead"/>
            </w:pPr>
            <w:r w:rsidRPr="00176D37">
              <w:t>Organisational IT</w:t>
            </w:r>
          </w:p>
          <w:p w14:paraId="2F00C78D" w14:textId="44C123A9" w:rsidR="00E9700E" w:rsidRPr="00176D37" w:rsidRDefault="00EC6A67" w:rsidP="00743E2F">
            <w:pPr>
              <w:pStyle w:val="Tablecolhead"/>
            </w:pPr>
            <w:r>
              <w:t xml:space="preserve">n </w:t>
            </w:r>
            <w:r w:rsidR="00E9700E" w:rsidRPr="00176D37">
              <w:t>=</w:t>
            </w:r>
            <w:r>
              <w:t xml:space="preserve"> </w:t>
            </w:r>
            <w:r w:rsidR="00E9700E" w:rsidRPr="00176D37">
              <w:t>3, (%)</w:t>
            </w:r>
          </w:p>
        </w:tc>
        <w:tc>
          <w:tcPr>
            <w:tcW w:w="1204" w:type="dxa"/>
          </w:tcPr>
          <w:p w14:paraId="4BF44935" w14:textId="77777777" w:rsidR="00E9700E" w:rsidRPr="00176D37" w:rsidRDefault="00E9700E" w:rsidP="00743E2F">
            <w:pPr>
              <w:pStyle w:val="Tablecolhead"/>
            </w:pPr>
            <w:r w:rsidRPr="00176D37">
              <w:t>Quality</w:t>
            </w:r>
          </w:p>
          <w:p w14:paraId="75A9600D" w14:textId="4081D207" w:rsidR="00E9700E" w:rsidRPr="00176D37" w:rsidRDefault="00EC6A67" w:rsidP="00743E2F">
            <w:pPr>
              <w:pStyle w:val="Tablecolhead"/>
            </w:pPr>
            <w:r>
              <w:t xml:space="preserve">n </w:t>
            </w:r>
            <w:r w:rsidR="00E9700E" w:rsidRPr="00176D37">
              <w:t>=</w:t>
            </w:r>
            <w:r>
              <w:t xml:space="preserve"> </w:t>
            </w:r>
            <w:r w:rsidR="00E9700E" w:rsidRPr="00176D37">
              <w:t>20, (%)</w:t>
            </w:r>
          </w:p>
        </w:tc>
        <w:tc>
          <w:tcPr>
            <w:tcW w:w="1205" w:type="dxa"/>
          </w:tcPr>
          <w:p w14:paraId="7DD6BED7" w14:textId="77777777" w:rsidR="00E9700E" w:rsidRPr="00176D37" w:rsidRDefault="00E9700E" w:rsidP="00743E2F">
            <w:pPr>
              <w:pStyle w:val="Tablecolhead"/>
            </w:pPr>
            <w:r w:rsidRPr="00176D37">
              <w:t>Other</w:t>
            </w:r>
            <w:r w:rsidRPr="00176D37">
              <w:rPr>
                <w:rStyle w:val="FootnoteReference"/>
                <w:rFonts w:cs="Arial"/>
              </w:rPr>
              <w:footnoteReference w:id="4"/>
            </w:r>
          </w:p>
          <w:p w14:paraId="32644281" w14:textId="4F6322E5" w:rsidR="00E9700E" w:rsidRPr="00176D37" w:rsidRDefault="00EC6A67" w:rsidP="00743E2F">
            <w:pPr>
              <w:pStyle w:val="Tablecolhead"/>
            </w:pPr>
            <w:r>
              <w:t xml:space="preserve">n </w:t>
            </w:r>
            <w:r w:rsidR="00E9700E" w:rsidRPr="00176D37">
              <w:t>=</w:t>
            </w:r>
            <w:r>
              <w:t xml:space="preserve"> </w:t>
            </w:r>
            <w:r w:rsidR="00E9700E" w:rsidRPr="00176D37">
              <w:t>4, (%)</w:t>
            </w:r>
          </w:p>
        </w:tc>
      </w:tr>
      <w:tr w:rsidR="00E9700E" w:rsidRPr="00176D37" w14:paraId="5DE51B0F" w14:textId="77777777" w:rsidTr="00E525F8">
        <w:trPr>
          <w:trHeight w:val="433"/>
        </w:trPr>
        <w:tc>
          <w:tcPr>
            <w:tcW w:w="1204" w:type="dxa"/>
          </w:tcPr>
          <w:p w14:paraId="0FE4D5A7" w14:textId="77777777" w:rsidR="00E9700E" w:rsidRPr="00176D37" w:rsidRDefault="00E9700E" w:rsidP="00743E2F">
            <w:pPr>
              <w:pStyle w:val="Tabletext"/>
            </w:pPr>
            <w:r w:rsidRPr="00176D37">
              <w:t>None</w:t>
            </w:r>
          </w:p>
        </w:tc>
        <w:tc>
          <w:tcPr>
            <w:tcW w:w="1204" w:type="dxa"/>
          </w:tcPr>
          <w:p w14:paraId="58E52063" w14:textId="77777777" w:rsidR="00E9700E" w:rsidRPr="00176D37" w:rsidRDefault="00E9700E" w:rsidP="009742AB">
            <w:pPr>
              <w:pStyle w:val="Tabletext"/>
              <w:jc w:val="right"/>
            </w:pPr>
            <w:r w:rsidRPr="00176D37">
              <w:t>2 (33%)</w:t>
            </w:r>
          </w:p>
        </w:tc>
        <w:tc>
          <w:tcPr>
            <w:tcW w:w="1204" w:type="dxa"/>
          </w:tcPr>
          <w:p w14:paraId="6918630F" w14:textId="77777777" w:rsidR="00E9700E" w:rsidRPr="00176D37" w:rsidRDefault="00E9700E" w:rsidP="009742AB">
            <w:pPr>
              <w:pStyle w:val="Tabletext"/>
              <w:jc w:val="right"/>
            </w:pPr>
            <w:r w:rsidRPr="00176D37">
              <w:t>-</w:t>
            </w:r>
          </w:p>
        </w:tc>
        <w:tc>
          <w:tcPr>
            <w:tcW w:w="1205" w:type="dxa"/>
          </w:tcPr>
          <w:p w14:paraId="679D2245" w14:textId="77777777" w:rsidR="00E9700E" w:rsidRPr="00176D37" w:rsidRDefault="00E9700E" w:rsidP="009742AB">
            <w:pPr>
              <w:pStyle w:val="Tabletext"/>
              <w:jc w:val="right"/>
            </w:pPr>
            <w:r w:rsidRPr="00176D37">
              <w:t>2 (29%)</w:t>
            </w:r>
          </w:p>
        </w:tc>
        <w:tc>
          <w:tcPr>
            <w:tcW w:w="1204" w:type="dxa"/>
          </w:tcPr>
          <w:p w14:paraId="12389985" w14:textId="77777777" w:rsidR="00E9700E" w:rsidRPr="00176D37" w:rsidRDefault="00E9700E" w:rsidP="009742AB">
            <w:pPr>
              <w:pStyle w:val="Tabletext"/>
              <w:jc w:val="right"/>
            </w:pPr>
            <w:r w:rsidRPr="00176D37">
              <w:t>1 (17%)</w:t>
            </w:r>
          </w:p>
        </w:tc>
        <w:tc>
          <w:tcPr>
            <w:tcW w:w="1204" w:type="dxa"/>
          </w:tcPr>
          <w:p w14:paraId="20663EBD" w14:textId="77777777" w:rsidR="00E9700E" w:rsidRPr="00176D37" w:rsidRDefault="00E9700E" w:rsidP="009742AB">
            <w:pPr>
              <w:pStyle w:val="Tabletext"/>
              <w:jc w:val="right"/>
            </w:pPr>
            <w:r w:rsidRPr="00176D37">
              <w:t>-</w:t>
            </w:r>
          </w:p>
        </w:tc>
        <w:tc>
          <w:tcPr>
            <w:tcW w:w="1204" w:type="dxa"/>
          </w:tcPr>
          <w:p w14:paraId="0D818DB6" w14:textId="77777777" w:rsidR="00E9700E" w:rsidRPr="00176D37" w:rsidRDefault="00E9700E" w:rsidP="009742AB">
            <w:pPr>
              <w:pStyle w:val="Tabletext"/>
              <w:jc w:val="right"/>
            </w:pPr>
            <w:r w:rsidRPr="00176D37">
              <w:t>5 (25%)</w:t>
            </w:r>
          </w:p>
        </w:tc>
        <w:tc>
          <w:tcPr>
            <w:tcW w:w="1205" w:type="dxa"/>
          </w:tcPr>
          <w:p w14:paraId="3E2649AC" w14:textId="77777777" w:rsidR="00E9700E" w:rsidRPr="00176D37" w:rsidRDefault="00E9700E" w:rsidP="009742AB">
            <w:pPr>
              <w:pStyle w:val="Tabletext"/>
              <w:jc w:val="right"/>
            </w:pPr>
            <w:r w:rsidRPr="00176D37">
              <w:t>-</w:t>
            </w:r>
          </w:p>
        </w:tc>
      </w:tr>
      <w:tr w:rsidR="00E9700E" w:rsidRPr="00176D37" w14:paraId="785B6912" w14:textId="77777777" w:rsidTr="00382C98">
        <w:trPr>
          <w:trHeight w:val="2072"/>
        </w:trPr>
        <w:tc>
          <w:tcPr>
            <w:tcW w:w="1204" w:type="dxa"/>
          </w:tcPr>
          <w:p w14:paraId="394BE48B" w14:textId="77777777" w:rsidR="00E9700E" w:rsidRPr="00176D37" w:rsidRDefault="00E9700E" w:rsidP="00B44956">
            <w:pPr>
              <w:pStyle w:val="Tabletext"/>
            </w:pPr>
            <w:r w:rsidRPr="00176D37">
              <w:t>Not at health service at the time of development and/or implementation</w:t>
            </w:r>
          </w:p>
        </w:tc>
        <w:tc>
          <w:tcPr>
            <w:tcW w:w="1204" w:type="dxa"/>
          </w:tcPr>
          <w:p w14:paraId="2F8B7706" w14:textId="77777777" w:rsidR="00E9700E" w:rsidRPr="00176D37" w:rsidRDefault="00E9700E" w:rsidP="009742AB">
            <w:pPr>
              <w:pStyle w:val="Tabletext"/>
              <w:jc w:val="right"/>
            </w:pPr>
            <w:r w:rsidRPr="00176D37">
              <w:t>-</w:t>
            </w:r>
          </w:p>
        </w:tc>
        <w:tc>
          <w:tcPr>
            <w:tcW w:w="1204" w:type="dxa"/>
          </w:tcPr>
          <w:p w14:paraId="1461E272" w14:textId="77777777" w:rsidR="00E9700E" w:rsidRPr="00176D37" w:rsidRDefault="00E9700E" w:rsidP="009742AB">
            <w:pPr>
              <w:pStyle w:val="Tabletext"/>
              <w:jc w:val="right"/>
            </w:pPr>
            <w:r w:rsidRPr="00176D37">
              <w:t>1 (20%)</w:t>
            </w:r>
          </w:p>
        </w:tc>
        <w:tc>
          <w:tcPr>
            <w:tcW w:w="1205" w:type="dxa"/>
          </w:tcPr>
          <w:p w14:paraId="0A38EAE9" w14:textId="77777777" w:rsidR="00E9700E" w:rsidRPr="00176D37" w:rsidRDefault="00E9700E" w:rsidP="009742AB">
            <w:pPr>
              <w:pStyle w:val="Tabletext"/>
              <w:jc w:val="right"/>
            </w:pPr>
            <w:r w:rsidRPr="00176D37">
              <w:t>1 (14%)</w:t>
            </w:r>
          </w:p>
        </w:tc>
        <w:tc>
          <w:tcPr>
            <w:tcW w:w="1204" w:type="dxa"/>
          </w:tcPr>
          <w:p w14:paraId="4498A8AA" w14:textId="77777777" w:rsidR="00E9700E" w:rsidRPr="00176D37" w:rsidRDefault="00E9700E" w:rsidP="009742AB">
            <w:pPr>
              <w:pStyle w:val="Tabletext"/>
              <w:jc w:val="right"/>
            </w:pPr>
            <w:r w:rsidRPr="00176D37">
              <w:t>1 (17%)</w:t>
            </w:r>
          </w:p>
        </w:tc>
        <w:tc>
          <w:tcPr>
            <w:tcW w:w="1204" w:type="dxa"/>
          </w:tcPr>
          <w:p w14:paraId="2F8B4831" w14:textId="77777777" w:rsidR="00E9700E" w:rsidRPr="00176D37" w:rsidRDefault="00E9700E" w:rsidP="009742AB">
            <w:pPr>
              <w:pStyle w:val="Tabletext"/>
              <w:jc w:val="right"/>
            </w:pPr>
            <w:r w:rsidRPr="00176D37">
              <w:t>-</w:t>
            </w:r>
          </w:p>
        </w:tc>
        <w:tc>
          <w:tcPr>
            <w:tcW w:w="1204" w:type="dxa"/>
          </w:tcPr>
          <w:p w14:paraId="0D5D4FC1" w14:textId="77777777" w:rsidR="00E9700E" w:rsidRPr="00176D37" w:rsidRDefault="00E9700E" w:rsidP="009742AB">
            <w:pPr>
              <w:pStyle w:val="Tabletext"/>
              <w:jc w:val="right"/>
            </w:pPr>
            <w:r w:rsidRPr="00176D37">
              <w:t>1 (5%)</w:t>
            </w:r>
          </w:p>
        </w:tc>
        <w:tc>
          <w:tcPr>
            <w:tcW w:w="1205" w:type="dxa"/>
          </w:tcPr>
          <w:p w14:paraId="4FC94B52" w14:textId="77777777" w:rsidR="00E9700E" w:rsidRPr="00176D37" w:rsidRDefault="00E9700E" w:rsidP="009742AB">
            <w:pPr>
              <w:pStyle w:val="Tabletext"/>
              <w:jc w:val="right"/>
            </w:pPr>
            <w:r w:rsidRPr="00176D37">
              <w:t>1 (25%)</w:t>
            </w:r>
          </w:p>
        </w:tc>
      </w:tr>
      <w:tr w:rsidR="00E9700E" w:rsidRPr="00176D37" w14:paraId="4FCEC62C" w14:textId="77777777" w:rsidTr="00382C98">
        <w:trPr>
          <w:trHeight w:val="966"/>
        </w:trPr>
        <w:tc>
          <w:tcPr>
            <w:tcW w:w="1204" w:type="dxa"/>
          </w:tcPr>
          <w:p w14:paraId="65DAC109" w14:textId="3B7127B7" w:rsidR="00E9700E" w:rsidRPr="00176D37" w:rsidRDefault="00E9700E" w:rsidP="00B44956">
            <w:pPr>
              <w:pStyle w:val="Tabletext"/>
              <w:rPr>
                <w:rFonts w:cs="Arial"/>
              </w:rPr>
            </w:pPr>
            <w:bookmarkStart w:id="55" w:name="_Hlk94604278"/>
            <w:r w:rsidRPr="00176D37">
              <w:rPr>
                <w:rFonts w:cs="Arial"/>
              </w:rPr>
              <w:t>Selection of EMR vendor</w:t>
            </w:r>
            <w:bookmarkEnd w:id="55"/>
          </w:p>
        </w:tc>
        <w:tc>
          <w:tcPr>
            <w:tcW w:w="1204" w:type="dxa"/>
          </w:tcPr>
          <w:p w14:paraId="142C6CE2" w14:textId="77777777" w:rsidR="00E9700E" w:rsidRPr="00176D37" w:rsidRDefault="00E9700E" w:rsidP="009742AB">
            <w:pPr>
              <w:pStyle w:val="Tabletext"/>
              <w:jc w:val="right"/>
              <w:rPr>
                <w:rFonts w:cs="Arial"/>
              </w:rPr>
            </w:pPr>
            <w:r w:rsidRPr="00176D37">
              <w:rPr>
                <w:rFonts w:cs="Arial"/>
              </w:rPr>
              <w:t>-</w:t>
            </w:r>
          </w:p>
        </w:tc>
        <w:tc>
          <w:tcPr>
            <w:tcW w:w="1204" w:type="dxa"/>
          </w:tcPr>
          <w:p w14:paraId="0759E230" w14:textId="77777777" w:rsidR="00E9700E" w:rsidRPr="00176D37" w:rsidRDefault="00E9700E" w:rsidP="009742AB">
            <w:pPr>
              <w:pStyle w:val="Tabletext"/>
              <w:jc w:val="right"/>
              <w:rPr>
                <w:rFonts w:cs="Arial"/>
              </w:rPr>
            </w:pPr>
            <w:r w:rsidRPr="00176D37">
              <w:rPr>
                <w:rFonts w:cs="Arial"/>
              </w:rPr>
              <w:t>1 (20%)</w:t>
            </w:r>
          </w:p>
        </w:tc>
        <w:tc>
          <w:tcPr>
            <w:tcW w:w="1205" w:type="dxa"/>
          </w:tcPr>
          <w:p w14:paraId="1E46F4E0" w14:textId="77777777" w:rsidR="00E9700E" w:rsidRPr="00176D37" w:rsidRDefault="00E9700E" w:rsidP="009742AB">
            <w:pPr>
              <w:pStyle w:val="Tabletext"/>
              <w:jc w:val="right"/>
              <w:rPr>
                <w:rFonts w:cs="Arial"/>
              </w:rPr>
            </w:pPr>
            <w:r w:rsidRPr="00176D37">
              <w:rPr>
                <w:rFonts w:cs="Arial"/>
              </w:rPr>
              <w:t>-</w:t>
            </w:r>
          </w:p>
        </w:tc>
        <w:tc>
          <w:tcPr>
            <w:tcW w:w="1204" w:type="dxa"/>
          </w:tcPr>
          <w:p w14:paraId="232CFA03" w14:textId="77777777" w:rsidR="00E9700E" w:rsidRPr="00176D37" w:rsidRDefault="00E9700E" w:rsidP="009742AB">
            <w:pPr>
              <w:pStyle w:val="Tabletext"/>
              <w:jc w:val="right"/>
              <w:rPr>
                <w:rFonts w:cs="Arial"/>
              </w:rPr>
            </w:pPr>
            <w:r w:rsidRPr="00176D37">
              <w:rPr>
                <w:rFonts w:cs="Arial"/>
              </w:rPr>
              <w:t>-</w:t>
            </w:r>
          </w:p>
        </w:tc>
        <w:tc>
          <w:tcPr>
            <w:tcW w:w="1204" w:type="dxa"/>
          </w:tcPr>
          <w:p w14:paraId="0F800741" w14:textId="77777777" w:rsidR="00E9700E" w:rsidRPr="00176D37" w:rsidRDefault="00E9700E" w:rsidP="009742AB">
            <w:pPr>
              <w:pStyle w:val="Tabletext"/>
              <w:jc w:val="right"/>
              <w:rPr>
                <w:rFonts w:cs="Arial"/>
              </w:rPr>
            </w:pPr>
            <w:r w:rsidRPr="00176D37">
              <w:rPr>
                <w:rFonts w:cs="Arial"/>
              </w:rPr>
              <w:t>1 (33%)</w:t>
            </w:r>
          </w:p>
        </w:tc>
        <w:tc>
          <w:tcPr>
            <w:tcW w:w="1204" w:type="dxa"/>
          </w:tcPr>
          <w:p w14:paraId="3DA30B00" w14:textId="77777777" w:rsidR="00E9700E" w:rsidRPr="00176D37" w:rsidRDefault="00E9700E" w:rsidP="009742AB">
            <w:pPr>
              <w:pStyle w:val="Tabletext"/>
              <w:jc w:val="right"/>
              <w:rPr>
                <w:rFonts w:cs="Arial"/>
              </w:rPr>
            </w:pPr>
            <w:r w:rsidRPr="00176D37">
              <w:rPr>
                <w:rFonts w:cs="Arial"/>
              </w:rPr>
              <w:t>-</w:t>
            </w:r>
          </w:p>
        </w:tc>
        <w:tc>
          <w:tcPr>
            <w:tcW w:w="1205" w:type="dxa"/>
          </w:tcPr>
          <w:p w14:paraId="32E9D64B" w14:textId="77777777" w:rsidR="00E9700E" w:rsidRPr="00176D37" w:rsidRDefault="00E9700E" w:rsidP="009742AB">
            <w:pPr>
              <w:pStyle w:val="Tabletext"/>
              <w:jc w:val="right"/>
              <w:rPr>
                <w:rFonts w:cs="Arial"/>
              </w:rPr>
            </w:pPr>
            <w:r w:rsidRPr="00176D37">
              <w:rPr>
                <w:rFonts w:cs="Arial"/>
              </w:rPr>
              <w:t>-</w:t>
            </w:r>
          </w:p>
        </w:tc>
      </w:tr>
      <w:tr w:rsidR="00E9700E" w:rsidRPr="00176D37" w14:paraId="73377DCF" w14:textId="77777777" w:rsidTr="00E525F8">
        <w:trPr>
          <w:trHeight w:val="894"/>
        </w:trPr>
        <w:tc>
          <w:tcPr>
            <w:tcW w:w="1204" w:type="dxa"/>
          </w:tcPr>
          <w:p w14:paraId="4A957866" w14:textId="52A1A8A0" w:rsidR="00E9700E" w:rsidRPr="00176D37" w:rsidRDefault="00E9700E" w:rsidP="00B44956">
            <w:pPr>
              <w:pStyle w:val="Tabletext"/>
              <w:rPr>
                <w:rFonts w:cs="Arial"/>
              </w:rPr>
            </w:pPr>
            <w:bookmarkStart w:id="56" w:name="_Hlk94604413"/>
            <w:r w:rsidRPr="00176D37">
              <w:rPr>
                <w:rFonts w:cs="Arial"/>
              </w:rPr>
              <w:t>Content development</w:t>
            </w:r>
            <w:bookmarkEnd w:id="56"/>
          </w:p>
        </w:tc>
        <w:tc>
          <w:tcPr>
            <w:tcW w:w="1204" w:type="dxa"/>
          </w:tcPr>
          <w:p w14:paraId="6338C8E7" w14:textId="77777777" w:rsidR="00E9700E" w:rsidRPr="00176D37" w:rsidRDefault="00E9700E" w:rsidP="009742AB">
            <w:pPr>
              <w:pStyle w:val="Tabletext"/>
              <w:jc w:val="right"/>
              <w:rPr>
                <w:rFonts w:cs="Arial"/>
              </w:rPr>
            </w:pPr>
            <w:r w:rsidRPr="00176D37">
              <w:rPr>
                <w:rFonts w:cs="Arial"/>
              </w:rPr>
              <w:t>1 (17%)</w:t>
            </w:r>
          </w:p>
        </w:tc>
        <w:tc>
          <w:tcPr>
            <w:tcW w:w="1204" w:type="dxa"/>
          </w:tcPr>
          <w:p w14:paraId="14803CAF" w14:textId="77777777" w:rsidR="00E9700E" w:rsidRPr="00176D37" w:rsidRDefault="00E9700E" w:rsidP="009742AB">
            <w:pPr>
              <w:pStyle w:val="Tabletext"/>
              <w:jc w:val="right"/>
              <w:rPr>
                <w:rFonts w:cs="Arial"/>
              </w:rPr>
            </w:pPr>
            <w:r w:rsidRPr="00176D37">
              <w:rPr>
                <w:rFonts w:cs="Arial"/>
              </w:rPr>
              <w:t>2 (40%)</w:t>
            </w:r>
          </w:p>
        </w:tc>
        <w:tc>
          <w:tcPr>
            <w:tcW w:w="1205" w:type="dxa"/>
          </w:tcPr>
          <w:p w14:paraId="16A4B53B" w14:textId="77777777" w:rsidR="00E9700E" w:rsidRPr="00176D37" w:rsidRDefault="00E9700E" w:rsidP="009742AB">
            <w:pPr>
              <w:pStyle w:val="Tabletext"/>
              <w:jc w:val="right"/>
              <w:rPr>
                <w:rFonts w:cs="Arial"/>
              </w:rPr>
            </w:pPr>
            <w:r w:rsidRPr="00176D37">
              <w:rPr>
                <w:rFonts w:cs="Arial"/>
              </w:rPr>
              <w:t>2 (29%)</w:t>
            </w:r>
          </w:p>
        </w:tc>
        <w:tc>
          <w:tcPr>
            <w:tcW w:w="1204" w:type="dxa"/>
          </w:tcPr>
          <w:p w14:paraId="47C95FFD" w14:textId="77777777" w:rsidR="00E9700E" w:rsidRPr="00176D37" w:rsidRDefault="00E9700E" w:rsidP="009742AB">
            <w:pPr>
              <w:pStyle w:val="Tabletext"/>
              <w:jc w:val="right"/>
              <w:rPr>
                <w:rFonts w:cs="Arial"/>
              </w:rPr>
            </w:pPr>
            <w:r w:rsidRPr="00176D37">
              <w:rPr>
                <w:rFonts w:cs="Arial"/>
              </w:rPr>
              <w:t>3 (50%)</w:t>
            </w:r>
          </w:p>
        </w:tc>
        <w:tc>
          <w:tcPr>
            <w:tcW w:w="1204" w:type="dxa"/>
          </w:tcPr>
          <w:p w14:paraId="137458A9" w14:textId="77777777" w:rsidR="00E9700E" w:rsidRPr="00176D37" w:rsidRDefault="00E9700E" w:rsidP="009742AB">
            <w:pPr>
              <w:pStyle w:val="Tabletext"/>
              <w:jc w:val="right"/>
              <w:rPr>
                <w:rFonts w:cs="Arial"/>
              </w:rPr>
            </w:pPr>
            <w:r w:rsidRPr="00176D37">
              <w:rPr>
                <w:rFonts w:cs="Arial"/>
              </w:rPr>
              <w:t>2 (67%)</w:t>
            </w:r>
          </w:p>
        </w:tc>
        <w:tc>
          <w:tcPr>
            <w:tcW w:w="1204" w:type="dxa"/>
          </w:tcPr>
          <w:p w14:paraId="717A0683" w14:textId="77777777" w:rsidR="00E9700E" w:rsidRPr="00176D37" w:rsidRDefault="00E9700E" w:rsidP="009742AB">
            <w:pPr>
              <w:pStyle w:val="Tabletext"/>
              <w:jc w:val="right"/>
              <w:rPr>
                <w:rFonts w:cs="Arial"/>
              </w:rPr>
            </w:pPr>
            <w:r w:rsidRPr="00176D37">
              <w:rPr>
                <w:rFonts w:cs="Arial"/>
              </w:rPr>
              <w:t>8 (40%)</w:t>
            </w:r>
          </w:p>
        </w:tc>
        <w:tc>
          <w:tcPr>
            <w:tcW w:w="1205" w:type="dxa"/>
          </w:tcPr>
          <w:p w14:paraId="7158B57D" w14:textId="77777777" w:rsidR="00E9700E" w:rsidRPr="00176D37" w:rsidRDefault="00E9700E" w:rsidP="009742AB">
            <w:pPr>
              <w:pStyle w:val="Tabletext"/>
              <w:jc w:val="right"/>
              <w:rPr>
                <w:rFonts w:cs="Arial"/>
              </w:rPr>
            </w:pPr>
            <w:r w:rsidRPr="00176D37">
              <w:rPr>
                <w:rFonts w:cs="Arial"/>
              </w:rPr>
              <w:t>3 (75%)</w:t>
            </w:r>
          </w:p>
        </w:tc>
      </w:tr>
      <w:tr w:rsidR="00E9700E" w:rsidRPr="00176D37" w14:paraId="48DBBFAA" w14:textId="77777777" w:rsidTr="00382C98">
        <w:trPr>
          <w:trHeight w:val="1546"/>
        </w:trPr>
        <w:tc>
          <w:tcPr>
            <w:tcW w:w="1204" w:type="dxa"/>
          </w:tcPr>
          <w:p w14:paraId="32E262B7" w14:textId="09A14AC4" w:rsidR="00E9700E" w:rsidRPr="00176D37" w:rsidRDefault="00E9700E" w:rsidP="00B44956">
            <w:pPr>
              <w:pStyle w:val="Tabletext"/>
              <w:rPr>
                <w:rFonts w:cs="Arial"/>
              </w:rPr>
            </w:pPr>
            <w:bookmarkStart w:id="57" w:name="_Hlk94604865"/>
            <w:r w:rsidRPr="00176D37">
              <w:rPr>
                <w:rFonts w:cs="Arial"/>
              </w:rPr>
              <w:t xml:space="preserve">Review/overview of content </w:t>
            </w:r>
            <w:bookmarkEnd w:id="57"/>
            <w:r w:rsidRPr="00176D37">
              <w:rPr>
                <w:rFonts w:cs="Arial"/>
              </w:rPr>
              <w:t>(subject matter expert)</w:t>
            </w:r>
          </w:p>
        </w:tc>
        <w:tc>
          <w:tcPr>
            <w:tcW w:w="1204" w:type="dxa"/>
          </w:tcPr>
          <w:p w14:paraId="31F1CB57" w14:textId="77777777" w:rsidR="00E9700E" w:rsidRPr="00176D37" w:rsidRDefault="00E9700E" w:rsidP="009742AB">
            <w:pPr>
              <w:pStyle w:val="Tabletext"/>
              <w:jc w:val="right"/>
              <w:rPr>
                <w:rFonts w:cs="Arial"/>
              </w:rPr>
            </w:pPr>
            <w:r w:rsidRPr="00176D37">
              <w:rPr>
                <w:rFonts w:cs="Arial"/>
              </w:rPr>
              <w:t>3 (50%)</w:t>
            </w:r>
          </w:p>
        </w:tc>
        <w:tc>
          <w:tcPr>
            <w:tcW w:w="1204" w:type="dxa"/>
          </w:tcPr>
          <w:p w14:paraId="24129FAD" w14:textId="77777777" w:rsidR="00E9700E" w:rsidRPr="00176D37" w:rsidRDefault="00E9700E" w:rsidP="009742AB">
            <w:pPr>
              <w:pStyle w:val="Tabletext"/>
              <w:jc w:val="right"/>
              <w:rPr>
                <w:rFonts w:cs="Arial"/>
              </w:rPr>
            </w:pPr>
            <w:r w:rsidRPr="00176D37">
              <w:rPr>
                <w:rFonts w:cs="Arial"/>
              </w:rPr>
              <w:t>1 (20%)</w:t>
            </w:r>
          </w:p>
        </w:tc>
        <w:tc>
          <w:tcPr>
            <w:tcW w:w="1205" w:type="dxa"/>
          </w:tcPr>
          <w:p w14:paraId="798465DE" w14:textId="77777777" w:rsidR="00E9700E" w:rsidRPr="00176D37" w:rsidRDefault="00E9700E" w:rsidP="009742AB">
            <w:pPr>
              <w:pStyle w:val="Tabletext"/>
              <w:jc w:val="right"/>
              <w:rPr>
                <w:rFonts w:cs="Arial"/>
              </w:rPr>
            </w:pPr>
            <w:r w:rsidRPr="00176D37">
              <w:rPr>
                <w:rFonts w:cs="Arial"/>
              </w:rPr>
              <w:t>3 (43%)</w:t>
            </w:r>
          </w:p>
        </w:tc>
        <w:tc>
          <w:tcPr>
            <w:tcW w:w="1204" w:type="dxa"/>
          </w:tcPr>
          <w:p w14:paraId="6744F46D" w14:textId="77777777" w:rsidR="00E9700E" w:rsidRPr="00176D37" w:rsidRDefault="00E9700E" w:rsidP="009742AB">
            <w:pPr>
              <w:pStyle w:val="Tabletext"/>
              <w:jc w:val="right"/>
              <w:rPr>
                <w:rFonts w:cs="Arial"/>
              </w:rPr>
            </w:pPr>
            <w:r w:rsidRPr="00176D37">
              <w:rPr>
                <w:rFonts w:cs="Arial"/>
              </w:rPr>
              <w:t>1 (17%)</w:t>
            </w:r>
          </w:p>
        </w:tc>
        <w:tc>
          <w:tcPr>
            <w:tcW w:w="1204" w:type="dxa"/>
          </w:tcPr>
          <w:p w14:paraId="5B61E053" w14:textId="77777777" w:rsidR="00E9700E" w:rsidRPr="00176D37" w:rsidRDefault="00E9700E" w:rsidP="009742AB">
            <w:pPr>
              <w:pStyle w:val="Tabletext"/>
              <w:jc w:val="right"/>
              <w:rPr>
                <w:rFonts w:cs="Arial"/>
              </w:rPr>
            </w:pPr>
            <w:r w:rsidRPr="00176D37">
              <w:rPr>
                <w:rFonts w:cs="Arial"/>
              </w:rPr>
              <w:t>2 (67%)</w:t>
            </w:r>
          </w:p>
        </w:tc>
        <w:tc>
          <w:tcPr>
            <w:tcW w:w="1204" w:type="dxa"/>
          </w:tcPr>
          <w:p w14:paraId="54E7AB1D" w14:textId="77777777" w:rsidR="00E9700E" w:rsidRPr="00176D37" w:rsidRDefault="00E9700E" w:rsidP="009742AB">
            <w:pPr>
              <w:pStyle w:val="Tabletext"/>
              <w:jc w:val="right"/>
              <w:rPr>
                <w:rFonts w:cs="Arial"/>
              </w:rPr>
            </w:pPr>
            <w:r w:rsidRPr="00176D37">
              <w:rPr>
                <w:rFonts w:cs="Arial"/>
              </w:rPr>
              <w:t>7 (35%)</w:t>
            </w:r>
          </w:p>
        </w:tc>
        <w:tc>
          <w:tcPr>
            <w:tcW w:w="1205" w:type="dxa"/>
          </w:tcPr>
          <w:p w14:paraId="569C6501" w14:textId="77777777" w:rsidR="00E9700E" w:rsidRPr="00176D37" w:rsidRDefault="00E9700E" w:rsidP="009742AB">
            <w:pPr>
              <w:pStyle w:val="Tabletext"/>
              <w:jc w:val="right"/>
              <w:rPr>
                <w:rFonts w:cs="Arial"/>
              </w:rPr>
            </w:pPr>
            <w:r w:rsidRPr="00176D37">
              <w:rPr>
                <w:rFonts w:cs="Arial"/>
              </w:rPr>
              <w:t>2 (50%)</w:t>
            </w:r>
          </w:p>
        </w:tc>
      </w:tr>
      <w:tr w:rsidR="00E9700E" w:rsidRPr="00176D37" w14:paraId="538BE2D2" w14:textId="77777777" w:rsidTr="00E525F8">
        <w:trPr>
          <w:trHeight w:val="1086"/>
        </w:trPr>
        <w:tc>
          <w:tcPr>
            <w:tcW w:w="1204" w:type="dxa"/>
          </w:tcPr>
          <w:p w14:paraId="3154B09B" w14:textId="553573B1" w:rsidR="00E9700E" w:rsidRPr="00176D37" w:rsidRDefault="00E9700E" w:rsidP="00B44956">
            <w:pPr>
              <w:pStyle w:val="Tabletext"/>
              <w:rPr>
                <w:rFonts w:cs="Arial"/>
              </w:rPr>
            </w:pPr>
            <w:bookmarkStart w:id="58" w:name="_Hlk94605041"/>
            <w:r w:rsidRPr="00176D37">
              <w:rPr>
                <w:rFonts w:cs="Arial"/>
              </w:rPr>
              <w:t>Consulted on workflows/content</w:t>
            </w:r>
            <w:bookmarkEnd w:id="58"/>
          </w:p>
        </w:tc>
        <w:tc>
          <w:tcPr>
            <w:tcW w:w="1204" w:type="dxa"/>
          </w:tcPr>
          <w:p w14:paraId="1907E79A" w14:textId="77777777" w:rsidR="00E9700E" w:rsidRPr="00176D37" w:rsidRDefault="00E9700E" w:rsidP="009742AB">
            <w:pPr>
              <w:pStyle w:val="Tabletext"/>
              <w:jc w:val="right"/>
              <w:rPr>
                <w:rFonts w:cs="Arial"/>
              </w:rPr>
            </w:pPr>
            <w:r w:rsidRPr="00176D37">
              <w:rPr>
                <w:rFonts w:cs="Arial"/>
              </w:rPr>
              <w:t>2 (33%)</w:t>
            </w:r>
          </w:p>
        </w:tc>
        <w:tc>
          <w:tcPr>
            <w:tcW w:w="1204" w:type="dxa"/>
          </w:tcPr>
          <w:p w14:paraId="5F4CC8C0" w14:textId="77777777" w:rsidR="00E9700E" w:rsidRPr="00176D37" w:rsidRDefault="00E9700E" w:rsidP="009742AB">
            <w:pPr>
              <w:pStyle w:val="Tabletext"/>
              <w:jc w:val="right"/>
              <w:rPr>
                <w:rFonts w:cs="Arial"/>
              </w:rPr>
            </w:pPr>
            <w:r w:rsidRPr="00176D37">
              <w:rPr>
                <w:rFonts w:cs="Arial"/>
              </w:rPr>
              <w:t>3 (60%)</w:t>
            </w:r>
          </w:p>
        </w:tc>
        <w:tc>
          <w:tcPr>
            <w:tcW w:w="1205" w:type="dxa"/>
          </w:tcPr>
          <w:p w14:paraId="1FBE445F" w14:textId="77777777" w:rsidR="00E9700E" w:rsidRPr="00176D37" w:rsidRDefault="00E9700E" w:rsidP="009742AB">
            <w:pPr>
              <w:pStyle w:val="Tabletext"/>
              <w:jc w:val="right"/>
              <w:rPr>
                <w:rFonts w:cs="Arial"/>
              </w:rPr>
            </w:pPr>
            <w:r w:rsidRPr="00176D37">
              <w:rPr>
                <w:rFonts w:cs="Arial"/>
              </w:rPr>
              <w:t>4 (57%)</w:t>
            </w:r>
          </w:p>
        </w:tc>
        <w:tc>
          <w:tcPr>
            <w:tcW w:w="1204" w:type="dxa"/>
          </w:tcPr>
          <w:p w14:paraId="6151A316" w14:textId="77777777" w:rsidR="00E9700E" w:rsidRPr="00176D37" w:rsidRDefault="00E9700E" w:rsidP="009742AB">
            <w:pPr>
              <w:pStyle w:val="Tabletext"/>
              <w:jc w:val="right"/>
              <w:rPr>
                <w:rFonts w:cs="Arial"/>
              </w:rPr>
            </w:pPr>
            <w:r w:rsidRPr="00176D37">
              <w:rPr>
                <w:rFonts w:cs="Arial"/>
              </w:rPr>
              <w:t>3 (50%)</w:t>
            </w:r>
          </w:p>
        </w:tc>
        <w:tc>
          <w:tcPr>
            <w:tcW w:w="1204" w:type="dxa"/>
          </w:tcPr>
          <w:p w14:paraId="13EA7423" w14:textId="77777777" w:rsidR="00E9700E" w:rsidRPr="00176D37" w:rsidRDefault="00E9700E" w:rsidP="009742AB">
            <w:pPr>
              <w:pStyle w:val="Tabletext"/>
              <w:jc w:val="right"/>
              <w:rPr>
                <w:rFonts w:cs="Arial"/>
              </w:rPr>
            </w:pPr>
            <w:r w:rsidRPr="00176D37">
              <w:rPr>
                <w:rFonts w:cs="Arial"/>
              </w:rPr>
              <w:t>2 (67%)</w:t>
            </w:r>
          </w:p>
        </w:tc>
        <w:tc>
          <w:tcPr>
            <w:tcW w:w="1204" w:type="dxa"/>
          </w:tcPr>
          <w:p w14:paraId="247620D5" w14:textId="77777777" w:rsidR="00E9700E" w:rsidRPr="00176D37" w:rsidRDefault="00E9700E" w:rsidP="009742AB">
            <w:pPr>
              <w:pStyle w:val="Tabletext"/>
              <w:jc w:val="right"/>
              <w:rPr>
                <w:rFonts w:cs="Arial"/>
              </w:rPr>
            </w:pPr>
            <w:r w:rsidRPr="00176D37">
              <w:rPr>
                <w:rFonts w:cs="Arial"/>
              </w:rPr>
              <w:t>13 (65%)</w:t>
            </w:r>
          </w:p>
        </w:tc>
        <w:tc>
          <w:tcPr>
            <w:tcW w:w="1205" w:type="dxa"/>
          </w:tcPr>
          <w:p w14:paraId="62D6551B" w14:textId="77777777" w:rsidR="00E9700E" w:rsidRPr="00176D37" w:rsidRDefault="00E9700E" w:rsidP="009742AB">
            <w:pPr>
              <w:pStyle w:val="Tabletext"/>
              <w:jc w:val="right"/>
              <w:rPr>
                <w:rFonts w:cs="Arial"/>
              </w:rPr>
            </w:pPr>
            <w:r w:rsidRPr="00176D37">
              <w:rPr>
                <w:rFonts w:cs="Arial"/>
              </w:rPr>
              <w:t>3 (75%)</w:t>
            </w:r>
          </w:p>
        </w:tc>
      </w:tr>
      <w:tr w:rsidR="00E9700E" w:rsidRPr="00176D37" w14:paraId="1DC73690" w14:textId="77777777" w:rsidTr="00E525F8">
        <w:trPr>
          <w:trHeight w:val="818"/>
        </w:trPr>
        <w:tc>
          <w:tcPr>
            <w:tcW w:w="1204" w:type="dxa"/>
          </w:tcPr>
          <w:p w14:paraId="38896F5A" w14:textId="07A8EAE4" w:rsidR="00E9700E" w:rsidRPr="00176D37" w:rsidRDefault="00E9700E" w:rsidP="00B44956">
            <w:pPr>
              <w:pStyle w:val="Tabletext"/>
              <w:rPr>
                <w:rFonts w:cs="Arial"/>
              </w:rPr>
            </w:pPr>
            <w:bookmarkStart w:id="59" w:name="_Hlk94605222"/>
            <w:r w:rsidRPr="00176D37">
              <w:rPr>
                <w:rFonts w:cs="Arial"/>
              </w:rPr>
              <w:t>Functional system testing</w:t>
            </w:r>
            <w:bookmarkEnd w:id="59"/>
          </w:p>
        </w:tc>
        <w:tc>
          <w:tcPr>
            <w:tcW w:w="1204" w:type="dxa"/>
          </w:tcPr>
          <w:p w14:paraId="0B819A1A" w14:textId="77777777" w:rsidR="00E9700E" w:rsidRPr="00176D37" w:rsidRDefault="00E9700E" w:rsidP="009742AB">
            <w:pPr>
              <w:pStyle w:val="Tabletext"/>
              <w:jc w:val="right"/>
              <w:rPr>
                <w:rFonts w:cs="Arial"/>
              </w:rPr>
            </w:pPr>
            <w:r w:rsidRPr="00176D37">
              <w:rPr>
                <w:rFonts w:cs="Arial"/>
              </w:rPr>
              <w:t>1 (17%)</w:t>
            </w:r>
          </w:p>
        </w:tc>
        <w:tc>
          <w:tcPr>
            <w:tcW w:w="1204" w:type="dxa"/>
          </w:tcPr>
          <w:p w14:paraId="06019916" w14:textId="77777777" w:rsidR="00E9700E" w:rsidRPr="00176D37" w:rsidRDefault="00E9700E" w:rsidP="009742AB">
            <w:pPr>
              <w:pStyle w:val="Tabletext"/>
              <w:jc w:val="right"/>
              <w:rPr>
                <w:rFonts w:cs="Arial"/>
              </w:rPr>
            </w:pPr>
            <w:r w:rsidRPr="00176D37">
              <w:rPr>
                <w:rFonts w:cs="Arial"/>
              </w:rPr>
              <w:t>1 (20%)</w:t>
            </w:r>
          </w:p>
        </w:tc>
        <w:tc>
          <w:tcPr>
            <w:tcW w:w="1205" w:type="dxa"/>
          </w:tcPr>
          <w:p w14:paraId="065A98F8" w14:textId="77777777" w:rsidR="00E9700E" w:rsidRPr="00176D37" w:rsidRDefault="00E9700E" w:rsidP="009742AB">
            <w:pPr>
              <w:pStyle w:val="Tabletext"/>
              <w:jc w:val="right"/>
              <w:rPr>
                <w:rFonts w:cs="Arial"/>
              </w:rPr>
            </w:pPr>
            <w:r w:rsidRPr="00176D37">
              <w:rPr>
                <w:rFonts w:cs="Arial"/>
              </w:rPr>
              <w:t>2 (29%)</w:t>
            </w:r>
          </w:p>
        </w:tc>
        <w:tc>
          <w:tcPr>
            <w:tcW w:w="1204" w:type="dxa"/>
          </w:tcPr>
          <w:p w14:paraId="5CAB0981" w14:textId="77777777" w:rsidR="00E9700E" w:rsidRPr="00176D37" w:rsidRDefault="00E9700E" w:rsidP="009742AB">
            <w:pPr>
              <w:pStyle w:val="Tabletext"/>
              <w:jc w:val="right"/>
              <w:rPr>
                <w:rFonts w:cs="Arial"/>
              </w:rPr>
            </w:pPr>
            <w:r w:rsidRPr="00176D37">
              <w:rPr>
                <w:rFonts w:cs="Arial"/>
              </w:rPr>
              <w:t>2 (33%)</w:t>
            </w:r>
          </w:p>
        </w:tc>
        <w:tc>
          <w:tcPr>
            <w:tcW w:w="1204" w:type="dxa"/>
          </w:tcPr>
          <w:p w14:paraId="28988889" w14:textId="77777777" w:rsidR="00E9700E" w:rsidRPr="00176D37" w:rsidRDefault="00E9700E" w:rsidP="009742AB">
            <w:pPr>
              <w:pStyle w:val="Tabletext"/>
              <w:jc w:val="right"/>
              <w:rPr>
                <w:rFonts w:cs="Arial"/>
              </w:rPr>
            </w:pPr>
            <w:r w:rsidRPr="00176D37">
              <w:rPr>
                <w:rFonts w:cs="Arial"/>
              </w:rPr>
              <w:t>3 (100%)</w:t>
            </w:r>
          </w:p>
        </w:tc>
        <w:tc>
          <w:tcPr>
            <w:tcW w:w="1204" w:type="dxa"/>
          </w:tcPr>
          <w:p w14:paraId="7EBAAE1B" w14:textId="77777777" w:rsidR="00E9700E" w:rsidRPr="00176D37" w:rsidRDefault="00E9700E" w:rsidP="009742AB">
            <w:pPr>
              <w:pStyle w:val="Tabletext"/>
              <w:jc w:val="right"/>
              <w:rPr>
                <w:rFonts w:cs="Arial"/>
              </w:rPr>
            </w:pPr>
            <w:r w:rsidRPr="00176D37">
              <w:rPr>
                <w:rFonts w:cs="Arial"/>
              </w:rPr>
              <w:t>2 (10%)</w:t>
            </w:r>
          </w:p>
        </w:tc>
        <w:tc>
          <w:tcPr>
            <w:tcW w:w="1205" w:type="dxa"/>
          </w:tcPr>
          <w:p w14:paraId="5AB646CE" w14:textId="77777777" w:rsidR="00E9700E" w:rsidRPr="00176D37" w:rsidRDefault="00E9700E" w:rsidP="009742AB">
            <w:pPr>
              <w:pStyle w:val="Tabletext"/>
              <w:jc w:val="right"/>
              <w:rPr>
                <w:rFonts w:cs="Arial"/>
              </w:rPr>
            </w:pPr>
            <w:r w:rsidRPr="00176D37">
              <w:rPr>
                <w:rFonts w:cs="Arial"/>
              </w:rPr>
              <w:t>2 (50%)</w:t>
            </w:r>
          </w:p>
        </w:tc>
      </w:tr>
      <w:tr w:rsidR="00E9700E" w:rsidRPr="00176D37" w14:paraId="57E8545E" w14:textId="77777777" w:rsidTr="00382C98">
        <w:trPr>
          <w:trHeight w:val="694"/>
        </w:trPr>
        <w:tc>
          <w:tcPr>
            <w:tcW w:w="1204" w:type="dxa"/>
          </w:tcPr>
          <w:p w14:paraId="7E84F119" w14:textId="63B9B0FD" w:rsidR="00E9700E" w:rsidRPr="00176D37" w:rsidRDefault="00E9700E" w:rsidP="00B44956">
            <w:pPr>
              <w:pStyle w:val="Tabletext"/>
              <w:rPr>
                <w:rFonts w:cs="Arial"/>
              </w:rPr>
            </w:pPr>
            <w:bookmarkStart w:id="60" w:name="_Hlk94605388"/>
            <w:r w:rsidRPr="00176D37">
              <w:rPr>
                <w:rFonts w:cs="Arial"/>
              </w:rPr>
              <w:t xml:space="preserve">Planning for </w:t>
            </w:r>
            <w:bookmarkEnd w:id="60"/>
            <w:r w:rsidRPr="00176D37">
              <w:rPr>
                <w:rFonts w:cs="Arial"/>
              </w:rPr>
              <w:t>go-live</w:t>
            </w:r>
          </w:p>
        </w:tc>
        <w:tc>
          <w:tcPr>
            <w:tcW w:w="1204" w:type="dxa"/>
          </w:tcPr>
          <w:p w14:paraId="4D225487" w14:textId="77777777" w:rsidR="00E9700E" w:rsidRPr="00176D37" w:rsidRDefault="00E9700E" w:rsidP="009742AB">
            <w:pPr>
              <w:pStyle w:val="Tabletext"/>
              <w:jc w:val="right"/>
              <w:rPr>
                <w:rFonts w:cs="Arial"/>
              </w:rPr>
            </w:pPr>
            <w:r w:rsidRPr="00176D37">
              <w:rPr>
                <w:rFonts w:cs="Arial"/>
              </w:rPr>
              <w:t>3 (50%)</w:t>
            </w:r>
          </w:p>
        </w:tc>
        <w:tc>
          <w:tcPr>
            <w:tcW w:w="1204" w:type="dxa"/>
          </w:tcPr>
          <w:p w14:paraId="3911900B" w14:textId="77777777" w:rsidR="00E9700E" w:rsidRPr="00176D37" w:rsidRDefault="00E9700E" w:rsidP="009742AB">
            <w:pPr>
              <w:pStyle w:val="Tabletext"/>
              <w:jc w:val="right"/>
              <w:rPr>
                <w:rFonts w:cs="Arial"/>
              </w:rPr>
            </w:pPr>
            <w:r w:rsidRPr="00176D37">
              <w:rPr>
                <w:rFonts w:cs="Arial"/>
              </w:rPr>
              <w:t>3 (60%)</w:t>
            </w:r>
          </w:p>
        </w:tc>
        <w:tc>
          <w:tcPr>
            <w:tcW w:w="1205" w:type="dxa"/>
          </w:tcPr>
          <w:p w14:paraId="71CFB708" w14:textId="77777777" w:rsidR="00E9700E" w:rsidRPr="00176D37" w:rsidRDefault="00E9700E" w:rsidP="009742AB">
            <w:pPr>
              <w:pStyle w:val="Tabletext"/>
              <w:jc w:val="right"/>
              <w:rPr>
                <w:rFonts w:cs="Arial"/>
              </w:rPr>
            </w:pPr>
            <w:r w:rsidRPr="00176D37">
              <w:rPr>
                <w:rFonts w:cs="Arial"/>
              </w:rPr>
              <w:t>2 (29%)</w:t>
            </w:r>
          </w:p>
        </w:tc>
        <w:tc>
          <w:tcPr>
            <w:tcW w:w="1204" w:type="dxa"/>
          </w:tcPr>
          <w:p w14:paraId="48ADA138" w14:textId="77777777" w:rsidR="00E9700E" w:rsidRPr="00176D37" w:rsidRDefault="00E9700E" w:rsidP="009742AB">
            <w:pPr>
              <w:pStyle w:val="Tabletext"/>
              <w:jc w:val="right"/>
              <w:rPr>
                <w:rFonts w:cs="Arial"/>
              </w:rPr>
            </w:pPr>
            <w:r w:rsidRPr="00176D37">
              <w:rPr>
                <w:rFonts w:cs="Arial"/>
              </w:rPr>
              <w:t>3 (50%)</w:t>
            </w:r>
          </w:p>
        </w:tc>
        <w:tc>
          <w:tcPr>
            <w:tcW w:w="1204" w:type="dxa"/>
          </w:tcPr>
          <w:p w14:paraId="480ED02A" w14:textId="77777777" w:rsidR="00E9700E" w:rsidRPr="00176D37" w:rsidRDefault="00E9700E" w:rsidP="009742AB">
            <w:pPr>
              <w:pStyle w:val="Tabletext"/>
              <w:jc w:val="right"/>
              <w:rPr>
                <w:rFonts w:cs="Arial"/>
              </w:rPr>
            </w:pPr>
            <w:r w:rsidRPr="00176D37">
              <w:rPr>
                <w:rFonts w:cs="Arial"/>
              </w:rPr>
              <w:t>3 (100%)</w:t>
            </w:r>
          </w:p>
        </w:tc>
        <w:tc>
          <w:tcPr>
            <w:tcW w:w="1204" w:type="dxa"/>
          </w:tcPr>
          <w:p w14:paraId="7B54A788" w14:textId="77777777" w:rsidR="00E9700E" w:rsidRPr="00176D37" w:rsidRDefault="00E9700E" w:rsidP="009742AB">
            <w:pPr>
              <w:pStyle w:val="Tabletext"/>
              <w:jc w:val="right"/>
              <w:rPr>
                <w:rFonts w:cs="Arial"/>
              </w:rPr>
            </w:pPr>
            <w:r w:rsidRPr="00176D37">
              <w:rPr>
                <w:rFonts w:cs="Arial"/>
              </w:rPr>
              <w:t>5 (25%)</w:t>
            </w:r>
          </w:p>
        </w:tc>
        <w:tc>
          <w:tcPr>
            <w:tcW w:w="1205" w:type="dxa"/>
          </w:tcPr>
          <w:p w14:paraId="79AC0929" w14:textId="77777777" w:rsidR="00E9700E" w:rsidRPr="00176D37" w:rsidRDefault="00E9700E" w:rsidP="009742AB">
            <w:pPr>
              <w:pStyle w:val="Tabletext"/>
              <w:jc w:val="right"/>
              <w:rPr>
                <w:rFonts w:cs="Arial"/>
              </w:rPr>
            </w:pPr>
            <w:r w:rsidRPr="00176D37">
              <w:rPr>
                <w:rFonts w:cs="Arial"/>
              </w:rPr>
              <w:t>2 (50%)</w:t>
            </w:r>
          </w:p>
        </w:tc>
      </w:tr>
      <w:tr w:rsidR="00E9700E" w:rsidRPr="00176D37" w14:paraId="530FCD6B" w14:textId="77777777" w:rsidTr="00382C98">
        <w:trPr>
          <w:trHeight w:val="704"/>
        </w:trPr>
        <w:tc>
          <w:tcPr>
            <w:tcW w:w="1204" w:type="dxa"/>
          </w:tcPr>
          <w:p w14:paraId="06F97856" w14:textId="2BAB6E9D" w:rsidR="00E9700E" w:rsidRPr="00176D37" w:rsidRDefault="00E9700E" w:rsidP="00B44956">
            <w:pPr>
              <w:pStyle w:val="Tabletext"/>
              <w:rPr>
                <w:rFonts w:cs="Arial"/>
              </w:rPr>
            </w:pPr>
            <w:bookmarkStart w:id="61" w:name="_Hlk94605497"/>
            <w:r w:rsidRPr="00176D37">
              <w:rPr>
                <w:rFonts w:cs="Arial"/>
              </w:rPr>
              <w:t>Staff education</w:t>
            </w:r>
            <w:bookmarkEnd w:id="61"/>
          </w:p>
        </w:tc>
        <w:tc>
          <w:tcPr>
            <w:tcW w:w="1204" w:type="dxa"/>
          </w:tcPr>
          <w:p w14:paraId="2B8A3B15" w14:textId="77777777" w:rsidR="00E9700E" w:rsidRPr="00176D37" w:rsidRDefault="00E9700E" w:rsidP="009742AB">
            <w:pPr>
              <w:pStyle w:val="Tabletext"/>
              <w:jc w:val="right"/>
              <w:rPr>
                <w:rFonts w:cs="Arial"/>
              </w:rPr>
            </w:pPr>
            <w:r w:rsidRPr="00176D37">
              <w:rPr>
                <w:rFonts w:cs="Arial"/>
              </w:rPr>
              <w:t>4 (67%)</w:t>
            </w:r>
          </w:p>
        </w:tc>
        <w:tc>
          <w:tcPr>
            <w:tcW w:w="1204" w:type="dxa"/>
          </w:tcPr>
          <w:p w14:paraId="7109652D" w14:textId="77777777" w:rsidR="00E9700E" w:rsidRPr="00176D37" w:rsidRDefault="00E9700E" w:rsidP="009742AB">
            <w:pPr>
              <w:pStyle w:val="Tabletext"/>
              <w:jc w:val="right"/>
              <w:rPr>
                <w:rFonts w:cs="Arial"/>
              </w:rPr>
            </w:pPr>
            <w:r w:rsidRPr="00176D37">
              <w:rPr>
                <w:rFonts w:cs="Arial"/>
              </w:rPr>
              <w:t>3 (60%)</w:t>
            </w:r>
          </w:p>
        </w:tc>
        <w:tc>
          <w:tcPr>
            <w:tcW w:w="1205" w:type="dxa"/>
          </w:tcPr>
          <w:p w14:paraId="107B534E" w14:textId="77777777" w:rsidR="00E9700E" w:rsidRPr="00176D37" w:rsidRDefault="00E9700E" w:rsidP="009742AB">
            <w:pPr>
              <w:pStyle w:val="Tabletext"/>
              <w:jc w:val="right"/>
              <w:rPr>
                <w:rFonts w:cs="Arial"/>
              </w:rPr>
            </w:pPr>
            <w:r w:rsidRPr="00176D37">
              <w:rPr>
                <w:rFonts w:cs="Arial"/>
              </w:rPr>
              <w:t>3 (43%)</w:t>
            </w:r>
          </w:p>
        </w:tc>
        <w:tc>
          <w:tcPr>
            <w:tcW w:w="1204" w:type="dxa"/>
          </w:tcPr>
          <w:p w14:paraId="663796CC" w14:textId="77777777" w:rsidR="00E9700E" w:rsidRPr="00176D37" w:rsidRDefault="00E9700E" w:rsidP="009742AB">
            <w:pPr>
              <w:pStyle w:val="Tabletext"/>
              <w:jc w:val="right"/>
              <w:rPr>
                <w:rFonts w:cs="Arial"/>
              </w:rPr>
            </w:pPr>
            <w:r w:rsidRPr="00176D37">
              <w:rPr>
                <w:rFonts w:cs="Arial"/>
              </w:rPr>
              <w:t>3 (50%)</w:t>
            </w:r>
          </w:p>
        </w:tc>
        <w:tc>
          <w:tcPr>
            <w:tcW w:w="1204" w:type="dxa"/>
          </w:tcPr>
          <w:p w14:paraId="7DA10A8A" w14:textId="77777777" w:rsidR="00E9700E" w:rsidRPr="00176D37" w:rsidRDefault="00E9700E" w:rsidP="009742AB">
            <w:pPr>
              <w:pStyle w:val="Tabletext"/>
              <w:jc w:val="right"/>
              <w:rPr>
                <w:rFonts w:cs="Arial"/>
              </w:rPr>
            </w:pPr>
            <w:r w:rsidRPr="00176D37">
              <w:rPr>
                <w:rFonts w:cs="Arial"/>
              </w:rPr>
              <w:t>2 (67%)</w:t>
            </w:r>
          </w:p>
        </w:tc>
        <w:tc>
          <w:tcPr>
            <w:tcW w:w="1204" w:type="dxa"/>
          </w:tcPr>
          <w:p w14:paraId="261E48B2" w14:textId="77777777" w:rsidR="00E9700E" w:rsidRPr="00176D37" w:rsidRDefault="00E9700E" w:rsidP="009742AB">
            <w:pPr>
              <w:pStyle w:val="Tabletext"/>
              <w:jc w:val="right"/>
              <w:rPr>
                <w:rFonts w:cs="Arial"/>
              </w:rPr>
            </w:pPr>
            <w:r w:rsidRPr="00176D37">
              <w:rPr>
                <w:rFonts w:cs="Arial"/>
              </w:rPr>
              <w:t>3 (15%)</w:t>
            </w:r>
          </w:p>
        </w:tc>
        <w:tc>
          <w:tcPr>
            <w:tcW w:w="1205" w:type="dxa"/>
          </w:tcPr>
          <w:p w14:paraId="72D7922D" w14:textId="77777777" w:rsidR="00E9700E" w:rsidRPr="00176D37" w:rsidRDefault="00E9700E" w:rsidP="009742AB">
            <w:pPr>
              <w:pStyle w:val="Tabletext"/>
              <w:jc w:val="right"/>
              <w:rPr>
                <w:rFonts w:cs="Arial"/>
              </w:rPr>
            </w:pPr>
            <w:r w:rsidRPr="00176D37">
              <w:rPr>
                <w:rFonts w:cs="Arial"/>
              </w:rPr>
              <w:t>3 (75%)</w:t>
            </w:r>
          </w:p>
        </w:tc>
      </w:tr>
      <w:tr w:rsidR="00E9700E" w:rsidRPr="00176D37" w14:paraId="2384E46D" w14:textId="77777777" w:rsidTr="00E525F8">
        <w:trPr>
          <w:trHeight w:val="794"/>
        </w:trPr>
        <w:tc>
          <w:tcPr>
            <w:tcW w:w="1204" w:type="dxa"/>
          </w:tcPr>
          <w:p w14:paraId="2048727E" w14:textId="77777777" w:rsidR="00E9700E" w:rsidRPr="00176D37" w:rsidRDefault="00E9700E" w:rsidP="00B44956">
            <w:pPr>
              <w:pStyle w:val="Tabletext"/>
              <w:rPr>
                <w:rFonts w:cs="Arial"/>
              </w:rPr>
            </w:pPr>
            <w:r w:rsidRPr="00176D37">
              <w:rPr>
                <w:rFonts w:cs="Arial"/>
              </w:rPr>
              <w:t>Other</w:t>
            </w:r>
          </w:p>
        </w:tc>
        <w:tc>
          <w:tcPr>
            <w:tcW w:w="1204" w:type="dxa"/>
          </w:tcPr>
          <w:p w14:paraId="165CFF7A" w14:textId="40484561" w:rsidR="00E9700E" w:rsidRPr="00176D37" w:rsidRDefault="00E9700E" w:rsidP="009742AB">
            <w:pPr>
              <w:pStyle w:val="Tabletext"/>
              <w:jc w:val="right"/>
              <w:rPr>
                <w:rFonts w:cs="Arial"/>
              </w:rPr>
            </w:pPr>
            <w:r w:rsidRPr="00176D37">
              <w:rPr>
                <w:rFonts w:cs="Arial"/>
              </w:rPr>
              <w:t>1 (17%) (credentialed trainer)</w:t>
            </w:r>
          </w:p>
        </w:tc>
        <w:tc>
          <w:tcPr>
            <w:tcW w:w="1204" w:type="dxa"/>
          </w:tcPr>
          <w:p w14:paraId="08C1AB8A" w14:textId="77777777" w:rsidR="00E9700E" w:rsidRPr="00176D37" w:rsidRDefault="00E9700E" w:rsidP="009742AB">
            <w:pPr>
              <w:pStyle w:val="Tabletext"/>
              <w:jc w:val="right"/>
              <w:rPr>
                <w:rFonts w:cs="Arial"/>
              </w:rPr>
            </w:pPr>
            <w:r w:rsidRPr="00176D37">
              <w:rPr>
                <w:rFonts w:cs="Arial"/>
              </w:rPr>
              <w:t>1 (20%) (project director)</w:t>
            </w:r>
          </w:p>
        </w:tc>
        <w:tc>
          <w:tcPr>
            <w:tcW w:w="1205" w:type="dxa"/>
          </w:tcPr>
          <w:p w14:paraId="08DE73CD" w14:textId="77777777" w:rsidR="00E9700E" w:rsidRPr="00176D37" w:rsidRDefault="00E9700E" w:rsidP="009742AB">
            <w:pPr>
              <w:pStyle w:val="Tabletext"/>
              <w:jc w:val="right"/>
              <w:rPr>
                <w:rFonts w:cs="Arial"/>
              </w:rPr>
            </w:pPr>
            <w:r w:rsidRPr="00176D37">
              <w:rPr>
                <w:rFonts w:cs="Arial"/>
              </w:rPr>
              <w:t>-</w:t>
            </w:r>
          </w:p>
        </w:tc>
        <w:tc>
          <w:tcPr>
            <w:tcW w:w="1204" w:type="dxa"/>
          </w:tcPr>
          <w:p w14:paraId="590D2875" w14:textId="77777777" w:rsidR="00E9700E" w:rsidRPr="00176D37" w:rsidRDefault="00E9700E" w:rsidP="009742AB">
            <w:pPr>
              <w:pStyle w:val="Tabletext"/>
              <w:jc w:val="right"/>
              <w:rPr>
                <w:rFonts w:cs="Arial"/>
              </w:rPr>
            </w:pPr>
            <w:r w:rsidRPr="00176D37">
              <w:rPr>
                <w:rFonts w:cs="Arial"/>
              </w:rPr>
              <w:t>-</w:t>
            </w:r>
          </w:p>
        </w:tc>
        <w:tc>
          <w:tcPr>
            <w:tcW w:w="1204" w:type="dxa"/>
          </w:tcPr>
          <w:p w14:paraId="68D5F80D" w14:textId="2A6A8906" w:rsidR="00E9700E" w:rsidRPr="00176D37" w:rsidRDefault="00E9700E" w:rsidP="009742AB">
            <w:pPr>
              <w:pStyle w:val="Tabletext"/>
              <w:jc w:val="right"/>
              <w:rPr>
                <w:rFonts w:cs="Arial"/>
              </w:rPr>
            </w:pPr>
            <w:r w:rsidRPr="00176D37">
              <w:rPr>
                <w:rFonts w:cs="Arial"/>
              </w:rPr>
              <w:t>1 (33%) (deploy</w:t>
            </w:r>
            <w:r w:rsidR="00C16807">
              <w:rPr>
                <w:rFonts w:cs="Arial"/>
              </w:rPr>
              <w:t>-</w:t>
            </w:r>
            <w:proofErr w:type="spellStart"/>
            <w:r w:rsidRPr="00176D37">
              <w:rPr>
                <w:rFonts w:cs="Arial"/>
              </w:rPr>
              <w:t>ment</w:t>
            </w:r>
            <w:proofErr w:type="spellEnd"/>
            <w:r w:rsidRPr="00176D37">
              <w:rPr>
                <w:rFonts w:cs="Arial"/>
              </w:rPr>
              <w:t>)</w:t>
            </w:r>
          </w:p>
        </w:tc>
        <w:tc>
          <w:tcPr>
            <w:tcW w:w="1204" w:type="dxa"/>
          </w:tcPr>
          <w:p w14:paraId="739A0BF9" w14:textId="77777777" w:rsidR="00E9700E" w:rsidRPr="00176D37" w:rsidRDefault="00E9700E" w:rsidP="009742AB">
            <w:pPr>
              <w:pStyle w:val="Tabletext"/>
              <w:jc w:val="right"/>
              <w:rPr>
                <w:rFonts w:cs="Arial"/>
              </w:rPr>
            </w:pPr>
            <w:r w:rsidRPr="00176D37">
              <w:rPr>
                <w:rFonts w:cs="Arial"/>
              </w:rPr>
              <w:t>-</w:t>
            </w:r>
          </w:p>
        </w:tc>
        <w:tc>
          <w:tcPr>
            <w:tcW w:w="1205" w:type="dxa"/>
          </w:tcPr>
          <w:p w14:paraId="77CA35F5" w14:textId="77777777" w:rsidR="00E9700E" w:rsidRPr="00176D37" w:rsidRDefault="00E9700E" w:rsidP="009742AB">
            <w:pPr>
              <w:pStyle w:val="Tabletext"/>
              <w:jc w:val="right"/>
              <w:rPr>
                <w:rFonts w:cs="Arial"/>
              </w:rPr>
            </w:pPr>
            <w:r w:rsidRPr="00176D37">
              <w:rPr>
                <w:rFonts w:cs="Arial"/>
              </w:rPr>
              <w:t>-</w:t>
            </w:r>
          </w:p>
        </w:tc>
      </w:tr>
    </w:tbl>
    <w:p w14:paraId="646B3C39" w14:textId="77777777" w:rsidR="00E9700E" w:rsidRPr="00B44956" w:rsidRDefault="00E9700E" w:rsidP="00B44956">
      <w:pPr>
        <w:pStyle w:val="Heading2"/>
      </w:pPr>
      <w:bookmarkStart w:id="62" w:name="_Toc101285672"/>
      <w:bookmarkStart w:id="63" w:name="_Toc101947694"/>
      <w:bookmarkStart w:id="64" w:name="_Toc104975918"/>
      <w:r w:rsidRPr="00B44956">
        <w:lastRenderedPageBreak/>
        <w:t>Input into system development and implementation</w:t>
      </w:r>
      <w:bookmarkEnd w:id="62"/>
      <w:bookmarkEnd w:id="63"/>
      <w:bookmarkEnd w:id="64"/>
    </w:p>
    <w:p w14:paraId="00F23100" w14:textId="4F645428" w:rsidR="00E9700E" w:rsidRPr="00176D37" w:rsidRDefault="00E9700E" w:rsidP="00B44956">
      <w:pPr>
        <w:pStyle w:val="Body"/>
      </w:pPr>
      <w:r w:rsidRPr="00176D37">
        <w:t xml:space="preserve">Forty-five respondents representing 18 health services were at the health service during development and implementation of their EMR. Twenty-nine (64 per cent) of these indicated they had input into system development and implementation. </w:t>
      </w:r>
      <w:r w:rsidR="00C16807">
        <w:t>Twenty-four of these 29</w:t>
      </w:r>
      <w:r w:rsidRPr="00176D37">
        <w:t xml:space="preserve"> (83 per cent) felt their input was valued, 19</w:t>
      </w:r>
      <w:r w:rsidR="00C16807">
        <w:t xml:space="preserve"> of </w:t>
      </w:r>
      <w:r w:rsidRPr="00176D37">
        <w:t xml:space="preserve">29 (66 per cent) felt their input was acted upon, </w:t>
      </w:r>
      <w:r w:rsidR="00C16807">
        <w:t>and</w:t>
      </w:r>
      <w:r w:rsidR="00C16807" w:rsidRPr="00176D37">
        <w:t xml:space="preserve"> </w:t>
      </w:r>
      <w:r w:rsidRPr="00176D37">
        <w:t xml:space="preserve">nine (31 per cent) felt neutral as to whether their input was acted upon. Five of the 29 who had given input (17 per cent) felt neutral towards the value of their input. </w:t>
      </w:r>
    </w:p>
    <w:p w14:paraId="664E7BC1" w14:textId="77777777" w:rsidR="00E9700E" w:rsidRPr="00176D37" w:rsidRDefault="00E9700E" w:rsidP="00B44956">
      <w:pPr>
        <w:pStyle w:val="Body"/>
      </w:pPr>
      <w:r w:rsidRPr="00176D37">
        <w:t>Sixteen respondents were not directly involved in the development and implementation of the EMR, eight (50 per cent) reported they would have liked some input.</w:t>
      </w:r>
    </w:p>
    <w:p w14:paraId="6BEE8223" w14:textId="77777777" w:rsidR="00E9700E" w:rsidRPr="00B44956" w:rsidRDefault="00E9700E" w:rsidP="00B44956">
      <w:pPr>
        <w:pStyle w:val="Heading2"/>
      </w:pPr>
      <w:bookmarkStart w:id="65" w:name="_Toc101285673"/>
      <w:bookmarkStart w:id="66" w:name="_Toc101947695"/>
      <w:bookmarkStart w:id="67" w:name="_Toc104975919"/>
      <w:r w:rsidRPr="00B44956">
        <w:t>EMR integration with other IT systems</w:t>
      </w:r>
      <w:bookmarkEnd w:id="65"/>
      <w:bookmarkEnd w:id="66"/>
      <w:bookmarkEnd w:id="67"/>
    </w:p>
    <w:p w14:paraId="38037B04" w14:textId="43E7B277" w:rsidR="00E9700E" w:rsidRPr="00176D37" w:rsidRDefault="00E9700E" w:rsidP="00B44956">
      <w:pPr>
        <w:pStyle w:val="Body"/>
      </w:pPr>
      <w:r w:rsidRPr="00176D37">
        <w:t xml:space="preserve">The level of integration with other electronic systems such as patient registration, laboratory information and result systems </w:t>
      </w:r>
      <w:proofErr w:type="gramStart"/>
      <w:r w:rsidR="00C16807" w:rsidRPr="00176D37">
        <w:t>var</w:t>
      </w:r>
      <w:r w:rsidR="00C16807">
        <w:t>ies</w:t>
      </w:r>
      <w:proofErr w:type="gramEnd"/>
      <w:r w:rsidRPr="00176D37">
        <w:t>. The following IT integration was reported by the 20 health services with an EMR in place (</w:t>
      </w:r>
      <w:r w:rsidRPr="00176D37">
        <w:fldChar w:fldCharType="begin"/>
      </w:r>
      <w:r w:rsidRPr="00176D37">
        <w:instrText xml:space="preserve"> REF _Ref100678579 \h  \* MERGEFORMAT </w:instrText>
      </w:r>
      <w:r w:rsidRPr="00176D37">
        <w:fldChar w:fldCharType="separate"/>
      </w:r>
      <w:r w:rsidR="00E73E2F" w:rsidRPr="00176D37">
        <w:t xml:space="preserve">Table </w:t>
      </w:r>
      <w:r w:rsidR="00E73E2F">
        <w:rPr>
          <w:noProof/>
        </w:rPr>
        <w:t>6</w:t>
      </w:r>
      <w:r w:rsidRPr="00176D37">
        <w:fldChar w:fldCharType="end"/>
      </w:r>
      <w:r w:rsidRPr="00176D37">
        <w:t xml:space="preserve">). </w:t>
      </w:r>
    </w:p>
    <w:p w14:paraId="78931D7E" w14:textId="77CF2048" w:rsidR="00E9700E" w:rsidRPr="00176D37" w:rsidRDefault="00E9700E" w:rsidP="00B44956">
      <w:pPr>
        <w:pStyle w:val="Tablecaption"/>
      </w:pPr>
      <w:bookmarkStart w:id="68" w:name="_Ref100678579"/>
      <w:bookmarkStart w:id="69" w:name="_Ref100658884"/>
      <w:r w:rsidRPr="00176D37">
        <w:t xml:space="preserve">Table </w:t>
      </w:r>
      <w:r w:rsidR="00F751A0">
        <w:fldChar w:fldCharType="begin"/>
      </w:r>
      <w:r w:rsidR="00F751A0">
        <w:instrText xml:space="preserve"> SEQ Table \* ARABIC </w:instrText>
      </w:r>
      <w:r w:rsidR="00F751A0">
        <w:fldChar w:fldCharType="separate"/>
      </w:r>
      <w:r w:rsidR="00E73E2F">
        <w:rPr>
          <w:noProof/>
        </w:rPr>
        <w:t>6</w:t>
      </w:r>
      <w:r w:rsidR="00F751A0">
        <w:rPr>
          <w:noProof/>
        </w:rPr>
        <w:fldChar w:fldCharType="end"/>
      </w:r>
      <w:bookmarkEnd w:id="68"/>
      <w:r w:rsidRPr="00176D37">
        <w:t>: EMR integration with other IT systems</w:t>
      </w:r>
      <w:bookmarkEnd w:id="69"/>
    </w:p>
    <w:tbl>
      <w:tblPr>
        <w:tblStyle w:val="TableGrid"/>
        <w:tblW w:w="0" w:type="auto"/>
        <w:tblLook w:val="04A0" w:firstRow="1" w:lastRow="0" w:firstColumn="1" w:lastColumn="0" w:noHBand="0" w:noVBand="1"/>
      </w:tblPr>
      <w:tblGrid>
        <w:gridCol w:w="5537"/>
        <w:gridCol w:w="3751"/>
      </w:tblGrid>
      <w:tr w:rsidR="00E9700E" w:rsidRPr="00176D37" w14:paraId="189A31D5" w14:textId="77777777" w:rsidTr="009742AB">
        <w:trPr>
          <w:tblHeader/>
        </w:trPr>
        <w:tc>
          <w:tcPr>
            <w:tcW w:w="6091" w:type="dxa"/>
          </w:tcPr>
          <w:p w14:paraId="3EDF7132" w14:textId="60BFA1F0" w:rsidR="00E9700E" w:rsidRPr="00176D37" w:rsidRDefault="00C16807" w:rsidP="00B44956">
            <w:pPr>
              <w:pStyle w:val="Tablecolhead"/>
            </w:pPr>
            <w:r>
              <w:t>IT system</w:t>
            </w:r>
          </w:p>
        </w:tc>
        <w:tc>
          <w:tcPr>
            <w:tcW w:w="4110" w:type="dxa"/>
          </w:tcPr>
          <w:p w14:paraId="1D065FE9" w14:textId="7245904D" w:rsidR="00E9700E" w:rsidRPr="00176D37" w:rsidRDefault="00E9700E" w:rsidP="00B44956">
            <w:pPr>
              <w:pStyle w:val="Tablecolhead"/>
            </w:pPr>
            <w:r w:rsidRPr="00176D37">
              <w:t>Health service count</w:t>
            </w:r>
            <w:r w:rsidRPr="00176D37">
              <w:rPr>
                <w:rStyle w:val="FootnoteReference"/>
                <w:rFonts w:cs="Arial"/>
              </w:rPr>
              <w:footnoteReference w:id="5"/>
            </w:r>
            <w:r w:rsidRPr="00176D37">
              <w:t xml:space="preserve"> n</w:t>
            </w:r>
            <w:r w:rsidR="00C16807">
              <w:t xml:space="preserve"> </w:t>
            </w:r>
            <w:r w:rsidRPr="00176D37">
              <w:t>=</w:t>
            </w:r>
            <w:r w:rsidR="00C16807">
              <w:t xml:space="preserve"> </w:t>
            </w:r>
            <w:r w:rsidRPr="00176D37">
              <w:t>20, (%)</w:t>
            </w:r>
          </w:p>
        </w:tc>
      </w:tr>
      <w:tr w:rsidR="00E9700E" w:rsidRPr="00176D37" w14:paraId="5B16F66C" w14:textId="77777777" w:rsidTr="00A173F8">
        <w:tc>
          <w:tcPr>
            <w:tcW w:w="6091" w:type="dxa"/>
            <w:vAlign w:val="center"/>
          </w:tcPr>
          <w:p w14:paraId="6E767717" w14:textId="77777777" w:rsidR="00E9700E" w:rsidRPr="00176D37" w:rsidRDefault="00E9700E" w:rsidP="00B44956">
            <w:pPr>
              <w:pStyle w:val="Tabletext"/>
            </w:pPr>
            <w:r w:rsidRPr="00176D37">
              <w:t>Laboratory information system (LIS)</w:t>
            </w:r>
          </w:p>
        </w:tc>
        <w:tc>
          <w:tcPr>
            <w:tcW w:w="4110" w:type="dxa"/>
          </w:tcPr>
          <w:p w14:paraId="51C3AED5" w14:textId="77777777" w:rsidR="00E9700E" w:rsidRPr="00176D37" w:rsidRDefault="00E9700E" w:rsidP="009742AB">
            <w:pPr>
              <w:pStyle w:val="Tabletext"/>
              <w:jc w:val="right"/>
            </w:pPr>
            <w:r w:rsidRPr="00176D37">
              <w:t>17 (85%)</w:t>
            </w:r>
          </w:p>
        </w:tc>
      </w:tr>
      <w:tr w:rsidR="00E9700E" w:rsidRPr="00176D37" w14:paraId="6DF7D6B7" w14:textId="77777777" w:rsidTr="00A173F8">
        <w:tc>
          <w:tcPr>
            <w:tcW w:w="6091" w:type="dxa"/>
          </w:tcPr>
          <w:p w14:paraId="1AF86D4C" w14:textId="77777777" w:rsidR="00E9700E" w:rsidRPr="00176D37" w:rsidRDefault="00E9700E" w:rsidP="00B44956">
            <w:pPr>
              <w:pStyle w:val="Tabletext"/>
            </w:pPr>
            <w:r w:rsidRPr="00176D37">
              <w:t>Patient registration system</w:t>
            </w:r>
          </w:p>
        </w:tc>
        <w:tc>
          <w:tcPr>
            <w:tcW w:w="4110" w:type="dxa"/>
          </w:tcPr>
          <w:p w14:paraId="4785AAD7" w14:textId="77777777" w:rsidR="00E9700E" w:rsidRPr="00176D37" w:rsidRDefault="00E9700E" w:rsidP="009742AB">
            <w:pPr>
              <w:pStyle w:val="Tabletext"/>
              <w:jc w:val="right"/>
            </w:pPr>
            <w:r w:rsidRPr="00176D37">
              <w:t>18 (90%)</w:t>
            </w:r>
          </w:p>
        </w:tc>
      </w:tr>
      <w:tr w:rsidR="00E9700E" w:rsidRPr="00176D37" w14:paraId="1C19E6B4" w14:textId="77777777" w:rsidTr="00A173F8">
        <w:tc>
          <w:tcPr>
            <w:tcW w:w="6091" w:type="dxa"/>
          </w:tcPr>
          <w:p w14:paraId="57F517CD" w14:textId="77777777" w:rsidR="00E9700E" w:rsidRPr="00176D37" w:rsidRDefault="00E9700E" w:rsidP="00B44956">
            <w:pPr>
              <w:pStyle w:val="Tabletext"/>
            </w:pPr>
            <w:r w:rsidRPr="00176D37">
              <w:t>Incident reporting systems (</w:t>
            </w:r>
            <w:proofErr w:type="gramStart"/>
            <w:r w:rsidRPr="00176D37">
              <w:t>e.g.</w:t>
            </w:r>
            <w:proofErr w:type="gramEnd"/>
            <w:r w:rsidRPr="00176D37">
              <w:t xml:space="preserve"> Victorian Health Incident Management System (VHIMS) or </w:t>
            </w:r>
            <w:proofErr w:type="spellStart"/>
            <w:r w:rsidRPr="00176D37">
              <w:t>Riskman</w:t>
            </w:r>
            <w:proofErr w:type="spellEnd"/>
            <w:r w:rsidRPr="00176D37">
              <w:t>)</w:t>
            </w:r>
          </w:p>
        </w:tc>
        <w:tc>
          <w:tcPr>
            <w:tcW w:w="4110" w:type="dxa"/>
          </w:tcPr>
          <w:p w14:paraId="709EEDE9" w14:textId="77777777" w:rsidR="00E9700E" w:rsidRPr="00176D37" w:rsidRDefault="00E9700E" w:rsidP="009742AB">
            <w:pPr>
              <w:pStyle w:val="Tabletext"/>
              <w:jc w:val="right"/>
            </w:pPr>
            <w:r w:rsidRPr="00176D37">
              <w:t>2 (10%)</w:t>
            </w:r>
          </w:p>
        </w:tc>
      </w:tr>
      <w:tr w:rsidR="00E9700E" w:rsidRPr="00176D37" w14:paraId="6722CBBE" w14:textId="77777777" w:rsidTr="00A173F8">
        <w:tc>
          <w:tcPr>
            <w:tcW w:w="6091" w:type="dxa"/>
          </w:tcPr>
          <w:p w14:paraId="28B43FF7" w14:textId="77777777" w:rsidR="00E9700E" w:rsidRPr="00176D37" w:rsidRDefault="00E9700E" w:rsidP="00B44956">
            <w:pPr>
              <w:pStyle w:val="Tabletext"/>
            </w:pPr>
            <w:r w:rsidRPr="00176D37">
              <w:t xml:space="preserve">Other </w:t>
            </w:r>
          </w:p>
        </w:tc>
        <w:tc>
          <w:tcPr>
            <w:tcW w:w="4110" w:type="dxa"/>
          </w:tcPr>
          <w:p w14:paraId="26069F87" w14:textId="77777777" w:rsidR="00E9700E" w:rsidRPr="00176D37" w:rsidRDefault="00E9700E" w:rsidP="009742AB">
            <w:pPr>
              <w:pStyle w:val="Tabletext"/>
              <w:jc w:val="right"/>
            </w:pPr>
            <w:r w:rsidRPr="00176D37">
              <w:t>6 (30%) (medical imagery)</w:t>
            </w:r>
            <w:r w:rsidRPr="00176D37">
              <w:br/>
              <w:t>1 (5%) (palliative care)</w:t>
            </w:r>
          </w:p>
        </w:tc>
      </w:tr>
    </w:tbl>
    <w:p w14:paraId="3CEF1FBA" w14:textId="77777777" w:rsidR="00E9700E" w:rsidRPr="00176D37" w:rsidRDefault="00E9700E" w:rsidP="009742AB">
      <w:pPr>
        <w:pStyle w:val="Bodyaftertablefigure"/>
      </w:pPr>
      <w:r w:rsidRPr="00176D37">
        <w:t xml:space="preserve">It is not surprising there are high levels of integration with patient registration systems and laboratory information systems (LISs). Integration with the patient registration system would be seen as important to ensure accurate identification of all </w:t>
      </w:r>
      <w:r w:rsidRPr="00C16807">
        <w:t>patients</w:t>
      </w:r>
      <w:r w:rsidRPr="00176D37">
        <w:t>. Variability between the patient identification (ID) in different systems could result in significant impacts to patient outcome.</w:t>
      </w:r>
    </w:p>
    <w:p w14:paraId="3CA0E508" w14:textId="1E2176A1" w:rsidR="00E9700E" w:rsidRPr="00176D37" w:rsidRDefault="00E9700E" w:rsidP="00B44956">
      <w:pPr>
        <w:pStyle w:val="Body"/>
      </w:pPr>
      <w:r w:rsidRPr="00176D37">
        <w:t>Seven of the 17 (41 per cent) health services that reported LIS integration have internal pathology providers, while nine (53 per cent) have external pathology providers. One health service reports both internal and external pathology providers. Most of the health services with LIS integration are public hospitals.</w:t>
      </w:r>
    </w:p>
    <w:p w14:paraId="037F422C" w14:textId="77777777" w:rsidR="00E9700E" w:rsidRPr="00176D37" w:rsidRDefault="00E9700E" w:rsidP="00B44956">
      <w:pPr>
        <w:pStyle w:val="Body"/>
      </w:pPr>
      <w:r w:rsidRPr="00176D37">
        <w:t>Integration with incident reporting systems is an area with low uptake, which could vastly improve ease of reporting and managing adverse events.</w:t>
      </w:r>
    </w:p>
    <w:p w14:paraId="441A326E" w14:textId="647761F9" w:rsidR="00E9700E" w:rsidRPr="00176D37" w:rsidRDefault="00E9700E" w:rsidP="00B44956">
      <w:pPr>
        <w:pStyle w:val="Body"/>
      </w:pPr>
      <w:r w:rsidRPr="00176D37">
        <w:t xml:space="preserve">The </w:t>
      </w:r>
      <w:r w:rsidRPr="007F16CD">
        <w:t>ANZSBT</w:t>
      </w:r>
      <w:r w:rsidRPr="009742AB">
        <w:rPr>
          <w:i/>
          <w:iCs/>
        </w:rPr>
        <w:t xml:space="preserve"> </w:t>
      </w:r>
      <w:r w:rsidR="007F16CD">
        <w:rPr>
          <w:i/>
          <w:iCs/>
        </w:rPr>
        <w:t>G</w:t>
      </w:r>
      <w:r w:rsidR="00C16807" w:rsidRPr="00C16807">
        <w:rPr>
          <w:i/>
          <w:iCs/>
        </w:rPr>
        <w:t xml:space="preserve">uidelines </w:t>
      </w:r>
      <w:r w:rsidRPr="00C16807">
        <w:rPr>
          <w:i/>
          <w:iCs/>
        </w:rPr>
        <w:t xml:space="preserve">for </w:t>
      </w:r>
      <w:r w:rsidR="00C16807" w:rsidRPr="00C16807">
        <w:rPr>
          <w:i/>
          <w:iCs/>
        </w:rPr>
        <w:t>the implementation and use of electronic medical records for transfusion</w:t>
      </w:r>
      <w:r w:rsidR="00C16807" w:rsidRPr="00176D37">
        <w:t xml:space="preserve"> </w:t>
      </w:r>
      <w:r w:rsidRPr="00176D37">
        <w:t xml:space="preserve">state that electronic systems must be interfaced with data transfer from the LIS to the EMR including the patient demographics (as defined by the </w:t>
      </w:r>
      <w:r w:rsidRPr="007F16CD">
        <w:t>ANZSBT</w:t>
      </w:r>
      <w:r w:rsidRPr="009742AB">
        <w:rPr>
          <w:i/>
          <w:iCs/>
        </w:rPr>
        <w:t xml:space="preserve"> </w:t>
      </w:r>
      <w:r w:rsidR="007F16CD">
        <w:rPr>
          <w:i/>
          <w:iCs/>
        </w:rPr>
        <w:t>G</w:t>
      </w:r>
      <w:r w:rsidR="007F16CD" w:rsidRPr="00C16807">
        <w:rPr>
          <w:i/>
          <w:iCs/>
        </w:rPr>
        <w:t xml:space="preserve">uidelines </w:t>
      </w:r>
      <w:r w:rsidR="00C16807" w:rsidRPr="00C16807">
        <w:rPr>
          <w:i/>
          <w:iCs/>
        </w:rPr>
        <w:t>for the administration of blood product</w:t>
      </w:r>
      <w:r w:rsidRPr="00C16807">
        <w:rPr>
          <w:i/>
          <w:iCs/>
        </w:rPr>
        <w:t>s</w:t>
      </w:r>
      <w:r w:rsidRPr="00176D37">
        <w:t>) and the product details (product type, unit number, expiry time and date and blood group</w:t>
      </w:r>
      <w:r w:rsidR="00DB1164">
        <w:t>)</w:t>
      </w:r>
      <w:r w:rsidRPr="00176D37">
        <w:t>, where applicable.</w:t>
      </w:r>
    </w:p>
    <w:p w14:paraId="3C0D7263" w14:textId="6DFE5FC0" w:rsidR="00E9700E" w:rsidRPr="00176D37" w:rsidRDefault="00E9700E" w:rsidP="00B44956">
      <w:pPr>
        <w:pStyle w:val="Body"/>
      </w:pPr>
      <w:r w:rsidRPr="00176D37">
        <w:t>Bidirectional interfaces are considered best</w:t>
      </w:r>
      <w:r w:rsidR="00B4635A">
        <w:t xml:space="preserve"> </w:t>
      </w:r>
      <w:r w:rsidRPr="00176D37">
        <w:t>practice to minimise the chance of error, provide additional checking during sample collection and capture the fate of the product</w:t>
      </w:r>
      <w:r w:rsidR="00C16807" w:rsidRPr="00176D37">
        <w:rPr>
          <w:noProof/>
        </w:rPr>
        <w:t xml:space="preserve"> (ANZSBT 2021)</w:t>
      </w:r>
      <w:r w:rsidRPr="00176D37">
        <w:t xml:space="preserve">. </w:t>
      </w:r>
      <w:r w:rsidRPr="00176D37">
        <w:lastRenderedPageBreak/>
        <w:t>While bidirectional interfaces provide the safest system, the EMR can still be used for transfusion with single directional interface</w:t>
      </w:r>
      <w:r w:rsidR="00C16807">
        <w:t>.</w:t>
      </w:r>
      <w:r w:rsidRPr="00176D37">
        <w:t xml:space="preserve"> </w:t>
      </w:r>
      <w:r w:rsidR="00C16807">
        <w:t>H</w:t>
      </w:r>
      <w:r w:rsidR="00C16807" w:rsidRPr="00176D37">
        <w:t>owever</w:t>
      </w:r>
      <w:r w:rsidR="00C16807">
        <w:t>,</w:t>
      </w:r>
      <w:r w:rsidR="00C16807" w:rsidRPr="00176D37">
        <w:t xml:space="preserve"> </w:t>
      </w:r>
      <w:r w:rsidRPr="00176D37">
        <w:t>it must be noted that there is no additional safety provided by the EMR in this instance.</w:t>
      </w:r>
    </w:p>
    <w:p w14:paraId="6AEA244B" w14:textId="0B658661" w:rsidR="00E9700E" w:rsidRPr="000F1BCE" w:rsidRDefault="00E9700E" w:rsidP="009742AB">
      <w:pPr>
        <w:pStyle w:val="Heading1"/>
      </w:pPr>
      <w:bookmarkStart w:id="71" w:name="_Toc101285674"/>
      <w:bookmarkStart w:id="72" w:name="_Toc101947696"/>
      <w:bookmarkStart w:id="73" w:name="_Toc104975920"/>
      <w:r w:rsidRPr="00176D37">
        <w:t>Education</w:t>
      </w:r>
      <w:r w:rsidR="000F1BCE">
        <w:t xml:space="preserve"> and </w:t>
      </w:r>
      <w:r w:rsidRPr="00176D37">
        <w:t>training</w:t>
      </w:r>
      <w:bookmarkEnd w:id="71"/>
      <w:bookmarkEnd w:id="72"/>
      <w:bookmarkEnd w:id="73"/>
    </w:p>
    <w:p w14:paraId="337F3367" w14:textId="49C4EC57" w:rsidR="00E9700E" w:rsidRPr="00176D37" w:rsidRDefault="00E9700E" w:rsidP="000C5060">
      <w:pPr>
        <w:pStyle w:val="Body"/>
      </w:pPr>
      <w:r w:rsidRPr="000C5060">
        <w:rPr>
          <w:rStyle w:val="BodyChar"/>
        </w:rPr>
        <w:t>Education and training underpin the successful implementation of a</w:t>
      </w:r>
      <w:r w:rsidR="000F1BCE">
        <w:rPr>
          <w:rStyle w:val="BodyChar"/>
        </w:rPr>
        <w:t>ny</w:t>
      </w:r>
      <w:r w:rsidRPr="000C5060">
        <w:rPr>
          <w:rStyle w:val="BodyChar"/>
        </w:rPr>
        <w:t xml:space="preserve"> new system. The mode of delivery and content is most effective when it is role specific. Timing of the education can also influence its efficacy</w:t>
      </w:r>
      <w:r w:rsidR="000F1BCE">
        <w:rPr>
          <w:rStyle w:val="BodyChar"/>
        </w:rPr>
        <w:t>. I</w:t>
      </w:r>
      <w:r w:rsidRPr="000C5060">
        <w:rPr>
          <w:rStyle w:val="BodyChar"/>
        </w:rPr>
        <w:t xml:space="preserve">f </w:t>
      </w:r>
      <w:r w:rsidR="000F1BCE">
        <w:rPr>
          <w:rStyle w:val="BodyChar"/>
        </w:rPr>
        <w:t xml:space="preserve">it is </w:t>
      </w:r>
      <w:r w:rsidRPr="000C5060">
        <w:rPr>
          <w:rStyle w:val="BodyChar"/>
        </w:rPr>
        <w:t xml:space="preserve">provided too early, staff may lose skills and confidence prior to implementation, </w:t>
      </w:r>
      <w:r w:rsidR="000F1BCE">
        <w:rPr>
          <w:rStyle w:val="BodyChar"/>
        </w:rPr>
        <w:t>while providing it</w:t>
      </w:r>
      <w:r w:rsidR="000F1BCE" w:rsidRPr="000C5060">
        <w:rPr>
          <w:rStyle w:val="BodyChar"/>
        </w:rPr>
        <w:t xml:space="preserve"> </w:t>
      </w:r>
      <w:r w:rsidRPr="000C5060">
        <w:rPr>
          <w:rStyle w:val="BodyChar"/>
        </w:rPr>
        <w:t xml:space="preserve">too close to implementation may not allow </w:t>
      </w:r>
      <w:r w:rsidR="000F1BCE">
        <w:rPr>
          <w:rStyle w:val="BodyChar"/>
        </w:rPr>
        <w:t>enough</w:t>
      </w:r>
      <w:r w:rsidR="000F1BCE" w:rsidRPr="000C5060">
        <w:rPr>
          <w:rStyle w:val="BodyChar"/>
        </w:rPr>
        <w:t xml:space="preserve"> </w:t>
      </w:r>
      <w:r w:rsidRPr="000C5060">
        <w:rPr>
          <w:rStyle w:val="BodyChar"/>
        </w:rPr>
        <w:t>time for adequate training.</w:t>
      </w:r>
      <w:r w:rsidRPr="00176D37">
        <w:t xml:space="preserve"> Simulation environments</w:t>
      </w:r>
      <w:r w:rsidR="000F1BCE">
        <w:t>,</w:t>
      </w:r>
      <w:r w:rsidRPr="00176D37">
        <w:t xml:space="preserve"> while useful</w:t>
      </w:r>
      <w:r w:rsidR="000F1BCE">
        <w:t>,</w:t>
      </w:r>
      <w:r w:rsidRPr="00176D37">
        <w:t xml:space="preserve"> may limit the degree of functionality that can be </w:t>
      </w:r>
      <w:r w:rsidR="000F1BCE">
        <w:t>learned</w:t>
      </w:r>
      <w:r w:rsidRPr="00176D37">
        <w:t xml:space="preserve">, with the risk that not all scenarios will be evident or included </w:t>
      </w:r>
      <w:r w:rsidR="00C16807" w:rsidRPr="00176D37">
        <w:rPr>
          <w:noProof/>
        </w:rPr>
        <w:t>(Verrall 2019)</w:t>
      </w:r>
      <w:r w:rsidRPr="00176D37">
        <w:t>.</w:t>
      </w:r>
    </w:p>
    <w:p w14:paraId="31E3CE76" w14:textId="7A7E4F1C" w:rsidR="00E9700E" w:rsidRPr="00176D37" w:rsidRDefault="00E9700E" w:rsidP="000C5060">
      <w:pPr>
        <w:pStyle w:val="Body"/>
      </w:pPr>
      <w:r w:rsidRPr="00176D37">
        <w:rPr>
          <w:noProof/>
        </w:rPr>
        <w:t xml:space="preserve">System design can influence both education and use. If the order of steps required </w:t>
      </w:r>
      <w:r w:rsidR="000F1BCE">
        <w:rPr>
          <w:noProof/>
        </w:rPr>
        <w:t>is</w:t>
      </w:r>
      <w:r w:rsidR="000F1BCE" w:rsidRPr="00176D37">
        <w:rPr>
          <w:noProof/>
        </w:rPr>
        <w:t xml:space="preserve"> </w:t>
      </w:r>
      <w:r w:rsidRPr="00176D37">
        <w:rPr>
          <w:noProof/>
        </w:rPr>
        <w:t xml:space="preserve">not intuitive, errors could occur repeatedly, as education alone cannot be relied upon to change the way people would naturally use a system. Human factors should be considered at the time of system design, rather than expecting education to overcome design faults. </w:t>
      </w:r>
    </w:p>
    <w:p w14:paraId="0B7448C1" w14:textId="77777777" w:rsidR="00E9700E" w:rsidRPr="000C5060" w:rsidRDefault="00E9700E" w:rsidP="000C5060">
      <w:pPr>
        <w:pStyle w:val="Heading2"/>
      </w:pPr>
      <w:bookmarkStart w:id="74" w:name="_Toc101285675"/>
      <w:bookmarkStart w:id="75" w:name="_Toc101947697"/>
      <w:bookmarkStart w:id="76" w:name="_Toc104975921"/>
      <w:r w:rsidRPr="000C5060">
        <w:t>Timing of education for EMR implementation</w:t>
      </w:r>
      <w:bookmarkEnd w:id="74"/>
      <w:bookmarkEnd w:id="75"/>
      <w:bookmarkEnd w:id="76"/>
      <w:r w:rsidRPr="000C5060">
        <w:t xml:space="preserve"> </w:t>
      </w:r>
    </w:p>
    <w:p w14:paraId="0717DD52" w14:textId="30643AA2" w:rsidR="00E9700E" w:rsidRPr="00176D37" w:rsidRDefault="00E9700E" w:rsidP="000C5060">
      <w:pPr>
        <w:pStyle w:val="Body"/>
      </w:pPr>
      <w:r w:rsidRPr="00176D37">
        <w:t xml:space="preserve">Forty-five staff (from 18 health services) who were at the health service during EMR implementation reported at least one form of education was provided prior to implementation. </w:t>
      </w:r>
      <w:r w:rsidRPr="00176D37">
        <w:fldChar w:fldCharType="begin"/>
      </w:r>
      <w:r w:rsidRPr="00176D37">
        <w:instrText xml:space="preserve"> REF _Ref100678629 \h  \* MERGEFORMAT </w:instrText>
      </w:r>
      <w:r w:rsidRPr="00176D37">
        <w:fldChar w:fldCharType="separate"/>
      </w:r>
      <w:r w:rsidR="00E73E2F" w:rsidRPr="00176D37">
        <w:t xml:space="preserve">Table </w:t>
      </w:r>
      <w:r w:rsidR="00E73E2F">
        <w:rPr>
          <w:noProof/>
        </w:rPr>
        <w:t>7</w:t>
      </w:r>
      <w:r w:rsidRPr="00176D37">
        <w:fldChar w:fldCharType="end"/>
      </w:r>
      <w:r w:rsidRPr="00176D37">
        <w:t xml:space="preserve"> indicates the timing of education provided.</w:t>
      </w:r>
    </w:p>
    <w:p w14:paraId="39925806" w14:textId="50B6BAD4" w:rsidR="00E9700E" w:rsidRPr="00176D37" w:rsidRDefault="00E9700E" w:rsidP="000C5060">
      <w:pPr>
        <w:pStyle w:val="Tablecaption"/>
      </w:pPr>
      <w:bookmarkStart w:id="77" w:name="_Ref100678629"/>
      <w:bookmarkStart w:id="78" w:name="_Ref100658854"/>
      <w:r w:rsidRPr="00176D37">
        <w:t xml:space="preserve">Table </w:t>
      </w:r>
      <w:r w:rsidR="00F751A0">
        <w:fldChar w:fldCharType="begin"/>
      </w:r>
      <w:r w:rsidR="00F751A0">
        <w:instrText xml:space="preserve"> SEQ Table \* ARABIC </w:instrText>
      </w:r>
      <w:r w:rsidR="00F751A0">
        <w:fldChar w:fldCharType="separate"/>
      </w:r>
      <w:r w:rsidR="00E73E2F">
        <w:rPr>
          <w:noProof/>
        </w:rPr>
        <w:t>7</w:t>
      </w:r>
      <w:r w:rsidR="00F751A0">
        <w:rPr>
          <w:noProof/>
        </w:rPr>
        <w:fldChar w:fldCharType="end"/>
      </w:r>
      <w:bookmarkEnd w:id="77"/>
      <w:r w:rsidRPr="00176D37">
        <w:t>: Timing of EMR education</w:t>
      </w:r>
      <w:r w:rsidRPr="00176D37">
        <w:rPr>
          <w:rStyle w:val="FootnoteReference"/>
          <w:rFonts w:cs="Arial"/>
        </w:rPr>
        <w:footnoteReference w:id="6"/>
      </w:r>
      <w:bookmarkEnd w:id="78"/>
    </w:p>
    <w:tbl>
      <w:tblPr>
        <w:tblStyle w:val="TableGrid"/>
        <w:tblW w:w="8926" w:type="dxa"/>
        <w:tblLook w:val="04A0" w:firstRow="1" w:lastRow="0" w:firstColumn="1" w:lastColumn="0" w:noHBand="0" w:noVBand="1"/>
      </w:tblPr>
      <w:tblGrid>
        <w:gridCol w:w="3964"/>
        <w:gridCol w:w="2410"/>
        <w:gridCol w:w="2552"/>
      </w:tblGrid>
      <w:tr w:rsidR="00E9700E" w:rsidRPr="00176D37" w14:paraId="47BD097E" w14:textId="77777777" w:rsidTr="009742AB">
        <w:trPr>
          <w:tblHeader/>
        </w:trPr>
        <w:tc>
          <w:tcPr>
            <w:tcW w:w="3964" w:type="dxa"/>
          </w:tcPr>
          <w:p w14:paraId="3E47B1BA" w14:textId="77777777" w:rsidR="00E9700E" w:rsidRPr="00176D37" w:rsidRDefault="00E9700E" w:rsidP="000C5060">
            <w:pPr>
              <w:pStyle w:val="Tablecolhead"/>
            </w:pPr>
            <w:r w:rsidRPr="00176D37">
              <w:t>Timing of education</w:t>
            </w:r>
          </w:p>
        </w:tc>
        <w:tc>
          <w:tcPr>
            <w:tcW w:w="2410" w:type="dxa"/>
          </w:tcPr>
          <w:p w14:paraId="5F79F45A" w14:textId="77777777" w:rsidR="00E9700E" w:rsidRPr="00176D37" w:rsidRDefault="00E9700E" w:rsidP="000C5060">
            <w:pPr>
              <w:pStyle w:val="Tablecolhead"/>
            </w:pPr>
            <w:r w:rsidRPr="00176D37">
              <w:t xml:space="preserve">Respondents count </w:t>
            </w:r>
          </w:p>
          <w:p w14:paraId="649FFAFB" w14:textId="5AADDEC7" w:rsidR="00E9700E" w:rsidRPr="00176D37" w:rsidRDefault="000F1BCE" w:rsidP="000C5060">
            <w:pPr>
              <w:pStyle w:val="Tablecolhead"/>
            </w:pPr>
            <w:r>
              <w:t xml:space="preserve">n </w:t>
            </w:r>
            <w:r w:rsidR="00E9700E" w:rsidRPr="00176D37">
              <w:t>=</w:t>
            </w:r>
            <w:r>
              <w:t xml:space="preserve"> </w:t>
            </w:r>
            <w:r w:rsidR="00E9700E" w:rsidRPr="00176D37">
              <w:t>45, (%)</w:t>
            </w:r>
          </w:p>
        </w:tc>
        <w:tc>
          <w:tcPr>
            <w:tcW w:w="2552" w:type="dxa"/>
          </w:tcPr>
          <w:p w14:paraId="686C6AAA" w14:textId="77777777" w:rsidR="00E9700E" w:rsidRPr="00176D37" w:rsidRDefault="00E9700E" w:rsidP="000C5060">
            <w:pPr>
              <w:pStyle w:val="Tablecolhead"/>
            </w:pPr>
            <w:r w:rsidRPr="00176D37">
              <w:t xml:space="preserve">Health services </w:t>
            </w:r>
          </w:p>
          <w:p w14:paraId="2244E2C9" w14:textId="5B487100" w:rsidR="00E9700E" w:rsidRPr="00176D37" w:rsidRDefault="000F1BCE" w:rsidP="000C5060">
            <w:pPr>
              <w:pStyle w:val="Tablecolhead"/>
            </w:pPr>
            <w:r>
              <w:t xml:space="preserve">n </w:t>
            </w:r>
            <w:r w:rsidR="00E9700E" w:rsidRPr="00176D37">
              <w:t>=</w:t>
            </w:r>
            <w:r>
              <w:t xml:space="preserve"> </w:t>
            </w:r>
            <w:r w:rsidR="00E9700E" w:rsidRPr="00176D37">
              <w:t>18, (%)</w:t>
            </w:r>
          </w:p>
        </w:tc>
      </w:tr>
      <w:tr w:rsidR="00E9700E" w:rsidRPr="00176D37" w14:paraId="713E0F2E" w14:textId="77777777" w:rsidTr="00A173F8">
        <w:tc>
          <w:tcPr>
            <w:tcW w:w="3964" w:type="dxa"/>
          </w:tcPr>
          <w:p w14:paraId="3A2203C3" w14:textId="77777777" w:rsidR="00E9700E" w:rsidRPr="00176D37" w:rsidRDefault="00E9700E" w:rsidP="000C5060">
            <w:pPr>
              <w:pStyle w:val="Tabletext"/>
            </w:pPr>
            <w:r w:rsidRPr="00176D37">
              <w:t xml:space="preserve">In the weeks/months prior to go-live </w:t>
            </w:r>
          </w:p>
        </w:tc>
        <w:tc>
          <w:tcPr>
            <w:tcW w:w="2410" w:type="dxa"/>
          </w:tcPr>
          <w:p w14:paraId="45F71346" w14:textId="77777777" w:rsidR="00E9700E" w:rsidRPr="00176D37" w:rsidRDefault="00E9700E" w:rsidP="009742AB">
            <w:pPr>
              <w:pStyle w:val="Tabletext"/>
              <w:jc w:val="right"/>
            </w:pPr>
            <w:r w:rsidRPr="00176D37">
              <w:t>41 (91%)</w:t>
            </w:r>
          </w:p>
        </w:tc>
        <w:tc>
          <w:tcPr>
            <w:tcW w:w="2552" w:type="dxa"/>
          </w:tcPr>
          <w:p w14:paraId="32AB508D" w14:textId="77777777" w:rsidR="00E9700E" w:rsidRPr="00176D37" w:rsidRDefault="00E9700E" w:rsidP="009742AB">
            <w:pPr>
              <w:pStyle w:val="Tabletext"/>
              <w:jc w:val="right"/>
            </w:pPr>
            <w:r w:rsidRPr="00176D37">
              <w:t>17 (94%)</w:t>
            </w:r>
          </w:p>
        </w:tc>
      </w:tr>
      <w:tr w:rsidR="00E9700E" w:rsidRPr="00176D37" w14:paraId="4F4655D1" w14:textId="77777777" w:rsidTr="00A173F8">
        <w:tc>
          <w:tcPr>
            <w:tcW w:w="3964" w:type="dxa"/>
          </w:tcPr>
          <w:p w14:paraId="74D94F5E" w14:textId="77777777" w:rsidR="00E9700E" w:rsidRPr="00176D37" w:rsidRDefault="00E9700E" w:rsidP="000C5060">
            <w:pPr>
              <w:pStyle w:val="Tabletext"/>
            </w:pPr>
            <w:r w:rsidRPr="00176D37">
              <w:t xml:space="preserve">Immediately prior to go-live </w:t>
            </w:r>
          </w:p>
        </w:tc>
        <w:tc>
          <w:tcPr>
            <w:tcW w:w="2410" w:type="dxa"/>
          </w:tcPr>
          <w:p w14:paraId="4FC6CC7F" w14:textId="77777777" w:rsidR="00E9700E" w:rsidRPr="00176D37" w:rsidRDefault="00E9700E" w:rsidP="009742AB">
            <w:pPr>
              <w:pStyle w:val="Tabletext"/>
              <w:jc w:val="right"/>
            </w:pPr>
            <w:r w:rsidRPr="00176D37">
              <w:t>14 (31%)</w:t>
            </w:r>
          </w:p>
        </w:tc>
        <w:tc>
          <w:tcPr>
            <w:tcW w:w="2552" w:type="dxa"/>
          </w:tcPr>
          <w:p w14:paraId="18A00E03" w14:textId="77777777" w:rsidR="00E9700E" w:rsidRPr="00176D37" w:rsidRDefault="00E9700E" w:rsidP="009742AB">
            <w:pPr>
              <w:pStyle w:val="Tabletext"/>
              <w:jc w:val="right"/>
            </w:pPr>
            <w:r w:rsidRPr="00176D37">
              <w:t>11 (61%)</w:t>
            </w:r>
          </w:p>
        </w:tc>
      </w:tr>
      <w:tr w:rsidR="00E9700E" w:rsidRPr="00176D37" w14:paraId="47659B6E" w14:textId="77777777" w:rsidTr="00A173F8">
        <w:tc>
          <w:tcPr>
            <w:tcW w:w="3964" w:type="dxa"/>
          </w:tcPr>
          <w:p w14:paraId="58570CC3" w14:textId="77777777" w:rsidR="00E9700E" w:rsidRPr="00176D37" w:rsidDel="002E14A7" w:rsidRDefault="00E9700E" w:rsidP="000C5060">
            <w:pPr>
              <w:pStyle w:val="Tabletext"/>
            </w:pPr>
            <w:r w:rsidRPr="00176D37">
              <w:t>No education provided</w:t>
            </w:r>
          </w:p>
        </w:tc>
        <w:tc>
          <w:tcPr>
            <w:tcW w:w="2410" w:type="dxa"/>
          </w:tcPr>
          <w:p w14:paraId="1E918CE1" w14:textId="77777777" w:rsidR="00E9700E" w:rsidRPr="00176D37" w:rsidDel="002E14A7" w:rsidRDefault="00E9700E" w:rsidP="009742AB">
            <w:pPr>
              <w:pStyle w:val="Tabletext"/>
              <w:jc w:val="right"/>
            </w:pPr>
            <w:r w:rsidRPr="00176D37">
              <w:t>3 (7%)</w:t>
            </w:r>
          </w:p>
        </w:tc>
        <w:tc>
          <w:tcPr>
            <w:tcW w:w="2552" w:type="dxa"/>
          </w:tcPr>
          <w:p w14:paraId="50D646C4" w14:textId="77777777" w:rsidR="00E9700E" w:rsidRPr="00176D37" w:rsidDel="002E14A7" w:rsidRDefault="00E9700E" w:rsidP="009742AB">
            <w:pPr>
              <w:pStyle w:val="Tabletext"/>
              <w:jc w:val="right"/>
            </w:pPr>
            <w:r w:rsidRPr="00176D37">
              <w:t>3 (17%)</w:t>
            </w:r>
          </w:p>
        </w:tc>
      </w:tr>
    </w:tbl>
    <w:p w14:paraId="200896B7" w14:textId="50F08E86" w:rsidR="00E9700E" w:rsidRPr="00176D37" w:rsidRDefault="00E9700E" w:rsidP="009742AB">
      <w:pPr>
        <w:pStyle w:val="Bodyaftertablefigure"/>
      </w:pPr>
      <w:r w:rsidRPr="00176D37">
        <w:t xml:space="preserve">Three </w:t>
      </w:r>
      <w:r w:rsidRPr="000F1BCE">
        <w:t>respondents</w:t>
      </w:r>
      <w:r w:rsidRPr="00176D37">
        <w:t xml:space="preserve"> (laboratory roles in transfusion) noted that </w:t>
      </w:r>
      <w:r w:rsidR="000F1BCE">
        <w:t>‘</w:t>
      </w:r>
      <w:r w:rsidRPr="00176D37">
        <w:t>no education was provided</w:t>
      </w:r>
      <w:r w:rsidR="000F1BCE">
        <w:t>’</w:t>
      </w:r>
      <w:r w:rsidR="000F1BCE" w:rsidRPr="00176D37">
        <w:t xml:space="preserve">, </w:t>
      </w:r>
      <w:r w:rsidRPr="00176D37">
        <w:t xml:space="preserve">other respondents from these health services did report at least one form of education. This may indicate that education could have been provided to staff based on organisational role, and perhaps not extended to include all staff. </w:t>
      </w:r>
    </w:p>
    <w:p w14:paraId="048AB676" w14:textId="31ADED5A" w:rsidR="00E9700E" w:rsidRPr="00176D37" w:rsidRDefault="00E9700E" w:rsidP="000C5060">
      <w:pPr>
        <w:pStyle w:val="Body"/>
      </w:pPr>
      <w:r w:rsidRPr="00176D37">
        <w:t>When determining which staff require EMR training, some non-clinical roles may be overlooked, in the mistaken belief that it is not relevant to them, particularly if the EMR</w:t>
      </w:r>
      <w:r w:rsidR="000F1BCE">
        <w:t xml:space="preserve"> was</w:t>
      </w:r>
      <w:r w:rsidRPr="00176D37">
        <w:t xml:space="preserve"> not required</w:t>
      </w:r>
      <w:r w:rsidR="000F1BCE">
        <w:t xml:space="preserve"> </w:t>
      </w:r>
      <w:proofErr w:type="gramStart"/>
      <w:r w:rsidR="000F1BCE">
        <w:t>in order for</w:t>
      </w:r>
      <w:proofErr w:type="gramEnd"/>
      <w:r w:rsidR="000F1BCE">
        <w:t xml:space="preserve"> them</w:t>
      </w:r>
      <w:r w:rsidRPr="00176D37">
        <w:t xml:space="preserve"> to perform </w:t>
      </w:r>
      <w:r w:rsidR="000F1BCE">
        <w:t xml:space="preserve">their </w:t>
      </w:r>
      <w:r w:rsidRPr="00176D37">
        <w:t xml:space="preserve">daily duties. It is very important all staff are familiar with the EMR at go-live. Non-clinical staff may identify issues during the implementation phase </w:t>
      </w:r>
      <w:r w:rsidR="000F1BCE">
        <w:t>that</w:t>
      </w:r>
      <w:r w:rsidR="000F1BCE" w:rsidRPr="00176D37">
        <w:t xml:space="preserve"> </w:t>
      </w:r>
      <w:r w:rsidRPr="00176D37">
        <w:t xml:space="preserve">could prevent problems </w:t>
      </w:r>
      <w:r w:rsidR="000F1BCE">
        <w:t xml:space="preserve">later, </w:t>
      </w:r>
      <w:r w:rsidRPr="00176D37">
        <w:t xml:space="preserve">when the EMR is in routine use. </w:t>
      </w:r>
      <w:r w:rsidR="000F1BCE">
        <w:t>These</w:t>
      </w:r>
      <w:r w:rsidR="000F1BCE" w:rsidRPr="00176D37">
        <w:t xml:space="preserve"> </w:t>
      </w:r>
      <w:r w:rsidRPr="00176D37">
        <w:t xml:space="preserve">staff may have their daily workflow </w:t>
      </w:r>
      <w:r w:rsidR="000F1BCE">
        <w:t>affected</w:t>
      </w:r>
      <w:r w:rsidR="000F1BCE" w:rsidRPr="00176D37">
        <w:t xml:space="preserve"> </w:t>
      </w:r>
      <w:r w:rsidRPr="00176D37">
        <w:t>due to changes imposed by EMR use.</w:t>
      </w:r>
    </w:p>
    <w:p w14:paraId="58868763" w14:textId="77777777" w:rsidR="00E9700E" w:rsidRPr="000C5060" w:rsidRDefault="00E9700E" w:rsidP="000C5060">
      <w:pPr>
        <w:pStyle w:val="Heading2"/>
      </w:pPr>
      <w:bookmarkStart w:id="79" w:name="_Toc101285676"/>
      <w:bookmarkStart w:id="80" w:name="_Toc101947698"/>
      <w:bookmarkStart w:id="81" w:name="_Toc104975922"/>
      <w:r w:rsidRPr="000C5060">
        <w:lastRenderedPageBreak/>
        <w:t>Training as part of orientation</w:t>
      </w:r>
      <w:bookmarkEnd w:id="79"/>
      <w:bookmarkEnd w:id="80"/>
      <w:bookmarkEnd w:id="81"/>
    </w:p>
    <w:p w14:paraId="3C04B57C" w14:textId="1A459693" w:rsidR="00E9700E" w:rsidRPr="00176D37" w:rsidRDefault="00E9700E" w:rsidP="000C5060">
      <w:pPr>
        <w:pStyle w:val="Body"/>
      </w:pPr>
      <w:r w:rsidRPr="00176D37">
        <w:t>If a staff member indicated they started with the health service after EMR go-live (n</w:t>
      </w:r>
      <w:r w:rsidR="000F1BCE">
        <w:t xml:space="preserve"> </w:t>
      </w:r>
      <w:r w:rsidRPr="00176D37">
        <w:t>=</w:t>
      </w:r>
      <w:r w:rsidR="000F1BCE">
        <w:t xml:space="preserve"> </w:t>
      </w:r>
      <w:r w:rsidRPr="00176D37">
        <w:t xml:space="preserve">6), they were asked if </w:t>
      </w:r>
      <w:r w:rsidR="000F1BCE">
        <w:t xml:space="preserve">the </w:t>
      </w:r>
      <w:r w:rsidRPr="00176D37">
        <w:t>EMR was included as part of the orientation or pre-start program. Five reported that EMR training was included as part of the orientation (2</w:t>
      </w:r>
      <w:r w:rsidR="000F1BCE">
        <w:t xml:space="preserve"> </w:t>
      </w:r>
      <w:r w:rsidRPr="00176D37">
        <w:t>x quality, 1</w:t>
      </w:r>
      <w:r w:rsidR="000F1BCE">
        <w:t xml:space="preserve"> </w:t>
      </w:r>
      <w:r w:rsidRPr="00176D37">
        <w:t>x laboratory, 1</w:t>
      </w:r>
      <w:r w:rsidR="000F1BCE">
        <w:t xml:space="preserve"> </w:t>
      </w:r>
      <w:r w:rsidRPr="00176D37">
        <w:t>x other, 1</w:t>
      </w:r>
      <w:r w:rsidR="000F1BCE">
        <w:t xml:space="preserve"> </w:t>
      </w:r>
      <w:r w:rsidRPr="00176D37">
        <w:t xml:space="preserve">x executive respondents). One respondent from a medical role reported no training. </w:t>
      </w:r>
    </w:p>
    <w:p w14:paraId="1BB32BB1" w14:textId="77777777" w:rsidR="00E9700E" w:rsidRPr="000C5060" w:rsidRDefault="00E9700E" w:rsidP="000C5060">
      <w:pPr>
        <w:pStyle w:val="Heading2"/>
      </w:pPr>
      <w:bookmarkStart w:id="82" w:name="_Toc101285677"/>
      <w:bookmarkStart w:id="83" w:name="_Toc101947699"/>
      <w:bookmarkStart w:id="84" w:name="_Toc104975923"/>
      <w:r w:rsidRPr="000C5060">
        <w:t>Ongoing education</w:t>
      </w:r>
      <w:bookmarkEnd w:id="82"/>
      <w:bookmarkEnd w:id="83"/>
      <w:bookmarkEnd w:id="84"/>
    </w:p>
    <w:p w14:paraId="439FF061" w14:textId="77777777" w:rsidR="00E9700E" w:rsidRPr="00176D37" w:rsidRDefault="00E9700E" w:rsidP="000C5060">
      <w:pPr>
        <w:pStyle w:val="Body"/>
      </w:pPr>
      <w:r w:rsidRPr="00176D37">
        <w:t xml:space="preserve">Forty-five staff (from 18 health services) who were at the health service during EMR implementation were asked whether there was ongoing education support following go-live, including education for new staff. Of the 18 health services represented, respondents in two health services reported no ongoing education support after go-live/training. </w:t>
      </w:r>
    </w:p>
    <w:p w14:paraId="69D5933A" w14:textId="0EC4BD99" w:rsidR="00E9700E" w:rsidRPr="00176D37" w:rsidRDefault="00E9700E" w:rsidP="000C5060">
      <w:pPr>
        <w:pStyle w:val="Body"/>
      </w:pPr>
      <w:r w:rsidRPr="00176D37">
        <w:t>While ongoing training, and training of new staff is a challenge, it is essential the education is available and undertaken</w:t>
      </w:r>
      <w:r w:rsidR="000F1BCE" w:rsidRPr="00176D37">
        <w:rPr>
          <w:noProof/>
        </w:rPr>
        <w:t xml:space="preserve"> (Murphy 2009)</w:t>
      </w:r>
      <w:r w:rsidRPr="00176D37">
        <w:t>.</w:t>
      </w:r>
    </w:p>
    <w:p w14:paraId="417DF7AE" w14:textId="77777777" w:rsidR="00E9700E" w:rsidRPr="000C5060" w:rsidRDefault="00E9700E" w:rsidP="000C5060">
      <w:pPr>
        <w:pStyle w:val="Heading2"/>
      </w:pPr>
      <w:bookmarkStart w:id="85" w:name="_Toc101285678"/>
      <w:bookmarkStart w:id="86" w:name="_Toc101947700"/>
      <w:bookmarkStart w:id="87" w:name="_Toc104975924"/>
      <w:r w:rsidRPr="000C5060">
        <w:t>Training methods used</w:t>
      </w:r>
      <w:bookmarkEnd w:id="85"/>
      <w:bookmarkEnd w:id="86"/>
      <w:bookmarkEnd w:id="87"/>
    </w:p>
    <w:p w14:paraId="18939F5C" w14:textId="3EE196B9" w:rsidR="00E9700E" w:rsidRPr="00176D37" w:rsidRDefault="00E9700E" w:rsidP="000C5060">
      <w:pPr>
        <w:pStyle w:val="Body"/>
      </w:pPr>
      <w:r w:rsidRPr="00176D37">
        <w:t>Those who responded that training was available at any stage of the implementation process were asked which methods of training were used (</w:t>
      </w:r>
      <w:r w:rsidRPr="00176D37">
        <w:fldChar w:fldCharType="begin"/>
      </w:r>
      <w:r w:rsidRPr="00176D37">
        <w:instrText xml:space="preserve"> REF _Ref100678647 \h  \* MERGEFORMAT </w:instrText>
      </w:r>
      <w:r w:rsidRPr="00176D37">
        <w:fldChar w:fldCharType="separate"/>
      </w:r>
      <w:r w:rsidR="00E73E2F" w:rsidRPr="00176D37">
        <w:t xml:space="preserve">Table </w:t>
      </w:r>
      <w:r w:rsidR="00E73E2F">
        <w:rPr>
          <w:noProof/>
        </w:rPr>
        <w:t>8</w:t>
      </w:r>
      <w:r w:rsidRPr="00176D37">
        <w:fldChar w:fldCharType="end"/>
      </w:r>
      <w:r w:rsidRPr="00176D37">
        <w:t xml:space="preserve">). </w:t>
      </w:r>
    </w:p>
    <w:p w14:paraId="72555B65" w14:textId="19B75961" w:rsidR="00E9700E" w:rsidRPr="00176D37" w:rsidRDefault="00E9700E" w:rsidP="000C5060">
      <w:pPr>
        <w:pStyle w:val="Tablecaption"/>
      </w:pPr>
      <w:bookmarkStart w:id="88" w:name="_Ref100678647"/>
      <w:bookmarkStart w:id="89" w:name="_Ref100658611"/>
      <w:r w:rsidRPr="00176D37">
        <w:t xml:space="preserve">Table </w:t>
      </w:r>
      <w:r w:rsidR="00F751A0">
        <w:fldChar w:fldCharType="begin"/>
      </w:r>
      <w:r w:rsidR="00F751A0">
        <w:instrText xml:space="preserve"> S</w:instrText>
      </w:r>
      <w:r w:rsidR="00F751A0">
        <w:instrText xml:space="preserve">EQ Table \* ARABIC </w:instrText>
      </w:r>
      <w:r w:rsidR="00F751A0">
        <w:fldChar w:fldCharType="separate"/>
      </w:r>
      <w:r w:rsidR="00E73E2F">
        <w:rPr>
          <w:noProof/>
        </w:rPr>
        <w:t>8</w:t>
      </w:r>
      <w:r w:rsidR="00F751A0">
        <w:rPr>
          <w:noProof/>
        </w:rPr>
        <w:fldChar w:fldCharType="end"/>
      </w:r>
      <w:bookmarkEnd w:id="88"/>
      <w:r w:rsidRPr="00176D37">
        <w:t>: EMR training methods by health services</w:t>
      </w:r>
      <w:r w:rsidRPr="00176D37">
        <w:rPr>
          <w:rStyle w:val="FootnoteReference"/>
          <w:rFonts w:cs="Arial"/>
          <w:sz w:val="22"/>
          <w:szCs w:val="22"/>
        </w:rPr>
        <w:footnoteReference w:id="7"/>
      </w:r>
      <w:bookmarkEnd w:id="89"/>
    </w:p>
    <w:tbl>
      <w:tblPr>
        <w:tblStyle w:val="TableGrid"/>
        <w:tblW w:w="0" w:type="auto"/>
        <w:tblLook w:val="04A0" w:firstRow="1" w:lastRow="0" w:firstColumn="1" w:lastColumn="0" w:noHBand="0" w:noVBand="1"/>
      </w:tblPr>
      <w:tblGrid>
        <w:gridCol w:w="2254"/>
        <w:gridCol w:w="2254"/>
        <w:gridCol w:w="2254"/>
        <w:gridCol w:w="2254"/>
      </w:tblGrid>
      <w:tr w:rsidR="00E9700E" w:rsidRPr="00176D37" w14:paraId="3CCD13E7" w14:textId="77777777" w:rsidTr="009742AB">
        <w:tc>
          <w:tcPr>
            <w:tcW w:w="2254" w:type="dxa"/>
          </w:tcPr>
          <w:p w14:paraId="4FA01CC3" w14:textId="4AFEBDCE" w:rsidR="00E9700E" w:rsidRPr="000F1BCE" w:rsidRDefault="000F1BCE" w:rsidP="000F1BCE">
            <w:pPr>
              <w:pStyle w:val="Tablecolhead"/>
            </w:pPr>
            <w:r w:rsidRPr="000F1BCE">
              <w:t>Training method</w:t>
            </w:r>
          </w:p>
        </w:tc>
        <w:tc>
          <w:tcPr>
            <w:tcW w:w="2254" w:type="dxa"/>
          </w:tcPr>
          <w:p w14:paraId="4C7C5468" w14:textId="77777777" w:rsidR="00E9700E" w:rsidRPr="000F1BCE" w:rsidRDefault="00E9700E" w:rsidP="000F1BCE">
            <w:pPr>
              <w:pStyle w:val="Tablecolhead"/>
            </w:pPr>
            <w:r w:rsidRPr="000F1BCE">
              <w:t xml:space="preserve">Weeks prior to go-live </w:t>
            </w:r>
          </w:p>
          <w:p w14:paraId="58BF0561" w14:textId="37606E8C" w:rsidR="00E9700E" w:rsidRPr="000F1BCE" w:rsidRDefault="00F751A0" w:rsidP="000F1BCE">
            <w:pPr>
              <w:pStyle w:val="Tablecolhead"/>
            </w:pPr>
            <w:r>
              <w:t xml:space="preserve">n = </w:t>
            </w:r>
            <w:r w:rsidR="00E9700E" w:rsidRPr="000F1BCE">
              <w:t>17, (%)</w:t>
            </w:r>
          </w:p>
        </w:tc>
        <w:tc>
          <w:tcPr>
            <w:tcW w:w="2254" w:type="dxa"/>
          </w:tcPr>
          <w:p w14:paraId="333E2DC9" w14:textId="77777777" w:rsidR="00E9700E" w:rsidRPr="000F1BCE" w:rsidRDefault="00E9700E" w:rsidP="000F1BCE">
            <w:pPr>
              <w:pStyle w:val="Tablecolhead"/>
            </w:pPr>
            <w:r w:rsidRPr="000F1BCE">
              <w:t xml:space="preserve">Immediately prior to go-live </w:t>
            </w:r>
          </w:p>
          <w:p w14:paraId="736F3FCC" w14:textId="35DF545A" w:rsidR="00E9700E" w:rsidRPr="000F1BCE" w:rsidRDefault="00F751A0" w:rsidP="000F1BCE">
            <w:pPr>
              <w:pStyle w:val="Tablecolhead"/>
            </w:pPr>
            <w:r>
              <w:t xml:space="preserve">n = </w:t>
            </w:r>
            <w:r w:rsidR="00E9700E" w:rsidRPr="000F1BCE">
              <w:t>11, (%)</w:t>
            </w:r>
          </w:p>
        </w:tc>
        <w:tc>
          <w:tcPr>
            <w:tcW w:w="2254" w:type="dxa"/>
          </w:tcPr>
          <w:p w14:paraId="0DEF75C4" w14:textId="77777777" w:rsidR="00E9700E" w:rsidRPr="000F1BCE" w:rsidRDefault="00E9700E" w:rsidP="000F1BCE">
            <w:pPr>
              <w:pStyle w:val="Tablecolhead"/>
            </w:pPr>
            <w:r w:rsidRPr="000F1BCE">
              <w:t>Ongoing education</w:t>
            </w:r>
          </w:p>
          <w:p w14:paraId="36858F09" w14:textId="354C7185" w:rsidR="00E9700E" w:rsidRPr="000F1BCE" w:rsidRDefault="00F751A0" w:rsidP="000F1BCE">
            <w:pPr>
              <w:pStyle w:val="Tablecolhead"/>
            </w:pPr>
            <w:r>
              <w:t xml:space="preserve">n = </w:t>
            </w:r>
            <w:r w:rsidR="00E9700E" w:rsidRPr="000F1BCE">
              <w:t>18, (%)</w:t>
            </w:r>
          </w:p>
        </w:tc>
      </w:tr>
      <w:tr w:rsidR="00E9700E" w:rsidRPr="00176D37" w14:paraId="193B4AAA" w14:textId="77777777" w:rsidTr="009742AB">
        <w:tc>
          <w:tcPr>
            <w:tcW w:w="2254" w:type="dxa"/>
          </w:tcPr>
          <w:p w14:paraId="22815146" w14:textId="77777777" w:rsidR="00E9700E" w:rsidRPr="00176D37" w:rsidRDefault="00E9700E" w:rsidP="000C5060">
            <w:pPr>
              <w:pStyle w:val="Tabletext"/>
            </w:pPr>
            <w:r w:rsidRPr="00176D37">
              <w:t>Face-to-face</w:t>
            </w:r>
          </w:p>
        </w:tc>
        <w:tc>
          <w:tcPr>
            <w:tcW w:w="2254" w:type="dxa"/>
          </w:tcPr>
          <w:p w14:paraId="5617A16D" w14:textId="77777777" w:rsidR="00E9700E" w:rsidRPr="00176D37" w:rsidRDefault="00E9700E" w:rsidP="009742AB">
            <w:pPr>
              <w:pStyle w:val="Tabletext"/>
              <w:jc w:val="right"/>
            </w:pPr>
            <w:r w:rsidRPr="00176D37">
              <w:t xml:space="preserve">17 (100%) </w:t>
            </w:r>
          </w:p>
        </w:tc>
        <w:tc>
          <w:tcPr>
            <w:tcW w:w="2254" w:type="dxa"/>
          </w:tcPr>
          <w:p w14:paraId="6398B8DF" w14:textId="77777777" w:rsidR="00E9700E" w:rsidRPr="00176D37" w:rsidRDefault="00E9700E" w:rsidP="009742AB">
            <w:pPr>
              <w:pStyle w:val="Tabletext"/>
              <w:jc w:val="right"/>
            </w:pPr>
            <w:r w:rsidRPr="00176D37">
              <w:t>9 (82%)</w:t>
            </w:r>
          </w:p>
        </w:tc>
        <w:tc>
          <w:tcPr>
            <w:tcW w:w="2254" w:type="dxa"/>
          </w:tcPr>
          <w:p w14:paraId="74F940E3" w14:textId="77777777" w:rsidR="00E9700E" w:rsidRPr="00176D37" w:rsidRDefault="00E9700E" w:rsidP="009742AB">
            <w:pPr>
              <w:pStyle w:val="Tabletext"/>
              <w:jc w:val="right"/>
            </w:pPr>
            <w:r w:rsidRPr="00176D37">
              <w:t>17 (94%)</w:t>
            </w:r>
          </w:p>
        </w:tc>
      </w:tr>
      <w:tr w:rsidR="00E9700E" w:rsidRPr="00176D37" w14:paraId="7D7ABB11" w14:textId="77777777" w:rsidTr="009742AB">
        <w:tc>
          <w:tcPr>
            <w:tcW w:w="2254" w:type="dxa"/>
          </w:tcPr>
          <w:p w14:paraId="12AC1B86" w14:textId="77777777" w:rsidR="00E9700E" w:rsidRPr="00176D37" w:rsidRDefault="00E9700E" w:rsidP="000C5060">
            <w:pPr>
              <w:pStyle w:val="Tabletext"/>
            </w:pPr>
            <w:r w:rsidRPr="00176D37">
              <w:t>Videoconference/ virtual training</w:t>
            </w:r>
          </w:p>
        </w:tc>
        <w:tc>
          <w:tcPr>
            <w:tcW w:w="2254" w:type="dxa"/>
          </w:tcPr>
          <w:p w14:paraId="6FA8AD42" w14:textId="77777777" w:rsidR="00E9700E" w:rsidRPr="00176D37" w:rsidRDefault="00E9700E" w:rsidP="009742AB">
            <w:pPr>
              <w:pStyle w:val="Tabletext"/>
              <w:jc w:val="right"/>
            </w:pPr>
            <w:r w:rsidRPr="00176D37">
              <w:t>8 (47%)</w:t>
            </w:r>
          </w:p>
        </w:tc>
        <w:tc>
          <w:tcPr>
            <w:tcW w:w="2254" w:type="dxa"/>
          </w:tcPr>
          <w:p w14:paraId="350BA50E" w14:textId="77777777" w:rsidR="00E9700E" w:rsidRPr="00176D37" w:rsidRDefault="00E9700E" w:rsidP="009742AB">
            <w:pPr>
              <w:pStyle w:val="Tabletext"/>
              <w:jc w:val="right"/>
            </w:pPr>
            <w:r w:rsidRPr="00176D37">
              <w:t>3 (27%)</w:t>
            </w:r>
          </w:p>
        </w:tc>
        <w:tc>
          <w:tcPr>
            <w:tcW w:w="2254" w:type="dxa"/>
          </w:tcPr>
          <w:p w14:paraId="1AC7C91A" w14:textId="77777777" w:rsidR="00E9700E" w:rsidRPr="00176D37" w:rsidRDefault="00E9700E" w:rsidP="009742AB">
            <w:pPr>
              <w:pStyle w:val="Tabletext"/>
              <w:jc w:val="right"/>
            </w:pPr>
            <w:r w:rsidRPr="00176D37">
              <w:t>5 (28%)</w:t>
            </w:r>
          </w:p>
        </w:tc>
      </w:tr>
      <w:tr w:rsidR="00E9700E" w:rsidRPr="00176D37" w14:paraId="5CF1734C" w14:textId="77777777" w:rsidTr="009742AB">
        <w:tc>
          <w:tcPr>
            <w:tcW w:w="2254" w:type="dxa"/>
          </w:tcPr>
          <w:p w14:paraId="68676619" w14:textId="77777777" w:rsidR="00E9700E" w:rsidRPr="00176D37" w:rsidRDefault="00E9700E" w:rsidP="000C5060">
            <w:pPr>
              <w:pStyle w:val="Tabletext"/>
            </w:pPr>
            <w:r w:rsidRPr="00176D37">
              <w:t>Simulation training</w:t>
            </w:r>
          </w:p>
        </w:tc>
        <w:tc>
          <w:tcPr>
            <w:tcW w:w="2254" w:type="dxa"/>
          </w:tcPr>
          <w:p w14:paraId="61C4AEB6" w14:textId="77777777" w:rsidR="00E9700E" w:rsidRPr="00176D37" w:rsidRDefault="00E9700E" w:rsidP="009742AB">
            <w:pPr>
              <w:pStyle w:val="Tabletext"/>
              <w:jc w:val="right"/>
            </w:pPr>
            <w:r w:rsidRPr="00176D37">
              <w:t>11 (65%)</w:t>
            </w:r>
          </w:p>
        </w:tc>
        <w:tc>
          <w:tcPr>
            <w:tcW w:w="2254" w:type="dxa"/>
          </w:tcPr>
          <w:p w14:paraId="516F6FF5" w14:textId="77777777" w:rsidR="00E9700E" w:rsidRPr="00176D37" w:rsidRDefault="00E9700E" w:rsidP="009742AB">
            <w:pPr>
              <w:pStyle w:val="Tabletext"/>
              <w:jc w:val="right"/>
            </w:pPr>
            <w:r w:rsidRPr="00176D37">
              <w:t xml:space="preserve">5 (45%) </w:t>
            </w:r>
          </w:p>
        </w:tc>
        <w:tc>
          <w:tcPr>
            <w:tcW w:w="2254" w:type="dxa"/>
          </w:tcPr>
          <w:p w14:paraId="3B26DCCD" w14:textId="77777777" w:rsidR="00E9700E" w:rsidRPr="00176D37" w:rsidRDefault="00E9700E" w:rsidP="009742AB">
            <w:pPr>
              <w:pStyle w:val="Tabletext"/>
              <w:jc w:val="right"/>
            </w:pPr>
            <w:r w:rsidRPr="00176D37">
              <w:t>7 (39%)</w:t>
            </w:r>
          </w:p>
        </w:tc>
      </w:tr>
      <w:tr w:rsidR="00E9700E" w:rsidRPr="00176D37" w14:paraId="595839D2" w14:textId="77777777" w:rsidTr="009742AB">
        <w:tc>
          <w:tcPr>
            <w:tcW w:w="2254" w:type="dxa"/>
          </w:tcPr>
          <w:p w14:paraId="35E107BF" w14:textId="77777777" w:rsidR="00E9700E" w:rsidRPr="00176D37" w:rsidRDefault="00E9700E" w:rsidP="000C5060">
            <w:pPr>
              <w:pStyle w:val="Tabletext"/>
            </w:pPr>
            <w:r w:rsidRPr="00176D37">
              <w:t>Online learning</w:t>
            </w:r>
          </w:p>
        </w:tc>
        <w:tc>
          <w:tcPr>
            <w:tcW w:w="2254" w:type="dxa"/>
          </w:tcPr>
          <w:p w14:paraId="14F2FBC3" w14:textId="77777777" w:rsidR="00E9700E" w:rsidRPr="00176D37" w:rsidRDefault="00E9700E" w:rsidP="009742AB">
            <w:pPr>
              <w:pStyle w:val="Tabletext"/>
              <w:jc w:val="right"/>
            </w:pPr>
            <w:r w:rsidRPr="00176D37">
              <w:t>14 (82%)</w:t>
            </w:r>
          </w:p>
        </w:tc>
        <w:tc>
          <w:tcPr>
            <w:tcW w:w="2254" w:type="dxa"/>
          </w:tcPr>
          <w:p w14:paraId="48B1255B" w14:textId="77777777" w:rsidR="00E9700E" w:rsidRPr="00176D37" w:rsidRDefault="00E9700E" w:rsidP="009742AB">
            <w:pPr>
              <w:pStyle w:val="Tabletext"/>
              <w:jc w:val="right"/>
            </w:pPr>
            <w:r w:rsidRPr="00176D37">
              <w:t>8 (73%)</w:t>
            </w:r>
          </w:p>
        </w:tc>
        <w:tc>
          <w:tcPr>
            <w:tcW w:w="2254" w:type="dxa"/>
          </w:tcPr>
          <w:p w14:paraId="4EF2F2C4" w14:textId="77777777" w:rsidR="00E9700E" w:rsidRPr="00176D37" w:rsidRDefault="00E9700E" w:rsidP="009742AB">
            <w:pPr>
              <w:pStyle w:val="Tabletext"/>
              <w:jc w:val="right"/>
            </w:pPr>
            <w:r w:rsidRPr="00176D37">
              <w:t>14 (78%)</w:t>
            </w:r>
          </w:p>
        </w:tc>
      </w:tr>
      <w:tr w:rsidR="00E9700E" w:rsidRPr="00176D37" w14:paraId="6399EDBF" w14:textId="77777777" w:rsidTr="009742AB">
        <w:tc>
          <w:tcPr>
            <w:tcW w:w="2254" w:type="dxa"/>
          </w:tcPr>
          <w:p w14:paraId="28AF075B" w14:textId="77777777" w:rsidR="00E9700E" w:rsidRPr="00176D37" w:rsidRDefault="00E9700E" w:rsidP="000C5060">
            <w:pPr>
              <w:pStyle w:val="Tabletext"/>
            </w:pPr>
            <w:r w:rsidRPr="00176D37">
              <w:t>Other</w:t>
            </w:r>
          </w:p>
        </w:tc>
        <w:tc>
          <w:tcPr>
            <w:tcW w:w="2254" w:type="dxa"/>
          </w:tcPr>
          <w:p w14:paraId="5DB9EE45" w14:textId="77777777" w:rsidR="00E9700E" w:rsidRPr="00176D37" w:rsidRDefault="00E9700E" w:rsidP="000C5060">
            <w:pPr>
              <w:pStyle w:val="Tabletext"/>
            </w:pPr>
            <w:r w:rsidRPr="00176D37">
              <w:t>Super users, email communications, tip sheets</w:t>
            </w:r>
          </w:p>
        </w:tc>
        <w:tc>
          <w:tcPr>
            <w:tcW w:w="2254" w:type="dxa"/>
          </w:tcPr>
          <w:p w14:paraId="40F6C075" w14:textId="77777777" w:rsidR="00E9700E" w:rsidRPr="00176D37" w:rsidRDefault="00E9700E" w:rsidP="000C5060">
            <w:pPr>
              <w:pStyle w:val="Tabletext"/>
            </w:pPr>
            <w:r w:rsidRPr="00176D37">
              <w:t>Super users, handbook</w:t>
            </w:r>
          </w:p>
        </w:tc>
        <w:tc>
          <w:tcPr>
            <w:tcW w:w="2254" w:type="dxa"/>
          </w:tcPr>
          <w:p w14:paraId="554217DA" w14:textId="77777777" w:rsidR="00E9700E" w:rsidRPr="00176D37" w:rsidRDefault="00E9700E" w:rsidP="000C5060">
            <w:pPr>
              <w:pStyle w:val="Tabletext"/>
            </w:pPr>
            <w:r w:rsidRPr="00176D37">
              <w:t>Email communications, tip sheets, handbook</w:t>
            </w:r>
          </w:p>
        </w:tc>
      </w:tr>
    </w:tbl>
    <w:p w14:paraId="5CB50855" w14:textId="77777777" w:rsidR="000F1BCE" w:rsidRDefault="00E9700E" w:rsidP="000C5060">
      <w:pPr>
        <w:pStyle w:val="Body"/>
        <w:spacing w:before="240"/>
      </w:pPr>
      <w:r w:rsidRPr="00176D37">
        <w:t xml:space="preserve">Some health services reported training changed due to the COVID-19 pandemic preventing face-to-face training. </w:t>
      </w:r>
    </w:p>
    <w:p w14:paraId="4C18CAEE" w14:textId="516CC2B2" w:rsidR="00E9700E" w:rsidRPr="00176D37" w:rsidRDefault="00E9700E" w:rsidP="009742AB">
      <w:pPr>
        <w:pStyle w:val="Body"/>
      </w:pPr>
      <w:r w:rsidRPr="00176D37">
        <w:t xml:space="preserve">A variety of training </w:t>
      </w:r>
      <w:r w:rsidRPr="000F1BCE">
        <w:t>methods</w:t>
      </w:r>
      <w:r w:rsidRPr="00176D37">
        <w:t xml:space="preserve"> and time points were reported. Literature describes many training approaches as explained in </w:t>
      </w:r>
      <w:r w:rsidRPr="00176D37">
        <w:fldChar w:fldCharType="begin"/>
      </w:r>
      <w:r w:rsidRPr="00176D37">
        <w:instrText xml:space="preserve"> REF _Ref100678658 \h  \* MERGEFORMAT </w:instrText>
      </w:r>
      <w:r w:rsidRPr="00176D37">
        <w:fldChar w:fldCharType="separate"/>
      </w:r>
      <w:r w:rsidR="00E73E2F" w:rsidRPr="00176D37">
        <w:t xml:space="preserve">Table </w:t>
      </w:r>
      <w:r w:rsidR="00E73E2F">
        <w:rPr>
          <w:noProof/>
        </w:rPr>
        <w:t>9</w:t>
      </w:r>
      <w:r w:rsidRPr="00176D37">
        <w:fldChar w:fldCharType="end"/>
      </w:r>
      <w:r w:rsidRPr="00176D37">
        <w:t>.</w:t>
      </w:r>
    </w:p>
    <w:p w14:paraId="6E2DF8E1" w14:textId="0060A7DB" w:rsidR="00E9700E" w:rsidRPr="00176D37" w:rsidRDefault="00E9700E" w:rsidP="009742AB">
      <w:pPr>
        <w:pStyle w:val="Tablecaption"/>
        <w:spacing w:line="240" w:lineRule="auto"/>
      </w:pPr>
      <w:bookmarkStart w:id="90" w:name="_Ref100678658"/>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9</w:t>
      </w:r>
      <w:r w:rsidR="00F751A0">
        <w:rPr>
          <w:noProof/>
        </w:rPr>
        <w:fldChar w:fldCharType="end"/>
      </w:r>
      <w:bookmarkEnd w:id="90"/>
      <w:r w:rsidRPr="00176D37">
        <w:t>: Different educational approaches to deliver training</w:t>
      </w:r>
    </w:p>
    <w:tbl>
      <w:tblPr>
        <w:tblStyle w:val="TableGrid"/>
        <w:tblW w:w="0" w:type="auto"/>
        <w:tblLook w:val="04A0" w:firstRow="1" w:lastRow="0" w:firstColumn="1" w:lastColumn="0" w:noHBand="0" w:noVBand="1"/>
      </w:tblPr>
      <w:tblGrid>
        <w:gridCol w:w="2220"/>
        <w:gridCol w:w="7068"/>
      </w:tblGrid>
      <w:tr w:rsidR="00E9700E" w:rsidRPr="00176D37" w14:paraId="78695534" w14:textId="77777777" w:rsidTr="009742AB">
        <w:tc>
          <w:tcPr>
            <w:tcW w:w="2405" w:type="dxa"/>
          </w:tcPr>
          <w:p w14:paraId="74B1C992" w14:textId="77777777" w:rsidR="00E9700E" w:rsidRPr="00176D37" w:rsidRDefault="00E9700E" w:rsidP="009742AB">
            <w:pPr>
              <w:pStyle w:val="Tablecolhead"/>
              <w:keepNext/>
              <w:keepLines/>
            </w:pPr>
            <w:r w:rsidRPr="00176D37">
              <w:t>Training method</w:t>
            </w:r>
          </w:p>
        </w:tc>
        <w:tc>
          <w:tcPr>
            <w:tcW w:w="8051" w:type="dxa"/>
          </w:tcPr>
          <w:p w14:paraId="638ECD5D" w14:textId="594196DE" w:rsidR="00E9700E" w:rsidRPr="00176D37" w:rsidRDefault="000F1BCE" w:rsidP="009742AB">
            <w:pPr>
              <w:pStyle w:val="Tablecolhead"/>
              <w:keepNext/>
              <w:keepLines/>
            </w:pPr>
            <w:r>
              <w:t>Approach</w:t>
            </w:r>
          </w:p>
        </w:tc>
      </w:tr>
      <w:tr w:rsidR="00E9700E" w:rsidRPr="00176D37" w14:paraId="34726A7D" w14:textId="77777777" w:rsidTr="009742AB">
        <w:tc>
          <w:tcPr>
            <w:tcW w:w="2405" w:type="dxa"/>
          </w:tcPr>
          <w:p w14:paraId="7BF6A5B9" w14:textId="77777777" w:rsidR="00E9700E" w:rsidRPr="00176D37" w:rsidRDefault="00E9700E" w:rsidP="009742AB">
            <w:pPr>
              <w:pStyle w:val="Tabletext"/>
              <w:keepNext/>
              <w:keepLines/>
            </w:pPr>
            <w:r w:rsidRPr="00176D37">
              <w:t>Train-the-trainer</w:t>
            </w:r>
          </w:p>
          <w:p w14:paraId="40409189" w14:textId="77777777" w:rsidR="00E9700E" w:rsidRPr="00176D37" w:rsidRDefault="00E9700E" w:rsidP="009742AB">
            <w:pPr>
              <w:pStyle w:val="Tabletext"/>
              <w:keepNext/>
              <w:keepLines/>
            </w:pPr>
          </w:p>
        </w:tc>
        <w:tc>
          <w:tcPr>
            <w:tcW w:w="8051" w:type="dxa"/>
          </w:tcPr>
          <w:p w14:paraId="081BFAD5" w14:textId="794D7B7E" w:rsidR="00E9700E" w:rsidRPr="00176D37" w:rsidRDefault="00E9700E" w:rsidP="009742AB">
            <w:pPr>
              <w:pStyle w:val="Tabletext"/>
              <w:keepNext/>
              <w:keepLines/>
            </w:pPr>
            <w:r w:rsidRPr="00176D37">
              <w:t xml:space="preserve">The train-the-trainer approach </w:t>
            </w:r>
            <w:r w:rsidR="0011178B">
              <w:t>uses</w:t>
            </w:r>
            <w:r w:rsidR="0011178B" w:rsidRPr="00176D37">
              <w:t xml:space="preserve"> </w:t>
            </w:r>
            <w:r w:rsidRPr="00176D37">
              <w:t>staff who are EMR experts to train other members of staff</w:t>
            </w:r>
            <w:r w:rsidR="0011178B">
              <w:t>,</w:t>
            </w:r>
            <w:r w:rsidRPr="00176D37">
              <w:t xml:space="preserve"> who then in turn train the rest of the staff. This approach was found to be ineffective in driving rapid implementation at three acute hospitals in Oxfordshire in the United Kingdom, but they did find value in the creation of expert users in each clinical area with training by this method</w:t>
            </w:r>
            <w:r w:rsidR="0011178B" w:rsidRPr="00176D37">
              <w:rPr>
                <w:noProof/>
              </w:rPr>
              <w:t xml:space="preserve"> (Murphy 2009)</w:t>
            </w:r>
            <w:r w:rsidRPr="00176D37">
              <w:t>.</w:t>
            </w:r>
          </w:p>
        </w:tc>
      </w:tr>
      <w:tr w:rsidR="00E9700E" w:rsidRPr="00176D37" w14:paraId="5AA30C20" w14:textId="77777777" w:rsidTr="009742AB">
        <w:tc>
          <w:tcPr>
            <w:tcW w:w="2405" w:type="dxa"/>
          </w:tcPr>
          <w:p w14:paraId="246BFE3A" w14:textId="77777777" w:rsidR="00E9700E" w:rsidRPr="00176D37" w:rsidRDefault="00E9700E" w:rsidP="000C5060">
            <w:pPr>
              <w:pStyle w:val="Tabletext"/>
            </w:pPr>
            <w:r w:rsidRPr="00176D37">
              <w:t>Direct training</w:t>
            </w:r>
          </w:p>
          <w:p w14:paraId="5E04AF1D" w14:textId="77777777" w:rsidR="00E9700E" w:rsidRPr="00176D37" w:rsidRDefault="00E9700E" w:rsidP="000C5060">
            <w:pPr>
              <w:pStyle w:val="Tabletext"/>
            </w:pPr>
          </w:p>
        </w:tc>
        <w:tc>
          <w:tcPr>
            <w:tcW w:w="8051" w:type="dxa"/>
          </w:tcPr>
          <w:p w14:paraId="74BEE6A4" w14:textId="46ADC3D0" w:rsidR="00E9700E" w:rsidRPr="00176D37" w:rsidRDefault="00E9700E" w:rsidP="000C5060">
            <w:pPr>
              <w:pStyle w:val="Tabletext"/>
            </w:pPr>
            <w:r w:rsidRPr="00176D37">
              <w:t xml:space="preserve">Training was found to be more effective when staff were directly trained by the implementation team in shorter sessions, using teaching materials including dummy wrist bands and RBC units. Once a clinical area had reached a </w:t>
            </w:r>
            <w:r w:rsidR="0011178B">
              <w:t>‘</w:t>
            </w:r>
            <w:r w:rsidRPr="00176D37">
              <w:t>critical mass</w:t>
            </w:r>
            <w:r w:rsidR="0011178B">
              <w:t>’</w:t>
            </w:r>
            <w:r w:rsidR="0011178B" w:rsidRPr="00176D37">
              <w:t xml:space="preserve"> </w:t>
            </w:r>
            <w:r w:rsidRPr="00176D37">
              <w:t>of staff who were trained to use the new equipment (around 50</w:t>
            </w:r>
            <w:r w:rsidR="0011178B">
              <w:t xml:space="preserve"> per cent</w:t>
            </w:r>
            <w:r w:rsidR="0011178B" w:rsidRPr="00176D37">
              <w:t xml:space="preserve">), </w:t>
            </w:r>
            <w:r w:rsidRPr="00176D37">
              <w:t xml:space="preserve">the training of the remaining staff took on its own momentum. Training staff directly also allows for reinforcement of good practice, such as positive patient identification </w:t>
            </w:r>
            <w:r w:rsidR="0011178B" w:rsidRPr="00176D37">
              <w:rPr>
                <w:noProof/>
              </w:rPr>
              <w:t>(Murphy 2009)</w:t>
            </w:r>
            <w:r w:rsidRPr="00176D37">
              <w:t>.</w:t>
            </w:r>
          </w:p>
        </w:tc>
      </w:tr>
      <w:tr w:rsidR="00E9700E" w:rsidRPr="00176D37" w14:paraId="1C7B6DF4" w14:textId="77777777" w:rsidTr="009742AB">
        <w:tc>
          <w:tcPr>
            <w:tcW w:w="2405" w:type="dxa"/>
          </w:tcPr>
          <w:p w14:paraId="3C150CDB" w14:textId="77777777" w:rsidR="00E9700E" w:rsidRPr="00176D37" w:rsidRDefault="00E9700E" w:rsidP="000C5060">
            <w:pPr>
              <w:pStyle w:val="Tabletext"/>
            </w:pPr>
            <w:r w:rsidRPr="00176D37">
              <w:t>Simulation training</w:t>
            </w:r>
          </w:p>
          <w:p w14:paraId="0E9AF040" w14:textId="77777777" w:rsidR="00E9700E" w:rsidRPr="00176D37" w:rsidRDefault="00E9700E" w:rsidP="000C5060">
            <w:pPr>
              <w:pStyle w:val="Tabletext"/>
            </w:pPr>
          </w:p>
        </w:tc>
        <w:tc>
          <w:tcPr>
            <w:tcW w:w="8051" w:type="dxa"/>
          </w:tcPr>
          <w:p w14:paraId="68FF6DB0" w14:textId="133DCC98" w:rsidR="00E9700E" w:rsidRPr="00176D37" w:rsidRDefault="00E9700E" w:rsidP="000C5060">
            <w:pPr>
              <w:pStyle w:val="Tabletext"/>
            </w:pPr>
            <w:r w:rsidRPr="00176D37">
              <w:t xml:space="preserve">Simulation training is an interactive learning opportunity to use EMRs within a simulated clinical setting. It is an effective method of teaching prior to implementation of EMRs </w:t>
            </w:r>
            <w:r w:rsidR="005D3D83" w:rsidRPr="00176D37">
              <w:rPr>
                <w:noProof/>
              </w:rPr>
              <w:t>(Vuk 2015)</w:t>
            </w:r>
            <w:r w:rsidRPr="00176D37">
              <w:t xml:space="preserve">. </w:t>
            </w:r>
          </w:p>
          <w:p w14:paraId="2A1FD9BF" w14:textId="77777777" w:rsidR="00E9700E" w:rsidRPr="00176D37" w:rsidRDefault="00E9700E" w:rsidP="000C5060">
            <w:pPr>
              <w:pStyle w:val="Tabletext"/>
            </w:pPr>
            <w:r w:rsidRPr="00176D37">
              <w:t xml:space="preserve">Lucas (2010) found that using hands-on interactive teaching methods enhanced staff competence and confidence in using these systems for patient care. </w:t>
            </w:r>
          </w:p>
          <w:p w14:paraId="22F141F1" w14:textId="2CEE5DD1" w:rsidR="00E9700E" w:rsidRPr="00176D37" w:rsidRDefault="00E9700E" w:rsidP="000C5060">
            <w:pPr>
              <w:pStyle w:val="Tabletext"/>
            </w:pPr>
            <w:r w:rsidRPr="00176D37">
              <w:t xml:space="preserve">Additional training, including mock patients in clinical settings has been used to practice clinical scenarios including deteriorating patients and outpatient workflows prior to EMR go-live </w:t>
            </w:r>
            <w:r w:rsidR="005D3D83" w:rsidRPr="00176D37">
              <w:rPr>
                <w:noProof/>
              </w:rPr>
              <w:t>(McGuire 2013)</w:t>
            </w:r>
            <w:r w:rsidR="005D3D83">
              <w:rPr>
                <w:noProof/>
              </w:rPr>
              <w:t>.</w:t>
            </w:r>
          </w:p>
        </w:tc>
      </w:tr>
    </w:tbl>
    <w:p w14:paraId="1EEBB17B" w14:textId="77777777" w:rsidR="00E9700E" w:rsidRPr="000C5060" w:rsidRDefault="00E9700E" w:rsidP="000C5060">
      <w:pPr>
        <w:pStyle w:val="Heading3"/>
      </w:pPr>
      <w:bookmarkStart w:id="91" w:name="_Toc101285679"/>
      <w:bookmarkStart w:id="92" w:name="_Toc101947701"/>
      <w:r w:rsidRPr="000C5060">
        <w:t>Minimum time required for mandatory training</w:t>
      </w:r>
      <w:bookmarkEnd w:id="91"/>
      <w:bookmarkEnd w:id="92"/>
    </w:p>
    <w:p w14:paraId="53048989" w14:textId="51B87B99" w:rsidR="00E9700E" w:rsidRPr="00176D37" w:rsidRDefault="00E9700E" w:rsidP="006574CC">
      <w:pPr>
        <w:pStyle w:val="Body"/>
      </w:pPr>
      <w:r w:rsidRPr="00176D37">
        <w:t xml:space="preserve">Survey respondents reported that minimum time requirements for mandatory training varied, and this was not always consistent within the health service. Options given ranged from no minimum time requirement up to one cumulative full day. The minimum training time required varied with respondent’s role, as shown in </w:t>
      </w:r>
      <w:r w:rsidRPr="00176D37">
        <w:fldChar w:fldCharType="begin"/>
      </w:r>
      <w:r w:rsidRPr="00176D37">
        <w:instrText xml:space="preserve"> REF _Ref100678668 \h  \* MERGEFORMAT </w:instrText>
      </w:r>
      <w:r w:rsidRPr="00176D37">
        <w:fldChar w:fldCharType="separate"/>
      </w:r>
      <w:r w:rsidR="00E73E2F" w:rsidRPr="00176D37">
        <w:t xml:space="preserve">Table </w:t>
      </w:r>
      <w:r w:rsidR="00E73E2F">
        <w:rPr>
          <w:noProof/>
        </w:rPr>
        <w:t>10</w:t>
      </w:r>
      <w:r w:rsidRPr="00176D37">
        <w:fldChar w:fldCharType="end"/>
      </w:r>
      <w:r w:rsidRPr="00176D37">
        <w:t>.</w:t>
      </w:r>
    </w:p>
    <w:p w14:paraId="701D1C0B" w14:textId="3F3B3C58" w:rsidR="00E9700E" w:rsidRPr="00176D37" w:rsidRDefault="00E9700E" w:rsidP="006574CC">
      <w:pPr>
        <w:pStyle w:val="Tablecaption"/>
      </w:pPr>
      <w:bookmarkStart w:id="93" w:name="_Ref100678668"/>
      <w:r w:rsidRPr="00176D37">
        <w:t xml:space="preserve">Table </w:t>
      </w:r>
      <w:r w:rsidR="00F751A0">
        <w:fldChar w:fldCharType="begin"/>
      </w:r>
      <w:r w:rsidR="00F751A0">
        <w:instrText xml:space="preserve"> SEQ Table \* ARABIC </w:instrText>
      </w:r>
      <w:r w:rsidR="00F751A0">
        <w:fldChar w:fldCharType="separate"/>
      </w:r>
      <w:r w:rsidR="00E73E2F">
        <w:rPr>
          <w:noProof/>
        </w:rPr>
        <w:t>10</w:t>
      </w:r>
      <w:r w:rsidR="00F751A0">
        <w:rPr>
          <w:noProof/>
        </w:rPr>
        <w:fldChar w:fldCharType="end"/>
      </w:r>
      <w:bookmarkEnd w:id="93"/>
      <w:r w:rsidRPr="00176D37">
        <w:t>: Minimum time required for mandatory training by role</w:t>
      </w:r>
    </w:p>
    <w:tbl>
      <w:tblPr>
        <w:tblStyle w:val="TableGrid"/>
        <w:tblW w:w="9351" w:type="dxa"/>
        <w:tblLook w:val="04A0" w:firstRow="1" w:lastRow="0" w:firstColumn="1" w:lastColumn="0" w:noHBand="0" w:noVBand="1"/>
      </w:tblPr>
      <w:tblGrid>
        <w:gridCol w:w="3485"/>
        <w:gridCol w:w="5866"/>
      </w:tblGrid>
      <w:tr w:rsidR="00E9700E" w:rsidRPr="00176D37" w14:paraId="1E778FEE" w14:textId="77777777" w:rsidTr="009742AB">
        <w:trPr>
          <w:tblHeader/>
        </w:trPr>
        <w:tc>
          <w:tcPr>
            <w:tcW w:w="3485" w:type="dxa"/>
          </w:tcPr>
          <w:p w14:paraId="27C9B295" w14:textId="77777777" w:rsidR="00E9700E" w:rsidRPr="00176D37" w:rsidRDefault="00E9700E" w:rsidP="006574CC">
            <w:pPr>
              <w:pStyle w:val="Tablecolhead"/>
            </w:pPr>
            <w:r w:rsidRPr="00176D37">
              <w:t>Role</w:t>
            </w:r>
          </w:p>
        </w:tc>
        <w:tc>
          <w:tcPr>
            <w:tcW w:w="5866" w:type="dxa"/>
          </w:tcPr>
          <w:p w14:paraId="7FD4B6D9" w14:textId="77777777" w:rsidR="00E9700E" w:rsidRPr="00176D37" w:rsidRDefault="00E9700E" w:rsidP="006574CC">
            <w:pPr>
              <w:pStyle w:val="Tablecolhead"/>
            </w:pPr>
            <w:r w:rsidRPr="00176D37">
              <w:t>Minimum time required</w:t>
            </w:r>
          </w:p>
        </w:tc>
      </w:tr>
      <w:tr w:rsidR="00E9700E" w:rsidRPr="00176D37" w14:paraId="460840B1" w14:textId="77777777" w:rsidTr="00182564">
        <w:tc>
          <w:tcPr>
            <w:tcW w:w="3485" w:type="dxa"/>
          </w:tcPr>
          <w:p w14:paraId="6BD962EB" w14:textId="77777777" w:rsidR="00E9700E" w:rsidRPr="00176D37" w:rsidRDefault="00E9700E" w:rsidP="006574CC">
            <w:pPr>
              <w:pStyle w:val="Tabletext"/>
            </w:pPr>
            <w:r w:rsidRPr="00176D37">
              <w:t>Clinical nursing</w:t>
            </w:r>
          </w:p>
        </w:tc>
        <w:tc>
          <w:tcPr>
            <w:tcW w:w="5866" w:type="dxa"/>
          </w:tcPr>
          <w:p w14:paraId="0DB4B9D3" w14:textId="002A780F" w:rsidR="00E9700E" w:rsidRPr="00176D37" w:rsidRDefault="00E9700E" w:rsidP="006574CC">
            <w:pPr>
              <w:pStyle w:val="Tabletext"/>
            </w:pPr>
            <w:r w:rsidRPr="00176D37">
              <w:t>3</w:t>
            </w:r>
            <w:r w:rsidR="005D3D83">
              <w:t>–</w:t>
            </w:r>
            <w:r w:rsidRPr="00176D37">
              <w:t>4 hours</w:t>
            </w:r>
          </w:p>
          <w:p w14:paraId="69498F38" w14:textId="77777777" w:rsidR="00E9700E" w:rsidRPr="00176D37" w:rsidRDefault="00E9700E" w:rsidP="006574CC">
            <w:pPr>
              <w:pStyle w:val="Tabletext"/>
            </w:pPr>
            <w:r w:rsidRPr="00176D37">
              <w:t>One respondent reported 2 full days equivalent</w:t>
            </w:r>
          </w:p>
        </w:tc>
      </w:tr>
      <w:tr w:rsidR="00E9700E" w:rsidRPr="00176D37" w14:paraId="0334C37F" w14:textId="77777777" w:rsidTr="00182564">
        <w:tc>
          <w:tcPr>
            <w:tcW w:w="3485" w:type="dxa"/>
          </w:tcPr>
          <w:p w14:paraId="45A6AEFA" w14:textId="77777777" w:rsidR="00E9700E" w:rsidRPr="00176D37" w:rsidRDefault="00E9700E" w:rsidP="006574CC">
            <w:pPr>
              <w:pStyle w:val="Tabletext"/>
            </w:pPr>
            <w:r w:rsidRPr="00176D37">
              <w:t>Executive</w:t>
            </w:r>
          </w:p>
        </w:tc>
        <w:tc>
          <w:tcPr>
            <w:tcW w:w="5866" w:type="dxa"/>
          </w:tcPr>
          <w:p w14:paraId="26937D25" w14:textId="77777777" w:rsidR="00E9700E" w:rsidRPr="00176D37" w:rsidRDefault="00E9700E" w:rsidP="006574CC">
            <w:pPr>
              <w:pStyle w:val="Tabletext"/>
            </w:pPr>
            <w:r w:rsidRPr="00176D37">
              <w:t>Reported training dependent on role</w:t>
            </w:r>
          </w:p>
        </w:tc>
      </w:tr>
      <w:tr w:rsidR="00E9700E" w:rsidRPr="00176D37" w14:paraId="31C87CD0" w14:textId="77777777" w:rsidTr="00182564">
        <w:tc>
          <w:tcPr>
            <w:tcW w:w="3485" w:type="dxa"/>
          </w:tcPr>
          <w:p w14:paraId="1A3C8474" w14:textId="77777777" w:rsidR="00E9700E" w:rsidRPr="00176D37" w:rsidRDefault="00E9700E" w:rsidP="006574CC">
            <w:pPr>
              <w:pStyle w:val="Tabletext"/>
            </w:pPr>
            <w:r w:rsidRPr="00176D37">
              <w:t>Organisational IT</w:t>
            </w:r>
          </w:p>
        </w:tc>
        <w:tc>
          <w:tcPr>
            <w:tcW w:w="5866" w:type="dxa"/>
          </w:tcPr>
          <w:p w14:paraId="1EB21B27" w14:textId="77777777" w:rsidR="00E9700E" w:rsidRPr="00176D37" w:rsidRDefault="00E9700E" w:rsidP="006574CC">
            <w:pPr>
              <w:pStyle w:val="Tabletext"/>
            </w:pPr>
            <w:r w:rsidRPr="00176D37">
              <w:t>One full day equivalent</w:t>
            </w:r>
          </w:p>
        </w:tc>
      </w:tr>
      <w:tr w:rsidR="00E9700E" w:rsidRPr="00176D37" w14:paraId="27D5C55C" w14:textId="77777777" w:rsidTr="00182564">
        <w:tc>
          <w:tcPr>
            <w:tcW w:w="3485" w:type="dxa"/>
          </w:tcPr>
          <w:p w14:paraId="736902A3" w14:textId="77777777" w:rsidR="00E9700E" w:rsidRPr="00176D37" w:rsidRDefault="00E9700E" w:rsidP="006574CC">
            <w:pPr>
              <w:pStyle w:val="Tabletext"/>
            </w:pPr>
            <w:r w:rsidRPr="00176D37">
              <w:t>Laboratory</w:t>
            </w:r>
          </w:p>
        </w:tc>
        <w:tc>
          <w:tcPr>
            <w:tcW w:w="5866" w:type="dxa"/>
          </w:tcPr>
          <w:p w14:paraId="1E972792" w14:textId="784C7737" w:rsidR="00E9700E" w:rsidRPr="00176D37" w:rsidRDefault="00E9700E" w:rsidP="006574CC">
            <w:pPr>
              <w:pStyle w:val="Tabletext"/>
            </w:pPr>
            <w:r w:rsidRPr="00176D37">
              <w:t>2</w:t>
            </w:r>
            <w:r w:rsidR="005D3D83">
              <w:t>–</w:t>
            </w:r>
            <w:r w:rsidRPr="00176D37">
              <w:t>3 hours</w:t>
            </w:r>
          </w:p>
        </w:tc>
      </w:tr>
      <w:tr w:rsidR="00E9700E" w:rsidRPr="00176D37" w14:paraId="260588FF" w14:textId="77777777" w:rsidTr="00182564">
        <w:tc>
          <w:tcPr>
            <w:tcW w:w="3485" w:type="dxa"/>
          </w:tcPr>
          <w:p w14:paraId="4F013289" w14:textId="77777777" w:rsidR="00E9700E" w:rsidRPr="00176D37" w:rsidRDefault="00E9700E" w:rsidP="006574CC">
            <w:pPr>
              <w:pStyle w:val="Tabletext"/>
            </w:pPr>
            <w:r w:rsidRPr="00176D37">
              <w:t>Medical</w:t>
            </w:r>
          </w:p>
        </w:tc>
        <w:tc>
          <w:tcPr>
            <w:tcW w:w="5866" w:type="dxa"/>
          </w:tcPr>
          <w:p w14:paraId="7BFCA2FC" w14:textId="77777777" w:rsidR="00E9700E" w:rsidRPr="00176D37" w:rsidRDefault="00E9700E" w:rsidP="006574CC">
            <w:pPr>
              <w:pStyle w:val="Tabletext"/>
            </w:pPr>
            <w:r w:rsidRPr="00176D37">
              <w:t>One full day equivalent</w:t>
            </w:r>
          </w:p>
        </w:tc>
      </w:tr>
      <w:tr w:rsidR="00E9700E" w:rsidRPr="00176D37" w14:paraId="47C15BF7" w14:textId="77777777" w:rsidTr="00182564">
        <w:tc>
          <w:tcPr>
            <w:tcW w:w="3485" w:type="dxa"/>
          </w:tcPr>
          <w:p w14:paraId="3D656465" w14:textId="77777777" w:rsidR="00E9700E" w:rsidRPr="00176D37" w:rsidRDefault="00E9700E" w:rsidP="006574CC">
            <w:pPr>
              <w:pStyle w:val="Tabletext"/>
            </w:pPr>
            <w:r w:rsidRPr="00176D37">
              <w:t>Quality</w:t>
            </w:r>
          </w:p>
        </w:tc>
        <w:tc>
          <w:tcPr>
            <w:tcW w:w="5866" w:type="dxa"/>
          </w:tcPr>
          <w:p w14:paraId="75C954A6" w14:textId="288679C9" w:rsidR="00E9700E" w:rsidRPr="00176D37" w:rsidRDefault="00E9700E" w:rsidP="006574CC">
            <w:pPr>
              <w:pStyle w:val="Tabletext"/>
            </w:pPr>
            <w:r w:rsidRPr="00176D37">
              <w:t xml:space="preserve">Mixed responses – no minimum time, </w:t>
            </w:r>
            <w:proofErr w:type="gramStart"/>
            <w:r w:rsidRPr="00176D37">
              <w:t>don’t</w:t>
            </w:r>
            <w:proofErr w:type="gramEnd"/>
            <w:r w:rsidRPr="00176D37">
              <w:t xml:space="preserve"> recall, training was role-based and varied from several hours to 1</w:t>
            </w:r>
            <w:r w:rsidR="005D3D83">
              <w:t>–</w:t>
            </w:r>
            <w:r w:rsidRPr="00176D37">
              <w:t>2 days</w:t>
            </w:r>
          </w:p>
        </w:tc>
      </w:tr>
    </w:tbl>
    <w:p w14:paraId="06D805B3" w14:textId="77777777" w:rsidR="0092204C" w:rsidRDefault="0092204C" w:rsidP="006574CC">
      <w:pPr>
        <w:pStyle w:val="Heading3"/>
      </w:pPr>
      <w:bookmarkStart w:id="94" w:name="_Toc101285680"/>
      <w:bookmarkStart w:id="95" w:name="_Toc101947702"/>
    </w:p>
    <w:p w14:paraId="6F981FE8" w14:textId="77777777" w:rsidR="0092204C" w:rsidRDefault="0092204C">
      <w:pPr>
        <w:spacing w:after="0" w:line="240" w:lineRule="auto"/>
        <w:rPr>
          <w:rFonts w:eastAsia="MS Gothic"/>
          <w:bCs/>
          <w:color w:val="53565A"/>
          <w:sz w:val="30"/>
          <w:szCs w:val="26"/>
        </w:rPr>
      </w:pPr>
      <w:r>
        <w:br w:type="page"/>
      </w:r>
    </w:p>
    <w:p w14:paraId="5F862947" w14:textId="285F6AFC" w:rsidR="00E9700E" w:rsidRPr="006574CC" w:rsidRDefault="00E9700E" w:rsidP="006574CC">
      <w:pPr>
        <w:pStyle w:val="Heading3"/>
      </w:pPr>
      <w:r w:rsidRPr="006574CC">
        <w:lastRenderedPageBreak/>
        <w:t>Confidence following education</w:t>
      </w:r>
      <w:bookmarkEnd w:id="94"/>
      <w:bookmarkEnd w:id="95"/>
    </w:p>
    <w:p w14:paraId="38EA74EA" w14:textId="6A2B0970" w:rsidR="00E9700E" w:rsidRPr="00176D37" w:rsidRDefault="00E9700E" w:rsidP="006574CC">
      <w:pPr>
        <w:pStyle w:val="Body"/>
      </w:pPr>
      <w:r w:rsidRPr="00176D37">
        <w:t xml:space="preserve">Forty-two (of the 45 respondents who were at the 18 health services at the time of EMR implementation) reported receiving education. Twenty-nine (29/42, 69 per cent) reported they received enough training to confidently use the EMR at implementation. </w:t>
      </w:r>
      <w:r w:rsidRPr="00176D37">
        <w:fldChar w:fldCharType="begin"/>
      </w:r>
      <w:r w:rsidRPr="00176D37">
        <w:instrText xml:space="preserve"> REF _Ref100678678 \h  \* MERGEFORMAT </w:instrText>
      </w:r>
      <w:r w:rsidRPr="00176D37">
        <w:fldChar w:fldCharType="separate"/>
      </w:r>
      <w:r w:rsidR="00E73E2F" w:rsidRPr="00176D37">
        <w:t xml:space="preserve">Table </w:t>
      </w:r>
      <w:r w:rsidR="00E73E2F">
        <w:rPr>
          <w:noProof/>
        </w:rPr>
        <w:t>11</w:t>
      </w:r>
      <w:r w:rsidRPr="00176D37">
        <w:fldChar w:fldCharType="end"/>
      </w:r>
      <w:r w:rsidRPr="00176D37">
        <w:t xml:space="preserve"> shows the training adequacy, as reported per role.</w:t>
      </w:r>
    </w:p>
    <w:p w14:paraId="159412F9" w14:textId="48AE127E" w:rsidR="00E9700E" w:rsidRPr="00176D37" w:rsidRDefault="00E9700E" w:rsidP="006574CC">
      <w:pPr>
        <w:pStyle w:val="Tablecaption"/>
      </w:pPr>
      <w:bookmarkStart w:id="96" w:name="_Ref100678678"/>
      <w:r w:rsidRPr="00176D37">
        <w:t xml:space="preserve">Table </w:t>
      </w:r>
      <w:r w:rsidR="00F751A0">
        <w:fldChar w:fldCharType="begin"/>
      </w:r>
      <w:r w:rsidR="00F751A0">
        <w:instrText xml:space="preserve"> SEQ Table \* ARABIC </w:instrText>
      </w:r>
      <w:r w:rsidR="00F751A0">
        <w:fldChar w:fldCharType="separate"/>
      </w:r>
      <w:r w:rsidR="00E73E2F">
        <w:rPr>
          <w:noProof/>
        </w:rPr>
        <w:t>11</w:t>
      </w:r>
      <w:r w:rsidR="00F751A0">
        <w:rPr>
          <w:noProof/>
        </w:rPr>
        <w:fldChar w:fldCharType="end"/>
      </w:r>
      <w:bookmarkEnd w:id="96"/>
      <w:r w:rsidRPr="00176D37">
        <w:t>: Training adequacy provided by role</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215"/>
        <w:gridCol w:w="2551"/>
        <w:gridCol w:w="2551"/>
      </w:tblGrid>
      <w:tr w:rsidR="00E9700E" w:rsidRPr="00176D37" w14:paraId="1D8882FB" w14:textId="77777777" w:rsidTr="009742AB">
        <w:trPr>
          <w:trHeight w:val="288"/>
          <w:tblHeader/>
        </w:trPr>
        <w:tc>
          <w:tcPr>
            <w:tcW w:w="2033" w:type="dxa"/>
            <w:shd w:val="clear" w:color="auto" w:fill="auto"/>
            <w:vAlign w:val="center"/>
          </w:tcPr>
          <w:p w14:paraId="6CA88563" w14:textId="7EB4ADEC" w:rsidR="00E9700E" w:rsidRPr="00176D37" w:rsidRDefault="005D3D83" w:rsidP="006574CC">
            <w:pPr>
              <w:pStyle w:val="Tablecolhead"/>
              <w:rPr>
                <w:lang w:eastAsia="en-AU"/>
              </w:rPr>
            </w:pPr>
            <w:r>
              <w:rPr>
                <w:lang w:eastAsia="en-AU"/>
              </w:rPr>
              <w:t>Role</w:t>
            </w:r>
          </w:p>
        </w:tc>
        <w:tc>
          <w:tcPr>
            <w:tcW w:w="2215" w:type="dxa"/>
            <w:shd w:val="clear" w:color="auto" w:fill="auto"/>
            <w:vAlign w:val="center"/>
          </w:tcPr>
          <w:p w14:paraId="18122A3E" w14:textId="77777777" w:rsidR="00E9700E" w:rsidRPr="00176D37" w:rsidRDefault="00E9700E" w:rsidP="006574CC">
            <w:pPr>
              <w:pStyle w:val="Tablecolhead"/>
              <w:rPr>
                <w:lang w:eastAsia="en-AU"/>
              </w:rPr>
            </w:pPr>
            <w:r w:rsidRPr="00176D37">
              <w:rPr>
                <w:lang w:eastAsia="en-AU"/>
              </w:rPr>
              <w:t xml:space="preserve">Number of respondents </w:t>
            </w:r>
          </w:p>
        </w:tc>
        <w:tc>
          <w:tcPr>
            <w:tcW w:w="2551" w:type="dxa"/>
            <w:shd w:val="clear" w:color="auto" w:fill="auto"/>
            <w:vAlign w:val="center"/>
          </w:tcPr>
          <w:p w14:paraId="0BEB48FE" w14:textId="77777777" w:rsidR="00E9700E" w:rsidRPr="00176D37" w:rsidRDefault="00E9700E" w:rsidP="006574CC">
            <w:pPr>
              <w:pStyle w:val="Tablecolhead"/>
              <w:rPr>
                <w:lang w:eastAsia="en-AU"/>
              </w:rPr>
            </w:pPr>
            <w:r w:rsidRPr="00176D37">
              <w:rPr>
                <w:lang w:eastAsia="en-AU"/>
              </w:rPr>
              <w:t xml:space="preserve">Adequate training provided </w:t>
            </w:r>
          </w:p>
          <w:p w14:paraId="5C5C0227" w14:textId="77777777" w:rsidR="00E9700E" w:rsidRPr="00176D37" w:rsidRDefault="00E9700E" w:rsidP="006574CC">
            <w:pPr>
              <w:pStyle w:val="Tablecolhead"/>
              <w:rPr>
                <w:lang w:eastAsia="en-AU"/>
              </w:rPr>
            </w:pPr>
            <w:r w:rsidRPr="00176D37">
              <w:rPr>
                <w:lang w:eastAsia="en-AU"/>
              </w:rPr>
              <w:t>n (%)</w:t>
            </w:r>
          </w:p>
        </w:tc>
        <w:tc>
          <w:tcPr>
            <w:tcW w:w="2551" w:type="dxa"/>
          </w:tcPr>
          <w:p w14:paraId="50CB6FC1" w14:textId="77777777" w:rsidR="00E9700E" w:rsidRPr="00176D37" w:rsidRDefault="00E9700E" w:rsidP="006574CC">
            <w:pPr>
              <w:pStyle w:val="Tablecolhead"/>
              <w:rPr>
                <w:lang w:eastAsia="en-AU"/>
              </w:rPr>
            </w:pPr>
            <w:r w:rsidRPr="00176D37">
              <w:rPr>
                <w:lang w:eastAsia="en-AU"/>
              </w:rPr>
              <w:t xml:space="preserve">Inadequate training provided </w:t>
            </w:r>
          </w:p>
          <w:p w14:paraId="278B13EF" w14:textId="77777777" w:rsidR="00E9700E" w:rsidRPr="00176D37" w:rsidRDefault="00E9700E" w:rsidP="006574CC">
            <w:pPr>
              <w:pStyle w:val="Tablecolhead"/>
              <w:rPr>
                <w:bCs/>
                <w:lang w:eastAsia="en-AU"/>
              </w:rPr>
            </w:pPr>
            <w:r w:rsidRPr="00176D37">
              <w:rPr>
                <w:bCs/>
                <w:lang w:eastAsia="en-AU"/>
              </w:rPr>
              <w:t>n (%)</w:t>
            </w:r>
          </w:p>
        </w:tc>
      </w:tr>
      <w:tr w:rsidR="00E9700E" w:rsidRPr="00176D37" w14:paraId="3D046DBA" w14:textId="77777777" w:rsidTr="009742AB">
        <w:trPr>
          <w:trHeight w:val="288"/>
        </w:trPr>
        <w:tc>
          <w:tcPr>
            <w:tcW w:w="2033" w:type="dxa"/>
            <w:shd w:val="clear" w:color="auto" w:fill="auto"/>
            <w:vAlign w:val="center"/>
          </w:tcPr>
          <w:p w14:paraId="191591C8" w14:textId="77777777" w:rsidR="00E9700E" w:rsidRPr="00176D37" w:rsidRDefault="00E9700E" w:rsidP="006574CC">
            <w:pPr>
              <w:pStyle w:val="Tabletext"/>
              <w:rPr>
                <w:lang w:eastAsia="en-AU"/>
              </w:rPr>
            </w:pPr>
            <w:r w:rsidRPr="00176D37">
              <w:rPr>
                <w:lang w:eastAsia="en-AU"/>
              </w:rPr>
              <w:t>Clinical nursing</w:t>
            </w:r>
          </w:p>
        </w:tc>
        <w:tc>
          <w:tcPr>
            <w:tcW w:w="2215" w:type="dxa"/>
            <w:shd w:val="clear" w:color="auto" w:fill="auto"/>
            <w:vAlign w:val="center"/>
          </w:tcPr>
          <w:p w14:paraId="6B865AC7" w14:textId="77777777" w:rsidR="00E9700E" w:rsidRPr="00176D37" w:rsidRDefault="00E9700E" w:rsidP="006574CC">
            <w:pPr>
              <w:pStyle w:val="Tabletext"/>
              <w:rPr>
                <w:lang w:eastAsia="en-AU"/>
              </w:rPr>
            </w:pPr>
            <w:r w:rsidRPr="00176D37">
              <w:rPr>
                <w:lang w:eastAsia="en-AU"/>
              </w:rPr>
              <w:t>6</w:t>
            </w:r>
          </w:p>
        </w:tc>
        <w:tc>
          <w:tcPr>
            <w:tcW w:w="2551" w:type="dxa"/>
            <w:shd w:val="clear" w:color="auto" w:fill="auto"/>
            <w:vAlign w:val="center"/>
          </w:tcPr>
          <w:p w14:paraId="1C557C2E" w14:textId="77777777" w:rsidR="00E9700E" w:rsidRPr="00176D37" w:rsidRDefault="00E9700E" w:rsidP="006574CC">
            <w:pPr>
              <w:pStyle w:val="Tabletext"/>
              <w:rPr>
                <w:lang w:eastAsia="en-AU"/>
              </w:rPr>
            </w:pPr>
            <w:r w:rsidRPr="00176D37">
              <w:rPr>
                <w:lang w:eastAsia="en-AU"/>
              </w:rPr>
              <w:t>6 (100%)</w:t>
            </w:r>
          </w:p>
        </w:tc>
        <w:tc>
          <w:tcPr>
            <w:tcW w:w="2551" w:type="dxa"/>
          </w:tcPr>
          <w:p w14:paraId="1689BC2B" w14:textId="77777777" w:rsidR="00E9700E" w:rsidRPr="00176D37" w:rsidRDefault="00E9700E" w:rsidP="006574CC">
            <w:pPr>
              <w:pStyle w:val="Tabletext"/>
              <w:rPr>
                <w:lang w:eastAsia="en-AU"/>
              </w:rPr>
            </w:pPr>
            <w:r w:rsidRPr="00176D37">
              <w:rPr>
                <w:lang w:eastAsia="en-AU"/>
              </w:rPr>
              <w:t xml:space="preserve">- </w:t>
            </w:r>
          </w:p>
        </w:tc>
      </w:tr>
      <w:tr w:rsidR="00E9700E" w:rsidRPr="00176D37" w14:paraId="1B8B595D" w14:textId="77777777" w:rsidTr="009742AB">
        <w:trPr>
          <w:trHeight w:val="288"/>
        </w:trPr>
        <w:tc>
          <w:tcPr>
            <w:tcW w:w="2033" w:type="dxa"/>
            <w:shd w:val="clear" w:color="auto" w:fill="auto"/>
            <w:vAlign w:val="center"/>
            <w:hideMark/>
          </w:tcPr>
          <w:p w14:paraId="6DF24392" w14:textId="77777777" w:rsidR="00E9700E" w:rsidRPr="00176D37" w:rsidRDefault="00E9700E" w:rsidP="006574CC">
            <w:pPr>
              <w:pStyle w:val="Tabletext"/>
              <w:rPr>
                <w:lang w:eastAsia="en-AU"/>
              </w:rPr>
            </w:pPr>
            <w:r w:rsidRPr="00176D37">
              <w:rPr>
                <w:lang w:eastAsia="en-AU"/>
              </w:rPr>
              <w:t>Executive</w:t>
            </w:r>
          </w:p>
        </w:tc>
        <w:tc>
          <w:tcPr>
            <w:tcW w:w="2215" w:type="dxa"/>
            <w:shd w:val="clear" w:color="auto" w:fill="auto"/>
            <w:vAlign w:val="center"/>
          </w:tcPr>
          <w:p w14:paraId="0217316D" w14:textId="77777777" w:rsidR="00E9700E" w:rsidRPr="00176D37" w:rsidRDefault="00E9700E" w:rsidP="006574CC">
            <w:pPr>
              <w:pStyle w:val="Tabletext"/>
              <w:rPr>
                <w:lang w:eastAsia="en-AU"/>
              </w:rPr>
            </w:pPr>
            <w:r w:rsidRPr="00176D37">
              <w:rPr>
                <w:lang w:eastAsia="en-AU"/>
              </w:rPr>
              <w:t>4</w:t>
            </w:r>
          </w:p>
        </w:tc>
        <w:tc>
          <w:tcPr>
            <w:tcW w:w="2551" w:type="dxa"/>
            <w:shd w:val="clear" w:color="auto" w:fill="auto"/>
            <w:vAlign w:val="center"/>
          </w:tcPr>
          <w:p w14:paraId="4ECFDFF7" w14:textId="77777777" w:rsidR="00E9700E" w:rsidRPr="00176D37" w:rsidRDefault="00E9700E" w:rsidP="006574CC">
            <w:pPr>
              <w:pStyle w:val="Tabletext"/>
              <w:rPr>
                <w:lang w:eastAsia="en-AU"/>
              </w:rPr>
            </w:pPr>
            <w:r w:rsidRPr="00176D37">
              <w:rPr>
                <w:lang w:eastAsia="en-AU"/>
              </w:rPr>
              <w:t>3 (75%)</w:t>
            </w:r>
          </w:p>
        </w:tc>
        <w:tc>
          <w:tcPr>
            <w:tcW w:w="2551" w:type="dxa"/>
          </w:tcPr>
          <w:p w14:paraId="17CFD782" w14:textId="77777777" w:rsidR="00E9700E" w:rsidRPr="00176D37" w:rsidRDefault="00E9700E" w:rsidP="006574CC">
            <w:pPr>
              <w:pStyle w:val="Tabletext"/>
              <w:rPr>
                <w:lang w:eastAsia="en-AU"/>
              </w:rPr>
            </w:pPr>
            <w:r w:rsidRPr="00176D37">
              <w:rPr>
                <w:lang w:eastAsia="en-AU"/>
              </w:rPr>
              <w:t>1 (25%)</w:t>
            </w:r>
          </w:p>
        </w:tc>
      </w:tr>
      <w:tr w:rsidR="00E9700E" w:rsidRPr="00176D37" w14:paraId="0F440018" w14:textId="77777777" w:rsidTr="009742AB">
        <w:trPr>
          <w:trHeight w:val="564"/>
        </w:trPr>
        <w:tc>
          <w:tcPr>
            <w:tcW w:w="2033" w:type="dxa"/>
            <w:shd w:val="clear" w:color="auto" w:fill="auto"/>
            <w:vAlign w:val="center"/>
            <w:hideMark/>
          </w:tcPr>
          <w:p w14:paraId="4BF01508" w14:textId="77777777" w:rsidR="00E9700E" w:rsidRPr="00176D37" w:rsidRDefault="00E9700E" w:rsidP="006574CC">
            <w:pPr>
              <w:pStyle w:val="Tabletext"/>
              <w:rPr>
                <w:lang w:eastAsia="en-AU"/>
              </w:rPr>
            </w:pPr>
            <w:r w:rsidRPr="00176D37">
              <w:rPr>
                <w:lang w:eastAsia="en-AU"/>
              </w:rPr>
              <w:t>Laboratory</w:t>
            </w:r>
          </w:p>
        </w:tc>
        <w:tc>
          <w:tcPr>
            <w:tcW w:w="2215" w:type="dxa"/>
            <w:shd w:val="clear" w:color="auto" w:fill="auto"/>
            <w:vAlign w:val="center"/>
          </w:tcPr>
          <w:p w14:paraId="5463C25A" w14:textId="77777777" w:rsidR="00E9700E" w:rsidRPr="00176D37" w:rsidRDefault="00E9700E" w:rsidP="006574CC">
            <w:pPr>
              <w:pStyle w:val="Tabletext"/>
              <w:rPr>
                <w:lang w:eastAsia="en-AU"/>
              </w:rPr>
            </w:pPr>
            <w:r w:rsidRPr="00176D37">
              <w:rPr>
                <w:lang w:eastAsia="en-AU"/>
              </w:rPr>
              <w:t>3</w:t>
            </w:r>
          </w:p>
        </w:tc>
        <w:tc>
          <w:tcPr>
            <w:tcW w:w="2551" w:type="dxa"/>
            <w:shd w:val="clear" w:color="auto" w:fill="auto"/>
            <w:vAlign w:val="center"/>
          </w:tcPr>
          <w:p w14:paraId="1223C67F" w14:textId="7794C45C" w:rsidR="00E9700E" w:rsidRPr="00176D37" w:rsidRDefault="00306FAE" w:rsidP="006574CC">
            <w:pPr>
              <w:pStyle w:val="Tabletext"/>
              <w:rPr>
                <w:lang w:eastAsia="en-AU"/>
              </w:rPr>
            </w:pPr>
            <w:r>
              <w:rPr>
                <w:lang w:eastAsia="en-AU"/>
              </w:rPr>
              <w:t xml:space="preserve">3 </w:t>
            </w:r>
            <w:r w:rsidR="00E9700E" w:rsidRPr="00176D37">
              <w:rPr>
                <w:lang w:eastAsia="en-AU"/>
              </w:rPr>
              <w:t>(100%)</w:t>
            </w:r>
          </w:p>
        </w:tc>
        <w:tc>
          <w:tcPr>
            <w:tcW w:w="2551" w:type="dxa"/>
          </w:tcPr>
          <w:p w14:paraId="0182BAC6" w14:textId="77777777" w:rsidR="00E9700E" w:rsidRPr="00176D37" w:rsidRDefault="00E9700E" w:rsidP="006574CC">
            <w:pPr>
              <w:pStyle w:val="Tabletext"/>
              <w:rPr>
                <w:lang w:eastAsia="en-AU"/>
              </w:rPr>
            </w:pPr>
            <w:r w:rsidRPr="00176D37">
              <w:rPr>
                <w:lang w:eastAsia="en-AU"/>
              </w:rPr>
              <w:t xml:space="preserve">- </w:t>
            </w:r>
          </w:p>
        </w:tc>
      </w:tr>
      <w:tr w:rsidR="00E9700E" w:rsidRPr="00176D37" w14:paraId="40EB5805" w14:textId="77777777" w:rsidTr="009742AB">
        <w:trPr>
          <w:trHeight w:val="288"/>
        </w:trPr>
        <w:tc>
          <w:tcPr>
            <w:tcW w:w="2033" w:type="dxa"/>
            <w:shd w:val="clear" w:color="auto" w:fill="auto"/>
            <w:vAlign w:val="center"/>
            <w:hideMark/>
          </w:tcPr>
          <w:p w14:paraId="3EC45B1B" w14:textId="77777777" w:rsidR="00E9700E" w:rsidRPr="00176D37" w:rsidRDefault="00E9700E" w:rsidP="006574CC">
            <w:pPr>
              <w:pStyle w:val="Tabletext"/>
              <w:rPr>
                <w:lang w:eastAsia="en-AU"/>
              </w:rPr>
            </w:pPr>
            <w:r w:rsidRPr="00176D37">
              <w:rPr>
                <w:lang w:eastAsia="en-AU"/>
              </w:rPr>
              <w:t>Medical</w:t>
            </w:r>
          </w:p>
        </w:tc>
        <w:tc>
          <w:tcPr>
            <w:tcW w:w="2215" w:type="dxa"/>
            <w:shd w:val="clear" w:color="auto" w:fill="auto"/>
            <w:vAlign w:val="center"/>
          </w:tcPr>
          <w:p w14:paraId="0DE7FD9B" w14:textId="77777777" w:rsidR="00E9700E" w:rsidRPr="00176D37" w:rsidRDefault="00E9700E" w:rsidP="006574CC">
            <w:pPr>
              <w:pStyle w:val="Tabletext"/>
              <w:rPr>
                <w:lang w:eastAsia="en-AU"/>
              </w:rPr>
            </w:pPr>
            <w:r w:rsidRPr="00176D37">
              <w:rPr>
                <w:lang w:eastAsia="en-AU"/>
              </w:rPr>
              <w:t>5</w:t>
            </w:r>
          </w:p>
        </w:tc>
        <w:tc>
          <w:tcPr>
            <w:tcW w:w="2551" w:type="dxa"/>
            <w:shd w:val="clear" w:color="auto" w:fill="auto"/>
            <w:vAlign w:val="center"/>
          </w:tcPr>
          <w:p w14:paraId="17F8D690" w14:textId="77777777" w:rsidR="00E9700E" w:rsidRPr="00176D37" w:rsidRDefault="00E9700E" w:rsidP="006574CC">
            <w:pPr>
              <w:pStyle w:val="Tabletext"/>
              <w:rPr>
                <w:lang w:eastAsia="en-AU"/>
              </w:rPr>
            </w:pPr>
            <w:r w:rsidRPr="00176D37">
              <w:rPr>
                <w:lang w:eastAsia="en-AU"/>
              </w:rPr>
              <w:t>4 (80%)</w:t>
            </w:r>
          </w:p>
        </w:tc>
        <w:tc>
          <w:tcPr>
            <w:tcW w:w="2551" w:type="dxa"/>
          </w:tcPr>
          <w:p w14:paraId="404C0F14" w14:textId="77777777" w:rsidR="00E9700E" w:rsidRPr="00176D37" w:rsidRDefault="00E9700E" w:rsidP="006574CC">
            <w:pPr>
              <w:pStyle w:val="Tabletext"/>
              <w:rPr>
                <w:lang w:eastAsia="en-AU"/>
              </w:rPr>
            </w:pPr>
            <w:r w:rsidRPr="00176D37">
              <w:rPr>
                <w:lang w:eastAsia="en-AU"/>
              </w:rPr>
              <w:t>1 (20%)</w:t>
            </w:r>
          </w:p>
        </w:tc>
      </w:tr>
      <w:tr w:rsidR="00E9700E" w:rsidRPr="00176D37" w14:paraId="4FF2CC46" w14:textId="77777777" w:rsidTr="009742AB">
        <w:trPr>
          <w:trHeight w:val="564"/>
        </w:trPr>
        <w:tc>
          <w:tcPr>
            <w:tcW w:w="2033" w:type="dxa"/>
            <w:shd w:val="clear" w:color="auto" w:fill="auto"/>
            <w:vAlign w:val="center"/>
            <w:hideMark/>
          </w:tcPr>
          <w:p w14:paraId="1F9C84EC" w14:textId="77777777" w:rsidR="00E9700E" w:rsidRPr="00176D37" w:rsidRDefault="00E9700E" w:rsidP="006574CC">
            <w:pPr>
              <w:pStyle w:val="Tabletext"/>
              <w:rPr>
                <w:lang w:eastAsia="en-AU"/>
              </w:rPr>
            </w:pPr>
            <w:r w:rsidRPr="00176D37">
              <w:rPr>
                <w:lang w:eastAsia="en-AU"/>
              </w:rPr>
              <w:t>Organisational IT</w:t>
            </w:r>
          </w:p>
        </w:tc>
        <w:tc>
          <w:tcPr>
            <w:tcW w:w="2215" w:type="dxa"/>
            <w:shd w:val="clear" w:color="auto" w:fill="auto"/>
            <w:vAlign w:val="center"/>
          </w:tcPr>
          <w:p w14:paraId="52A401B0" w14:textId="77777777" w:rsidR="00E9700E" w:rsidRPr="00176D37" w:rsidRDefault="00E9700E" w:rsidP="006574CC">
            <w:pPr>
              <w:pStyle w:val="Tabletext"/>
              <w:rPr>
                <w:lang w:eastAsia="en-AU"/>
              </w:rPr>
            </w:pPr>
            <w:r w:rsidRPr="00176D37">
              <w:rPr>
                <w:lang w:eastAsia="en-AU"/>
              </w:rPr>
              <w:t>3</w:t>
            </w:r>
          </w:p>
        </w:tc>
        <w:tc>
          <w:tcPr>
            <w:tcW w:w="2551" w:type="dxa"/>
            <w:shd w:val="clear" w:color="auto" w:fill="auto"/>
            <w:vAlign w:val="center"/>
          </w:tcPr>
          <w:p w14:paraId="78E1A05D" w14:textId="77777777" w:rsidR="00E9700E" w:rsidRPr="00176D37" w:rsidRDefault="00E9700E" w:rsidP="006574CC">
            <w:pPr>
              <w:pStyle w:val="Tabletext"/>
              <w:rPr>
                <w:lang w:eastAsia="en-AU"/>
              </w:rPr>
            </w:pPr>
            <w:r w:rsidRPr="00176D37">
              <w:rPr>
                <w:lang w:eastAsia="en-AU"/>
              </w:rPr>
              <w:t>3 (100%)</w:t>
            </w:r>
          </w:p>
        </w:tc>
        <w:tc>
          <w:tcPr>
            <w:tcW w:w="2551" w:type="dxa"/>
          </w:tcPr>
          <w:p w14:paraId="02D2116A" w14:textId="77777777" w:rsidR="00E9700E" w:rsidRPr="00176D37" w:rsidRDefault="00E9700E" w:rsidP="006574CC">
            <w:pPr>
              <w:pStyle w:val="Tabletext"/>
              <w:rPr>
                <w:lang w:eastAsia="en-AU"/>
              </w:rPr>
            </w:pPr>
            <w:r w:rsidRPr="00176D37">
              <w:rPr>
                <w:lang w:eastAsia="en-AU"/>
              </w:rPr>
              <w:t xml:space="preserve">- </w:t>
            </w:r>
          </w:p>
        </w:tc>
      </w:tr>
      <w:tr w:rsidR="00E9700E" w:rsidRPr="00176D37" w14:paraId="31A01EF3" w14:textId="77777777" w:rsidTr="009742AB">
        <w:trPr>
          <w:trHeight w:val="288"/>
        </w:trPr>
        <w:tc>
          <w:tcPr>
            <w:tcW w:w="2033" w:type="dxa"/>
            <w:shd w:val="clear" w:color="auto" w:fill="auto"/>
            <w:vAlign w:val="center"/>
            <w:hideMark/>
          </w:tcPr>
          <w:p w14:paraId="30937F30" w14:textId="77777777" w:rsidR="00E9700E" w:rsidRPr="00176D37" w:rsidRDefault="00E9700E" w:rsidP="006574CC">
            <w:pPr>
              <w:pStyle w:val="Tabletext"/>
              <w:rPr>
                <w:lang w:eastAsia="en-AU"/>
              </w:rPr>
            </w:pPr>
            <w:r w:rsidRPr="00176D37">
              <w:rPr>
                <w:lang w:eastAsia="en-AU"/>
              </w:rPr>
              <w:t>Quality</w:t>
            </w:r>
          </w:p>
        </w:tc>
        <w:tc>
          <w:tcPr>
            <w:tcW w:w="2215" w:type="dxa"/>
            <w:shd w:val="clear" w:color="auto" w:fill="auto"/>
            <w:vAlign w:val="center"/>
          </w:tcPr>
          <w:p w14:paraId="2583122E" w14:textId="77777777" w:rsidR="00E9700E" w:rsidRPr="00176D37" w:rsidRDefault="00E9700E" w:rsidP="006574CC">
            <w:pPr>
              <w:pStyle w:val="Tabletext"/>
              <w:rPr>
                <w:lang w:eastAsia="en-AU"/>
              </w:rPr>
            </w:pPr>
            <w:r w:rsidRPr="00176D37">
              <w:rPr>
                <w:lang w:eastAsia="en-AU"/>
              </w:rPr>
              <w:t>18</w:t>
            </w:r>
          </w:p>
        </w:tc>
        <w:tc>
          <w:tcPr>
            <w:tcW w:w="2551" w:type="dxa"/>
            <w:shd w:val="clear" w:color="auto" w:fill="auto"/>
            <w:vAlign w:val="center"/>
          </w:tcPr>
          <w:p w14:paraId="305D3BF7" w14:textId="77777777" w:rsidR="00E9700E" w:rsidRPr="00176D37" w:rsidRDefault="00E9700E" w:rsidP="006574CC">
            <w:pPr>
              <w:pStyle w:val="Tabletext"/>
              <w:rPr>
                <w:lang w:eastAsia="en-AU"/>
              </w:rPr>
            </w:pPr>
            <w:r w:rsidRPr="00176D37">
              <w:rPr>
                <w:lang w:eastAsia="en-AU"/>
              </w:rPr>
              <w:t>7 (39%)</w:t>
            </w:r>
          </w:p>
        </w:tc>
        <w:tc>
          <w:tcPr>
            <w:tcW w:w="2551" w:type="dxa"/>
          </w:tcPr>
          <w:p w14:paraId="03D230A0" w14:textId="77777777" w:rsidR="00E9700E" w:rsidRPr="00176D37" w:rsidRDefault="00E9700E" w:rsidP="006574CC">
            <w:pPr>
              <w:pStyle w:val="Tabletext"/>
              <w:rPr>
                <w:lang w:eastAsia="en-AU"/>
              </w:rPr>
            </w:pPr>
            <w:r w:rsidRPr="00176D37">
              <w:rPr>
                <w:lang w:eastAsia="en-AU"/>
              </w:rPr>
              <w:t>11 (61%)</w:t>
            </w:r>
          </w:p>
        </w:tc>
      </w:tr>
      <w:tr w:rsidR="00E9700E" w:rsidRPr="00176D37" w14:paraId="343128E4" w14:textId="77777777" w:rsidTr="009742AB">
        <w:trPr>
          <w:trHeight w:val="288"/>
        </w:trPr>
        <w:tc>
          <w:tcPr>
            <w:tcW w:w="2033" w:type="dxa"/>
            <w:shd w:val="clear" w:color="auto" w:fill="auto"/>
            <w:vAlign w:val="center"/>
            <w:hideMark/>
          </w:tcPr>
          <w:p w14:paraId="66D02C4A" w14:textId="77777777" w:rsidR="00E9700E" w:rsidRPr="00176D37" w:rsidRDefault="00E9700E" w:rsidP="006574CC">
            <w:pPr>
              <w:pStyle w:val="Tabletext"/>
              <w:rPr>
                <w:lang w:eastAsia="en-AU"/>
              </w:rPr>
            </w:pPr>
            <w:r w:rsidRPr="00176D37">
              <w:rPr>
                <w:lang w:eastAsia="en-AU"/>
              </w:rPr>
              <w:t>Other</w:t>
            </w:r>
          </w:p>
        </w:tc>
        <w:tc>
          <w:tcPr>
            <w:tcW w:w="2215" w:type="dxa"/>
            <w:shd w:val="clear" w:color="auto" w:fill="auto"/>
            <w:vAlign w:val="center"/>
          </w:tcPr>
          <w:p w14:paraId="5B3FEED2" w14:textId="77777777" w:rsidR="00E9700E" w:rsidRPr="00176D37" w:rsidRDefault="00E9700E" w:rsidP="006574CC">
            <w:pPr>
              <w:pStyle w:val="Tabletext"/>
              <w:rPr>
                <w:lang w:eastAsia="en-AU"/>
              </w:rPr>
            </w:pPr>
            <w:r w:rsidRPr="00176D37">
              <w:rPr>
                <w:lang w:eastAsia="en-AU"/>
              </w:rPr>
              <w:t>3</w:t>
            </w:r>
          </w:p>
        </w:tc>
        <w:tc>
          <w:tcPr>
            <w:tcW w:w="2551" w:type="dxa"/>
            <w:shd w:val="clear" w:color="auto" w:fill="auto"/>
            <w:vAlign w:val="center"/>
          </w:tcPr>
          <w:p w14:paraId="3EB9C342" w14:textId="77777777" w:rsidR="00E9700E" w:rsidRPr="00176D37" w:rsidRDefault="00E9700E" w:rsidP="006574CC">
            <w:pPr>
              <w:pStyle w:val="Tabletext"/>
              <w:rPr>
                <w:lang w:eastAsia="en-AU"/>
              </w:rPr>
            </w:pPr>
            <w:r w:rsidRPr="00176D37">
              <w:rPr>
                <w:lang w:eastAsia="en-AU"/>
              </w:rPr>
              <w:t>3 (100%)</w:t>
            </w:r>
          </w:p>
        </w:tc>
        <w:tc>
          <w:tcPr>
            <w:tcW w:w="2551" w:type="dxa"/>
          </w:tcPr>
          <w:p w14:paraId="77849410" w14:textId="77777777" w:rsidR="00E9700E" w:rsidRPr="00176D37" w:rsidRDefault="00E9700E" w:rsidP="006574CC">
            <w:pPr>
              <w:pStyle w:val="Tabletext"/>
              <w:rPr>
                <w:lang w:eastAsia="en-AU"/>
              </w:rPr>
            </w:pPr>
            <w:r w:rsidRPr="00176D37">
              <w:rPr>
                <w:lang w:eastAsia="en-AU"/>
              </w:rPr>
              <w:t xml:space="preserve">- </w:t>
            </w:r>
          </w:p>
        </w:tc>
      </w:tr>
      <w:tr w:rsidR="00E9700E" w:rsidRPr="00176D37" w14:paraId="1E74DF1D" w14:textId="77777777" w:rsidTr="009742AB">
        <w:trPr>
          <w:trHeight w:val="288"/>
        </w:trPr>
        <w:tc>
          <w:tcPr>
            <w:tcW w:w="2033" w:type="dxa"/>
            <w:shd w:val="clear" w:color="auto" w:fill="auto"/>
            <w:vAlign w:val="center"/>
          </w:tcPr>
          <w:p w14:paraId="5CFA8F10" w14:textId="77777777" w:rsidR="00E9700E" w:rsidRPr="00176D37" w:rsidRDefault="00E9700E" w:rsidP="006574CC">
            <w:pPr>
              <w:pStyle w:val="Tabletext"/>
              <w:rPr>
                <w:b/>
                <w:bCs/>
                <w:lang w:eastAsia="en-AU"/>
              </w:rPr>
            </w:pPr>
            <w:r w:rsidRPr="00176D37">
              <w:rPr>
                <w:b/>
                <w:bCs/>
                <w:lang w:eastAsia="en-AU"/>
              </w:rPr>
              <w:t>Total</w:t>
            </w:r>
          </w:p>
        </w:tc>
        <w:tc>
          <w:tcPr>
            <w:tcW w:w="2215" w:type="dxa"/>
            <w:shd w:val="clear" w:color="auto" w:fill="auto"/>
            <w:vAlign w:val="center"/>
          </w:tcPr>
          <w:p w14:paraId="134F49A8" w14:textId="77777777" w:rsidR="00E9700E" w:rsidRPr="00176D37" w:rsidRDefault="00E9700E" w:rsidP="006574CC">
            <w:pPr>
              <w:pStyle w:val="Tabletext"/>
              <w:rPr>
                <w:b/>
                <w:bCs/>
                <w:lang w:eastAsia="en-AU"/>
              </w:rPr>
            </w:pPr>
            <w:r w:rsidRPr="00176D37">
              <w:rPr>
                <w:b/>
                <w:bCs/>
                <w:lang w:eastAsia="en-AU"/>
              </w:rPr>
              <w:t>42</w:t>
            </w:r>
          </w:p>
        </w:tc>
        <w:tc>
          <w:tcPr>
            <w:tcW w:w="2551" w:type="dxa"/>
            <w:shd w:val="clear" w:color="auto" w:fill="auto"/>
            <w:vAlign w:val="center"/>
          </w:tcPr>
          <w:p w14:paraId="63C97AA3" w14:textId="77777777" w:rsidR="00E9700E" w:rsidRPr="00176D37" w:rsidRDefault="00E9700E" w:rsidP="006574CC">
            <w:pPr>
              <w:pStyle w:val="Tabletext"/>
              <w:rPr>
                <w:b/>
                <w:bCs/>
                <w:lang w:eastAsia="en-AU"/>
              </w:rPr>
            </w:pPr>
            <w:r w:rsidRPr="00176D37">
              <w:rPr>
                <w:b/>
                <w:bCs/>
                <w:lang w:eastAsia="en-AU"/>
              </w:rPr>
              <w:t>29 (69%)</w:t>
            </w:r>
          </w:p>
        </w:tc>
        <w:tc>
          <w:tcPr>
            <w:tcW w:w="2551" w:type="dxa"/>
          </w:tcPr>
          <w:p w14:paraId="4372996E" w14:textId="77777777" w:rsidR="00E9700E" w:rsidRPr="00176D37" w:rsidRDefault="00E9700E" w:rsidP="006574CC">
            <w:pPr>
              <w:pStyle w:val="Tabletext"/>
              <w:rPr>
                <w:b/>
                <w:bCs/>
                <w:lang w:eastAsia="en-AU"/>
              </w:rPr>
            </w:pPr>
            <w:r w:rsidRPr="00176D37">
              <w:rPr>
                <w:b/>
                <w:bCs/>
                <w:lang w:eastAsia="en-AU"/>
              </w:rPr>
              <w:t>13 (31%)</w:t>
            </w:r>
          </w:p>
        </w:tc>
      </w:tr>
    </w:tbl>
    <w:p w14:paraId="04A02053" w14:textId="1746BDB8" w:rsidR="00E9700E" w:rsidRPr="00176D37" w:rsidRDefault="00E9700E" w:rsidP="009742AB">
      <w:pPr>
        <w:pStyle w:val="Bodyaftertablefigure"/>
      </w:pPr>
      <w:r w:rsidRPr="00176D37">
        <w:t xml:space="preserve">Although 29 (69 per cent) </w:t>
      </w:r>
      <w:r w:rsidRPr="005D3D83">
        <w:t>responded</w:t>
      </w:r>
      <w:r w:rsidRPr="00176D37">
        <w:t xml:space="preserve"> that they received adequate training, the response from those in quality roles highlighted only seven of the 18 (39 per cent) respondents thought their training was adequate. Staff working a quality role are rarely directly involved in hands-on patient care, suggesting that training may have been directed to the roles with the most direct clinical impact. </w:t>
      </w:r>
    </w:p>
    <w:p w14:paraId="0E04B9E4" w14:textId="3445ED5F" w:rsidR="00E9700E" w:rsidRPr="00176D37" w:rsidRDefault="00E9700E" w:rsidP="006574CC">
      <w:pPr>
        <w:pStyle w:val="Body"/>
      </w:pPr>
      <w:r w:rsidRPr="00176D37">
        <w:t>Three (100 per cent) of the laboratory respondents who were provided with education stated they were given enough time (ranging from two to four hours) to be able to confidently use EMR at implementation, although three other laboratory respondents from different health services (</w:t>
      </w:r>
      <w:r w:rsidRPr="00176D37">
        <w:fldChar w:fldCharType="begin"/>
      </w:r>
      <w:r w:rsidRPr="00176D37">
        <w:instrText xml:space="preserve"> REF _Ref100678629 \h  \* MERGEFORMAT </w:instrText>
      </w:r>
      <w:r w:rsidRPr="00176D37">
        <w:fldChar w:fldCharType="separate"/>
      </w:r>
      <w:r w:rsidR="00E73E2F" w:rsidRPr="00176D37">
        <w:t xml:space="preserve">Table </w:t>
      </w:r>
      <w:r w:rsidR="00E73E2F">
        <w:rPr>
          <w:noProof/>
        </w:rPr>
        <w:t>7</w:t>
      </w:r>
      <w:r w:rsidRPr="00176D37">
        <w:fldChar w:fldCharType="end"/>
      </w:r>
      <w:r w:rsidRPr="00176D37">
        <w:t xml:space="preserve">) stated they had no EMR education provided to them. </w:t>
      </w:r>
    </w:p>
    <w:p w14:paraId="665C19F8" w14:textId="77777777" w:rsidR="00E9700E" w:rsidRPr="00176D37" w:rsidRDefault="00E9700E" w:rsidP="006574CC">
      <w:pPr>
        <w:pStyle w:val="Body"/>
      </w:pPr>
      <w:r w:rsidRPr="00176D37">
        <w:t>There were 13 respondents, spread across 11 different health services, who received training, but reported they felt the training was inadequate to confidently use EMR at implementation. Most of these respondents were from quality roles. The general theme from respondents’ feedback centred on the system complexity, where often only basic training was given.</w:t>
      </w:r>
    </w:p>
    <w:p w14:paraId="765D3D7F" w14:textId="77777777" w:rsidR="00E9700E" w:rsidRPr="00176D37" w:rsidRDefault="00E9700E" w:rsidP="006574CC">
      <w:pPr>
        <w:pStyle w:val="Body"/>
      </w:pPr>
      <w:r w:rsidRPr="00176D37">
        <w:t>Some of the specific comments provided by respondents who did not feel confident in the use of EMR at implementation include:</w:t>
      </w:r>
    </w:p>
    <w:p w14:paraId="720D1B62" w14:textId="4B5D2BF5" w:rsidR="00E9700E" w:rsidRPr="00176D37" w:rsidRDefault="005D3D83" w:rsidP="006574CC">
      <w:pPr>
        <w:pStyle w:val="Bullet1"/>
      </w:pPr>
      <w:r>
        <w:t>‘</w:t>
      </w:r>
      <w:r w:rsidR="00E9700E" w:rsidRPr="00176D37">
        <w:t>Able to use basic functions, but many different workflows across the hospital not aware of. Basic understanding was okay</w:t>
      </w:r>
      <w:r>
        <w:t>’</w:t>
      </w:r>
      <w:r w:rsidR="00E9700E" w:rsidRPr="00176D37">
        <w:t xml:space="preserve"> (medical)</w:t>
      </w:r>
      <w:r>
        <w:t>.</w:t>
      </w:r>
    </w:p>
    <w:p w14:paraId="7BE06E51" w14:textId="62EFB211" w:rsidR="00E9700E" w:rsidRPr="00176D37" w:rsidRDefault="005D3D83" w:rsidP="006574CC">
      <w:pPr>
        <w:pStyle w:val="Bullet1"/>
      </w:pPr>
      <w:r>
        <w:t>‘</w:t>
      </w:r>
      <w:r w:rsidR="00E9700E" w:rsidRPr="00176D37">
        <w:t>Training provided for basic reporting using EMR. No access to role-based training to understand clinical workflows to assist with understanding of clinical documentation issues or variation</w:t>
      </w:r>
      <w:r>
        <w:t>’</w:t>
      </w:r>
      <w:r w:rsidRPr="00176D37">
        <w:t xml:space="preserve"> </w:t>
      </w:r>
      <w:r w:rsidR="00E9700E" w:rsidRPr="00176D37">
        <w:t>(quality)</w:t>
      </w:r>
      <w:r>
        <w:t>.</w:t>
      </w:r>
    </w:p>
    <w:p w14:paraId="6BF51308" w14:textId="300C4596" w:rsidR="00E9700E" w:rsidRPr="00176D37" w:rsidRDefault="005D3D83" w:rsidP="006574CC">
      <w:pPr>
        <w:pStyle w:val="Bullet1"/>
      </w:pPr>
      <w:r>
        <w:t>‘</w:t>
      </w:r>
      <w:r w:rsidR="00E9700E" w:rsidRPr="00176D37">
        <w:t>Long lead time with training and go-live due to Covid</w:t>
      </w:r>
      <w:r>
        <w:t>’</w:t>
      </w:r>
      <w:r w:rsidRPr="00176D37">
        <w:t xml:space="preserve"> </w:t>
      </w:r>
      <w:r w:rsidR="00E9700E" w:rsidRPr="00176D37">
        <w:t>(executive)</w:t>
      </w:r>
      <w:r>
        <w:t>.</w:t>
      </w:r>
    </w:p>
    <w:p w14:paraId="33E8129E" w14:textId="76315F9F" w:rsidR="00E9700E" w:rsidRPr="00176D37" w:rsidRDefault="005D3D83" w:rsidP="006574CC">
      <w:pPr>
        <w:pStyle w:val="Bullet1"/>
      </w:pPr>
      <w:r>
        <w:t>‘</w:t>
      </w:r>
      <w:r w:rsidR="00E9700E" w:rsidRPr="00176D37">
        <w:t xml:space="preserve">Hindsight has identified there were many areas that required additional training and support that weren't included in the </w:t>
      </w:r>
      <w:proofErr w:type="gramStart"/>
      <w:r w:rsidR="00E9700E" w:rsidRPr="00176D37">
        <w:t>pre go</w:t>
      </w:r>
      <w:proofErr w:type="gramEnd"/>
      <w:r w:rsidR="00E9700E" w:rsidRPr="00176D37">
        <w:t>-live education</w:t>
      </w:r>
      <w:r>
        <w:t>’</w:t>
      </w:r>
      <w:r w:rsidRPr="00176D37">
        <w:t xml:space="preserve"> </w:t>
      </w:r>
      <w:r w:rsidR="00E9700E" w:rsidRPr="00176D37">
        <w:t>(quality).</w:t>
      </w:r>
    </w:p>
    <w:p w14:paraId="691F02D9" w14:textId="77777777" w:rsidR="00E9700E" w:rsidRPr="006574CC" w:rsidRDefault="00E9700E" w:rsidP="006574CC">
      <w:pPr>
        <w:pStyle w:val="Heading3"/>
      </w:pPr>
      <w:bookmarkStart w:id="97" w:name="_Toc101285681"/>
      <w:bookmarkStart w:id="98" w:name="_Toc101947703"/>
      <w:r w:rsidRPr="006574CC">
        <w:lastRenderedPageBreak/>
        <w:t>Assessment of training</w:t>
      </w:r>
      <w:bookmarkEnd w:id="97"/>
      <w:bookmarkEnd w:id="98"/>
    </w:p>
    <w:p w14:paraId="27A6B3C3" w14:textId="0DA8EC0D" w:rsidR="00E9700E" w:rsidRPr="00176D37" w:rsidRDefault="00E9700E" w:rsidP="009742AB">
      <w:pPr>
        <w:pStyle w:val="Body"/>
        <w:rPr>
          <w:rFonts w:eastAsiaTheme="majorEastAsia" w:cs="Arial"/>
          <w:color w:val="002060"/>
          <w:sz w:val="32"/>
          <w:szCs w:val="32"/>
        </w:rPr>
      </w:pPr>
      <w:r w:rsidRPr="00176D37">
        <w:t>Twenty-four respondents at 11 of the 20 health services (55 per cent) reported that an assessment was conducted following training to ensure an adequate understanding. This question was asked of all staff, whether they were present at implementation or not. Respondents from five health services (25 per cent) reported they were unsure about assessment, and a further four (20 per cent) reported no assessment was conducted.</w:t>
      </w:r>
      <w:bookmarkStart w:id="99" w:name="Need_to_edit"/>
      <w:bookmarkEnd w:id="99"/>
    </w:p>
    <w:p w14:paraId="414B12DC" w14:textId="790826E5" w:rsidR="00E9700E" w:rsidRPr="0049506A" w:rsidRDefault="00E9700E" w:rsidP="0049506A">
      <w:pPr>
        <w:pStyle w:val="Heading1"/>
      </w:pPr>
      <w:bookmarkStart w:id="100" w:name="_Toc101285682"/>
      <w:bookmarkStart w:id="101" w:name="_Toc101947704"/>
      <w:bookmarkStart w:id="102" w:name="_Toc104975925"/>
      <w:r w:rsidRPr="0049506A">
        <w:t>Set up of EMR for bloo</w:t>
      </w:r>
      <w:r w:rsidR="00671D5E">
        <w:t xml:space="preserve">d </w:t>
      </w:r>
      <w:r w:rsidR="0049506A">
        <w:t>m</w:t>
      </w:r>
      <w:r w:rsidRPr="0049506A">
        <w:t>anagement</w:t>
      </w:r>
      <w:r w:rsidR="00671D5E">
        <w:t xml:space="preserve"> </w:t>
      </w:r>
      <w:r w:rsidRPr="0049506A">
        <w:t>/transfusion</w:t>
      </w:r>
      <w:bookmarkEnd w:id="100"/>
      <w:bookmarkEnd w:id="101"/>
      <w:bookmarkEnd w:id="102"/>
    </w:p>
    <w:p w14:paraId="781F65A6" w14:textId="77777777" w:rsidR="00E9700E" w:rsidRPr="0049506A" w:rsidRDefault="00E9700E" w:rsidP="0049506A">
      <w:pPr>
        <w:pStyle w:val="Heading2"/>
      </w:pPr>
      <w:bookmarkStart w:id="103" w:name="_Toc101285683"/>
      <w:bookmarkStart w:id="104" w:name="_Toc101947705"/>
      <w:bookmarkStart w:id="105" w:name="_Toc104975926"/>
      <w:r w:rsidRPr="0049506A">
        <w:t>Subject matter experts (SME) involved in the development and review of the EMR blood management/transfusion content</w:t>
      </w:r>
      <w:bookmarkEnd w:id="103"/>
      <w:bookmarkEnd w:id="104"/>
      <w:bookmarkEnd w:id="105"/>
    </w:p>
    <w:p w14:paraId="678B8870" w14:textId="739A4975" w:rsidR="00E9700E" w:rsidRPr="009742AB" w:rsidRDefault="00E9700E" w:rsidP="005D3D83">
      <w:pPr>
        <w:pStyle w:val="Body"/>
      </w:pPr>
      <w:r w:rsidRPr="005D3D83">
        <w:t>The transfusion process is complex and involves many staff across a wide variety of specialties. It is therefore important w</w:t>
      </w:r>
      <w:r w:rsidRPr="009742AB">
        <w:t>hen developing a system that is functional and provides patient safety that those specialty groups are involved or at least consulted.</w:t>
      </w:r>
      <w:r w:rsidRPr="005D3D83">
        <w:t xml:space="preserve"> Respondents who reported blood management being included in the EMR were asked which subject matter experts (SME) were </w:t>
      </w:r>
      <w:r w:rsidRPr="009742AB">
        <w:t>involved in the development and review of the EMR blood management/transfusion content</w:t>
      </w:r>
      <w:r w:rsidRPr="005D3D83">
        <w:t xml:space="preserve"> (</w:t>
      </w:r>
      <w:r w:rsidRPr="005D3D83">
        <w:fldChar w:fldCharType="begin"/>
      </w:r>
      <w:r w:rsidRPr="005D3D83">
        <w:instrText xml:space="preserve"> REF _Ref100678709 \h  \* MERGEFORMAT </w:instrText>
      </w:r>
      <w:r w:rsidRPr="005D3D83">
        <w:fldChar w:fldCharType="separate"/>
      </w:r>
      <w:r w:rsidR="00E73E2F" w:rsidRPr="00176D37">
        <w:t xml:space="preserve">Table </w:t>
      </w:r>
      <w:r w:rsidR="00E73E2F">
        <w:t>12</w:t>
      </w:r>
      <w:r w:rsidRPr="005D3D83">
        <w:fldChar w:fldCharType="end"/>
      </w:r>
      <w:r w:rsidRPr="005D3D83">
        <w:t>)</w:t>
      </w:r>
      <w:r w:rsidRPr="009742AB">
        <w:t>.</w:t>
      </w:r>
    </w:p>
    <w:p w14:paraId="6EFE29B2" w14:textId="6F703765" w:rsidR="00E9700E" w:rsidRPr="00176D37" w:rsidRDefault="00E9700E" w:rsidP="0049506A">
      <w:pPr>
        <w:pStyle w:val="Tablecaption"/>
      </w:pPr>
      <w:bookmarkStart w:id="106" w:name="_Ref100678709"/>
      <w:r w:rsidRPr="00176D37">
        <w:t xml:space="preserve">Table </w:t>
      </w:r>
      <w:r w:rsidR="00F751A0">
        <w:fldChar w:fldCharType="begin"/>
      </w:r>
      <w:r w:rsidR="00F751A0">
        <w:instrText xml:space="preserve"> SEQ Table \* ARABIC </w:instrText>
      </w:r>
      <w:r w:rsidR="00F751A0">
        <w:fldChar w:fldCharType="separate"/>
      </w:r>
      <w:r w:rsidR="00E73E2F">
        <w:rPr>
          <w:noProof/>
        </w:rPr>
        <w:t>12</w:t>
      </w:r>
      <w:r w:rsidR="00F751A0">
        <w:rPr>
          <w:noProof/>
        </w:rPr>
        <w:fldChar w:fldCharType="end"/>
      </w:r>
      <w:bookmarkEnd w:id="106"/>
      <w:r w:rsidRPr="00176D37">
        <w:t>: Breakdown of the SMEs reported to be involved if blood management included in EMR</w:t>
      </w:r>
      <w:r w:rsidRPr="00176D37">
        <w:rPr>
          <w:rStyle w:val="FootnoteReference"/>
          <w:rFonts w:cs="Arial"/>
          <w:sz w:val="22"/>
          <w:szCs w:val="22"/>
        </w:rPr>
        <w:footnoteReference w:id="8"/>
      </w:r>
    </w:p>
    <w:tbl>
      <w:tblPr>
        <w:tblStyle w:val="TableGrid"/>
        <w:tblW w:w="0" w:type="auto"/>
        <w:tblLook w:val="04A0" w:firstRow="1" w:lastRow="0" w:firstColumn="1" w:lastColumn="0" w:noHBand="0" w:noVBand="1"/>
      </w:tblPr>
      <w:tblGrid>
        <w:gridCol w:w="5665"/>
        <w:gridCol w:w="3623"/>
      </w:tblGrid>
      <w:tr w:rsidR="00E9700E" w:rsidRPr="00176D37" w14:paraId="56A9FC54" w14:textId="77777777" w:rsidTr="009742AB">
        <w:trPr>
          <w:tblHeader/>
        </w:trPr>
        <w:tc>
          <w:tcPr>
            <w:tcW w:w="5665" w:type="dxa"/>
          </w:tcPr>
          <w:p w14:paraId="279278EB" w14:textId="10B692FA" w:rsidR="00E9700E" w:rsidRPr="00176D37" w:rsidRDefault="005D3D83" w:rsidP="0049506A">
            <w:pPr>
              <w:pStyle w:val="Tablecolhead"/>
            </w:pPr>
            <w:r>
              <w:t>Role</w:t>
            </w:r>
          </w:p>
        </w:tc>
        <w:tc>
          <w:tcPr>
            <w:tcW w:w="3623" w:type="dxa"/>
          </w:tcPr>
          <w:p w14:paraId="39358E89" w14:textId="5A2A9EAE" w:rsidR="00E9700E" w:rsidRPr="00176D37" w:rsidRDefault="00E9700E" w:rsidP="0049506A">
            <w:pPr>
              <w:pStyle w:val="Tablecolhead"/>
            </w:pPr>
            <w:r w:rsidRPr="00176D37">
              <w:rPr>
                <w:bCs/>
              </w:rPr>
              <w:t>Health service count</w:t>
            </w:r>
            <w:r w:rsidRPr="00176D37">
              <w:t xml:space="preserve"> n</w:t>
            </w:r>
            <w:r w:rsidR="005D3D83">
              <w:t> </w:t>
            </w:r>
            <w:r w:rsidRPr="00176D37">
              <w:t>=</w:t>
            </w:r>
            <w:r w:rsidR="005D3D83">
              <w:t> </w:t>
            </w:r>
            <w:r w:rsidRPr="00176D37">
              <w:t>11, (%)</w:t>
            </w:r>
          </w:p>
        </w:tc>
      </w:tr>
      <w:tr w:rsidR="00E9700E" w:rsidRPr="00176D37" w14:paraId="46CC394E" w14:textId="77777777" w:rsidTr="009742AB">
        <w:tc>
          <w:tcPr>
            <w:tcW w:w="5665" w:type="dxa"/>
          </w:tcPr>
          <w:p w14:paraId="49CE3178" w14:textId="721C2024" w:rsidR="00E9700E" w:rsidRPr="00176D37" w:rsidRDefault="00E9700E" w:rsidP="005D3D83">
            <w:pPr>
              <w:pStyle w:val="Tabletext"/>
            </w:pPr>
            <w:r w:rsidRPr="00176D37">
              <w:t>Medical</w:t>
            </w:r>
            <w:r w:rsidR="005D3D83">
              <w:t xml:space="preserve"> (i</w:t>
            </w:r>
            <w:r w:rsidRPr="00176D37">
              <w:t xml:space="preserve">ncluding haematology, oncology, bone marrow transplant, emergency, anaesthetics, </w:t>
            </w:r>
            <w:proofErr w:type="gramStart"/>
            <w:r w:rsidRPr="00176D37">
              <w:t>surgery</w:t>
            </w:r>
            <w:proofErr w:type="gramEnd"/>
            <w:r w:rsidRPr="00176D37">
              <w:t xml:space="preserve"> and general medicine)</w:t>
            </w:r>
          </w:p>
        </w:tc>
        <w:tc>
          <w:tcPr>
            <w:tcW w:w="3623" w:type="dxa"/>
          </w:tcPr>
          <w:p w14:paraId="064CAE6D" w14:textId="77777777" w:rsidR="00E9700E" w:rsidRPr="00176D37" w:rsidRDefault="00E9700E" w:rsidP="009742AB">
            <w:pPr>
              <w:pStyle w:val="Tabletext"/>
              <w:jc w:val="right"/>
            </w:pPr>
            <w:r w:rsidRPr="00176D37">
              <w:t>10 (91%)</w:t>
            </w:r>
          </w:p>
        </w:tc>
      </w:tr>
      <w:tr w:rsidR="00E9700E" w:rsidRPr="00176D37" w14:paraId="4FF3AADF" w14:textId="77777777" w:rsidTr="009742AB">
        <w:tc>
          <w:tcPr>
            <w:tcW w:w="5665" w:type="dxa"/>
          </w:tcPr>
          <w:p w14:paraId="79C24035" w14:textId="019D6B35" w:rsidR="00E9700E" w:rsidRPr="00176D37" w:rsidRDefault="00E9700E" w:rsidP="005D3D83">
            <w:pPr>
              <w:pStyle w:val="Tabletext"/>
            </w:pPr>
            <w:r w:rsidRPr="00176D37">
              <w:t>Nursing</w:t>
            </w:r>
            <w:r w:rsidR="005D3D83">
              <w:t xml:space="preserve"> (i</w:t>
            </w:r>
            <w:r w:rsidRPr="00176D37">
              <w:t xml:space="preserve">ncluding haematology, oncology, bone marrow transplant, emergency, theatre, general medicine, day procedure, blood management/transfusion, intensive </w:t>
            </w:r>
            <w:proofErr w:type="gramStart"/>
            <w:r w:rsidRPr="00176D37">
              <w:t>care</w:t>
            </w:r>
            <w:proofErr w:type="gramEnd"/>
            <w:r w:rsidRPr="00176D37">
              <w:t xml:space="preserve"> and paediatrics)</w:t>
            </w:r>
          </w:p>
        </w:tc>
        <w:tc>
          <w:tcPr>
            <w:tcW w:w="3623" w:type="dxa"/>
          </w:tcPr>
          <w:p w14:paraId="2C262F5C" w14:textId="77777777" w:rsidR="00E9700E" w:rsidRPr="00176D37" w:rsidRDefault="00E9700E" w:rsidP="009742AB">
            <w:pPr>
              <w:pStyle w:val="Tabletext"/>
              <w:jc w:val="right"/>
            </w:pPr>
            <w:r w:rsidRPr="00176D37">
              <w:t>10 (91%)</w:t>
            </w:r>
          </w:p>
        </w:tc>
      </w:tr>
      <w:tr w:rsidR="00E9700E" w:rsidRPr="00176D37" w14:paraId="343D8417" w14:textId="77777777" w:rsidTr="009742AB">
        <w:tc>
          <w:tcPr>
            <w:tcW w:w="5665" w:type="dxa"/>
          </w:tcPr>
          <w:p w14:paraId="51EF0DAB" w14:textId="0F2691AB" w:rsidR="00E9700E" w:rsidRPr="00176D37" w:rsidRDefault="00E9700E" w:rsidP="0049506A">
            <w:pPr>
              <w:pStyle w:val="Tabletext"/>
            </w:pPr>
            <w:r w:rsidRPr="00176D37">
              <w:t>Clerical/administration</w:t>
            </w:r>
          </w:p>
        </w:tc>
        <w:tc>
          <w:tcPr>
            <w:tcW w:w="3623" w:type="dxa"/>
          </w:tcPr>
          <w:p w14:paraId="5AEC3F19" w14:textId="77777777" w:rsidR="00E9700E" w:rsidRPr="00176D37" w:rsidRDefault="00E9700E" w:rsidP="009742AB">
            <w:pPr>
              <w:pStyle w:val="Tabletext"/>
              <w:jc w:val="right"/>
            </w:pPr>
            <w:r w:rsidRPr="00176D37">
              <w:t>-</w:t>
            </w:r>
          </w:p>
        </w:tc>
      </w:tr>
      <w:tr w:rsidR="00E9700E" w:rsidRPr="00176D37" w14:paraId="695E2197" w14:textId="77777777" w:rsidTr="009742AB">
        <w:tc>
          <w:tcPr>
            <w:tcW w:w="5665" w:type="dxa"/>
          </w:tcPr>
          <w:p w14:paraId="43A72B41" w14:textId="77246826" w:rsidR="00E9700E" w:rsidRPr="00176D37" w:rsidRDefault="00E9700E" w:rsidP="005D3D83">
            <w:pPr>
              <w:pStyle w:val="Tabletext"/>
            </w:pPr>
            <w:r w:rsidRPr="00176D37">
              <w:t>Laboratory/pathology</w:t>
            </w:r>
            <w:r w:rsidR="005D3D83">
              <w:t xml:space="preserve"> (i</w:t>
            </w:r>
            <w:r w:rsidRPr="00176D37">
              <w:t>ncluding directors, operation managers, quality officers, laboratory senior and non-senior staff)</w:t>
            </w:r>
          </w:p>
        </w:tc>
        <w:tc>
          <w:tcPr>
            <w:tcW w:w="3623" w:type="dxa"/>
          </w:tcPr>
          <w:p w14:paraId="7F332D4F" w14:textId="77777777" w:rsidR="00E9700E" w:rsidRPr="00176D37" w:rsidRDefault="00E9700E" w:rsidP="009742AB">
            <w:pPr>
              <w:pStyle w:val="Tabletext"/>
              <w:jc w:val="right"/>
            </w:pPr>
            <w:r w:rsidRPr="00176D37">
              <w:t>9 (82%)</w:t>
            </w:r>
          </w:p>
        </w:tc>
      </w:tr>
      <w:tr w:rsidR="00E9700E" w:rsidRPr="00176D37" w14:paraId="53E5CC62" w14:textId="77777777" w:rsidTr="009742AB">
        <w:tc>
          <w:tcPr>
            <w:tcW w:w="5665" w:type="dxa"/>
          </w:tcPr>
          <w:p w14:paraId="5B3B7B4A" w14:textId="77777777" w:rsidR="00E9700E" w:rsidRPr="00176D37" w:rsidRDefault="00E9700E" w:rsidP="0049506A">
            <w:pPr>
              <w:pStyle w:val="Tabletext"/>
            </w:pPr>
            <w:r w:rsidRPr="00176D37">
              <w:t>Pharmacy</w:t>
            </w:r>
          </w:p>
        </w:tc>
        <w:tc>
          <w:tcPr>
            <w:tcW w:w="3623" w:type="dxa"/>
          </w:tcPr>
          <w:p w14:paraId="13F5B322" w14:textId="77777777" w:rsidR="00E9700E" w:rsidRPr="00176D37" w:rsidRDefault="00E9700E" w:rsidP="009742AB">
            <w:pPr>
              <w:pStyle w:val="Tabletext"/>
              <w:jc w:val="right"/>
            </w:pPr>
            <w:r w:rsidRPr="00176D37">
              <w:t>7 (64%)</w:t>
            </w:r>
          </w:p>
        </w:tc>
      </w:tr>
      <w:tr w:rsidR="00E9700E" w:rsidRPr="00176D37" w14:paraId="1F79084E" w14:textId="77777777" w:rsidTr="009742AB">
        <w:tc>
          <w:tcPr>
            <w:tcW w:w="5665" w:type="dxa"/>
          </w:tcPr>
          <w:p w14:paraId="31DEABD0" w14:textId="77777777" w:rsidR="00E9700E" w:rsidRPr="00176D37" w:rsidRDefault="00E9700E" w:rsidP="0049506A">
            <w:pPr>
              <w:pStyle w:val="Tabletext"/>
            </w:pPr>
            <w:r w:rsidRPr="00176D37">
              <w:t>Executive</w:t>
            </w:r>
          </w:p>
        </w:tc>
        <w:tc>
          <w:tcPr>
            <w:tcW w:w="3623" w:type="dxa"/>
          </w:tcPr>
          <w:p w14:paraId="467206BB" w14:textId="77777777" w:rsidR="00E9700E" w:rsidRPr="00176D37" w:rsidRDefault="00E9700E" w:rsidP="009742AB">
            <w:pPr>
              <w:pStyle w:val="Tabletext"/>
              <w:jc w:val="right"/>
            </w:pPr>
            <w:r w:rsidRPr="00176D37">
              <w:t>4 (36%)</w:t>
            </w:r>
          </w:p>
        </w:tc>
      </w:tr>
      <w:tr w:rsidR="00E9700E" w:rsidRPr="00176D37" w14:paraId="37BC51AB" w14:textId="77777777" w:rsidTr="009742AB">
        <w:tc>
          <w:tcPr>
            <w:tcW w:w="5665" w:type="dxa"/>
          </w:tcPr>
          <w:p w14:paraId="0140600C" w14:textId="77777777" w:rsidR="00E9700E" w:rsidRPr="00176D37" w:rsidRDefault="00E9700E" w:rsidP="0049506A">
            <w:pPr>
              <w:pStyle w:val="Tabletext"/>
            </w:pPr>
            <w:r w:rsidRPr="00176D37">
              <w:t>EMR vendors</w:t>
            </w:r>
          </w:p>
        </w:tc>
        <w:tc>
          <w:tcPr>
            <w:tcW w:w="3623" w:type="dxa"/>
          </w:tcPr>
          <w:p w14:paraId="1DB15952" w14:textId="77777777" w:rsidR="00E9700E" w:rsidRPr="00176D37" w:rsidRDefault="00E9700E" w:rsidP="009742AB">
            <w:pPr>
              <w:pStyle w:val="Tabletext"/>
              <w:jc w:val="right"/>
            </w:pPr>
            <w:r w:rsidRPr="00176D37">
              <w:t>10 (91%)</w:t>
            </w:r>
          </w:p>
        </w:tc>
      </w:tr>
      <w:tr w:rsidR="00E9700E" w:rsidRPr="00176D37" w14:paraId="7EC4FB70" w14:textId="77777777" w:rsidTr="009742AB">
        <w:tc>
          <w:tcPr>
            <w:tcW w:w="5665" w:type="dxa"/>
          </w:tcPr>
          <w:p w14:paraId="65AF4540" w14:textId="2F8B4828" w:rsidR="00E9700E" w:rsidRPr="00176D37" w:rsidRDefault="00E9700E" w:rsidP="005D3D83">
            <w:pPr>
              <w:pStyle w:val="Tabletext"/>
            </w:pPr>
            <w:r w:rsidRPr="00176D37">
              <w:t>Information technology (IT)</w:t>
            </w:r>
            <w:r w:rsidR="005D3D83">
              <w:t xml:space="preserve"> (i</w:t>
            </w:r>
            <w:r w:rsidRPr="00176D37">
              <w:t>ncluding health service IT, vendor IT and pathology IT)</w:t>
            </w:r>
          </w:p>
        </w:tc>
        <w:tc>
          <w:tcPr>
            <w:tcW w:w="3623" w:type="dxa"/>
          </w:tcPr>
          <w:p w14:paraId="10008397" w14:textId="77777777" w:rsidR="00E9700E" w:rsidRPr="00176D37" w:rsidRDefault="00E9700E" w:rsidP="009742AB">
            <w:pPr>
              <w:pStyle w:val="Tabletext"/>
              <w:jc w:val="right"/>
            </w:pPr>
            <w:r w:rsidRPr="00176D37">
              <w:t>9 (82%)</w:t>
            </w:r>
          </w:p>
        </w:tc>
      </w:tr>
    </w:tbl>
    <w:p w14:paraId="65EEF1BE" w14:textId="77777777" w:rsidR="00E9700E" w:rsidRPr="0049506A" w:rsidRDefault="00E9700E" w:rsidP="0049506A">
      <w:pPr>
        <w:pStyle w:val="Heading2"/>
      </w:pPr>
      <w:bookmarkStart w:id="107" w:name="_Toc101285684"/>
      <w:bookmarkStart w:id="108" w:name="_Toc101947706"/>
      <w:bookmarkStart w:id="109" w:name="_Toc104975927"/>
      <w:r w:rsidRPr="0049506A">
        <w:lastRenderedPageBreak/>
        <w:t>Aspects of blood management/transfusion included in EMR</w:t>
      </w:r>
      <w:bookmarkEnd w:id="107"/>
      <w:bookmarkEnd w:id="108"/>
      <w:bookmarkEnd w:id="109"/>
    </w:p>
    <w:p w14:paraId="1ABD022F" w14:textId="1C29602E" w:rsidR="00E9700E" w:rsidRPr="00176D37" w:rsidRDefault="00E9700E" w:rsidP="005D3D83">
      <w:pPr>
        <w:pStyle w:val="Body"/>
        <w:rPr>
          <w:shd w:val="clear" w:color="auto" w:fill="FFFFFF"/>
        </w:rPr>
      </w:pPr>
      <w:r w:rsidRPr="00176D37">
        <w:rPr>
          <w:shd w:val="clear" w:color="auto" w:fill="FFFFFF"/>
        </w:rPr>
        <w:t xml:space="preserve">The survey asked which aspects of </w:t>
      </w:r>
      <w:r w:rsidRPr="009742AB">
        <w:t>blood</w:t>
      </w:r>
      <w:r w:rsidRPr="00176D37">
        <w:rPr>
          <w:shd w:val="clear" w:color="auto" w:fill="FFFFFF"/>
        </w:rPr>
        <w:t xml:space="preserve"> management/transfusion were included in the EMR, and if the pathology provider was in</w:t>
      </w:r>
      <w:r w:rsidR="00B4635A">
        <w:rPr>
          <w:shd w:val="clear" w:color="auto" w:fill="FFFFFF"/>
        </w:rPr>
        <w:t>-</w:t>
      </w:r>
      <w:r w:rsidRPr="00176D37">
        <w:rPr>
          <w:shd w:val="clear" w:color="auto" w:fill="FFFFFF"/>
        </w:rPr>
        <w:t>house or external (service contracted) (</w:t>
      </w:r>
      <w:r w:rsidRPr="00176D37">
        <w:rPr>
          <w:shd w:val="clear" w:color="auto" w:fill="FFFFFF"/>
        </w:rPr>
        <w:fldChar w:fldCharType="begin"/>
      </w:r>
      <w:r w:rsidRPr="00176D37">
        <w:rPr>
          <w:shd w:val="clear" w:color="auto" w:fill="FFFFFF"/>
        </w:rPr>
        <w:instrText xml:space="preserve"> REF _Ref100678722 \h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13</w:t>
      </w:r>
      <w:r w:rsidRPr="00176D37">
        <w:rPr>
          <w:shd w:val="clear" w:color="auto" w:fill="FFFFFF"/>
        </w:rPr>
        <w:fldChar w:fldCharType="end"/>
      </w:r>
      <w:r w:rsidRPr="00176D37">
        <w:rPr>
          <w:shd w:val="clear" w:color="auto" w:fill="FFFFFF"/>
        </w:rPr>
        <w:t>). There were 48 respondents (from 20 health services)</w:t>
      </w:r>
      <w:r w:rsidR="00627F7C">
        <w:rPr>
          <w:shd w:val="clear" w:color="auto" w:fill="FFFFFF"/>
        </w:rPr>
        <w:t xml:space="preserve">. A </w:t>
      </w:r>
      <w:r w:rsidR="00627F7C" w:rsidRPr="00627F7C">
        <w:rPr>
          <w:shd w:val="clear" w:color="auto" w:fill="FFFFFF"/>
        </w:rPr>
        <w:t xml:space="preserve">higher incidence of sample collection, blood management and transfusion </w:t>
      </w:r>
      <w:r w:rsidR="00627F7C">
        <w:rPr>
          <w:shd w:val="clear" w:color="auto" w:fill="FFFFFF"/>
        </w:rPr>
        <w:t>were</w:t>
      </w:r>
      <w:r w:rsidR="00627F7C" w:rsidRPr="00627F7C">
        <w:rPr>
          <w:shd w:val="clear" w:color="auto" w:fill="FFFFFF"/>
        </w:rPr>
        <w:t xml:space="preserve"> included in the EMR where there is an in-house pathology provider.</w:t>
      </w:r>
    </w:p>
    <w:p w14:paraId="600977B9" w14:textId="107F5613" w:rsidR="00E9700E" w:rsidRPr="00176D37" w:rsidRDefault="00E9700E" w:rsidP="0049506A">
      <w:pPr>
        <w:pStyle w:val="Tablecaption"/>
        <w:rPr>
          <w:shd w:val="clear" w:color="auto" w:fill="FFFFFF"/>
        </w:rPr>
      </w:pPr>
      <w:bookmarkStart w:id="110" w:name="_Ref100678722"/>
      <w:r w:rsidRPr="00176D37">
        <w:t xml:space="preserve">Table </w:t>
      </w:r>
      <w:r w:rsidR="00F751A0">
        <w:fldChar w:fldCharType="begin"/>
      </w:r>
      <w:r w:rsidR="00F751A0">
        <w:instrText xml:space="preserve"> SEQ Table \* ARABIC </w:instrText>
      </w:r>
      <w:r w:rsidR="00F751A0">
        <w:fldChar w:fldCharType="separate"/>
      </w:r>
      <w:r w:rsidR="00E73E2F">
        <w:rPr>
          <w:noProof/>
        </w:rPr>
        <w:t>13</w:t>
      </w:r>
      <w:r w:rsidR="00F751A0">
        <w:rPr>
          <w:noProof/>
        </w:rPr>
        <w:fldChar w:fldCharType="end"/>
      </w:r>
      <w:bookmarkEnd w:id="110"/>
      <w:r w:rsidRPr="00176D37">
        <w:t>: Aspects of blood management/transfusion included in EMR at the health service</w:t>
      </w:r>
      <w:r w:rsidRPr="00176D37">
        <w:rPr>
          <w:rStyle w:val="FootnoteReference"/>
          <w:rFonts w:cs="Arial"/>
          <w:sz w:val="22"/>
          <w:szCs w:val="22"/>
          <w:shd w:val="clear" w:color="auto" w:fill="FFFFFF"/>
        </w:rPr>
        <w:footnoteReference w:id="9"/>
      </w:r>
    </w:p>
    <w:tbl>
      <w:tblPr>
        <w:tblStyle w:val="TableGrid"/>
        <w:tblW w:w="5000" w:type="pct"/>
        <w:tblLook w:val="04A0" w:firstRow="1" w:lastRow="0" w:firstColumn="1" w:lastColumn="0" w:noHBand="0" w:noVBand="1"/>
      </w:tblPr>
      <w:tblGrid>
        <w:gridCol w:w="3397"/>
        <w:gridCol w:w="1986"/>
        <w:gridCol w:w="2268"/>
        <w:gridCol w:w="1637"/>
      </w:tblGrid>
      <w:tr w:rsidR="00E9700E" w:rsidRPr="0092204C" w14:paraId="41BDAD66" w14:textId="77777777" w:rsidTr="0092204C">
        <w:tc>
          <w:tcPr>
            <w:tcW w:w="1829" w:type="pct"/>
          </w:tcPr>
          <w:p w14:paraId="6642EC51" w14:textId="4BB64808" w:rsidR="00E9700E" w:rsidRPr="0092204C" w:rsidRDefault="005D3D83" w:rsidP="0049506A">
            <w:pPr>
              <w:pStyle w:val="Tablecolhead"/>
              <w:rPr>
                <w:sz w:val="20"/>
              </w:rPr>
            </w:pPr>
            <w:r w:rsidRPr="0092204C">
              <w:rPr>
                <w:sz w:val="20"/>
              </w:rPr>
              <w:t>Aspect of transfusion</w:t>
            </w:r>
          </w:p>
        </w:tc>
        <w:tc>
          <w:tcPr>
            <w:tcW w:w="1069" w:type="pct"/>
          </w:tcPr>
          <w:p w14:paraId="3070BFC9" w14:textId="33CE5F84" w:rsidR="00E9700E" w:rsidRPr="0092204C" w:rsidRDefault="00E9700E" w:rsidP="0049506A">
            <w:pPr>
              <w:pStyle w:val="Tablecolhead"/>
              <w:rPr>
                <w:sz w:val="20"/>
                <w:shd w:val="clear" w:color="auto" w:fill="FFFFFF"/>
              </w:rPr>
            </w:pPr>
            <w:r w:rsidRPr="0092204C">
              <w:rPr>
                <w:sz w:val="20"/>
                <w:shd w:val="clear" w:color="auto" w:fill="FFFFFF"/>
              </w:rPr>
              <w:t>An in</w:t>
            </w:r>
            <w:r w:rsidR="00B4635A" w:rsidRPr="0092204C">
              <w:rPr>
                <w:sz w:val="20"/>
                <w:shd w:val="clear" w:color="auto" w:fill="FFFFFF"/>
              </w:rPr>
              <w:t>-</w:t>
            </w:r>
            <w:r w:rsidRPr="0092204C">
              <w:rPr>
                <w:sz w:val="20"/>
                <w:shd w:val="clear" w:color="auto" w:fill="FFFFFF"/>
              </w:rPr>
              <w:t>house pathology provider</w:t>
            </w:r>
          </w:p>
          <w:p w14:paraId="707A4C1F" w14:textId="0EF746E4" w:rsidR="00E9700E" w:rsidRPr="0092204C" w:rsidRDefault="00E9700E" w:rsidP="0049506A">
            <w:pPr>
              <w:pStyle w:val="Tablecolhead"/>
              <w:rPr>
                <w:sz w:val="20"/>
                <w:shd w:val="clear" w:color="auto" w:fill="FFFFFF"/>
              </w:rPr>
            </w:pPr>
            <w:r w:rsidRPr="0092204C">
              <w:rPr>
                <w:sz w:val="20"/>
                <w:shd w:val="clear" w:color="auto" w:fill="FFFFFF"/>
              </w:rPr>
              <w:t>Health service count n</w:t>
            </w:r>
            <w:r w:rsidR="005D3D83" w:rsidRPr="0092204C">
              <w:rPr>
                <w:sz w:val="20"/>
                <w:shd w:val="clear" w:color="auto" w:fill="FFFFFF"/>
              </w:rPr>
              <w:t xml:space="preserve"> </w:t>
            </w:r>
            <w:r w:rsidRPr="0092204C">
              <w:rPr>
                <w:sz w:val="20"/>
                <w:shd w:val="clear" w:color="auto" w:fill="FFFFFF"/>
              </w:rPr>
              <w:t>=</w:t>
            </w:r>
            <w:r w:rsidR="005D3D83" w:rsidRPr="0092204C">
              <w:rPr>
                <w:sz w:val="20"/>
                <w:shd w:val="clear" w:color="auto" w:fill="FFFFFF"/>
              </w:rPr>
              <w:t xml:space="preserve"> </w:t>
            </w:r>
            <w:r w:rsidRPr="0092204C">
              <w:rPr>
                <w:sz w:val="20"/>
                <w:shd w:val="clear" w:color="auto" w:fill="FFFFFF"/>
              </w:rPr>
              <w:t>8, (%)</w:t>
            </w:r>
          </w:p>
        </w:tc>
        <w:tc>
          <w:tcPr>
            <w:tcW w:w="1221" w:type="pct"/>
          </w:tcPr>
          <w:p w14:paraId="1EC733C1" w14:textId="77777777" w:rsidR="00E9700E" w:rsidRPr="0092204C" w:rsidRDefault="00E9700E" w:rsidP="0049506A">
            <w:pPr>
              <w:pStyle w:val="Tablecolhead"/>
              <w:rPr>
                <w:sz w:val="20"/>
                <w:shd w:val="clear" w:color="auto" w:fill="FFFFFF"/>
              </w:rPr>
            </w:pPr>
            <w:r w:rsidRPr="0092204C">
              <w:rPr>
                <w:sz w:val="20"/>
                <w:shd w:val="clear" w:color="auto" w:fill="FFFFFF"/>
              </w:rPr>
              <w:t xml:space="preserve">An external pathology provider </w:t>
            </w:r>
          </w:p>
          <w:p w14:paraId="5B193B91" w14:textId="71AE8A6F" w:rsidR="00E9700E" w:rsidRPr="0092204C" w:rsidRDefault="00E9700E" w:rsidP="0049506A">
            <w:pPr>
              <w:pStyle w:val="Tablecolhead"/>
              <w:rPr>
                <w:sz w:val="20"/>
                <w:shd w:val="clear" w:color="auto" w:fill="FFFFFF"/>
              </w:rPr>
            </w:pPr>
            <w:r w:rsidRPr="0092204C">
              <w:rPr>
                <w:sz w:val="20"/>
                <w:shd w:val="clear" w:color="auto" w:fill="FFFFFF"/>
              </w:rPr>
              <w:t>Health service count n</w:t>
            </w:r>
            <w:r w:rsidR="005D3D83" w:rsidRPr="0092204C">
              <w:rPr>
                <w:sz w:val="20"/>
                <w:shd w:val="clear" w:color="auto" w:fill="FFFFFF"/>
              </w:rPr>
              <w:t xml:space="preserve"> </w:t>
            </w:r>
            <w:r w:rsidRPr="0092204C">
              <w:rPr>
                <w:sz w:val="20"/>
                <w:shd w:val="clear" w:color="auto" w:fill="FFFFFF"/>
              </w:rPr>
              <w:t>=</w:t>
            </w:r>
            <w:r w:rsidR="005D3D83" w:rsidRPr="0092204C">
              <w:rPr>
                <w:sz w:val="20"/>
                <w:shd w:val="clear" w:color="auto" w:fill="FFFFFF"/>
              </w:rPr>
              <w:t xml:space="preserve"> </w:t>
            </w:r>
            <w:r w:rsidRPr="0092204C">
              <w:rPr>
                <w:sz w:val="20"/>
                <w:shd w:val="clear" w:color="auto" w:fill="FFFFFF"/>
              </w:rPr>
              <w:t>12, (%)</w:t>
            </w:r>
          </w:p>
        </w:tc>
        <w:tc>
          <w:tcPr>
            <w:tcW w:w="882" w:type="pct"/>
          </w:tcPr>
          <w:p w14:paraId="720F1C50" w14:textId="77777777" w:rsidR="00E9700E" w:rsidRPr="0092204C" w:rsidRDefault="00E9700E" w:rsidP="0049506A">
            <w:pPr>
              <w:pStyle w:val="Tablecolhead"/>
              <w:rPr>
                <w:sz w:val="20"/>
                <w:shd w:val="clear" w:color="auto" w:fill="FFFFFF"/>
              </w:rPr>
            </w:pPr>
            <w:r w:rsidRPr="0092204C">
              <w:rPr>
                <w:sz w:val="20"/>
                <w:shd w:val="clear" w:color="auto" w:fill="FFFFFF"/>
              </w:rPr>
              <w:t xml:space="preserve">All </w:t>
            </w:r>
          </w:p>
          <w:p w14:paraId="48BE25D1" w14:textId="6F686F7B" w:rsidR="00E9700E" w:rsidRPr="0092204C" w:rsidRDefault="00E9700E" w:rsidP="0049506A">
            <w:pPr>
              <w:pStyle w:val="Tablecolhead"/>
              <w:rPr>
                <w:sz w:val="20"/>
                <w:shd w:val="clear" w:color="auto" w:fill="FFFFFF"/>
              </w:rPr>
            </w:pPr>
            <w:r w:rsidRPr="0092204C">
              <w:rPr>
                <w:sz w:val="20"/>
                <w:shd w:val="clear" w:color="auto" w:fill="FFFFFF"/>
              </w:rPr>
              <w:t>Health service count n</w:t>
            </w:r>
            <w:r w:rsidR="005D3D83" w:rsidRPr="0092204C">
              <w:rPr>
                <w:sz w:val="20"/>
                <w:shd w:val="clear" w:color="auto" w:fill="FFFFFF"/>
              </w:rPr>
              <w:t xml:space="preserve"> </w:t>
            </w:r>
            <w:r w:rsidRPr="0092204C">
              <w:rPr>
                <w:sz w:val="20"/>
                <w:shd w:val="clear" w:color="auto" w:fill="FFFFFF"/>
              </w:rPr>
              <w:t>=</w:t>
            </w:r>
            <w:r w:rsidR="005D3D83" w:rsidRPr="0092204C">
              <w:rPr>
                <w:sz w:val="20"/>
                <w:shd w:val="clear" w:color="auto" w:fill="FFFFFF"/>
              </w:rPr>
              <w:t xml:space="preserve"> </w:t>
            </w:r>
            <w:r w:rsidRPr="0092204C">
              <w:rPr>
                <w:sz w:val="20"/>
                <w:shd w:val="clear" w:color="auto" w:fill="FFFFFF"/>
              </w:rPr>
              <w:t xml:space="preserve">20, (%) </w:t>
            </w:r>
          </w:p>
        </w:tc>
      </w:tr>
      <w:tr w:rsidR="00E9700E" w:rsidRPr="0092204C" w14:paraId="12EC0BB1" w14:textId="77777777" w:rsidTr="0092204C">
        <w:tc>
          <w:tcPr>
            <w:tcW w:w="1829" w:type="pct"/>
            <w:shd w:val="clear" w:color="auto" w:fill="auto"/>
          </w:tcPr>
          <w:p w14:paraId="24B2002B" w14:textId="77777777" w:rsidR="00E9700E" w:rsidRPr="0092204C" w:rsidRDefault="00E9700E" w:rsidP="0049506A">
            <w:pPr>
              <w:pStyle w:val="Tabletext"/>
              <w:rPr>
                <w:sz w:val="20"/>
              </w:rPr>
            </w:pPr>
            <w:r w:rsidRPr="0092204C">
              <w:rPr>
                <w:sz w:val="20"/>
              </w:rPr>
              <w:t>Pretransfusion blood sample collection</w:t>
            </w:r>
          </w:p>
        </w:tc>
        <w:tc>
          <w:tcPr>
            <w:tcW w:w="1069" w:type="pct"/>
          </w:tcPr>
          <w:p w14:paraId="5BBD2A7E" w14:textId="77777777" w:rsidR="00E9700E" w:rsidRPr="0092204C" w:rsidRDefault="00E9700E" w:rsidP="009742AB">
            <w:pPr>
              <w:pStyle w:val="Tabletext"/>
              <w:jc w:val="right"/>
              <w:rPr>
                <w:sz w:val="20"/>
              </w:rPr>
            </w:pPr>
            <w:r w:rsidRPr="0092204C">
              <w:rPr>
                <w:sz w:val="20"/>
              </w:rPr>
              <w:t>7 (88%)</w:t>
            </w:r>
          </w:p>
        </w:tc>
        <w:tc>
          <w:tcPr>
            <w:tcW w:w="1221" w:type="pct"/>
          </w:tcPr>
          <w:p w14:paraId="0313F872" w14:textId="77777777" w:rsidR="00E9700E" w:rsidRPr="0092204C" w:rsidRDefault="00E9700E" w:rsidP="009742AB">
            <w:pPr>
              <w:pStyle w:val="Tabletext"/>
              <w:jc w:val="right"/>
              <w:rPr>
                <w:sz w:val="20"/>
              </w:rPr>
            </w:pPr>
            <w:r w:rsidRPr="0092204C">
              <w:rPr>
                <w:sz w:val="20"/>
              </w:rPr>
              <w:t>4 (33%)</w:t>
            </w:r>
          </w:p>
        </w:tc>
        <w:tc>
          <w:tcPr>
            <w:tcW w:w="882" w:type="pct"/>
          </w:tcPr>
          <w:p w14:paraId="302EEAA2" w14:textId="77777777" w:rsidR="00E9700E" w:rsidRPr="0092204C" w:rsidRDefault="00E9700E" w:rsidP="009742AB">
            <w:pPr>
              <w:pStyle w:val="Tabletext"/>
              <w:jc w:val="right"/>
              <w:rPr>
                <w:sz w:val="20"/>
              </w:rPr>
            </w:pPr>
            <w:r w:rsidRPr="0092204C">
              <w:rPr>
                <w:sz w:val="20"/>
              </w:rPr>
              <w:t>11 (55%)</w:t>
            </w:r>
          </w:p>
        </w:tc>
      </w:tr>
      <w:tr w:rsidR="00E9700E" w:rsidRPr="0092204C" w14:paraId="710018DF" w14:textId="77777777" w:rsidTr="0092204C">
        <w:tc>
          <w:tcPr>
            <w:tcW w:w="1829" w:type="pct"/>
            <w:shd w:val="clear" w:color="auto" w:fill="auto"/>
          </w:tcPr>
          <w:p w14:paraId="048950AF" w14:textId="77777777" w:rsidR="00E9700E" w:rsidRPr="0092204C" w:rsidRDefault="00E9700E" w:rsidP="0049506A">
            <w:pPr>
              <w:pStyle w:val="Tabletext"/>
              <w:rPr>
                <w:sz w:val="20"/>
              </w:rPr>
            </w:pPr>
            <w:r w:rsidRPr="0092204C">
              <w:rPr>
                <w:sz w:val="20"/>
              </w:rPr>
              <w:t>Blood component prescribing (ordering for bedside transfusion)</w:t>
            </w:r>
            <w:bookmarkStart w:id="111" w:name="_Ref96425081"/>
            <w:r w:rsidRPr="0092204C">
              <w:rPr>
                <w:sz w:val="20"/>
                <w:vertAlign w:val="superscript"/>
              </w:rPr>
              <w:footnoteReference w:id="10"/>
            </w:r>
            <w:bookmarkEnd w:id="111"/>
          </w:p>
        </w:tc>
        <w:tc>
          <w:tcPr>
            <w:tcW w:w="1069" w:type="pct"/>
          </w:tcPr>
          <w:p w14:paraId="22E8F2B6" w14:textId="77777777" w:rsidR="00E9700E" w:rsidRPr="0092204C" w:rsidRDefault="00E9700E" w:rsidP="009742AB">
            <w:pPr>
              <w:pStyle w:val="Tabletext"/>
              <w:jc w:val="right"/>
              <w:rPr>
                <w:sz w:val="20"/>
              </w:rPr>
            </w:pPr>
            <w:r w:rsidRPr="0092204C">
              <w:rPr>
                <w:sz w:val="20"/>
              </w:rPr>
              <w:t>7(88%)</w:t>
            </w:r>
          </w:p>
        </w:tc>
        <w:tc>
          <w:tcPr>
            <w:tcW w:w="1221" w:type="pct"/>
          </w:tcPr>
          <w:p w14:paraId="5DB3FF3D" w14:textId="77777777" w:rsidR="00E9700E" w:rsidRPr="0092204C" w:rsidRDefault="00E9700E" w:rsidP="009742AB">
            <w:pPr>
              <w:pStyle w:val="Tabletext"/>
              <w:jc w:val="right"/>
              <w:rPr>
                <w:sz w:val="20"/>
              </w:rPr>
            </w:pPr>
            <w:r w:rsidRPr="0092204C">
              <w:rPr>
                <w:sz w:val="20"/>
              </w:rPr>
              <w:t>2 (17%)</w:t>
            </w:r>
          </w:p>
        </w:tc>
        <w:tc>
          <w:tcPr>
            <w:tcW w:w="882" w:type="pct"/>
          </w:tcPr>
          <w:p w14:paraId="5D53C02B" w14:textId="77777777" w:rsidR="00E9700E" w:rsidRPr="0092204C" w:rsidRDefault="00E9700E" w:rsidP="009742AB">
            <w:pPr>
              <w:pStyle w:val="Tabletext"/>
              <w:jc w:val="right"/>
              <w:rPr>
                <w:sz w:val="20"/>
              </w:rPr>
            </w:pPr>
            <w:r w:rsidRPr="0092204C">
              <w:rPr>
                <w:sz w:val="20"/>
              </w:rPr>
              <w:t>9 (45%)</w:t>
            </w:r>
          </w:p>
        </w:tc>
      </w:tr>
      <w:tr w:rsidR="00E9700E" w:rsidRPr="0092204C" w14:paraId="65D251B3" w14:textId="77777777" w:rsidTr="0092204C">
        <w:tc>
          <w:tcPr>
            <w:tcW w:w="1829" w:type="pct"/>
            <w:shd w:val="clear" w:color="auto" w:fill="auto"/>
          </w:tcPr>
          <w:p w14:paraId="2BC70864" w14:textId="3460213B" w:rsidR="00E9700E" w:rsidRPr="0092204C" w:rsidRDefault="00E9700E" w:rsidP="0049506A">
            <w:pPr>
              <w:pStyle w:val="Tabletext"/>
              <w:rPr>
                <w:sz w:val="20"/>
              </w:rPr>
            </w:pPr>
            <w:r w:rsidRPr="0092204C">
              <w:rPr>
                <w:sz w:val="20"/>
              </w:rPr>
              <w:t>Blood product prescribing (ordering for bedside transfusion)</w:t>
            </w:r>
            <w:r w:rsidRPr="0092204C">
              <w:rPr>
                <w:sz w:val="20"/>
                <w:vertAlign w:val="superscript"/>
              </w:rPr>
              <w:fldChar w:fldCharType="begin"/>
            </w:r>
            <w:r w:rsidRPr="0092204C">
              <w:rPr>
                <w:sz w:val="20"/>
                <w:vertAlign w:val="superscript"/>
              </w:rPr>
              <w:instrText xml:space="preserve"> NOTEREF _Ref96425081 \h  \* MERGEFORMAT </w:instrText>
            </w:r>
            <w:r w:rsidRPr="0092204C">
              <w:rPr>
                <w:sz w:val="20"/>
                <w:vertAlign w:val="superscript"/>
              </w:rPr>
            </w:r>
            <w:r w:rsidRPr="0092204C">
              <w:rPr>
                <w:sz w:val="20"/>
                <w:vertAlign w:val="superscript"/>
              </w:rPr>
              <w:fldChar w:fldCharType="separate"/>
            </w:r>
            <w:r w:rsidR="00E73E2F" w:rsidRPr="0092204C">
              <w:rPr>
                <w:sz w:val="20"/>
                <w:vertAlign w:val="superscript"/>
              </w:rPr>
              <w:t>10</w:t>
            </w:r>
            <w:r w:rsidRPr="0092204C">
              <w:rPr>
                <w:sz w:val="20"/>
                <w:vertAlign w:val="superscript"/>
              </w:rPr>
              <w:fldChar w:fldCharType="end"/>
            </w:r>
          </w:p>
        </w:tc>
        <w:tc>
          <w:tcPr>
            <w:tcW w:w="1069" w:type="pct"/>
          </w:tcPr>
          <w:p w14:paraId="0D99B508" w14:textId="77777777" w:rsidR="00E9700E" w:rsidRPr="0092204C" w:rsidRDefault="00E9700E" w:rsidP="009742AB">
            <w:pPr>
              <w:pStyle w:val="Tabletext"/>
              <w:jc w:val="right"/>
              <w:rPr>
                <w:sz w:val="20"/>
              </w:rPr>
            </w:pPr>
            <w:r w:rsidRPr="0092204C">
              <w:rPr>
                <w:sz w:val="20"/>
              </w:rPr>
              <w:t>7 (88%)</w:t>
            </w:r>
          </w:p>
        </w:tc>
        <w:tc>
          <w:tcPr>
            <w:tcW w:w="1221" w:type="pct"/>
          </w:tcPr>
          <w:p w14:paraId="5CC29912" w14:textId="77777777" w:rsidR="00E9700E" w:rsidRPr="0092204C" w:rsidRDefault="00E9700E" w:rsidP="009742AB">
            <w:pPr>
              <w:pStyle w:val="Tabletext"/>
              <w:jc w:val="right"/>
              <w:rPr>
                <w:sz w:val="20"/>
              </w:rPr>
            </w:pPr>
            <w:r w:rsidRPr="0092204C">
              <w:rPr>
                <w:sz w:val="20"/>
              </w:rPr>
              <w:t>2 (17%)</w:t>
            </w:r>
          </w:p>
        </w:tc>
        <w:tc>
          <w:tcPr>
            <w:tcW w:w="882" w:type="pct"/>
          </w:tcPr>
          <w:p w14:paraId="307724FA" w14:textId="77777777" w:rsidR="00E9700E" w:rsidRPr="0092204C" w:rsidRDefault="00E9700E" w:rsidP="009742AB">
            <w:pPr>
              <w:pStyle w:val="Tabletext"/>
              <w:jc w:val="right"/>
              <w:rPr>
                <w:sz w:val="20"/>
              </w:rPr>
            </w:pPr>
            <w:r w:rsidRPr="0092204C">
              <w:rPr>
                <w:sz w:val="20"/>
              </w:rPr>
              <w:t>9 (45%)</w:t>
            </w:r>
          </w:p>
        </w:tc>
      </w:tr>
      <w:tr w:rsidR="00E9700E" w:rsidRPr="0092204C" w14:paraId="69DD2221" w14:textId="77777777" w:rsidTr="0092204C">
        <w:tc>
          <w:tcPr>
            <w:tcW w:w="1829" w:type="pct"/>
            <w:shd w:val="clear" w:color="auto" w:fill="auto"/>
          </w:tcPr>
          <w:p w14:paraId="509539C9" w14:textId="610725BF" w:rsidR="00E9700E" w:rsidRPr="0092204C" w:rsidRDefault="00E9700E" w:rsidP="0049506A">
            <w:pPr>
              <w:pStyle w:val="Tabletext"/>
              <w:rPr>
                <w:sz w:val="20"/>
              </w:rPr>
            </w:pPr>
            <w:r w:rsidRPr="0092204C">
              <w:rPr>
                <w:sz w:val="20"/>
              </w:rPr>
              <w:t>Blood component preparation (crossmatching) requests to transfusion laboratory</w:t>
            </w:r>
            <w:r w:rsidRPr="0092204C">
              <w:rPr>
                <w:sz w:val="20"/>
                <w:vertAlign w:val="superscript"/>
              </w:rPr>
              <w:fldChar w:fldCharType="begin"/>
            </w:r>
            <w:r w:rsidRPr="0092204C">
              <w:rPr>
                <w:sz w:val="20"/>
                <w:vertAlign w:val="superscript"/>
              </w:rPr>
              <w:instrText xml:space="preserve"> NOTEREF _Ref96425081 \h  \* MERGEFORMAT </w:instrText>
            </w:r>
            <w:r w:rsidRPr="0092204C">
              <w:rPr>
                <w:sz w:val="20"/>
                <w:vertAlign w:val="superscript"/>
              </w:rPr>
            </w:r>
            <w:r w:rsidRPr="0092204C">
              <w:rPr>
                <w:sz w:val="20"/>
                <w:vertAlign w:val="superscript"/>
              </w:rPr>
              <w:fldChar w:fldCharType="separate"/>
            </w:r>
            <w:r w:rsidR="00E73E2F" w:rsidRPr="0092204C">
              <w:rPr>
                <w:sz w:val="20"/>
                <w:vertAlign w:val="superscript"/>
              </w:rPr>
              <w:t>10</w:t>
            </w:r>
            <w:r w:rsidRPr="0092204C">
              <w:rPr>
                <w:sz w:val="20"/>
                <w:vertAlign w:val="superscript"/>
              </w:rPr>
              <w:fldChar w:fldCharType="end"/>
            </w:r>
          </w:p>
        </w:tc>
        <w:tc>
          <w:tcPr>
            <w:tcW w:w="1069" w:type="pct"/>
          </w:tcPr>
          <w:p w14:paraId="07D6B43B" w14:textId="77777777" w:rsidR="00E9700E" w:rsidRPr="0092204C" w:rsidRDefault="00E9700E" w:rsidP="009742AB">
            <w:pPr>
              <w:pStyle w:val="Tabletext"/>
              <w:jc w:val="right"/>
              <w:rPr>
                <w:sz w:val="20"/>
              </w:rPr>
            </w:pPr>
            <w:r w:rsidRPr="0092204C">
              <w:rPr>
                <w:sz w:val="20"/>
              </w:rPr>
              <w:t>7 (88%)</w:t>
            </w:r>
          </w:p>
        </w:tc>
        <w:tc>
          <w:tcPr>
            <w:tcW w:w="1221" w:type="pct"/>
          </w:tcPr>
          <w:p w14:paraId="52CCF79A" w14:textId="77777777" w:rsidR="00E9700E" w:rsidRPr="0092204C" w:rsidRDefault="00E9700E" w:rsidP="009742AB">
            <w:pPr>
              <w:pStyle w:val="Tabletext"/>
              <w:jc w:val="right"/>
              <w:rPr>
                <w:sz w:val="20"/>
              </w:rPr>
            </w:pPr>
            <w:r w:rsidRPr="0092204C">
              <w:rPr>
                <w:sz w:val="20"/>
              </w:rPr>
              <w:t>3 (25%)</w:t>
            </w:r>
          </w:p>
        </w:tc>
        <w:tc>
          <w:tcPr>
            <w:tcW w:w="882" w:type="pct"/>
          </w:tcPr>
          <w:p w14:paraId="1C43A351" w14:textId="77777777" w:rsidR="00E9700E" w:rsidRPr="0092204C" w:rsidRDefault="00E9700E" w:rsidP="009742AB">
            <w:pPr>
              <w:pStyle w:val="Tabletext"/>
              <w:jc w:val="right"/>
              <w:rPr>
                <w:sz w:val="20"/>
              </w:rPr>
            </w:pPr>
            <w:r w:rsidRPr="0092204C">
              <w:rPr>
                <w:sz w:val="20"/>
              </w:rPr>
              <w:t>10 (50%)</w:t>
            </w:r>
          </w:p>
        </w:tc>
      </w:tr>
      <w:tr w:rsidR="00E9700E" w:rsidRPr="0092204C" w14:paraId="2B14089A" w14:textId="77777777" w:rsidTr="0092204C">
        <w:tc>
          <w:tcPr>
            <w:tcW w:w="1829" w:type="pct"/>
            <w:shd w:val="clear" w:color="auto" w:fill="auto"/>
          </w:tcPr>
          <w:p w14:paraId="637345AC" w14:textId="5DB640A8" w:rsidR="00E9700E" w:rsidRPr="0092204C" w:rsidRDefault="00E9700E" w:rsidP="0049506A">
            <w:pPr>
              <w:pStyle w:val="Tabletext"/>
              <w:rPr>
                <w:sz w:val="20"/>
              </w:rPr>
            </w:pPr>
            <w:r w:rsidRPr="0092204C">
              <w:rPr>
                <w:sz w:val="20"/>
              </w:rPr>
              <w:t>Blood product preparation requests to transfusion laboratory or pharmacy</w:t>
            </w:r>
            <w:r w:rsidRPr="0092204C">
              <w:rPr>
                <w:sz w:val="20"/>
              </w:rPr>
              <w:fldChar w:fldCharType="begin"/>
            </w:r>
            <w:r w:rsidRPr="0092204C">
              <w:rPr>
                <w:sz w:val="20"/>
              </w:rPr>
              <w:instrText xml:space="preserve"> NOTEREF _Ref96425081 \h  \* MERGEFORMAT </w:instrText>
            </w:r>
            <w:r w:rsidRPr="0092204C">
              <w:rPr>
                <w:sz w:val="20"/>
              </w:rPr>
            </w:r>
            <w:r w:rsidRPr="0092204C">
              <w:rPr>
                <w:sz w:val="20"/>
              </w:rPr>
              <w:fldChar w:fldCharType="separate"/>
            </w:r>
            <w:r w:rsidR="00E73E2F" w:rsidRPr="0092204C">
              <w:rPr>
                <w:sz w:val="20"/>
                <w:vertAlign w:val="superscript"/>
              </w:rPr>
              <w:t>10</w:t>
            </w:r>
            <w:r w:rsidRPr="0092204C">
              <w:rPr>
                <w:sz w:val="20"/>
              </w:rPr>
              <w:fldChar w:fldCharType="end"/>
            </w:r>
          </w:p>
        </w:tc>
        <w:tc>
          <w:tcPr>
            <w:tcW w:w="1069" w:type="pct"/>
          </w:tcPr>
          <w:p w14:paraId="5844B0B9" w14:textId="77777777" w:rsidR="00E9700E" w:rsidRPr="0092204C" w:rsidRDefault="00E9700E" w:rsidP="009742AB">
            <w:pPr>
              <w:pStyle w:val="Tabletext"/>
              <w:jc w:val="right"/>
              <w:rPr>
                <w:sz w:val="20"/>
              </w:rPr>
            </w:pPr>
            <w:r w:rsidRPr="0092204C">
              <w:rPr>
                <w:sz w:val="20"/>
              </w:rPr>
              <w:t>6 (75%)</w:t>
            </w:r>
          </w:p>
        </w:tc>
        <w:tc>
          <w:tcPr>
            <w:tcW w:w="1221" w:type="pct"/>
          </w:tcPr>
          <w:p w14:paraId="5E3C8FDB" w14:textId="77777777" w:rsidR="00E9700E" w:rsidRPr="0092204C" w:rsidRDefault="00E9700E" w:rsidP="009742AB">
            <w:pPr>
              <w:pStyle w:val="Tabletext"/>
              <w:jc w:val="right"/>
              <w:rPr>
                <w:sz w:val="20"/>
              </w:rPr>
            </w:pPr>
            <w:r w:rsidRPr="0092204C">
              <w:rPr>
                <w:sz w:val="20"/>
              </w:rPr>
              <w:t>3 (25%)</w:t>
            </w:r>
          </w:p>
        </w:tc>
        <w:tc>
          <w:tcPr>
            <w:tcW w:w="882" w:type="pct"/>
          </w:tcPr>
          <w:p w14:paraId="5467BEEA" w14:textId="77777777" w:rsidR="00E9700E" w:rsidRPr="0092204C" w:rsidRDefault="00E9700E" w:rsidP="009742AB">
            <w:pPr>
              <w:pStyle w:val="Tabletext"/>
              <w:jc w:val="right"/>
              <w:rPr>
                <w:sz w:val="20"/>
              </w:rPr>
            </w:pPr>
            <w:r w:rsidRPr="0092204C">
              <w:rPr>
                <w:sz w:val="20"/>
              </w:rPr>
              <w:t>9 (45%)</w:t>
            </w:r>
          </w:p>
        </w:tc>
      </w:tr>
      <w:tr w:rsidR="00E9700E" w:rsidRPr="0092204C" w14:paraId="56D0233D" w14:textId="77777777" w:rsidTr="0092204C">
        <w:tc>
          <w:tcPr>
            <w:tcW w:w="1829" w:type="pct"/>
            <w:shd w:val="clear" w:color="auto" w:fill="auto"/>
          </w:tcPr>
          <w:p w14:paraId="3A9ABD82" w14:textId="15686548" w:rsidR="00E9700E" w:rsidRPr="0092204C" w:rsidRDefault="00E9700E" w:rsidP="0049506A">
            <w:pPr>
              <w:pStyle w:val="Tabletext"/>
              <w:rPr>
                <w:sz w:val="20"/>
              </w:rPr>
            </w:pPr>
            <w:r w:rsidRPr="0092204C">
              <w:rPr>
                <w:sz w:val="20"/>
              </w:rPr>
              <w:t>Blood component bedside administration</w:t>
            </w:r>
            <w:r w:rsidRPr="0092204C">
              <w:rPr>
                <w:sz w:val="20"/>
                <w:vertAlign w:val="superscript"/>
              </w:rPr>
              <w:fldChar w:fldCharType="begin"/>
            </w:r>
            <w:r w:rsidRPr="0092204C">
              <w:rPr>
                <w:sz w:val="20"/>
                <w:vertAlign w:val="superscript"/>
              </w:rPr>
              <w:instrText xml:space="preserve"> NOTEREF _Ref96425081 \h  \* MERGEFORMAT </w:instrText>
            </w:r>
            <w:r w:rsidRPr="0092204C">
              <w:rPr>
                <w:sz w:val="20"/>
                <w:vertAlign w:val="superscript"/>
              </w:rPr>
            </w:r>
            <w:r w:rsidRPr="0092204C">
              <w:rPr>
                <w:sz w:val="20"/>
                <w:vertAlign w:val="superscript"/>
              </w:rPr>
              <w:fldChar w:fldCharType="separate"/>
            </w:r>
            <w:r w:rsidR="00E73E2F" w:rsidRPr="0092204C">
              <w:rPr>
                <w:sz w:val="20"/>
                <w:vertAlign w:val="superscript"/>
              </w:rPr>
              <w:t>10</w:t>
            </w:r>
            <w:r w:rsidRPr="0092204C">
              <w:rPr>
                <w:sz w:val="20"/>
                <w:vertAlign w:val="superscript"/>
              </w:rPr>
              <w:fldChar w:fldCharType="end"/>
            </w:r>
          </w:p>
        </w:tc>
        <w:tc>
          <w:tcPr>
            <w:tcW w:w="1069" w:type="pct"/>
          </w:tcPr>
          <w:p w14:paraId="5D64FB97" w14:textId="77777777" w:rsidR="00E9700E" w:rsidRPr="0092204C" w:rsidRDefault="00E9700E" w:rsidP="009742AB">
            <w:pPr>
              <w:pStyle w:val="Tabletext"/>
              <w:jc w:val="right"/>
              <w:rPr>
                <w:sz w:val="20"/>
              </w:rPr>
            </w:pPr>
            <w:r w:rsidRPr="0092204C">
              <w:rPr>
                <w:sz w:val="20"/>
              </w:rPr>
              <w:t>6 (75%)</w:t>
            </w:r>
          </w:p>
        </w:tc>
        <w:tc>
          <w:tcPr>
            <w:tcW w:w="1221" w:type="pct"/>
          </w:tcPr>
          <w:p w14:paraId="0614C81F" w14:textId="77777777" w:rsidR="00E9700E" w:rsidRPr="0092204C" w:rsidRDefault="00E9700E" w:rsidP="009742AB">
            <w:pPr>
              <w:pStyle w:val="Tabletext"/>
              <w:jc w:val="right"/>
              <w:rPr>
                <w:sz w:val="20"/>
              </w:rPr>
            </w:pPr>
            <w:r w:rsidRPr="0092204C">
              <w:rPr>
                <w:sz w:val="20"/>
              </w:rPr>
              <w:t>1 (8%)</w:t>
            </w:r>
          </w:p>
        </w:tc>
        <w:tc>
          <w:tcPr>
            <w:tcW w:w="882" w:type="pct"/>
          </w:tcPr>
          <w:p w14:paraId="664DEED4" w14:textId="77777777" w:rsidR="00E9700E" w:rsidRPr="0092204C" w:rsidRDefault="00E9700E" w:rsidP="009742AB">
            <w:pPr>
              <w:pStyle w:val="Tabletext"/>
              <w:jc w:val="right"/>
              <w:rPr>
                <w:sz w:val="20"/>
              </w:rPr>
            </w:pPr>
            <w:r w:rsidRPr="0092204C">
              <w:rPr>
                <w:sz w:val="20"/>
              </w:rPr>
              <w:t>7 (35%)</w:t>
            </w:r>
          </w:p>
        </w:tc>
      </w:tr>
      <w:tr w:rsidR="00E9700E" w:rsidRPr="0092204C" w14:paraId="1FDC45CA" w14:textId="77777777" w:rsidTr="0092204C">
        <w:tc>
          <w:tcPr>
            <w:tcW w:w="1829" w:type="pct"/>
            <w:shd w:val="clear" w:color="auto" w:fill="auto"/>
          </w:tcPr>
          <w:p w14:paraId="09E4CE67" w14:textId="2B6AB289" w:rsidR="00E9700E" w:rsidRPr="0092204C" w:rsidRDefault="00E9700E" w:rsidP="0049506A">
            <w:pPr>
              <w:pStyle w:val="Tabletext"/>
              <w:rPr>
                <w:sz w:val="20"/>
              </w:rPr>
            </w:pPr>
            <w:r w:rsidRPr="0092204C">
              <w:rPr>
                <w:sz w:val="20"/>
              </w:rPr>
              <w:t>Blood product bedside administration</w:t>
            </w:r>
            <w:r w:rsidRPr="0092204C">
              <w:rPr>
                <w:sz w:val="20"/>
                <w:vertAlign w:val="superscript"/>
              </w:rPr>
              <w:fldChar w:fldCharType="begin"/>
            </w:r>
            <w:r w:rsidRPr="0092204C">
              <w:rPr>
                <w:sz w:val="20"/>
                <w:vertAlign w:val="superscript"/>
              </w:rPr>
              <w:instrText xml:space="preserve"> NOTEREF _Ref96425081 \h  \* MERGEFORMAT </w:instrText>
            </w:r>
            <w:r w:rsidRPr="0092204C">
              <w:rPr>
                <w:sz w:val="20"/>
                <w:vertAlign w:val="superscript"/>
              </w:rPr>
            </w:r>
            <w:r w:rsidRPr="0092204C">
              <w:rPr>
                <w:sz w:val="20"/>
                <w:vertAlign w:val="superscript"/>
              </w:rPr>
              <w:fldChar w:fldCharType="separate"/>
            </w:r>
            <w:r w:rsidR="00E73E2F" w:rsidRPr="0092204C">
              <w:rPr>
                <w:sz w:val="20"/>
                <w:vertAlign w:val="superscript"/>
              </w:rPr>
              <w:t>10</w:t>
            </w:r>
            <w:r w:rsidRPr="0092204C">
              <w:rPr>
                <w:sz w:val="20"/>
                <w:vertAlign w:val="superscript"/>
              </w:rPr>
              <w:fldChar w:fldCharType="end"/>
            </w:r>
          </w:p>
        </w:tc>
        <w:tc>
          <w:tcPr>
            <w:tcW w:w="1069" w:type="pct"/>
          </w:tcPr>
          <w:p w14:paraId="29CF06D5" w14:textId="77777777" w:rsidR="00E9700E" w:rsidRPr="0092204C" w:rsidRDefault="00E9700E" w:rsidP="009742AB">
            <w:pPr>
              <w:pStyle w:val="Tabletext"/>
              <w:jc w:val="right"/>
              <w:rPr>
                <w:sz w:val="20"/>
              </w:rPr>
            </w:pPr>
            <w:r w:rsidRPr="0092204C">
              <w:rPr>
                <w:sz w:val="20"/>
              </w:rPr>
              <w:t>6 (75%)</w:t>
            </w:r>
          </w:p>
        </w:tc>
        <w:tc>
          <w:tcPr>
            <w:tcW w:w="1221" w:type="pct"/>
          </w:tcPr>
          <w:p w14:paraId="0645E2D0" w14:textId="77777777" w:rsidR="00E9700E" w:rsidRPr="0092204C" w:rsidRDefault="00E9700E" w:rsidP="009742AB">
            <w:pPr>
              <w:pStyle w:val="Tabletext"/>
              <w:jc w:val="right"/>
              <w:rPr>
                <w:sz w:val="20"/>
              </w:rPr>
            </w:pPr>
            <w:r w:rsidRPr="0092204C">
              <w:rPr>
                <w:sz w:val="20"/>
              </w:rPr>
              <w:t>1 (8%)</w:t>
            </w:r>
          </w:p>
        </w:tc>
        <w:tc>
          <w:tcPr>
            <w:tcW w:w="882" w:type="pct"/>
          </w:tcPr>
          <w:p w14:paraId="421AF957" w14:textId="77777777" w:rsidR="00E9700E" w:rsidRPr="0092204C" w:rsidRDefault="00E9700E" w:rsidP="009742AB">
            <w:pPr>
              <w:pStyle w:val="Tabletext"/>
              <w:jc w:val="right"/>
              <w:rPr>
                <w:sz w:val="20"/>
              </w:rPr>
            </w:pPr>
            <w:r w:rsidRPr="0092204C">
              <w:rPr>
                <w:sz w:val="20"/>
              </w:rPr>
              <w:t>7 (35%)</w:t>
            </w:r>
          </w:p>
        </w:tc>
      </w:tr>
      <w:tr w:rsidR="00E9700E" w:rsidRPr="0092204C" w14:paraId="51555AB6" w14:textId="77777777" w:rsidTr="0092204C">
        <w:tc>
          <w:tcPr>
            <w:tcW w:w="1829" w:type="pct"/>
            <w:shd w:val="clear" w:color="auto" w:fill="auto"/>
          </w:tcPr>
          <w:p w14:paraId="606E1F49" w14:textId="77777777" w:rsidR="00E9700E" w:rsidRPr="0092204C" w:rsidRDefault="00E9700E" w:rsidP="0049506A">
            <w:pPr>
              <w:pStyle w:val="Tabletext"/>
              <w:rPr>
                <w:sz w:val="20"/>
              </w:rPr>
            </w:pPr>
            <w:r w:rsidRPr="0092204C">
              <w:rPr>
                <w:sz w:val="20"/>
              </w:rPr>
              <w:t>Recording fluid balance</w:t>
            </w:r>
          </w:p>
        </w:tc>
        <w:tc>
          <w:tcPr>
            <w:tcW w:w="1069" w:type="pct"/>
          </w:tcPr>
          <w:p w14:paraId="7BB3299A" w14:textId="77777777" w:rsidR="00E9700E" w:rsidRPr="0092204C" w:rsidRDefault="00E9700E" w:rsidP="009742AB">
            <w:pPr>
              <w:pStyle w:val="Tabletext"/>
              <w:jc w:val="right"/>
              <w:rPr>
                <w:sz w:val="20"/>
              </w:rPr>
            </w:pPr>
            <w:r w:rsidRPr="0092204C">
              <w:rPr>
                <w:sz w:val="20"/>
              </w:rPr>
              <w:t>8 (100%)</w:t>
            </w:r>
          </w:p>
        </w:tc>
        <w:tc>
          <w:tcPr>
            <w:tcW w:w="1221" w:type="pct"/>
          </w:tcPr>
          <w:p w14:paraId="23500357" w14:textId="77777777" w:rsidR="00E9700E" w:rsidRPr="0092204C" w:rsidRDefault="00E9700E" w:rsidP="009742AB">
            <w:pPr>
              <w:pStyle w:val="Tabletext"/>
              <w:jc w:val="right"/>
              <w:rPr>
                <w:sz w:val="20"/>
              </w:rPr>
            </w:pPr>
            <w:r w:rsidRPr="0092204C">
              <w:rPr>
                <w:sz w:val="20"/>
              </w:rPr>
              <w:t>6 (50%)</w:t>
            </w:r>
          </w:p>
        </w:tc>
        <w:tc>
          <w:tcPr>
            <w:tcW w:w="882" w:type="pct"/>
          </w:tcPr>
          <w:p w14:paraId="4F9CE6F6" w14:textId="77777777" w:rsidR="00E9700E" w:rsidRPr="0092204C" w:rsidRDefault="00E9700E" w:rsidP="009742AB">
            <w:pPr>
              <w:pStyle w:val="Tabletext"/>
              <w:jc w:val="right"/>
              <w:rPr>
                <w:sz w:val="20"/>
              </w:rPr>
            </w:pPr>
            <w:r w:rsidRPr="0092204C">
              <w:rPr>
                <w:sz w:val="20"/>
              </w:rPr>
              <w:t>14 (70%)</w:t>
            </w:r>
          </w:p>
        </w:tc>
      </w:tr>
      <w:tr w:rsidR="00E9700E" w:rsidRPr="0092204C" w14:paraId="71CDD516" w14:textId="77777777" w:rsidTr="0092204C">
        <w:tc>
          <w:tcPr>
            <w:tcW w:w="1829" w:type="pct"/>
            <w:shd w:val="clear" w:color="auto" w:fill="auto"/>
          </w:tcPr>
          <w:p w14:paraId="5285CECF" w14:textId="10EEFE7B" w:rsidR="00E9700E" w:rsidRPr="0092204C" w:rsidRDefault="00E9700E" w:rsidP="0049506A">
            <w:pPr>
              <w:pStyle w:val="Tabletext"/>
              <w:rPr>
                <w:sz w:val="20"/>
              </w:rPr>
            </w:pPr>
            <w:r w:rsidRPr="0092204C">
              <w:rPr>
                <w:sz w:val="20"/>
              </w:rPr>
              <w:t>Massive transfusion – blood component ordering</w:t>
            </w:r>
            <w:r w:rsidRPr="0092204C">
              <w:rPr>
                <w:sz w:val="20"/>
                <w:vertAlign w:val="superscript"/>
              </w:rPr>
              <w:fldChar w:fldCharType="begin"/>
            </w:r>
            <w:r w:rsidRPr="0092204C">
              <w:rPr>
                <w:sz w:val="20"/>
                <w:vertAlign w:val="superscript"/>
              </w:rPr>
              <w:instrText xml:space="preserve"> NOTEREF _Ref96425081 \h  \* MERGEFORMAT </w:instrText>
            </w:r>
            <w:r w:rsidRPr="0092204C">
              <w:rPr>
                <w:sz w:val="20"/>
                <w:vertAlign w:val="superscript"/>
              </w:rPr>
            </w:r>
            <w:r w:rsidRPr="0092204C">
              <w:rPr>
                <w:sz w:val="20"/>
                <w:vertAlign w:val="superscript"/>
              </w:rPr>
              <w:fldChar w:fldCharType="separate"/>
            </w:r>
            <w:r w:rsidR="00E73E2F" w:rsidRPr="0092204C">
              <w:rPr>
                <w:sz w:val="20"/>
                <w:vertAlign w:val="superscript"/>
              </w:rPr>
              <w:t>10</w:t>
            </w:r>
            <w:r w:rsidRPr="0092204C">
              <w:rPr>
                <w:sz w:val="20"/>
                <w:vertAlign w:val="superscript"/>
              </w:rPr>
              <w:fldChar w:fldCharType="end"/>
            </w:r>
          </w:p>
        </w:tc>
        <w:tc>
          <w:tcPr>
            <w:tcW w:w="1069" w:type="pct"/>
          </w:tcPr>
          <w:p w14:paraId="725BBB1B" w14:textId="77777777" w:rsidR="00E9700E" w:rsidRPr="0092204C" w:rsidRDefault="00E9700E" w:rsidP="009742AB">
            <w:pPr>
              <w:pStyle w:val="Tabletext"/>
              <w:jc w:val="right"/>
              <w:rPr>
                <w:sz w:val="20"/>
              </w:rPr>
            </w:pPr>
            <w:r w:rsidRPr="0092204C">
              <w:rPr>
                <w:sz w:val="20"/>
              </w:rPr>
              <w:t>4 (50%)</w:t>
            </w:r>
          </w:p>
        </w:tc>
        <w:tc>
          <w:tcPr>
            <w:tcW w:w="1221" w:type="pct"/>
          </w:tcPr>
          <w:p w14:paraId="4425E7D4" w14:textId="77777777" w:rsidR="00E9700E" w:rsidRPr="0092204C" w:rsidRDefault="00E9700E" w:rsidP="009742AB">
            <w:pPr>
              <w:pStyle w:val="Tabletext"/>
              <w:jc w:val="right"/>
              <w:rPr>
                <w:sz w:val="20"/>
              </w:rPr>
            </w:pPr>
            <w:r w:rsidRPr="0092204C">
              <w:rPr>
                <w:sz w:val="20"/>
              </w:rPr>
              <w:t>1 (8%)</w:t>
            </w:r>
          </w:p>
        </w:tc>
        <w:tc>
          <w:tcPr>
            <w:tcW w:w="882" w:type="pct"/>
          </w:tcPr>
          <w:p w14:paraId="7D3B94F1" w14:textId="77777777" w:rsidR="00E9700E" w:rsidRPr="0092204C" w:rsidRDefault="00E9700E" w:rsidP="009742AB">
            <w:pPr>
              <w:pStyle w:val="Tabletext"/>
              <w:jc w:val="right"/>
              <w:rPr>
                <w:sz w:val="20"/>
              </w:rPr>
            </w:pPr>
            <w:r w:rsidRPr="0092204C">
              <w:rPr>
                <w:sz w:val="20"/>
              </w:rPr>
              <w:t>5 (25%)</w:t>
            </w:r>
          </w:p>
        </w:tc>
      </w:tr>
      <w:tr w:rsidR="00E9700E" w:rsidRPr="0092204C" w14:paraId="23B2C095" w14:textId="77777777" w:rsidTr="0092204C">
        <w:tc>
          <w:tcPr>
            <w:tcW w:w="1829" w:type="pct"/>
            <w:shd w:val="clear" w:color="auto" w:fill="auto"/>
          </w:tcPr>
          <w:p w14:paraId="0074B0CC" w14:textId="5659FEE1" w:rsidR="00E9700E" w:rsidRPr="0092204C" w:rsidRDefault="00E9700E" w:rsidP="0049506A">
            <w:pPr>
              <w:pStyle w:val="Tabletext"/>
              <w:rPr>
                <w:sz w:val="20"/>
              </w:rPr>
            </w:pPr>
            <w:r w:rsidRPr="0092204C">
              <w:rPr>
                <w:sz w:val="20"/>
              </w:rPr>
              <w:t>Massive transfusion – administration of blood components</w:t>
            </w:r>
            <w:r w:rsidRPr="0092204C">
              <w:rPr>
                <w:sz w:val="20"/>
                <w:vertAlign w:val="superscript"/>
              </w:rPr>
              <w:fldChar w:fldCharType="begin"/>
            </w:r>
            <w:r w:rsidRPr="0092204C">
              <w:rPr>
                <w:sz w:val="20"/>
                <w:vertAlign w:val="superscript"/>
              </w:rPr>
              <w:instrText xml:space="preserve"> NOTEREF _Ref96425081 \h  \* MERGEFORMAT </w:instrText>
            </w:r>
            <w:r w:rsidRPr="0092204C">
              <w:rPr>
                <w:sz w:val="20"/>
                <w:vertAlign w:val="superscript"/>
              </w:rPr>
            </w:r>
            <w:r w:rsidRPr="0092204C">
              <w:rPr>
                <w:sz w:val="20"/>
                <w:vertAlign w:val="superscript"/>
              </w:rPr>
              <w:fldChar w:fldCharType="separate"/>
            </w:r>
            <w:r w:rsidR="00E73E2F" w:rsidRPr="0092204C">
              <w:rPr>
                <w:sz w:val="20"/>
                <w:vertAlign w:val="superscript"/>
              </w:rPr>
              <w:t>10</w:t>
            </w:r>
            <w:r w:rsidRPr="0092204C">
              <w:rPr>
                <w:sz w:val="20"/>
                <w:vertAlign w:val="superscript"/>
              </w:rPr>
              <w:fldChar w:fldCharType="end"/>
            </w:r>
          </w:p>
        </w:tc>
        <w:tc>
          <w:tcPr>
            <w:tcW w:w="1069" w:type="pct"/>
          </w:tcPr>
          <w:p w14:paraId="17AF22B5" w14:textId="77777777" w:rsidR="00E9700E" w:rsidRPr="0092204C" w:rsidRDefault="00E9700E" w:rsidP="009742AB">
            <w:pPr>
              <w:pStyle w:val="Tabletext"/>
              <w:jc w:val="right"/>
              <w:rPr>
                <w:sz w:val="20"/>
              </w:rPr>
            </w:pPr>
            <w:r w:rsidRPr="0092204C">
              <w:rPr>
                <w:sz w:val="20"/>
              </w:rPr>
              <w:t>6 (75%)</w:t>
            </w:r>
          </w:p>
        </w:tc>
        <w:tc>
          <w:tcPr>
            <w:tcW w:w="1221" w:type="pct"/>
          </w:tcPr>
          <w:p w14:paraId="34D32DC2" w14:textId="77777777" w:rsidR="00E9700E" w:rsidRPr="0092204C" w:rsidRDefault="00E9700E" w:rsidP="009742AB">
            <w:pPr>
              <w:pStyle w:val="Tabletext"/>
              <w:jc w:val="right"/>
              <w:rPr>
                <w:sz w:val="20"/>
              </w:rPr>
            </w:pPr>
            <w:r w:rsidRPr="0092204C">
              <w:rPr>
                <w:sz w:val="20"/>
              </w:rPr>
              <w:t>-</w:t>
            </w:r>
          </w:p>
        </w:tc>
        <w:tc>
          <w:tcPr>
            <w:tcW w:w="882" w:type="pct"/>
          </w:tcPr>
          <w:p w14:paraId="248F2CB4" w14:textId="77777777" w:rsidR="00E9700E" w:rsidRPr="0092204C" w:rsidRDefault="00E9700E" w:rsidP="009742AB">
            <w:pPr>
              <w:pStyle w:val="Tabletext"/>
              <w:jc w:val="right"/>
              <w:rPr>
                <w:sz w:val="20"/>
              </w:rPr>
            </w:pPr>
            <w:r w:rsidRPr="0092204C">
              <w:rPr>
                <w:sz w:val="20"/>
              </w:rPr>
              <w:t>6 (30%)</w:t>
            </w:r>
          </w:p>
        </w:tc>
      </w:tr>
      <w:tr w:rsidR="00E9700E" w:rsidRPr="0092204C" w14:paraId="451B5A39" w14:textId="77777777" w:rsidTr="0092204C">
        <w:tc>
          <w:tcPr>
            <w:tcW w:w="1829" w:type="pct"/>
            <w:shd w:val="clear" w:color="auto" w:fill="auto"/>
          </w:tcPr>
          <w:p w14:paraId="1B92E564" w14:textId="77777777" w:rsidR="00E9700E" w:rsidRPr="0092204C" w:rsidRDefault="00E9700E" w:rsidP="0049506A">
            <w:pPr>
              <w:pStyle w:val="Tabletext"/>
              <w:rPr>
                <w:sz w:val="20"/>
              </w:rPr>
            </w:pPr>
            <w:r w:rsidRPr="0092204C">
              <w:rPr>
                <w:sz w:val="20"/>
              </w:rPr>
              <w:t>Documenting transfusion reactions</w:t>
            </w:r>
          </w:p>
        </w:tc>
        <w:tc>
          <w:tcPr>
            <w:tcW w:w="1069" w:type="pct"/>
          </w:tcPr>
          <w:p w14:paraId="6D76F392" w14:textId="77777777" w:rsidR="00E9700E" w:rsidRPr="0092204C" w:rsidRDefault="00E9700E" w:rsidP="009742AB">
            <w:pPr>
              <w:pStyle w:val="Tabletext"/>
              <w:jc w:val="right"/>
              <w:rPr>
                <w:sz w:val="20"/>
              </w:rPr>
            </w:pPr>
            <w:r w:rsidRPr="0092204C">
              <w:rPr>
                <w:sz w:val="20"/>
              </w:rPr>
              <w:t>6 (75%)</w:t>
            </w:r>
          </w:p>
        </w:tc>
        <w:tc>
          <w:tcPr>
            <w:tcW w:w="1221" w:type="pct"/>
          </w:tcPr>
          <w:p w14:paraId="076B201E" w14:textId="77777777" w:rsidR="00E9700E" w:rsidRPr="0092204C" w:rsidRDefault="00E9700E" w:rsidP="009742AB">
            <w:pPr>
              <w:pStyle w:val="Tabletext"/>
              <w:jc w:val="right"/>
              <w:rPr>
                <w:sz w:val="20"/>
              </w:rPr>
            </w:pPr>
            <w:r w:rsidRPr="0092204C">
              <w:rPr>
                <w:sz w:val="20"/>
              </w:rPr>
              <w:t>6 (50%)</w:t>
            </w:r>
          </w:p>
        </w:tc>
        <w:tc>
          <w:tcPr>
            <w:tcW w:w="882" w:type="pct"/>
          </w:tcPr>
          <w:p w14:paraId="33BBC257" w14:textId="77777777" w:rsidR="00E9700E" w:rsidRPr="0092204C" w:rsidRDefault="00E9700E" w:rsidP="009742AB">
            <w:pPr>
              <w:pStyle w:val="Tabletext"/>
              <w:jc w:val="right"/>
              <w:rPr>
                <w:sz w:val="20"/>
              </w:rPr>
            </w:pPr>
            <w:r w:rsidRPr="0092204C">
              <w:rPr>
                <w:sz w:val="20"/>
              </w:rPr>
              <w:t>12 (60%)</w:t>
            </w:r>
          </w:p>
        </w:tc>
      </w:tr>
      <w:tr w:rsidR="00E9700E" w:rsidRPr="0092204C" w14:paraId="3C9FF291" w14:textId="77777777" w:rsidTr="0092204C">
        <w:tc>
          <w:tcPr>
            <w:tcW w:w="1829" w:type="pct"/>
            <w:shd w:val="clear" w:color="auto" w:fill="auto"/>
          </w:tcPr>
          <w:p w14:paraId="456115A6" w14:textId="77777777" w:rsidR="00E9700E" w:rsidRPr="0092204C" w:rsidRDefault="00E9700E" w:rsidP="0049506A">
            <w:pPr>
              <w:pStyle w:val="Tabletext"/>
              <w:rPr>
                <w:sz w:val="20"/>
              </w:rPr>
            </w:pPr>
            <w:r w:rsidRPr="0092204C">
              <w:rPr>
                <w:sz w:val="20"/>
              </w:rPr>
              <w:t>Decision support for preoperative anaemia assessment/management</w:t>
            </w:r>
            <w:bookmarkStart w:id="112" w:name="_Ref96425313"/>
            <w:r w:rsidRPr="0092204C">
              <w:rPr>
                <w:sz w:val="20"/>
                <w:vertAlign w:val="superscript"/>
              </w:rPr>
              <w:footnoteReference w:id="11"/>
            </w:r>
            <w:bookmarkEnd w:id="112"/>
          </w:p>
        </w:tc>
        <w:tc>
          <w:tcPr>
            <w:tcW w:w="1069" w:type="pct"/>
          </w:tcPr>
          <w:p w14:paraId="38884C15" w14:textId="77777777" w:rsidR="00E9700E" w:rsidRPr="0092204C" w:rsidRDefault="00E9700E" w:rsidP="009742AB">
            <w:pPr>
              <w:pStyle w:val="Tabletext"/>
              <w:jc w:val="right"/>
              <w:rPr>
                <w:sz w:val="20"/>
              </w:rPr>
            </w:pPr>
            <w:r w:rsidRPr="0092204C">
              <w:rPr>
                <w:sz w:val="20"/>
              </w:rPr>
              <w:t>1 (13%)</w:t>
            </w:r>
          </w:p>
        </w:tc>
        <w:tc>
          <w:tcPr>
            <w:tcW w:w="1221" w:type="pct"/>
          </w:tcPr>
          <w:p w14:paraId="5FDBA61B" w14:textId="77777777" w:rsidR="00E9700E" w:rsidRPr="0092204C" w:rsidRDefault="00E9700E" w:rsidP="009742AB">
            <w:pPr>
              <w:pStyle w:val="Tabletext"/>
              <w:jc w:val="right"/>
              <w:rPr>
                <w:sz w:val="20"/>
              </w:rPr>
            </w:pPr>
            <w:r w:rsidRPr="0092204C">
              <w:rPr>
                <w:sz w:val="20"/>
              </w:rPr>
              <w:t>-</w:t>
            </w:r>
          </w:p>
        </w:tc>
        <w:tc>
          <w:tcPr>
            <w:tcW w:w="882" w:type="pct"/>
          </w:tcPr>
          <w:p w14:paraId="088049E8" w14:textId="77777777" w:rsidR="00E9700E" w:rsidRPr="0092204C" w:rsidRDefault="00E9700E" w:rsidP="009742AB">
            <w:pPr>
              <w:pStyle w:val="Tabletext"/>
              <w:jc w:val="right"/>
              <w:rPr>
                <w:sz w:val="20"/>
              </w:rPr>
            </w:pPr>
            <w:r w:rsidRPr="0092204C">
              <w:rPr>
                <w:sz w:val="20"/>
              </w:rPr>
              <w:t>1 (5%)</w:t>
            </w:r>
          </w:p>
        </w:tc>
      </w:tr>
      <w:tr w:rsidR="00E9700E" w:rsidRPr="0092204C" w14:paraId="129FE155" w14:textId="77777777" w:rsidTr="0092204C">
        <w:tc>
          <w:tcPr>
            <w:tcW w:w="1829" w:type="pct"/>
            <w:shd w:val="clear" w:color="auto" w:fill="auto"/>
          </w:tcPr>
          <w:p w14:paraId="5F2981BC" w14:textId="48DF4BD1" w:rsidR="00E9700E" w:rsidRPr="0092204C" w:rsidRDefault="00E9700E" w:rsidP="0049506A">
            <w:pPr>
              <w:pStyle w:val="Tabletext"/>
              <w:rPr>
                <w:sz w:val="20"/>
              </w:rPr>
            </w:pPr>
            <w:r w:rsidRPr="0092204C">
              <w:rPr>
                <w:sz w:val="20"/>
              </w:rPr>
              <w:t>Decision support for prescription of blood</w:t>
            </w:r>
            <w:r w:rsidR="0093336E">
              <w:rPr>
                <w:sz w:val="20"/>
              </w:rPr>
              <w:t>/blood</w:t>
            </w:r>
            <w:r w:rsidRPr="0092204C">
              <w:rPr>
                <w:sz w:val="20"/>
              </w:rPr>
              <w:t xml:space="preserve"> products</w:t>
            </w:r>
            <w:r w:rsidRPr="0092204C">
              <w:rPr>
                <w:sz w:val="20"/>
                <w:vertAlign w:val="superscript"/>
              </w:rPr>
              <w:fldChar w:fldCharType="begin"/>
            </w:r>
            <w:r w:rsidRPr="0092204C">
              <w:rPr>
                <w:sz w:val="20"/>
                <w:vertAlign w:val="superscript"/>
              </w:rPr>
              <w:instrText xml:space="preserve"> NOTEREF _Ref96425081 \h  \* MERGEFORMAT </w:instrText>
            </w:r>
            <w:r w:rsidRPr="0092204C">
              <w:rPr>
                <w:sz w:val="20"/>
                <w:vertAlign w:val="superscript"/>
              </w:rPr>
            </w:r>
            <w:r w:rsidRPr="0092204C">
              <w:rPr>
                <w:sz w:val="20"/>
                <w:vertAlign w:val="superscript"/>
              </w:rPr>
              <w:fldChar w:fldCharType="separate"/>
            </w:r>
            <w:r w:rsidR="00E73E2F" w:rsidRPr="0092204C">
              <w:rPr>
                <w:sz w:val="20"/>
                <w:vertAlign w:val="superscript"/>
              </w:rPr>
              <w:t>10</w:t>
            </w:r>
            <w:r w:rsidRPr="0092204C">
              <w:rPr>
                <w:sz w:val="20"/>
                <w:vertAlign w:val="superscript"/>
              </w:rPr>
              <w:fldChar w:fldCharType="end"/>
            </w:r>
          </w:p>
        </w:tc>
        <w:tc>
          <w:tcPr>
            <w:tcW w:w="1069" w:type="pct"/>
          </w:tcPr>
          <w:p w14:paraId="5662FA10" w14:textId="77777777" w:rsidR="00E9700E" w:rsidRPr="0092204C" w:rsidRDefault="00E9700E" w:rsidP="009742AB">
            <w:pPr>
              <w:pStyle w:val="Tabletext"/>
              <w:jc w:val="right"/>
              <w:rPr>
                <w:sz w:val="20"/>
              </w:rPr>
            </w:pPr>
            <w:r w:rsidRPr="0092204C">
              <w:rPr>
                <w:sz w:val="20"/>
              </w:rPr>
              <w:t>5 (63%)</w:t>
            </w:r>
          </w:p>
        </w:tc>
        <w:tc>
          <w:tcPr>
            <w:tcW w:w="1221" w:type="pct"/>
          </w:tcPr>
          <w:p w14:paraId="2E201FD0" w14:textId="77777777" w:rsidR="00E9700E" w:rsidRPr="0092204C" w:rsidRDefault="00E9700E" w:rsidP="009742AB">
            <w:pPr>
              <w:pStyle w:val="Tabletext"/>
              <w:jc w:val="right"/>
              <w:rPr>
                <w:sz w:val="20"/>
              </w:rPr>
            </w:pPr>
            <w:r w:rsidRPr="0092204C">
              <w:rPr>
                <w:sz w:val="20"/>
              </w:rPr>
              <w:t>1 (8%)</w:t>
            </w:r>
          </w:p>
        </w:tc>
        <w:tc>
          <w:tcPr>
            <w:tcW w:w="882" w:type="pct"/>
          </w:tcPr>
          <w:p w14:paraId="21714CE6" w14:textId="77777777" w:rsidR="00E9700E" w:rsidRPr="0092204C" w:rsidRDefault="00E9700E" w:rsidP="009742AB">
            <w:pPr>
              <w:pStyle w:val="Tabletext"/>
              <w:jc w:val="right"/>
              <w:rPr>
                <w:sz w:val="20"/>
              </w:rPr>
            </w:pPr>
            <w:r w:rsidRPr="0092204C">
              <w:rPr>
                <w:sz w:val="20"/>
              </w:rPr>
              <w:t>6 (30%)</w:t>
            </w:r>
          </w:p>
        </w:tc>
      </w:tr>
    </w:tbl>
    <w:p w14:paraId="44BBE9C7" w14:textId="286A89A5" w:rsidR="00E9700E" w:rsidRPr="00B63A61" w:rsidRDefault="00E9700E" w:rsidP="00B63A61">
      <w:pPr>
        <w:pStyle w:val="Heading1"/>
      </w:pPr>
      <w:bookmarkStart w:id="113" w:name="_Toc101285685"/>
      <w:bookmarkStart w:id="114" w:name="_Toc101947707"/>
      <w:bookmarkStart w:id="115" w:name="_Toc104975928"/>
      <w:r w:rsidRPr="00B63A61">
        <w:lastRenderedPageBreak/>
        <w:t>Process</w:t>
      </w:r>
      <w:bookmarkEnd w:id="113"/>
      <w:bookmarkEnd w:id="114"/>
      <w:bookmarkEnd w:id="115"/>
    </w:p>
    <w:p w14:paraId="780455ED" w14:textId="1C9ED0A7" w:rsidR="00E9700E" w:rsidRPr="00B63A61" w:rsidRDefault="00E9700E" w:rsidP="00F62261">
      <w:pPr>
        <w:pStyle w:val="Heading2"/>
        <w:numPr>
          <w:ilvl w:val="0"/>
          <w:numId w:val="38"/>
        </w:numPr>
        <w:ind w:left="426" w:hanging="426"/>
      </w:pPr>
      <w:bookmarkStart w:id="116" w:name="_Toc101285686"/>
      <w:bookmarkStart w:id="117" w:name="_Toc101947708"/>
      <w:bookmarkStart w:id="118" w:name="_Toc104975929"/>
      <w:r w:rsidRPr="00B63A61">
        <w:t>Pretransfusion</w:t>
      </w:r>
      <w:bookmarkEnd w:id="116"/>
      <w:bookmarkEnd w:id="117"/>
      <w:bookmarkEnd w:id="118"/>
    </w:p>
    <w:p w14:paraId="59614EBF" w14:textId="77777777" w:rsidR="00E9700E" w:rsidRPr="00B63A61" w:rsidRDefault="00E9700E" w:rsidP="00B63A61">
      <w:pPr>
        <w:pStyle w:val="Heading3"/>
      </w:pPr>
      <w:bookmarkStart w:id="119" w:name="_Toc101285687"/>
      <w:bookmarkStart w:id="120" w:name="_Toc101947709"/>
      <w:r w:rsidRPr="00B63A61">
        <w:t>Pretransfusion sample collection</w:t>
      </w:r>
      <w:bookmarkEnd w:id="119"/>
      <w:bookmarkEnd w:id="120"/>
    </w:p>
    <w:p w14:paraId="0516D3BA" w14:textId="77777777" w:rsidR="00E9700E" w:rsidRPr="00B63A61" w:rsidRDefault="00E9700E" w:rsidP="009742AB">
      <w:pPr>
        <w:pStyle w:val="Heading4"/>
      </w:pPr>
      <w:bookmarkStart w:id="121" w:name="_Toc101285688"/>
      <w:bookmarkStart w:id="122" w:name="_Toc101947710"/>
      <w:r w:rsidRPr="00B63A61">
        <w:t xml:space="preserve">Test ordering and specimen </w:t>
      </w:r>
      <w:r w:rsidRPr="005D3D83">
        <w:t>collection</w:t>
      </w:r>
      <w:bookmarkEnd w:id="121"/>
      <w:bookmarkEnd w:id="122"/>
    </w:p>
    <w:p w14:paraId="1A1B3677" w14:textId="26CAD0E7" w:rsidR="00653D5A" w:rsidRDefault="00E9700E" w:rsidP="00B63A61">
      <w:pPr>
        <w:pStyle w:val="Body"/>
      </w:pPr>
      <w:r w:rsidRPr="00176D37">
        <w:t>Specimen collection is the first step to safe transfusion</w:t>
      </w:r>
      <w:r w:rsidR="00653D5A">
        <w:t>.</w:t>
      </w:r>
      <w:r w:rsidR="00653D5A" w:rsidRPr="00176D37">
        <w:t xml:space="preserve"> </w:t>
      </w:r>
      <w:r w:rsidR="00653D5A">
        <w:t>I</w:t>
      </w:r>
      <w:r w:rsidRPr="00176D37">
        <w:t xml:space="preserve">t is essential that this </w:t>
      </w:r>
      <w:r w:rsidR="00653D5A">
        <w:t xml:space="preserve">important </w:t>
      </w:r>
      <w:r w:rsidRPr="00176D37">
        <w:t xml:space="preserve">step is </w:t>
      </w:r>
      <w:r w:rsidR="00653D5A" w:rsidRPr="00176D37">
        <w:t>practi</w:t>
      </w:r>
      <w:r w:rsidR="00653D5A">
        <w:t>s</w:t>
      </w:r>
      <w:r w:rsidR="00653D5A" w:rsidRPr="00176D37">
        <w:t xml:space="preserve">ed </w:t>
      </w:r>
      <w:r w:rsidRPr="00176D37">
        <w:t xml:space="preserve">correctly. </w:t>
      </w:r>
    </w:p>
    <w:p w14:paraId="4A38F32F" w14:textId="6C2987F8" w:rsidR="00653D5A" w:rsidRDefault="00E9700E" w:rsidP="00B63A61">
      <w:pPr>
        <w:pStyle w:val="Body"/>
      </w:pPr>
      <w:r w:rsidRPr="00176D37">
        <w:t xml:space="preserve">ANZSBT guidelines provide health services with the requirements needed for safe transfusion practice (ANSBT 2019). </w:t>
      </w:r>
      <w:r w:rsidR="00653D5A">
        <w:t xml:space="preserve">The </w:t>
      </w:r>
      <w:r w:rsidR="00653D5A" w:rsidRPr="007F16CD">
        <w:t>ANZSBT</w:t>
      </w:r>
      <w:r w:rsidR="00653D5A" w:rsidRPr="00176D37">
        <w:t xml:space="preserve"> </w:t>
      </w:r>
      <w:r w:rsidR="007F16CD">
        <w:rPr>
          <w:i/>
          <w:iCs/>
        </w:rPr>
        <w:t>G</w:t>
      </w:r>
      <w:r w:rsidR="00653D5A" w:rsidRPr="00176D37">
        <w:rPr>
          <w:i/>
          <w:iCs/>
        </w:rPr>
        <w:t>uidelines for the implementation and use of electronic medical records for transfusion</w:t>
      </w:r>
      <w:r w:rsidR="00653D5A" w:rsidRPr="00176D37">
        <w:t xml:space="preserve"> (ANZSBT 2021</w:t>
      </w:r>
      <w:r w:rsidR="00653D5A">
        <w:t>) address</w:t>
      </w:r>
      <w:r w:rsidRPr="00176D37">
        <w:t xml:space="preserve"> the essential aspects of transfusion</w:t>
      </w:r>
      <w:r w:rsidR="00630C8F">
        <w:t xml:space="preserve"> in relation to EMRs</w:t>
      </w:r>
      <w:r w:rsidR="00653D5A">
        <w:t>.</w:t>
      </w:r>
      <w:r w:rsidRPr="00176D37">
        <w:t xml:space="preserve"> </w:t>
      </w:r>
    </w:p>
    <w:p w14:paraId="31FC2A3F" w14:textId="1829E4BB" w:rsidR="00AB5DB9" w:rsidRDefault="00653D5A" w:rsidP="00630C8F">
      <w:pPr>
        <w:pStyle w:val="Body"/>
      </w:pPr>
      <w:r>
        <w:t>A</w:t>
      </w:r>
      <w:r w:rsidR="00E9700E" w:rsidRPr="00176D37">
        <w:t xml:space="preserve"> recent paper by Crispin et al. (2022</w:t>
      </w:r>
      <w:r w:rsidR="00630C8F">
        <w:t>) summarises</w:t>
      </w:r>
      <w:r w:rsidR="00E9700E" w:rsidRPr="00176D37">
        <w:t xml:space="preserve"> the</w:t>
      </w:r>
      <w:r w:rsidR="00630C8F">
        <w:t xml:space="preserve">se guidelines. </w:t>
      </w:r>
    </w:p>
    <w:tbl>
      <w:tblPr>
        <w:tblStyle w:val="TableGrid"/>
        <w:tblW w:w="0" w:type="auto"/>
        <w:tblLook w:val="04A0" w:firstRow="1" w:lastRow="0" w:firstColumn="1" w:lastColumn="0" w:noHBand="0" w:noVBand="1"/>
      </w:tblPr>
      <w:tblGrid>
        <w:gridCol w:w="9288"/>
      </w:tblGrid>
      <w:tr w:rsidR="00AB5DB9" w14:paraId="016CE3EA" w14:textId="77777777" w:rsidTr="009742AB">
        <w:tc>
          <w:tcPr>
            <w:tcW w:w="9288" w:type="dxa"/>
            <w:tcBorders>
              <w:left w:val="nil"/>
              <w:right w:val="nil"/>
            </w:tcBorders>
          </w:tcPr>
          <w:p w14:paraId="16F24993" w14:textId="77777777" w:rsidR="00AB5DB9" w:rsidRPr="00AB5DB9" w:rsidRDefault="00AB5DB9" w:rsidP="00AB5DB9">
            <w:pPr>
              <w:pStyle w:val="Quotetext"/>
              <w:rPr>
                <w:rStyle w:val="Emphasis"/>
                <w:i w:val="0"/>
                <w:iCs w:val="0"/>
              </w:rPr>
            </w:pPr>
            <w:r>
              <w:rPr>
                <w:rStyle w:val="Emphasis"/>
                <w:i w:val="0"/>
                <w:iCs w:val="0"/>
              </w:rPr>
              <w:t>Crispin et al. (2022) state:</w:t>
            </w:r>
          </w:p>
          <w:p w14:paraId="67FD4CEA" w14:textId="77777777" w:rsidR="00AB5DB9" w:rsidRPr="00630C8F" w:rsidRDefault="00AB5DB9" w:rsidP="00AB5DB9">
            <w:pPr>
              <w:pStyle w:val="Quotebullet2"/>
              <w:rPr>
                <w:rStyle w:val="Emphasis"/>
                <w:i w:val="0"/>
                <w:iCs w:val="0"/>
              </w:rPr>
            </w:pPr>
            <w:r w:rsidRPr="00630C8F">
              <w:rPr>
                <w:rStyle w:val="Emphasis"/>
                <w:i w:val="0"/>
                <w:iCs w:val="0"/>
              </w:rPr>
              <w:t>Requests may include requests for blood sample collection and testing, requests for blood products to be prepared or requests for blood to be delivered.</w:t>
            </w:r>
          </w:p>
          <w:p w14:paraId="7B7C95E7" w14:textId="77777777" w:rsidR="00AB5DB9" w:rsidRPr="00630C8F" w:rsidRDefault="00AB5DB9" w:rsidP="00AB5DB9">
            <w:pPr>
              <w:pStyle w:val="Quotebullet2"/>
              <w:rPr>
                <w:rStyle w:val="Emphasis"/>
                <w:i w:val="0"/>
                <w:iCs w:val="0"/>
              </w:rPr>
            </w:pPr>
            <w:r w:rsidRPr="00630C8F">
              <w:rPr>
                <w:rStyle w:val="Emphasis"/>
                <w:i w:val="0"/>
                <w:iCs w:val="0"/>
              </w:rPr>
              <w:t>Sample collection requires positive patient identification and labelling at the bedside immediately after collection.</w:t>
            </w:r>
          </w:p>
          <w:p w14:paraId="758FCA82" w14:textId="77777777" w:rsidR="00AB5DB9" w:rsidRPr="00630C8F" w:rsidRDefault="00AB5DB9" w:rsidP="00AB5DB9">
            <w:pPr>
              <w:pStyle w:val="Quotebullet2"/>
              <w:rPr>
                <w:rStyle w:val="Emphasis"/>
                <w:i w:val="0"/>
                <w:iCs w:val="0"/>
              </w:rPr>
            </w:pPr>
            <w:r w:rsidRPr="00630C8F">
              <w:rPr>
                <w:rStyle w:val="Emphasis"/>
                <w:i w:val="0"/>
                <w:iCs w:val="0"/>
              </w:rPr>
              <w:t>Where EMRs assist with patient identification, they must be identified by a barcode or radio frequency identification chip specific to the patient and distinguishing them from the patient record.</w:t>
            </w:r>
          </w:p>
          <w:p w14:paraId="167E2C0E" w14:textId="77777777" w:rsidR="00AB5DB9" w:rsidRDefault="00AB5DB9" w:rsidP="00B63A61">
            <w:pPr>
              <w:pStyle w:val="Body"/>
              <w:rPr>
                <w:color w:val="4F81BD" w:themeColor="accent1"/>
              </w:rPr>
            </w:pPr>
          </w:p>
        </w:tc>
      </w:tr>
    </w:tbl>
    <w:p w14:paraId="6D6B6E53" w14:textId="0FCFCCCD" w:rsidR="00E9700E" w:rsidRPr="00176D37" w:rsidRDefault="00E9700E" w:rsidP="009742AB">
      <w:pPr>
        <w:pStyle w:val="Bodyaftertablefigure"/>
      </w:pPr>
      <w:r w:rsidRPr="00176D37">
        <w:t>For health services (n</w:t>
      </w:r>
      <w:r w:rsidR="00630C8F">
        <w:t xml:space="preserve"> </w:t>
      </w:r>
      <w:r w:rsidRPr="00176D37">
        <w:t>=</w:t>
      </w:r>
      <w:r w:rsidR="00630C8F">
        <w:t xml:space="preserve"> </w:t>
      </w:r>
      <w:r w:rsidRPr="00176D37">
        <w:t>11) reporting pretransfusion sample collection is part of the EMR; quality, nursing (clinical and management), and medical (clinical</w:t>
      </w:r>
      <w:r w:rsidR="0093336E">
        <w:t>)</w:t>
      </w:r>
      <w:r w:rsidRPr="00176D37">
        <w:t xml:space="preserve"> and laboratory staff were asked which type of pretransfusion specimen forms are used during normal operation (</w:t>
      </w:r>
      <w:r w:rsidRPr="00176D37">
        <w:fldChar w:fldCharType="begin"/>
      </w:r>
      <w:r w:rsidRPr="00176D37">
        <w:instrText xml:space="preserve"> REF _Ref100678741 \h  \* MERGEFORMAT </w:instrText>
      </w:r>
      <w:r w:rsidRPr="00176D37">
        <w:fldChar w:fldCharType="separate"/>
      </w:r>
      <w:r w:rsidR="00E73E2F" w:rsidRPr="00176D37">
        <w:t xml:space="preserve">Table </w:t>
      </w:r>
      <w:r w:rsidR="00E73E2F">
        <w:rPr>
          <w:noProof/>
        </w:rPr>
        <w:t>14</w:t>
      </w:r>
      <w:r w:rsidRPr="00176D37">
        <w:fldChar w:fldCharType="end"/>
      </w:r>
      <w:r w:rsidRPr="00176D37">
        <w:t xml:space="preserve">). </w:t>
      </w:r>
    </w:p>
    <w:p w14:paraId="4D745A4A" w14:textId="4526DDEE" w:rsidR="00E9700E" w:rsidRPr="00176D37" w:rsidRDefault="00E9700E" w:rsidP="00B63A61">
      <w:pPr>
        <w:pStyle w:val="Tablecaption"/>
      </w:pPr>
      <w:bookmarkStart w:id="123" w:name="_Ref100678741"/>
      <w:r w:rsidRPr="00176D37">
        <w:t xml:space="preserve">Table </w:t>
      </w:r>
      <w:r w:rsidR="00F751A0">
        <w:fldChar w:fldCharType="begin"/>
      </w:r>
      <w:r w:rsidR="00F751A0">
        <w:instrText xml:space="preserve"> S</w:instrText>
      </w:r>
      <w:r w:rsidR="00F751A0">
        <w:instrText xml:space="preserve">EQ Table \* ARABIC </w:instrText>
      </w:r>
      <w:r w:rsidR="00F751A0">
        <w:fldChar w:fldCharType="separate"/>
      </w:r>
      <w:r w:rsidR="00E73E2F">
        <w:rPr>
          <w:noProof/>
        </w:rPr>
        <w:t>14</w:t>
      </w:r>
      <w:r w:rsidR="00F751A0">
        <w:rPr>
          <w:noProof/>
        </w:rPr>
        <w:fldChar w:fldCharType="end"/>
      </w:r>
      <w:bookmarkEnd w:id="123"/>
      <w:r w:rsidRPr="00176D37">
        <w:t>: Type of pretransfusion specimen form used during normal operation</w:t>
      </w:r>
      <w:r w:rsidRPr="00176D37">
        <w:rPr>
          <w:rStyle w:val="FootnoteReference"/>
          <w:rFonts w:cs="Arial"/>
          <w:sz w:val="22"/>
          <w:szCs w:val="22"/>
        </w:rPr>
        <w:footnoteReference w:id="12"/>
      </w:r>
    </w:p>
    <w:tbl>
      <w:tblPr>
        <w:tblStyle w:val="TableGrid"/>
        <w:tblW w:w="0" w:type="auto"/>
        <w:tblLook w:val="04A0" w:firstRow="1" w:lastRow="0" w:firstColumn="1" w:lastColumn="0" w:noHBand="0" w:noVBand="1"/>
      </w:tblPr>
      <w:tblGrid>
        <w:gridCol w:w="4508"/>
        <w:gridCol w:w="4508"/>
      </w:tblGrid>
      <w:tr w:rsidR="00E9700E" w:rsidRPr="00176D37" w14:paraId="0DDBA9FE" w14:textId="77777777" w:rsidTr="009742AB">
        <w:trPr>
          <w:tblHeader/>
        </w:trPr>
        <w:tc>
          <w:tcPr>
            <w:tcW w:w="4508" w:type="dxa"/>
          </w:tcPr>
          <w:p w14:paraId="03B8B7B5" w14:textId="77777777" w:rsidR="00E9700E" w:rsidRPr="00176D37" w:rsidRDefault="00E9700E" w:rsidP="00B63A61">
            <w:pPr>
              <w:pStyle w:val="Tablecolhead"/>
            </w:pPr>
            <w:bookmarkStart w:id="124" w:name="_Hlk95228210"/>
            <w:r w:rsidRPr="00176D37">
              <w:t>Pretransfusion specimen form type</w:t>
            </w:r>
          </w:p>
        </w:tc>
        <w:tc>
          <w:tcPr>
            <w:tcW w:w="4508" w:type="dxa"/>
          </w:tcPr>
          <w:p w14:paraId="606C40AA" w14:textId="77777777" w:rsidR="00E9700E" w:rsidRPr="00176D37" w:rsidRDefault="00E9700E" w:rsidP="00B63A61">
            <w:pPr>
              <w:pStyle w:val="Tablecolhead"/>
            </w:pPr>
            <w:r w:rsidRPr="00176D37">
              <w:rPr>
                <w:bCs/>
              </w:rPr>
              <w:t>Health service count</w:t>
            </w:r>
            <w:r w:rsidRPr="00176D37">
              <w:t xml:space="preserve"> </w:t>
            </w:r>
          </w:p>
          <w:p w14:paraId="33F9B684" w14:textId="5F275291" w:rsidR="00E9700E" w:rsidRPr="00176D37" w:rsidRDefault="00630C8F" w:rsidP="00B63A61">
            <w:pPr>
              <w:pStyle w:val="Tablecolhead"/>
            </w:pPr>
            <w:r>
              <w:t xml:space="preserve">n </w:t>
            </w:r>
            <w:r w:rsidR="00E9700E" w:rsidRPr="00176D37">
              <w:t>=</w:t>
            </w:r>
            <w:r>
              <w:t xml:space="preserve"> </w:t>
            </w:r>
            <w:r w:rsidR="00E9700E" w:rsidRPr="00176D37">
              <w:t>11, (%)</w:t>
            </w:r>
          </w:p>
        </w:tc>
      </w:tr>
      <w:tr w:rsidR="00E9700E" w:rsidRPr="00176D37" w14:paraId="21E06790" w14:textId="77777777" w:rsidTr="00A173F8">
        <w:tc>
          <w:tcPr>
            <w:tcW w:w="4508" w:type="dxa"/>
          </w:tcPr>
          <w:p w14:paraId="3F15260D" w14:textId="77777777" w:rsidR="00E9700E" w:rsidRPr="00176D37" w:rsidRDefault="00E9700E" w:rsidP="00B63A61">
            <w:pPr>
              <w:pStyle w:val="Tabletext"/>
            </w:pPr>
            <w:r w:rsidRPr="00176D37">
              <w:t>Electronic only</w:t>
            </w:r>
          </w:p>
        </w:tc>
        <w:tc>
          <w:tcPr>
            <w:tcW w:w="4508" w:type="dxa"/>
          </w:tcPr>
          <w:p w14:paraId="2961A414" w14:textId="77777777" w:rsidR="00E9700E" w:rsidRPr="00176D37" w:rsidRDefault="00E9700E" w:rsidP="009742AB">
            <w:pPr>
              <w:pStyle w:val="Tabletext"/>
              <w:jc w:val="right"/>
            </w:pPr>
            <w:r w:rsidRPr="00176D37">
              <w:t>1 (9%)</w:t>
            </w:r>
          </w:p>
        </w:tc>
      </w:tr>
      <w:tr w:rsidR="00E9700E" w:rsidRPr="00176D37" w14:paraId="11FE4620" w14:textId="77777777" w:rsidTr="00A173F8">
        <w:tc>
          <w:tcPr>
            <w:tcW w:w="4508" w:type="dxa"/>
          </w:tcPr>
          <w:p w14:paraId="38F1C00D" w14:textId="77777777" w:rsidR="00E9700E" w:rsidRPr="00176D37" w:rsidRDefault="00E9700E" w:rsidP="00B63A61">
            <w:pPr>
              <w:pStyle w:val="Tabletext"/>
            </w:pPr>
            <w:r w:rsidRPr="00176D37">
              <w:t>Paper form only</w:t>
            </w:r>
          </w:p>
        </w:tc>
        <w:tc>
          <w:tcPr>
            <w:tcW w:w="4508" w:type="dxa"/>
          </w:tcPr>
          <w:p w14:paraId="2D618A2A" w14:textId="77777777" w:rsidR="00E9700E" w:rsidRPr="00176D37" w:rsidRDefault="00E9700E" w:rsidP="009742AB">
            <w:pPr>
              <w:pStyle w:val="Tabletext"/>
              <w:jc w:val="right"/>
            </w:pPr>
            <w:r w:rsidRPr="00176D37">
              <w:t>2 (18%)</w:t>
            </w:r>
          </w:p>
        </w:tc>
      </w:tr>
      <w:tr w:rsidR="00E9700E" w:rsidRPr="00176D37" w14:paraId="726B1473" w14:textId="77777777" w:rsidTr="00A173F8">
        <w:tc>
          <w:tcPr>
            <w:tcW w:w="4508" w:type="dxa"/>
          </w:tcPr>
          <w:p w14:paraId="62D4FD6F" w14:textId="77777777" w:rsidR="00E9700E" w:rsidRPr="00176D37" w:rsidRDefault="00E9700E" w:rsidP="00B63A61">
            <w:pPr>
              <w:pStyle w:val="Tabletext"/>
            </w:pPr>
            <w:r w:rsidRPr="00176D37">
              <w:rPr>
                <w:shd w:val="clear" w:color="auto" w:fill="FFFFFF"/>
              </w:rPr>
              <w:t>Ordered electronically and a paper form is printed from the order</w:t>
            </w:r>
          </w:p>
        </w:tc>
        <w:tc>
          <w:tcPr>
            <w:tcW w:w="4508" w:type="dxa"/>
          </w:tcPr>
          <w:p w14:paraId="200B73ED" w14:textId="77777777" w:rsidR="00E9700E" w:rsidRPr="00176D37" w:rsidRDefault="00E9700E" w:rsidP="009742AB">
            <w:pPr>
              <w:pStyle w:val="Tabletext"/>
              <w:jc w:val="right"/>
            </w:pPr>
            <w:r w:rsidRPr="00176D37">
              <w:t>10 (91%)</w:t>
            </w:r>
          </w:p>
        </w:tc>
      </w:tr>
    </w:tbl>
    <w:bookmarkEnd w:id="124"/>
    <w:p w14:paraId="10FC7950" w14:textId="5CD70D84" w:rsidR="00E9700E" w:rsidRPr="00176D37" w:rsidRDefault="00E9700E" w:rsidP="009742AB">
      <w:pPr>
        <w:pStyle w:val="Bodyaftertablefigure"/>
      </w:pPr>
      <w:r w:rsidRPr="00176D37">
        <w:lastRenderedPageBreak/>
        <w:t>Most respondents (n</w:t>
      </w:r>
      <w:r w:rsidR="00630C8F">
        <w:t xml:space="preserve"> </w:t>
      </w:r>
      <w:r w:rsidRPr="00176D37">
        <w:t xml:space="preserve">= 10, 91 per cent) state the </w:t>
      </w:r>
      <w:r w:rsidRPr="00630C8F">
        <w:t>pretransfusion</w:t>
      </w:r>
      <w:r w:rsidRPr="00176D37">
        <w:t xml:space="preserve"> test is ordered in the EMR and the request form is printed at the time of sample collection for laboratory processes. Two (18 per cent) use a paper pretransfusion request form not generated in the EMR, and one (</w:t>
      </w:r>
      <w:r w:rsidR="00630C8F">
        <w:t>9</w:t>
      </w:r>
      <w:r w:rsidR="00630C8F" w:rsidRPr="00176D37">
        <w:t xml:space="preserve"> </w:t>
      </w:r>
      <w:r w:rsidRPr="00176D37">
        <w:t>per cent) uses an electronic request.</w:t>
      </w:r>
    </w:p>
    <w:p w14:paraId="40C6BD84" w14:textId="77777777" w:rsidR="00E9700E" w:rsidRPr="00176D37" w:rsidRDefault="00E9700E" w:rsidP="00B63A61">
      <w:pPr>
        <w:pStyle w:val="Body"/>
        <w:rPr>
          <w:rFonts w:eastAsia="Times New Roman"/>
          <w:lang w:eastAsia="en-AU"/>
        </w:rPr>
      </w:pPr>
      <w:r w:rsidRPr="00176D37">
        <w:t xml:space="preserve">One laboratory respondent reported that </w:t>
      </w:r>
      <w:r w:rsidRPr="00176D37">
        <w:rPr>
          <w:rFonts w:eastAsia="Times New Roman"/>
          <w:lang w:eastAsia="en-AU"/>
        </w:rPr>
        <w:t>the reduction in paper forms has improved efficiency in the laboratory.</w:t>
      </w:r>
    </w:p>
    <w:p w14:paraId="2361476C" w14:textId="77777777" w:rsidR="00E9700E" w:rsidRPr="00176D37" w:rsidRDefault="00E9700E" w:rsidP="00B63A61">
      <w:pPr>
        <w:pStyle w:val="Body"/>
      </w:pPr>
      <w:r w:rsidRPr="00176D37">
        <w:t>Use of the EMR for requesting and printing pretransfusion tests may introduce errors. Care must be taken to ensure the correct request form accompanies the sample, particularly if the form and/or sample labels are printed away from the patient bedside. Errors are more likely to occur when multiple test request forms and/or sample labels are printed from the same location, which could cause printer queues and the potential for the wrong labels and/or forms to be collected. The changed workflow could result in a mismatch between the patient identity on the request form and the sample or the more serious error of a wrong blood in tube.</w:t>
      </w:r>
    </w:p>
    <w:p w14:paraId="65FDC53C" w14:textId="04764C8B" w:rsidR="00E9700E" w:rsidRPr="00176D37" w:rsidRDefault="00E9700E" w:rsidP="00B63A61">
      <w:pPr>
        <w:pStyle w:val="Body"/>
      </w:pPr>
      <w:r w:rsidRPr="00176D37">
        <w:t xml:space="preserve">Some health services allow staff to revert to paper request forms and labelling by </w:t>
      </w:r>
      <w:proofErr w:type="gramStart"/>
      <w:r w:rsidRPr="00176D37">
        <w:t>hand, or</w:t>
      </w:r>
      <w:proofErr w:type="gramEnd"/>
      <w:r w:rsidRPr="00176D37">
        <w:t xml:space="preserve"> using patient addressograph labels in emergency situations. Staff may then revert to this practice in non-emergency situations if it is perceived as quicker and easier for them. This practice bypasses the automated systems linking the laboratory processes to the clinical environment. This can influence both safety and efficiency due to the increased time taken to perform the manual processes </w:t>
      </w:r>
      <w:r w:rsidR="00630C8F" w:rsidRPr="00176D37">
        <w:rPr>
          <w:noProof/>
        </w:rPr>
        <w:t>(Verrall 2019)</w:t>
      </w:r>
      <w:r w:rsidRPr="00176D37">
        <w:t>. Additionally, it bypasses the safety inclusions found in many EMRs which assist in patient ID and procedure matching associated with barcode scanning of the patient’s ID band and in some cases the sample labels.</w:t>
      </w:r>
    </w:p>
    <w:p w14:paraId="5384882E" w14:textId="77777777" w:rsidR="00E9700E" w:rsidRPr="00B63A61" w:rsidRDefault="00E9700E" w:rsidP="00B63A61">
      <w:pPr>
        <w:pStyle w:val="Heading4"/>
      </w:pPr>
      <w:r w:rsidRPr="00B63A61">
        <w:t>Scanning of patient identification bands when collecting pretransfusion specimens</w:t>
      </w:r>
    </w:p>
    <w:p w14:paraId="1E693071" w14:textId="2FD1FFBE" w:rsidR="00E9700E" w:rsidRPr="00176D37" w:rsidRDefault="00E9700E" w:rsidP="00B63A61">
      <w:pPr>
        <w:pStyle w:val="Body"/>
      </w:pPr>
      <w:r w:rsidRPr="00176D37">
        <w:t>Quality and clinical staff (n</w:t>
      </w:r>
      <w:r w:rsidR="00630C8F">
        <w:t xml:space="preserve"> </w:t>
      </w:r>
      <w:r w:rsidRPr="00176D37">
        <w:t>=</w:t>
      </w:r>
      <w:r w:rsidR="00630C8F">
        <w:t xml:space="preserve"> </w:t>
      </w:r>
      <w:r w:rsidRPr="00176D37">
        <w:t>19) at the 11 health services using the EMR for pretransfusion sample collection were asked if patient ID bands were scanned when collecting pretransfusion specimens. Seven health services (64 per cent) use a scanning device when collecting these samples and four (36 per cent) do not.</w:t>
      </w:r>
    </w:p>
    <w:p w14:paraId="44742FD3" w14:textId="77777777" w:rsidR="00E9700E" w:rsidRPr="00B63A61" w:rsidRDefault="00E9700E" w:rsidP="00B63A61">
      <w:pPr>
        <w:pStyle w:val="Heading5"/>
      </w:pPr>
      <w:r w:rsidRPr="00B63A61">
        <w:t>Issues with scanning patient identification bands</w:t>
      </w:r>
    </w:p>
    <w:p w14:paraId="385B8426" w14:textId="3363C5AE" w:rsidR="00E9700E" w:rsidRPr="00176D37" w:rsidRDefault="00E9700E" w:rsidP="00B63A61">
      <w:pPr>
        <w:pStyle w:val="Body"/>
        <w:rPr>
          <w:shd w:val="clear" w:color="auto" w:fill="FFFFFF"/>
        </w:rPr>
      </w:pPr>
      <w:r w:rsidRPr="00176D37">
        <w:rPr>
          <w:shd w:val="clear" w:color="auto" w:fill="FFFFFF"/>
        </w:rPr>
        <w:t>Clinical (nursing and medical, n</w:t>
      </w:r>
      <w:r w:rsidR="00630C8F">
        <w:rPr>
          <w:shd w:val="clear" w:color="auto" w:fill="FFFFFF"/>
        </w:rPr>
        <w:t xml:space="preserve"> </w:t>
      </w:r>
      <w:r w:rsidRPr="00176D37">
        <w:rPr>
          <w:shd w:val="clear" w:color="auto" w:fill="FFFFFF"/>
        </w:rPr>
        <w:t>=</w:t>
      </w:r>
      <w:r w:rsidR="00630C8F">
        <w:rPr>
          <w:shd w:val="clear" w:color="auto" w:fill="FFFFFF"/>
        </w:rPr>
        <w:t xml:space="preserve"> </w:t>
      </w:r>
      <w:r w:rsidRPr="00176D37">
        <w:rPr>
          <w:shd w:val="clear" w:color="auto" w:fill="FFFFFF"/>
        </w:rPr>
        <w:t xml:space="preserve">8) responded to the question aimed at capturing problems associated with patient ID scanning prior to collecting pretransfusion samples. </w:t>
      </w:r>
      <w:r w:rsidRPr="00176D37">
        <w:rPr>
          <w:shd w:val="clear" w:color="auto" w:fill="FFFFFF"/>
        </w:rPr>
        <w:fldChar w:fldCharType="begin"/>
      </w:r>
      <w:r w:rsidRPr="00176D37">
        <w:rPr>
          <w:shd w:val="clear" w:color="auto" w:fill="FFFFFF"/>
        </w:rPr>
        <w:instrText xml:space="preserve"> REF _Ref100678759 \h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15</w:t>
      </w:r>
      <w:r w:rsidRPr="00176D37">
        <w:rPr>
          <w:shd w:val="clear" w:color="auto" w:fill="FFFFFF"/>
        </w:rPr>
        <w:fldChar w:fldCharType="end"/>
      </w:r>
      <w:r w:rsidRPr="00176D37">
        <w:rPr>
          <w:shd w:val="clear" w:color="auto" w:fill="FFFFFF"/>
        </w:rPr>
        <w:t xml:space="preserve"> summarises the frequency of scanning problems. </w:t>
      </w:r>
    </w:p>
    <w:p w14:paraId="29E97F1F" w14:textId="094A7616" w:rsidR="00E9700E" w:rsidRPr="00176D37" w:rsidRDefault="00E9700E" w:rsidP="00B63A61">
      <w:pPr>
        <w:pStyle w:val="Tablecaption"/>
        <w:rPr>
          <w:shd w:val="clear" w:color="auto" w:fill="FFFFFF"/>
        </w:rPr>
      </w:pPr>
      <w:bookmarkStart w:id="125" w:name="_Ref100678759"/>
      <w:r w:rsidRPr="00176D37">
        <w:t xml:space="preserve">Table </w:t>
      </w:r>
      <w:r w:rsidR="00F751A0">
        <w:fldChar w:fldCharType="begin"/>
      </w:r>
      <w:r w:rsidR="00F751A0">
        <w:instrText xml:space="preserve"> SEQ Table \* ARABIC </w:instrText>
      </w:r>
      <w:r w:rsidR="00F751A0">
        <w:fldChar w:fldCharType="separate"/>
      </w:r>
      <w:r w:rsidR="00E73E2F">
        <w:rPr>
          <w:noProof/>
        </w:rPr>
        <w:t>15</w:t>
      </w:r>
      <w:r w:rsidR="00F751A0">
        <w:rPr>
          <w:noProof/>
        </w:rPr>
        <w:fldChar w:fldCharType="end"/>
      </w:r>
      <w:bookmarkEnd w:id="125"/>
      <w:r w:rsidRPr="00176D37">
        <w:t>: Frequency of scanning problems</w:t>
      </w:r>
      <w:r w:rsidRPr="00176D37">
        <w:rPr>
          <w:rStyle w:val="FootnoteReference"/>
          <w:rFonts w:cs="Arial"/>
          <w:sz w:val="22"/>
          <w:szCs w:val="22"/>
          <w:shd w:val="clear" w:color="auto" w:fill="FFFFFF"/>
        </w:rPr>
        <w:footnoteReference w:id="13"/>
      </w:r>
    </w:p>
    <w:tbl>
      <w:tblPr>
        <w:tblStyle w:val="TableGrid"/>
        <w:tblW w:w="0" w:type="auto"/>
        <w:tblLayout w:type="fixed"/>
        <w:tblLook w:val="04A0" w:firstRow="1" w:lastRow="0" w:firstColumn="1" w:lastColumn="0" w:noHBand="0" w:noVBand="1"/>
      </w:tblPr>
      <w:tblGrid>
        <w:gridCol w:w="2263"/>
        <w:gridCol w:w="1412"/>
        <w:gridCol w:w="1412"/>
        <w:gridCol w:w="1412"/>
        <w:gridCol w:w="1412"/>
        <w:gridCol w:w="1413"/>
      </w:tblGrid>
      <w:tr w:rsidR="00E9700E" w:rsidRPr="00176D37" w14:paraId="6B21E2DE" w14:textId="77777777" w:rsidTr="00A173F8">
        <w:tc>
          <w:tcPr>
            <w:tcW w:w="2263" w:type="dxa"/>
          </w:tcPr>
          <w:p w14:paraId="7DBE8F84" w14:textId="277F8464" w:rsidR="00E9700E" w:rsidRPr="00176D37" w:rsidRDefault="00630C8F" w:rsidP="00B63A61">
            <w:pPr>
              <w:pStyle w:val="Tablecolhead"/>
            </w:pPr>
            <w:r>
              <w:t>Problem</w:t>
            </w:r>
          </w:p>
        </w:tc>
        <w:tc>
          <w:tcPr>
            <w:tcW w:w="1412" w:type="dxa"/>
          </w:tcPr>
          <w:p w14:paraId="1294B131" w14:textId="77777777" w:rsidR="00E9700E" w:rsidRPr="00176D37" w:rsidRDefault="00E9700E" w:rsidP="00B63A61">
            <w:pPr>
              <w:pStyle w:val="Tablecolhead"/>
            </w:pPr>
            <w:r w:rsidRPr="00176D37">
              <w:t>Always</w:t>
            </w:r>
          </w:p>
          <w:p w14:paraId="6D5E708D" w14:textId="77777777" w:rsidR="00E9700E" w:rsidRPr="00176D37" w:rsidRDefault="00E9700E" w:rsidP="00B63A61">
            <w:pPr>
              <w:pStyle w:val="Tablecolhead"/>
            </w:pPr>
            <w:r w:rsidRPr="00176D37">
              <w:rPr>
                <w:bCs/>
              </w:rPr>
              <w:t>n (%)</w:t>
            </w:r>
          </w:p>
        </w:tc>
        <w:tc>
          <w:tcPr>
            <w:tcW w:w="1412" w:type="dxa"/>
          </w:tcPr>
          <w:p w14:paraId="5B10C390" w14:textId="77777777" w:rsidR="00E9700E" w:rsidRPr="00176D37" w:rsidRDefault="00E9700E" w:rsidP="00B63A61">
            <w:pPr>
              <w:pStyle w:val="Tablecolhead"/>
            </w:pPr>
            <w:r w:rsidRPr="00176D37">
              <w:t>Usually</w:t>
            </w:r>
          </w:p>
          <w:p w14:paraId="2D2B4C59" w14:textId="77777777" w:rsidR="00E9700E" w:rsidRPr="00176D37" w:rsidRDefault="00E9700E" w:rsidP="00B63A61">
            <w:pPr>
              <w:pStyle w:val="Tablecolhead"/>
              <w:rPr>
                <w:bCs/>
              </w:rPr>
            </w:pPr>
            <w:r w:rsidRPr="00176D37">
              <w:rPr>
                <w:bCs/>
              </w:rPr>
              <w:t xml:space="preserve">n (%) </w:t>
            </w:r>
          </w:p>
        </w:tc>
        <w:tc>
          <w:tcPr>
            <w:tcW w:w="1412" w:type="dxa"/>
          </w:tcPr>
          <w:p w14:paraId="711CAE6C" w14:textId="77777777" w:rsidR="00E9700E" w:rsidRPr="00176D37" w:rsidRDefault="00E9700E" w:rsidP="00B63A61">
            <w:pPr>
              <w:pStyle w:val="Tablecolhead"/>
            </w:pPr>
            <w:r w:rsidRPr="00176D37">
              <w:t>Sometimes</w:t>
            </w:r>
          </w:p>
          <w:p w14:paraId="745C58FF" w14:textId="77777777" w:rsidR="00E9700E" w:rsidRPr="00176D37" w:rsidRDefault="00E9700E" w:rsidP="00B63A61">
            <w:pPr>
              <w:pStyle w:val="Tablecolhead"/>
            </w:pPr>
            <w:r w:rsidRPr="00176D37">
              <w:rPr>
                <w:bCs/>
              </w:rPr>
              <w:t>n (%)</w:t>
            </w:r>
          </w:p>
        </w:tc>
        <w:tc>
          <w:tcPr>
            <w:tcW w:w="1412" w:type="dxa"/>
          </w:tcPr>
          <w:p w14:paraId="15CF20E8" w14:textId="77777777" w:rsidR="00E9700E" w:rsidRPr="00176D37" w:rsidRDefault="00E9700E" w:rsidP="00B63A61">
            <w:pPr>
              <w:pStyle w:val="Tablecolhead"/>
            </w:pPr>
            <w:r w:rsidRPr="00176D37">
              <w:t>Never</w:t>
            </w:r>
          </w:p>
          <w:p w14:paraId="462E17E8" w14:textId="77777777" w:rsidR="00E9700E" w:rsidRPr="00176D37" w:rsidRDefault="00E9700E" w:rsidP="00B63A61">
            <w:pPr>
              <w:pStyle w:val="Tablecolhead"/>
            </w:pPr>
            <w:r w:rsidRPr="00176D37">
              <w:rPr>
                <w:bCs/>
              </w:rPr>
              <w:t>n (%)</w:t>
            </w:r>
          </w:p>
        </w:tc>
        <w:tc>
          <w:tcPr>
            <w:tcW w:w="1413" w:type="dxa"/>
          </w:tcPr>
          <w:p w14:paraId="7157FEE3" w14:textId="77777777" w:rsidR="00E9700E" w:rsidRPr="00176D37" w:rsidRDefault="00E9700E" w:rsidP="00B63A61">
            <w:pPr>
              <w:pStyle w:val="Tablecolhead"/>
            </w:pPr>
            <w:r w:rsidRPr="00176D37">
              <w:t>Unsure</w:t>
            </w:r>
          </w:p>
          <w:p w14:paraId="57DA41F9" w14:textId="77777777" w:rsidR="00E9700E" w:rsidRPr="00176D37" w:rsidRDefault="00E9700E" w:rsidP="00B63A61">
            <w:pPr>
              <w:pStyle w:val="Tablecolhead"/>
              <w:rPr>
                <w:bCs/>
              </w:rPr>
            </w:pPr>
            <w:r w:rsidRPr="00176D37">
              <w:rPr>
                <w:bCs/>
              </w:rPr>
              <w:t>n (%)</w:t>
            </w:r>
          </w:p>
        </w:tc>
      </w:tr>
      <w:tr w:rsidR="00E9700E" w:rsidRPr="00176D37" w14:paraId="598B1427" w14:textId="77777777" w:rsidTr="00A173F8">
        <w:tc>
          <w:tcPr>
            <w:tcW w:w="2263" w:type="dxa"/>
          </w:tcPr>
          <w:p w14:paraId="0E0950B1" w14:textId="77777777" w:rsidR="00E9700E" w:rsidRPr="00176D37" w:rsidRDefault="00E9700E" w:rsidP="00B63A61">
            <w:pPr>
              <w:pStyle w:val="Tabletext"/>
            </w:pPr>
            <w:r w:rsidRPr="00176D37">
              <w:t>Scanner not working</w:t>
            </w:r>
          </w:p>
        </w:tc>
        <w:tc>
          <w:tcPr>
            <w:tcW w:w="1412" w:type="dxa"/>
          </w:tcPr>
          <w:p w14:paraId="16695B76" w14:textId="77777777" w:rsidR="00E9700E" w:rsidRPr="00176D37" w:rsidRDefault="00E9700E" w:rsidP="009742AB">
            <w:pPr>
              <w:pStyle w:val="Tabletext"/>
              <w:jc w:val="right"/>
            </w:pPr>
            <w:r w:rsidRPr="00176D37">
              <w:t>-</w:t>
            </w:r>
          </w:p>
        </w:tc>
        <w:tc>
          <w:tcPr>
            <w:tcW w:w="1412" w:type="dxa"/>
          </w:tcPr>
          <w:p w14:paraId="62E68A71" w14:textId="77777777" w:rsidR="00E9700E" w:rsidRPr="00176D37" w:rsidRDefault="00E9700E" w:rsidP="009742AB">
            <w:pPr>
              <w:pStyle w:val="Tabletext"/>
              <w:jc w:val="right"/>
            </w:pPr>
            <w:r w:rsidRPr="00176D37">
              <w:t>1 (13%)</w:t>
            </w:r>
          </w:p>
        </w:tc>
        <w:tc>
          <w:tcPr>
            <w:tcW w:w="1412" w:type="dxa"/>
          </w:tcPr>
          <w:p w14:paraId="415A0351" w14:textId="77777777" w:rsidR="00E9700E" w:rsidRPr="00176D37" w:rsidRDefault="00E9700E" w:rsidP="009742AB">
            <w:pPr>
              <w:pStyle w:val="Tabletext"/>
              <w:jc w:val="right"/>
            </w:pPr>
            <w:r w:rsidRPr="00176D37">
              <w:t>3 (38%)</w:t>
            </w:r>
          </w:p>
        </w:tc>
        <w:tc>
          <w:tcPr>
            <w:tcW w:w="1412" w:type="dxa"/>
          </w:tcPr>
          <w:p w14:paraId="353E1457" w14:textId="77777777" w:rsidR="00E9700E" w:rsidRPr="00176D37" w:rsidRDefault="00E9700E" w:rsidP="009742AB">
            <w:pPr>
              <w:pStyle w:val="Tabletext"/>
              <w:jc w:val="right"/>
            </w:pPr>
            <w:r w:rsidRPr="00176D37">
              <w:t>-</w:t>
            </w:r>
          </w:p>
        </w:tc>
        <w:tc>
          <w:tcPr>
            <w:tcW w:w="1413" w:type="dxa"/>
          </w:tcPr>
          <w:p w14:paraId="299F263F" w14:textId="77777777" w:rsidR="00E9700E" w:rsidRPr="00176D37" w:rsidRDefault="00E9700E" w:rsidP="009742AB">
            <w:pPr>
              <w:pStyle w:val="Tabletext"/>
              <w:jc w:val="right"/>
            </w:pPr>
            <w:r w:rsidRPr="00176D37">
              <w:t>4 (50%)</w:t>
            </w:r>
          </w:p>
        </w:tc>
      </w:tr>
      <w:tr w:rsidR="00E9700E" w:rsidRPr="00176D37" w14:paraId="633E7D5B" w14:textId="77777777" w:rsidTr="00A173F8">
        <w:tc>
          <w:tcPr>
            <w:tcW w:w="2263" w:type="dxa"/>
          </w:tcPr>
          <w:p w14:paraId="47911122" w14:textId="77777777" w:rsidR="00E9700E" w:rsidRPr="00176D37" w:rsidRDefault="00E9700E" w:rsidP="00B63A61">
            <w:pPr>
              <w:pStyle w:val="Tabletext"/>
            </w:pPr>
            <w:r w:rsidRPr="00176D37">
              <w:t>ID band issues</w:t>
            </w:r>
          </w:p>
        </w:tc>
        <w:tc>
          <w:tcPr>
            <w:tcW w:w="1412" w:type="dxa"/>
          </w:tcPr>
          <w:p w14:paraId="234B0D96" w14:textId="77777777" w:rsidR="00E9700E" w:rsidRPr="00176D37" w:rsidRDefault="00E9700E" w:rsidP="009742AB">
            <w:pPr>
              <w:pStyle w:val="Tabletext"/>
              <w:jc w:val="right"/>
            </w:pPr>
            <w:r w:rsidRPr="00176D37">
              <w:t>-</w:t>
            </w:r>
          </w:p>
        </w:tc>
        <w:tc>
          <w:tcPr>
            <w:tcW w:w="1412" w:type="dxa"/>
          </w:tcPr>
          <w:p w14:paraId="1154EADE" w14:textId="77777777" w:rsidR="00E9700E" w:rsidRPr="00176D37" w:rsidRDefault="00E9700E" w:rsidP="009742AB">
            <w:pPr>
              <w:pStyle w:val="Tabletext"/>
              <w:jc w:val="right"/>
            </w:pPr>
            <w:r w:rsidRPr="00176D37">
              <w:t>1 (13%)</w:t>
            </w:r>
          </w:p>
        </w:tc>
        <w:tc>
          <w:tcPr>
            <w:tcW w:w="1412" w:type="dxa"/>
          </w:tcPr>
          <w:p w14:paraId="01C3030B" w14:textId="77777777" w:rsidR="00E9700E" w:rsidRPr="00176D37" w:rsidRDefault="00E9700E" w:rsidP="009742AB">
            <w:pPr>
              <w:pStyle w:val="Tabletext"/>
              <w:jc w:val="right"/>
            </w:pPr>
            <w:r w:rsidRPr="00176D37">
              <w:t>2 (25%)</w:t>
            </w:r>
          </w:p>
        </w:tc>
        <w:tc>
          <w:tcPr>
            <w:tcW w:w="1412" w:type="dxa"/>
          </w:tcPr>
          <w:p w14:paraId="31587FE9" w14:textId="77777777" w:rsidR="00E9700E" w:rsidRPr="00176D37" w:rsidRDefault="00E9700E" w:rsidP="009742AB">
            <w:pPr>
              <w:pStyle w:val="Tabletext"/>
              <w:jc w:val="right"/>
            </w:pPr>
            <w:r w:rsidRPr="00176D37">
              <w:t>1 (13%)</w:t>
            </w:r>
          </w:p>
        </w:tc>
        <w:tc>
          <w:tcPr>
            <w:tcW w:w="1413" w:type="dxa"/>
          </w:tcPr>
          <w:p w14:paraId="2B2FC8FE" w14:textId="77777777" w:rsidR="00E9700E" w:rsidRPr="00176D37" w:rsidRDefault="00E9700E" w:rsidP="009742AB">
            <w:pPr>
              <w:pStyle w:val="Tabletext"/>
              <w:jc w:val="right"/>
            </w:pPr>
            <w:r w:rsidRPr="00176D37">
              <w:t>4 (50%)</w:t>
            </w:r>
          </w:p>
        </w:tc>
      </w:tr>
      <w:tr w:rsidR="00E9700E" w:rsidRPr="00176D37" w14:paraId="48B30116" w14:textId="77777777" w:rsidTr="00A173F8">
        <w:tc>
          <w:tcPr>
            <w:tcW w:w="2263" w:type="dxa"/>
          </w:tcPr>
          <w:p w14:paraId="6F5BF807" w14:textId="77777777" w:rsidR="00E9700E" w:rsidRPr="00176D37" w:rsidRDefault="00E9700E" w:rsidP="00B63A61">
            <w:pPr>
              <w:pStyle w:val="Tabletext"/>
            </w:pPr>
            <w:r w:rsidRPr="00176D37">
              <w:t>Need to override ID scanning</w:t>
            </w:r>
          </w:p>
        </w:tc>
        <w:tc>
          <w:tcPr>
            <w:tcW w:w="1412" w:type="dxa"/>
          </w:tcPr>
          <w:p w14:paraId="36471AEE" w14:textId="77777777" w:rsidR="00E9700E" w:rsidRPr="00176D37" w:rsidRDefault="00E9700E" w:rsidP="009742AB">
            <w:pPr>
              <w:pStyle w:val="Tabletext"/>
              <w:jc w:val="right"/>
            </w:pPr>
            <w:r w:rsidRPr="00176D37">
              <w:t>-</w:t>
            </w:r>
          </w:p>
        </w:tc>
        <w:tc>
          <w:tcPr>
            <w:tcW w:w="1412" w:type="dxa"/>
          </w:tcPr>
          <w:p w14:paraId="60E0F600" w14:textId="77777777" w:rsidR="00E9700E" w:rsidRPr="00176D37" w:rsidRDefault="00E9700E" w:rsidP="009742AB">
            <w:pPr>
              <w:pStyle w:val="Tabletext"/>
              <w:jc w:val="right"/>
            </w:pPr>
            <w:r w:rsidRPr="00176D37">
              <w:t>-</w:t>
            </w:r>
          </w:p>
        </w:tc>
        <w:tc>
          <w:tcPr>
            <w:tcW w:w="1412" w:type="dxa"/>
          </w:tcPr>
          <w:p w14:paraId="314A3A2A" w14:textId="77777777" w:rsidR="00E9700E" w:rsidRPr="00176D37" w:rsidRDefault="00E9700E" w:rsidP="009742AB">
            <w:pPr>
              <w:pStyle w:val="Tabletext"/>
              <w:jc w:val="right"/>
            </w:pPr>
            <w:r w:rsidRPr="00176D37">
              <w:t>3 (38%)</w:t>
            </w:r>
          </w:p>
        </w:tc>
        <w:tc>
          <w:tcPr>
            <w:tcW w:w="1412" w:type="dxa"/>
          </w:tcPr>
          <w:p w14:paraId="07A620C6" w14:textId="77777777" w:rsidR="00E9700E" w:rsidRPr="00176D37" w:rsidRDefault="00E9700E" w:rsidP="009742AB">
            <w:pPr>
              <w:pStyle w:val="Tabletext"/>
              <w:jc w:val="right"/>
            </w:pPr>
            <w:r w:rsidRPr="00176D37">
              <w:t>-</w:t>
            </w:r>
          </w:p>
        </w:tc>
        <w:tc>
          <w:tcPr>
            <w:tcW w:w="1413" w:type="dxa"/>
          </w:tcPr>
          <w:p w14:paraId="0B43F24C" w14:textId="77777777" w:rsidR="00E9700E" w:rsidRPr="00176D37" w:rsidRDefault="00E9700E" w:rsidP="009742AB">
            <w:pPr>
              <w:pStyle w:val="Tabletext"/>
              <w:jc w:val="right"/>
            </w:pPr>
            <w:r w:rsidRPr="00176D37">
              <w:t>5 (63%)</w:t>
            </w:r>
          </w:p>
        </w:tc>
      </w:tr>
    </w:tbl>
    <w:p w14:paraId="163D7AAB" w14:textId="41B6F57A" w:rsidR="00E9700E" w:rsidRPr="00176D37" w:rsidRDefault="00E9700E" w:rsidP="00B63A61">
      <w:pPr>
        <w:pStyle w:val="Body"/>
        <w:spacing w:before="240"/>
      </w:pPr>
      <w:r w:rsidRPr="00176D37">
        <w:t xml:space="preserve">Most </w:t>
      </w:r>
      <w:r w:rsidR="00246B86">
        <w:t xml:space="preserve">respondents </w:t>
      </w:r>
      <w:r w:rsidRPr="00176D37">
        <w:t xml:space="preserve">report being unsure about patient ID band scanning problems. </w:t>
      </w:r>
    </w:p>
    <w:p w14:paraId="61C59977" w14:textId="61B3F224" w:rsidR="001D3FB5" w:rsidRDefault="00E9700E" w:rsidP="00B63A61">
      <w:pPr>
        <w:pStyle w:val="Body"/>
      </w:pPr>
      <w:r w:rsidRPr="00176D37">
        <w:lastRenderedPageBreak/>
        <w:t xml:space="preserve">Best practice positive patient ID is to ask the patient to state and spell their full name, and state their date of birth, which is checked against the ID band along with the medical record number. These details must match the test request </w:t>
      </w:r>
      <w:r w:rsidR="007B1413">
        <w:t xml:space="preserve">patient details </w:t>
      </w:r>
      <w:r w:rsidRPr="00176D37">
        <w:t xml:space="preserve">whether electronic or paper. </w:t>
      </w:r>
    </w:p>
    <w:p w14:paraId="2A8EF370" w14:textId="07F99FF1" w:rsidR="001D3FB5" w:rsidRDefault="00E9700E" w:rsidP="00B63A61">
      <w:pPr>
        <w:pStyle w:val="Body"/>
      </w:pPr>
      <w:r w:rsidRPr="00176D37">
        <w:t xml:space="preserve">Scanning a patient ID band is not a substitute for positive patient ID. </w:t>
      </w:r>
      <w:r w:rsidR="001D3FB5" w:rsidRPr="00176D37">
        <w:rPr>
          <w:noProof/>
        </w:rPr>
        <w:t xml:space="preserve">Verrall </w:t>
      </w:r>
      <w:r w:rsidR="001D3FB5">
        <w:rPr>
          <w:noProof/>
        </w:rPr>
        <w:t>(</w:t>
      </w:r>
      <w:r w:rsidR="001D3FB5" w:rsidRPr="00176D37">
        <w:rPr>
          <w:noProof/>
        </w:rPr>
        <w:t>2019)</w:t>
      </w:r>
      <w:r w:rsidRPr="00176D37">
        <w:t xml:space="preserve"> reported that ID bands attached to IV poles, beds and children’s toys have been scanned (not the one attached to the patient) when collecting blood samples and administering blood products. </w:t>
      </w:r>
    </w:p>
    <w:p w14:paraId="4F97A526" w14:textId="7BEF68A8" w:rsidR="00E9700E" w:rsidRPr="00176D37" w:rsidRDefault="00E9700E" w:rsidP="00B63A61">
      <w:pPr>
        <w:pStyle w:val="Body"/>
      </w:pPr>
      <w:r w:rsidRPr="00176D37">
        <w:t>Organisations must have policies in place to ensure that alternative methods of patient ID are used in those extremely rare situations where a patient cannot wear an ID band.</w:t>
      </w:r>
    </w:p>
    <w:p w14:paraId="07A77109" w14:textId="77777777" w:rsidR="00E9700E" w:rsidRPr="00B63A61" w:rsidRDefault="00E9700E" w:rsidP="00B63A61">
      <w:pPr>
        <w:pStyle w:val="Heading4"/>
      </w:pPr>
      <w:r w:rsidRPr="00B63A61">
        <w:t>Scanning of the sample tubes after collection</w:t>
      </w:r>
    </w:p>
    <w:p w14:paraId="3DA80BA9" w14:textId="37F41ECA" w:rsidR="00E9700E" w:rsidRPr="00176D37" w:rsidRDefault="00E9700E" w:rsidP="00B63A61">
      <w:pPr>
        <w:pStyle w:val="Body"/>
        <w:rPr>
          <w:shd w:val="clear" w:color="auto" w:fill="FFFFFF"/>
        </w:rPr>
      </w:pPr>
      <w:r w:rsidRPr="00176D37">
        <w:rPr>
          <w:shd w:val="clear" w:color="auto" w:fill="FFFFFF"/>
        </w:rPr>
        <w:t>Clinical (nursing and medical) and quality staff (n</w:t>
      </w:r>
      <w:r w:rsidR="001D3FB5">
        <w:rPr>
          <w:shd w:val="clear" w:color="auto" w:fill="FFFFFF"/>
        </w:rPr>
        <w:t xml:space="preserve"> </w:t>
      </w:r>
      <w:r w:rsidRPr="00176D37">
        <w:rPr>
          <w:shd w:val="clear" w:color="auto" w:fill="FFFFFF"/>
        </w:rPr>
        <w:t>=</w:t>
      </w:r>
      <w:r w:rsidR="001D3FB5">
        <w:rPr>
          <w:shd w:val="clear" w:color="auto" w:fill="FFFFFF"/>
        </w:rPr>
        <w:t xml:space="preserve"> </w:t>
      </w:r>
      <w:r w:rsidRPr="00176D37">
        <w:rPr>
          <w:shd w:val="clear" w:color="auto" w:fill="FFFFFF"/>
        </w:rPr>
        <w:t xml:space="preserve">19) at health services </w:t>
      </w:r>
      <w:r w:rsidRPr="00176D37">
        <w:t>where scanning devices are used for collection of pretransfusion specimens (n</w:t>
      </w:r>
      <w:r w:rsidR="001D3FB5">
        <w:t xml:space="preserve"> </w:t>
      </w:r>
      <w:r w:rsidRPr="00176D37">
        <w:t>=</w:t>
      </w:r>
      <w:r w:rsidR="001D3FB5">
        <w:t xml:space="preserve"> </w:t>
      </w:r>
      <w:r w:rsidRPr="00176D37">
        <w:t xml:space="preserve">11) </w:t>
      </w:r>
      <w:r w:rsidRPr="00176D37">
        <w:rPr>
          <w:shd w:val="clear" w:color="auto" w:fill="FFFFFF"/>
        </w:rPr>
        <w:t>were asked if scanning of the sample tubes is required after their collection (n</w:t>
      </w:r>
      <w:r w:rsidR="001D3FB5">
        <w:rPr>
          <w:shd w:val="clear" w:color="auto" w:fill="FFFFFF"/>
        </w:rPr>
        <w:t xml:space="preserve"> </w:t>
      </w:r>
      <w:r w:rsidRPr="00176D37">
        <w:rPr>
          <w:shd w:val="clear" w:color="auto" w:fill="FFFFFF"/>
        </w:rPr>
        <w:t>=</w:t>
      </w:r>
      <w:r w:rsidR="001D3FB5">
        <w:rPr>
          <w:shd w:val="clear" w:color="auto" w:fill="FFFFFF"/>
        </w:rPr>
        <w:t xml:space="preserve"> </w:t>
      </w:r>
      <w:r w:rsidRPr="00176D37">
        <w:rPr>
          <w:shd w:val="clear" w:color="auto" w:fill="FFFFFF"/>
        </w:rPr>
        <w:t xml:space="preserve">7, </w:t>
      </w:r>
      <w:r w:rsidRPr="00176D37">
        <w:rPr>
          <w:shd w:val="clear" w:color="auto" w:fill="FFFFFF"/>
        </w:rPr>
        <w:fldChar w:fldCharType="begin"/>
      </w:r>
      <w:r w:rsidRPr="00176D37">
        <w:rPr>
          <w:shd w:val="clear" w:color="auto" w:fill="FFFFFF"/>
        </w:rPr>
        <w:instrText xml:space="preserve"> REF _Ref100678965 \h </w:instrText>
      </w:r>
      <w:r>
        <w:rPr>
          <w:shd w:val="clear" w:color="auto" w:fill="FFFFFF"/>
        </w:rPr>
        <w:instrText xml:space="preserve">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31</w:t>
      </w:r>
      <w:r w:rsidRPr="00176D37">
        <w:rPr>
          <w:shd w:val="clear" w:color="auto" w:fill="FFFFFF"/>
        </w:rPr>
        <w:fldChar w:fldCharType="end"/>
      </w:r>
      <w:r w:rsidRPr="00176D37">
        <w:rPr>
          <w:shd w:val="clear" w:color="auto" w:fill="FFFFFF"/>
        </w:rPr>
        <w:t xml:space="preserve">). </w:t>
      </w:r>
    </w:p>
    <w:p w14:paraId="72D41E5E" w14:textId="0887EE4C" w:rsidR="00E9700E" w:rsidRPr="00176D37" w:rsidRDefault="00E9700E" w:rsidP="00B63A61">
      <w:pPr>
        <w:pStyle w:val="Body"/>
      </w:pPr>
      <w:r w:rsidRPr="00176D37">
        <w:t>Four of the seven (57 per cent) health services with patient ID</w:t>
      </w:r>
      <w:r w:rsidR="00B4635A">
        <w:t xml:space="preserve"> </w:t>
      </w:r>
      <w:r w:rsidRPr="00176D37">
        <w:t xml:space="preserve">band scanning required at collection reported scanning of the sample tube after collection is required. This may contribute to </w:t>
      </w:r>
      <w:r w:rsidR="001D3FB5" w:rsidRPr="00176D37">
        <w:t>safe</w:t>
      </w:r>
      <w:r w:rsidR="001D3FB5">
        <w:t>l</w:t>
      </w:r>
      <w:r w:rsidR="001D3FB5" w:rsidRPr="00176D37">
        <w:t xml:space="preserve">y </w:t>
      </w:r>
      <w:r w:rsidRPr="00176D37">
        <w:t>helping to match the patient to the sample collected based on patient ID and sample ID scanning matches.</w:t>
      </w:r>
    </w:p>
    <w:p w14:paraId="4E9E0365" w14:textId="77777777" w:rsidR="00E9700E" w:rsidRPr="00B63A61" w:rsidRDefault="00E9700E" w:rsidP="00B63A61">
      <w:pPr>
        <w:pStyle w:val="Heading4"/>
      </w:pPr>
      <w:r w:rsidRPr="00B63A61">
        <w:t>Collector’s declaration statement confirming correct patient identification</w:t>
      </w:r>
    </w:p>
    <w:p w14:paraId="44E561CD" w14:textId="18AFE26B" w:rsidR="001D3FB5" w:rsidRDefault="00E9700E" w:rsidP="00B63A61">
      <w:pPr>
        <w:pStyle w:val="Body"/>
        <w:rPr>
          <w:shd w:val="clear" w:color="auto" w:fill="FFFFFF"/>
        </w:rPr>
      </w:pPr>
      <w:r w:rsidRPr="00176D37">
        <w:rPr>
          <w:shd w:val="clear" w:color="auto" w:fill="FFFFFF"/>
        </w:rPr>
        <w:t>Clinical (nursing and medical) and quality respondents (n</w:t>
      </w:r>
      <w:r w:rsidR="001D3FB5">
        <w:rPr>
          <w:shd w:val="clear" w:color="auto" w:fill="FFFFFF"/>
        </w:rPr>
        <w:t xml:space="preserve"> </w:t>
      </w:r>
      <w:r w:rsidRPr="00176D37">
        <w:rPr>
          <w:shd w:val="clear" w:color="auto" w:fill="FFFFFF"/>
        </w:rPr>
        <w:t>=</w:t>
      </w:r>
      <w:r w:rsidR="001D3FB5">
        <w:rPr>
          <w:shd w:val="clear" w:color="auto" w:fill="FFFFFF"/>
        </w:rPr>
        <w:t xml:space="preserve"> </w:t>
      </w:r>
      <w:r w:rsidRPr="00176D37">
        <w:rPr>
          <w:shd w:val="clear" w:color="auto" w:fill="FFFFFF"/>
        </w:rPr>
        <w:t xml:space="preserve">19) were asked how staff sign the collector’s declaration statement to confirm they have followed the correct patient identification and sample labelling process. Requests for pretransfusion testing must contain a declaration as stipulated in both the </w:t>
      </w:r>
      <w:r w:rsidRPr="001D3FB5">
        <w:rPr>
          <w:shd w:val="clear" w:color="auto" w:fill="FFFFFF"/>
        </w:rPr>
        <w:t>ANZSBT</w:t>
      </w:r>
      <w:r w:rsidRPr="009742AB">
        <w:rPr>
          <w:i/>
          <w:iCs/>
          <w:shd w:val="clear" w:color="auto" w:fill="FFFFFF"/>
        </w:rPr>
        <w:t xml:space="preserve"> </w:t>
      </w:r>
      <w:r w:rsidRPr="001D3FB5">
        <w:rPr>
          <w:i/>
          <w:iCs/>
          <w:shd w:val="clear" w:color="auto" w:fill="FFFFFF"/>
        </w:rPr>
        <w:t xml:space="preserve">Guidelines </w:t>
      </w:r>
      <w:r w:rsidR="001D3FB5" w:rsidRPr="001D3FB5">
        <w:rPr>
          <w:i/>
          <w:iCs/>
          <w:shd w:val="clear" w:color="auto" w:fill="FFFFFF"/>
        </w:rPr>
        <w:t>for transfusion and immunohaematology laboratory practice</w:t>
      </w:r>
      <w:r w:rsidR="001D3FB5" w:rsidRPr="00176D37" w:rsidDel="00BF770A">
        <w:rPr>
          <w:shd w:val="clear" w:color="auto" w:fill="FFFFFF"/>
        </w:rPr>
        <w:t xml:space="preserve"> </w:t>
      </w:r>
      <w:r w:rsidR="001D3FB5" w:rsidRPr="00176D37">
        <w:rPr>
          <w:noProof/>
          <w:shd w:val="clear" w:color="auto" w:fill="FFFFFF"/>
        </w:rPr>
        <w:t>(ANZSBT 2020)</w:t>
      </w:r>
      <w:r w:rsidRPr="00176D37">
        <w:rPr>
          <w:shd w:val="clear" w:color="auto" w:fill="FFFFFF"/>
        </w:rPr>
        <w:t xml:space="preserve"> and the National Pathology Accreditation Advisory Council (NPAAC) </w:t>
      </w:r>
      <w:r w:rsidRPr="00176D37">
        <w:rPr>
          <w:i/>
          <w:iCs/>
          <w:shd w:val="clear" w:color="auto" w:fill="FFFFFF"/>
        </w:rPr>
        <w:t xml:space="preserve">Requirements for </w:t>
      </w:r>
      <w:r w:rsidR="001D3FB5">
        <w:rPr>
          <w:i/>
          <w:iCs/>
          <w:shd w:val="clear" w:color="auto" w:fill="FFFFFF"/>
        </w:rPr>
        <w:t>t</w:t>
      </w:r>
      <w:r w:rsidR="001D3FB5" w:rsidRPr="00176D37">
        <w:rPr>
          <w:i/>
          <w:iCs/>
          <w:shd w:val="clear" w:color="auto" w:fill="FFFFFF"/>
        </w:rPr>
        <w:t xml:space="preserve">ransfusion </w:t>
      </w:r>
      <w:r w:rsidR="001D3FB5">
        <w:rPr>
          <w:i/>
          <w:iCs/>
          <w:shd w:val="clear" w:color="auto" w:fill="FFFFFF"/>
        </w:rPr>
        <w:t>l</w:t>
      </w:r>
      <w:r w:rsidR="001D3FB5" w:rsidRPr="00176D37">
        <w:rPr>
          <w:i/>
          <w:iCs/>
          <w:shd w:val="clear" w:color="auto" w:fill="FFFFFF"/>
        </w:rPr>
        <w:t xml:space="preserve">aboratory </w:t>
      </w:r>
      <w:r w:rsidR="001D3FB5">
        <w:rPr>
          <w:i/>
          <w:iCs/>
          <w:shd w:val="clear" w:color="auto" w:fill="FFFFFF"/>
        </w:rPr>
        <w:t>p</w:t>
      </w:r>
      <w:r w:rsidR="001D3FB5" w:rsidRPr="00176D37">
        <w:rPr>
          <w:i/>
          <w:iCs/>
          <w:shd w:val="clear" w:color="auto" w:fill="FFFFFF"/>
        </w:rPr>
        <w:t>ractice</w:t>
      </w:r>
      <w:r w:rsidR="001D3FB5" w:rsidRPr="00176D37">
        <w:rPr>
          <w:shd w:val="clear" w:color="auto" w:fill="FFFFFF"/>
        </w:rPr>
        <w:t xml:space="preserve"> </w:t>
      </w:r>
      <w:r w:rsidR="001D3FB5" w:rsidRPr="00176D37">
        <w:rPr>
          <w:noProof/>
          <w:shd w:val="clear" w:color="auto" w:fill="FFFFFF"/>
        </w:rPr>
        <w:t>(NPAAC 2019)</w:t>
      </w:r>
      <w:r w:rsidRPr="00176D37">
        <w:rPr>
          <w:shd w:val="clear" w:color="auto" w:fill="FFFFFF"/>
        </w:rPr>
        <w:t xml:space="preserve">. </w:t>
      </w:r>
    </w:p>
    <w:p w14:paraId="1EF50E4A" w14:textId="263CA853" w:rsidR="00E9700E" w:rsidRPr="00AB5DB9" w:rsidRDefault="00E9700E" w:rsidP="00AB5DB9">
      <w:pPr>
        <w:pStyle w:val="Body"/>
        <w:rPr>
          <w:shd w:val="clear" w:color="auto" w:fill="FFFFFF"/>
        </w:rPr>
      </w:pPr>
      <w:r w:rsidRPr="00176D37">
        <w:rPr>
          <w:shd w:val="clear" w:color="auto" w:fill="FFFFFF"/>
        </w:rPr>
        <w:t xml:space="preserve">The declaration should be </w:t>
      </w:r>
      <w:proofErr w:type="gramStart"/>
      <w:r w:rsidRPr="00176D37">
        <w:rPr>
          <w:shd w:val="clear" w:color="auto" w:fill="FFFFFF"/>
        </w:rPr>
        <w:t>similar to</w:t>
      </w:r>
      <w:proofErr w:type="gramEnd"/>
      <w:r w:rsidRPr="00176D37">
        <w:rPr>
          <w:shd w:val="clear" w:color="auto" w:fill="FFFFFF"/>
        </w:rPr>
        <w:t xml:space="preserve">: </w:t>
      </w:r>
      <w:r w:rsidR="001D3FB5" w:rsidRPr="00AB5DB9">
        <w:t>‘</w:t>
      </w:r>
      <w:r w:rsidRPr="009742AB">
        <w:t>I certify that I collected the accompanying specimen from the above patient whose identity was confirmed by enquiry and/or examination of their name band and that I labelled the specimen immediately following collection and before leaving the patient</w:t>
      </w:r>
      <w:r w:rsidR="001D3FB5" w:rsidRPr="009742AB">
        <w:t xml:space="preserve">’ </w:t>
      </w:r>
      <w:r w:rsidRPr="009742AB">
        <w:t>(NPAAC 2019).</w:t>
      </w:r>
    </w:p>
    <w:p w14:paraId="3A31E322" w14:textId="6971F131" w:rsidR="00E9700E" w:rsidRPr="00176D37" w:rsidRDefault="00E9700E" w:rsidP="00B63A61">
      <w:pPr>
        <w:pStyle w:val="Body"/>
        <w:rPr>
          <w:shd w:val="clear" w:color="auto" w:fill="FFFFFF"/>
        </w:rPr>
      </w:pPr>
      <w:r w:rsidRPr="00176D37">
        <w:t xml:space="preserve">The EMR should prompt staff to complete this statement, whether it </w:t>
      </w:r>
      <w:r w:rsidR="001D3FB5">
        <w:t>is</w:t>
      </w:r>
      <w:r w:rsidR="001D3FB5" w:rsidRPr="00176D37">
        <w:t xml:space="preserve"> </w:t>
      </w:r>
      <w:r w:rsidRPr="00176D37">
        <w:t xml:space="preserve">paper or electronic, resulting in fewer specimens being rejected </w:t>
      </w:r>
      <w:r w:rsidR="001D3FB5">
        <w:t>because</w:t>
      </w:r>
      <w:r w:rsidRPr="00176D37">
        <w:t xml:space="preserve"> the statement</w:t>
      </w:r>
      <w:r w:rsidR="001D3FB5">
        <w:t xml:space="preserve"> had not been signed</w:t>
      </w:r>
      <w:r w:rsidRPr="00176D37">
        <w:t xml:space="preserve">. </w:t>
      </w:r>
      <w:r w:rsidRPr="00176D37">
        <w:rPr>
          <w:shd w:val="clear" w:color="auto" w:fill="FFFFFF"/>
        </w:rPr>
        <w:fldChar w:fldCharType="begin"/>
      </w:r>
      <w:r w:rsidRPr="00176D37">
        <w:instrText xml:space="preserve"> REF _Ref100678777 \h </w:instrText>
      </w:r>
      <w:r w:rsidRPr="00176D37">
        <w:rPr>
          <w:shd w:val="clear" w:color="auto" w:fill="FFFFFF"/>
        </w:rPr>
        <w:instrText xml:space="preserve">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16</w:t>
      </w:r>
      <w:r w:rsidRPr="00176D37">
        <w:rPr>
          <w:shd w:val="clear" w:color="auto" w:fill="FFFFFF"/>
        </w:rPr>
        <w:fldChar w:fldCharType="end"/>
      </w:r>
      <w:r w:rsidRPr="00176D37">
        <w:rPr>
          <w:shd w:val="clear" w:color="auto" w:fill="FFFFFF"/>
        </w:rPr>
        <w:t xml:space="preserve"> </w:t>
      </w:r>
      <w:r w:rsidR="001D3FB5">
        <w:rPr>
          <w:shd w:val="clear" w:color="auto" w:fill="FFFFFF"/>
        </w:rPr>
        <w:t>shows</w:t>
      </w:r>
      <w:r w:rsidR="001D3FB5" w:rsidRPr="00176D37">
        <w:rPr>
          <w:shd w:val="clear" w:color="auto" w:fill="FFFFFF"/>
        </w:rPr>
        <w:t xml:space="preserve"> </w:t>
      </w:r>
      <w:r w:rsidRPr="00176D37">
        <w:rPr>
          <w:shd w:val="clear" w:color="auto" w:fill="FFFFFF"/>
        </w:rPr>
        <w:t>the majority sign a printed form.</w:t>
      </w:r>
    </w:p>
    <w:p w14:paraId="26E3564F" w14:textId="17F5F0AB" w:rsidR="00E9700E" w:rsidRPr="00176D37" w:rsidRDefault="00E9700E" w:rsidP="005B1CFD">
      <w:pPr>
        <w:pStyle w:val="Tablecaption"/>
        <w:rPr>
          <w:shd w:val="clear" w:color="auto" w:fill="FFFFFF"/>
        </w:rPr>
      </w:pPr>
      <w:bookmarkStart w:id="127" w:name="_Ref100678777"/>
      <w:r w:rsidRPr="00176D37">
        <w:t xml:space="preserve">Table </w:t>
      </w:r>
      <w:r w:rsidR="00F751A0">
        <w:fldChar w:fldCharType="begin"/>
      </w:r>
      <w:r w:rsidR="00F751A0">
        <w:instrText xml:space="preserve"> SEQ Table \* ARABIC </w:instrText>
      </w:r>
      <w:r w:rsidR="00F751A0">
        <w:fldChar w:fldCharType="separate"/>
      </w:r>
      <w:r w:rsidR="00E73E2F">
        <w:rPr>
          <w:noProof/>
        </w:rPr>
        <w:t>16</w:t>
      </w:r>
      <w:r w:rsidR="00F751A0">
        <w:rPr>
          <w:noProof/>
        </w:rPr>
        <w:fldChar w:fldCharType="end"/>
      </w:r>
      <w:bookmarkEnd w:id="127"/>
      <w:r w:rsidRPr="00176D37">
        <w:t>: Method used for pretransfusion collector’s declaration statement</w:t>
      </w:r>
    </w:p>
    <w:tbl>
      <w:tblPr>
        <w:tblStyle w:val="TableGrid"/>
        <w:tblW w:w="0" w:type="auto"/>
        <w:tblLook w:val="04A0" w:firstRow="1" w:lastRow="0" w:firstColumn="1" w:lastColumn="0" w:noHBand="0" w:noVBand="1"/>
      </w:tblPr>
      <w:tblGrid>
        <w:gridCol w:w="4248"/>
        <w:gridCol w:w="2384"/>
        <w:gridCol w:w="2384"/>
      </w:tblGrid>
      <w:tr w:rsidR="00E9700E" w:rsidRPr="00176D37" w14:paraId="2F9EC596" w14:textId="77777777" w:rsidTr="00E10B44">
        <w:trPr>
          <w:tblHeader/>
        </w:trPr>
        <w:tc>
          <w:tcPr>
            <w:tcW w:w="4248" w:type="dxa"/>
          </w:tcPr>
          <w:p w14:paraId="7A72EF0F" w14:textId="77777777" w:rsidR="00E9700E" w:rsidRPr="00176D37" w:rsidRDefault="00E9700E" w:rsidP="005B1CFD">
            <w:pPr>
              <w:pStyle w:val="Tablecolhead"/>
            </w:pPr>
            <w:r w:rsidRPr="00176D37">
              <w:t>Declaration type</w:t>
            </w:r>
          </w:p>
        </w:tc>
        <w:tc>
          <w:tcPr>
            <w:tcW w:w="2384" w:type="dxa"/>
          </w:tcPr>
          <w:p w14:paraId="264A14E7" w14:textId="4B3E5BDB" w:rsidR="00E9700E" w:rsidRPr="00176D37" w:rsidRDefault="00E9700E" w:rsidP="005B1CFD">
            <w:pPr>
              <w:pStyle w:val="Tablecolhead"/>
            </w:pPr>
            <w:r w:rsidRPr="00176D37">
              <w:t>Scanning device used</w:t>
            </w:r>
            <w:r w:rsidRPr="00176D37">
              <w:br/>
              <w:t>Health service count n</w:t>
            </w:r>
            <w:r w:rsidR="001D3FB5">
              <w:t xml:space="preserve"> </w:t>
            </w:r>
            <w:r w:rsidRPr="00176D37">
              <w:t>=</w:t>
            </w:r>
            <w:r w:rsidR="001D3FB5">
              <w:t xml:space="preserve"> </w:t>
            </w:r>
            <w:r w:rsidRPr="00176D37">
              <w:t>7, (%)</w:t>
            </w:r>
          </w:p>
        </w:tc>
        <w:tc>
          <w:tcPr>
            <w:tcW w:w="2384" w:type="dxa"/>
          </w:tcPr>
          <w:p w14:paraId="03109E8A" w14:textId="54E76876" w:rsidR="00E9700E" w:rsidRPr="00176D37" w:rsidRDefault="00E9700E" w:rsidP="005B1CFD">
            <w:pPr>
              <w:pStyle w:val="Tablecolhead"/>
            </w:pPr>
            <w:r w:rsidRPr="00176D37">
              <w:t>No scanning device used/unsure</w:t>
            </w:r>
            <w:r w:rsidRPr="00176D37">
              <w:br/>
              <w:t>Health service count n</w:t>
            </w:r>
            <w:r w:rsidR="001D3FB5">
              <w:t xml:space="preserve"> </w:t>
            </w:r>
            <w:r w:rsidRPr="00176D37">
              <w:t>=</w:t>
            </w:r>
            <w:r w:rsidR="001D3FB5">
              <w:t xml:space="preserve"> </w:t>
            </w:r>
            <w:r w:rsidRPr="00176D37">
              <w:t>4, (%)</w:t>
            </w:r>
          </w:p>
        </w:tc>
      </w:tr>
      <w:tr w:rsidR="00E9700E" w:rsidRPr="00176D37" w14:paraId="50422E66" w14:textId="77777777" w:rsidTr="00E10B44">
        <w:tc>
          <w:tcPr>
            <w:tcW w:w="4248" w:type="dxa"/>
          </w:tcPr>
          <w:p w14:paraId="790EE0D6" w14:textId="77777777" w:rsidR="00E9700E" w:rsidRPr="00176D37" w:rsidRDefault="00E9700E" w:rsidP="005B1CFD">
            <w:pPr>
              <w:pStyle w:val="Tabletext"/>
            </w:pPr>
            <w:r w:rsidRPr="00176D37">
              <w:rPr>
                <w:shd w:val="clear" w:color="auto" w:fill="FFFFFF"/>
              </w:rPr>
              <w:t>Entering a unique staff identifier number into EMR</w:t>
            </w:r>
          </w:p>
        </w:tc>
        <w:tc>
          <w:tcPr>
            <w:tcW w:w="2384" w:type="dxa"/>
          </w:tcPr>
          <w:p w14:paraId="4AD45E50" w14:textId="77777777" w:rsidR="00E9700E" w:rsidRPr="00176D37" w:rsidRDefault="00E9700E" w:rsidP="009742AB">
            <w:pPr>
              <w:pStyle w:val="Tabletext"/>
              <w:jc w:val="right"/>
            </w:pPr>
            <w:r w:rsidRPr="00176D37">
              <w:t>1 (14%)</w:t>
            </w:r>
          </w:p>
        </w:tc>
        <w:tc>
          <w:tcPr>
            <w:tcW w:w="2384" w:type="dxa"/>
          </w:tcPr>
          <w:p w14:paraId="5033048B" w14:textId="77777777" w:rsidR="00E9700E" w:rsidRPr="00176D37" w:rsidRDefault="00E9700E" w:rsidP="009742AB">
            <w:pPr>
              <w:pStyle w:val="Tabletext"/>
              <w:jc w:val="right"/>
            </w:pPr>
            <w:r w:rsidRPr="00176D37">
              <w:t>-</w:t>
            </w:r>
          </w:p>
        </w:tc>
      </w:tr>
      <w:tr w:rsidR="00E9700E" w:rsidRPr="00176D37" w14:paraId="730A6350" w14:textId="77777777" w:rsidTr="00E10B44">
        <w:tc>
          <w:tcPr>
            <w:tcW w:w="4248" w:type="dxa"/>
          </w:tcPr>
          <w:p w14:paraId="15FADA18" w14:textId="77777777" w:rsidR="00E9700E" w:rsidRPr="00176D37" w:rsidRDefault="00E9700E" w:rsidP="005B1CFD">
            <w:pPr>
              <w:pStyle w:val="Tabletext"/>
            </w:pPr>
            <w:r w:rsidRPr="00176D37">
              <w:rPr>
                <w:shd w:val="clear" w:color="auto" w:fill="FFFFFF"/>
              </w:rPr>
              <w:t>Scanning a unique staff QR code or barcode</w:t>
            </w:r>
          </w:p>
        </w:tc>
        <w:tc>
          <w:tcPr>
            <w:tcW w:w="2384" w:type="dxa"/>
          </w:tcPr>
          <w:p w14:paraId="538D98CB" w14:textId="77777777" w:rsidR="00E9700E" w:rsidRPr="00176D37" w:rsidRDefault="00E9700E" w:rsidP="009742AB">
            <w:pPr>
              <w:pStyle w:val="Tabletext"/>
              <w:jc w:val="right"/>
            </w:pPr>
            <w:r w:rsidRPr="00176D37">
              <w:t>1 (14%)</w:t>
            </w:r>
          </w:p>
        </w:tc>
        <w:tc>
          <w:tcPr>
            <w:tcW w:w="2384" w:type="dxa"/>
          </w:tcPr>
          <w:p w14:paraId="7A2B87EC" w14:textId="77777777" w:rsidR="00E9700E" w:rsidRPr="00176D37" w:rsidRDefault="00E9700E" w:rsidP="009742AB">
            <w:pPr>
              <w:pStyle w:val="Tabletext"/>
              <w:jc w:val="right"/>
            </w:pPr>
            <w:r w:rsidRPr="00176D37">
              <w:t>-</w:t>
            </w:r>
          </w:p>
        </w:tc>
      </w:tr>
      <w:tr w:rsidR="00E9700E" w:rsidRPr="00176D37" w14:paraId="4F36BBB9" w14:textId="77777777" w:rsidTr="00E10B44">
        <w:tc>
          <w:tcPr>
            <w:tcW w:w="4248" w:type="dxa"/>
          </w:tcPr>
          <w:p w14:paraId="7090FA8E" w14:textId="77777777" w:rsidR="00E9700E" w:rsidRPr="00176D37" w:rsidRDefault="00E9700E" w:rsidP="005B1CFD">
            <w:pPr>
              <w:pStyle w:val="Tabletext"/>
            </w:pPr>
            <w:r w:rsidRPr="00176D37">
              <w:rPr>
                <w:shd w:val="clear" w:color="auto" w:fill="FFFFFF"/>
              </w:rPr>
              <w:t>Selecting a declaration box when already logged in</w:t>
            </w:r>
          </w:p>
        </w:tc>
        <w:tc>
          <w:tcPr>
            <w:tcW w:w="2384" w:type="dxa"/>
          </w:tcPr>
          <w:p w14:paraId="04E91B97" w14:textId="77777777" w:rsidR="00E9700E" w:rsidRPr="00176D37" w:rsidRDefault="00E9700E" w:rsidP="009742AB">
            <w:pPr>
              <w:pStyle w:val="Tabletext"/>
              <w:jc w:val="right"/>
            </w:pPr>
            <w:r w:rsidRPr="00176D37">
              <w:t>-</w:t>
            </w:r>
          </w:p>
        </w:tc>
        <w:tc>
          <w:tcPr>
            <w:tcW w:w="2384" w:type="dxa"/>
          </w:tcPr>
          <w:p w14:paraId="7DD42906" w14:textId="77777777" w:rsidR="00E9700E" w:rsidRPr="00176D37" w:rsidRDefault="00E9700E" w:rsidP="009742AB">
            <w:pPr>
              <w:pStyle w:val="Tabletext"/>
              <w:jc w:val="right"/>
            </w:pPr>
            <w:r w:rsidRPr="00176D37">
              <w:t>-</w:t>
            </w:r>
          </w:p>
        </w:tc>
      </w:tr>
      <w:tr w:rsidR="00E9700E" w:rsidRPr="00176D37" w14:paraId="426DAAFF" w14:textId="77777777" w:rsidTr="00E10B44">
        <w:tc>
          <w:tcPr>
            <w:tcW w:w="4248" w:type="dxa"/>
          </w:tcPr>
          <w:p w14:paraId="01CC7B75" w14:textId="77777777" w:rsidR="00E9700E" w:rsidRPr="00176D37" w:rsidRDefault="00E9700E" w:rsidP="005B1CFD">
            <w:pPr>
              <w:pStyle w:val="Tabletext"/>
              <w:rPr>
                <w:shd w:val="clear" w:color="auto" w:fill="FFFFFF"/>
              </w:rPr>
            </w:pPr>
            <w:r w:rsidRPr="00176D37">
              <w:rPr>
                <w:shd w:val="clear" w:color="auto" w:fill="FFFFFF"/>
              </w:rPr>
              <w:t>Signing a printed form</w:t>
            </w:r>
          </w:p>
        </w:tc>
        <w:tc>
          <w:tcPr>
            <w:tcW w:w="2384" w:type="dxa"/>
          </w:tcPr>
          <w:p w14:paraId="1CA8E36A" w14:textId="77777777" w:rsidR="00E9700E" w:rsidRPr="00176D37" w:rsidRDefault="00E9700E" w:rsidP="009742AB">
            <w:pPr>
              <w:pStyle w:val="Tabletext"/>
              <w:jc w:val="right"/>
            </w:pPr>
            <w:r w:rsidRPr="00176D37">
              <w:t>5 (71%)</w:t>
            </w:r>
          </w:p>
        </w:tc>
        <w:tc>
          <w:tcPr>
            <w:tcW w:w="2384" w:type="dxa"/>
          </w:tcPr>
          <w:p w14:paraId="16291DEC" w14:textId="77777777" w:rsidR="00E9700E" w:rsidRPr="00176D37" w:rsidRDefault="00E9700E" w:rsidP="009742AB">
            <w:pPr>
              <w:pStyle w:val="Tabletext"/>
              <w:jc w:val="right"/>
            </w:pPr>
            <w:r w:rsidRPr="00176D37">
              <w:t>4 (100%)</w:t>
            </w:r>
          </w:p>
        </w:tc>
      </w:tr>
    </w:tbl>
    <w:p w14:paraId="0445BE53" w14:textId="77777777" w:rsidR="00E9700E" w:rsidRPr="005B1CFD" w:rsidRDefault="00E9700E" w:rsidP="005B1CFD">
      <w:pPr>
        <w:pStyle w:val="Heading4"/>
      </w:pPr>
      <w:r w:rsidRPr="005B1CFD">
        <w:lastRenderedPageBreak/>
        <w:t>Positive patient identification</w:t>
      </w:r>
    </w:p>
    <w:p w14:paraId="02A326C9" w14:textId="2B5D91A5" w:rsidR="00E9700E" w:rsidRPr="00176D37" w:rsidRDefault="00E9700E" w:rsidP="005B1CFD">
      <w:pPr>
        <w:pStyle w:val="Body"/>
        <w:rPr>
          <w:shd w:val="clear" w:color="auto" w:fill="FFFFFF"/>
        </w:rPr>
      </w:pPr>
      <w:r w:rsidRPr="00176D37">
        <w:t>Clinical (nursing and medical) staff (n</w:t>
      </w:r>
      <w:r w:rsidR="001D3FB5">
        <w:t xml:space="preserve"> </w:t>
      </w:r>
      <w:r w:rsidRPr="00176D37">
        <w:t>=</w:t>
      </w:r>
      <w:r w:rsidR="001D3FB5">
        <w:t xml:space="preserve"> </w:t>
      </w:r>
      <w:r w:rsidRPr="00176D37">
        <w:t xml:space="preserve">8) </w:t>
      </w:r>
      <w:r w:rsidRPr="00176D37">
        <w:rPr>
          <w:shd w:val="clear" w:color="auto" w:fill="FFFFFF"/>
        </w:rPr>
        <w:t xml:space="preserve">at health services </w:t>
      </w:r>
      <w:r w:rsidRPr="00176D37">
        <w:t xml:space="preserve">using scanning devices in pretransfusion sample collection were asked if the </w:t>
      </w:r>
      <w:r w:rsidRPr="00176D37">
        <w:rPr>
          <w:shd w:val="clear" w:color="auto" w:fill="FFFFFF"/>
        </w:rPr>
        <w:t>EMR has made them more reliant on using the computer systems for positive patient ID (</w:t>
      </w:r>
      <w:r w:rsidRPr="00176D37">
        <w:rPr>
          <w:shd w:val="clear" w:color="auto" w:fill="FFFFFF"/>
        </w:rPr>
        <w:fldChar w:fldCharType="begin"/>
      </w:r>
      <w:r w:rsidRPr="00176D37">
        <w:rPr>
          <w:shd w:val="clear" w:color="auto" w:fill="FFFFFF"/>
        </w:rPr>
        <w:instrText xml:space="preserve"> REF _Ref100678796 \h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17</w:t>
      </w:r>
      <w:r w:rsidRPr="00176D37">
        <w:rPr>
          <w:shd w:val="clear" w:color="auto" w:fill="FFFFFF"/>
        </w:rPr>
        <w:fldChar w:fldCharType="end"/>
      </w:r>
      <w:r w:rsidRPr="00176D37">
        <w:rPr>
          <w:shd w:val="clear" w:color="auto" w:fill="FFFFFF"/>
        </w:rPr>
        <w:t>). This is a subjective question, but important to assess the perception of the impact of the EMR on patient safety.</w:t>
      </w:r>
    </w:p>
    <w:p w14:paraId="48139C13" w14:textId="397CFB8C" w:rsidR="00E9700E" w:rsidRPr="00176D37" w:rsidRDefault="00E9700E" w:rsidP="005B1CFD">
      <w:pPr>
        <w:pStyle w:val="Tablecaption"/>
        <w:rPr>
          <w:shd w:val="clear" w:color="auto" w:fill="FFFFFF"/>
        </w:rPr>
      </w:pPr>
      <w:bookmarkStart w:id="128" w:name="_Ref100678796"/>
      <w:r w:rsidRPr="00176D37">
        <w:t xml:space="preserve">Table </w:t>
      </w:r>
      <w:r w:rsidR="00F751A0">
        <w:fldChar w:fldCharType="begin"/>
      </w:r>
      <w:r w:rsidR="00F751A0">
        <w:instrText xml:space="preserve"> SEQ Table \* ARABIC </w:instrText>
      </w:r>
      <w:r w:rsidR="00F751A0">
        <w:fldChar w:fldCharType="separate"/>
      </w:r>
      <w:r w:rsidR="00E73E2F">
        <w:rPr>
          <w:noProof/>
        </w:rPr>
        <w:t>17</w:t>
      </w:r>
      <w:r w:rsidR="00F751A0">
        <w:rPr>
          <w:noProof/>
        </w:rPr>
        <w:fldChar w:fldCharType="end"/>
      </w:r>
      <w:bookmarkEnd w:id="128"/>
      <w:r w:rsidRPr="00176D37">
        <w:t xml:space="preserve">: </w:t>
      </w:r>
      <w:r w:rsidR="0093336E" w:rsidRPr="0093336E">
        <w:t>Perception of reliance on scanning devices for positive patient ID</w:t>
      </w:r>
    </w:p>
    <w:tbl>
      <w:tblPr>
        <w:tblStyle w:val="TableGrid"/>
        <w:tblW w:w="9374" w:type="dxa"/>
        <w:tblLayout w:type="fixed"/>
        <w:tblLook w:val="04A0" w:firstRow="1" w:lastRow="0" w:firstColumn="1" w:lastColumn="0" w:noHBand="0" w:noVBand="1"/>
      </w:tblPr>
      <w:tblGrid>
        <w:gridCol w:w="1413"/>
        <w:gridCol w:w="1360"/>
        <w:gridCol w:w="1361"/>
        <w:gridCol w:w="1361"/>
        <w:gridCol w:w="1361"/>
        <w:gridCol w:w="1361"/>
        <w:gridCol w:w="1157"/>
      </w:tblGrid>
      <w:tr w:rsidR="00E9700E" w:rsidRPr="00176D37" w14:paraId="7B6E55A3" w14:textId="77777777" w:rsidTr="00E10B44">
        <w:tc>
          <w:tcPr>
            <w:tcW w:w="1413" w:type="dxa"/>
          </w:tcPr>
          <w:p w14:paraId="33576171" w14:textId="77777777" w:rsidR="00E9700E" w:rsidRPr="00176D37" w:rsidRDefault="00E9700E" w:rsidP="005B1CFD">
            <w:pPr>
              <w:pStyle w:val="Tablecolhead"/>
            </w:pPr>
          </w:p>
        </w:tc>
        <w:tc>
          <w:tcPr>
            <w:tcW w:w="1360" w:type="dxa"/>
          </w:tcPr>
          <w:p w14:paraId="3A42030B" w14:textId="77777777" w:rsidR="00E9700E" w:rsidRPr="00176D37" w:rsidRDefault="00E9700E" w:rsidP="005B1CFD">
            <w:pPr>
              <w:pStyle w:val="Tablecolhead"/>
            </w:pPr>
            <w:r w:rsidRPr="00176D37">
              <w:t>Always</w:t>
            </w:r>
          </w:p>
        </w:tc>
        <w:tc>
          <w:tcPr>
            <w:tcW w:w="1361" w:type="dxa"/>
          </w:tcPr>
          <w:p w14:paraId="117B926B" w14:textId="77777777" w:rsidR="00E9700E" w:rsidRPr="00176D37" w:rsidRDefault="00E9700E" w:rsidP="005B1CFD">
            <w:pPr>
              <w:pStyle w:val="Tablecolhead"/>
            </w:pPr>
            <w:proofErr w:type="gramStart"/>
            <w:r w:rsidRPr="00176D37">
              <w:t>Usually</w:t>
            </w:r>
            <w:proofErr w:type="gramEnd"/>
          </w:p>
        </w:tc>
        <w:tc>
          <w:tcPr>
            <w:tcW w:w="1361" w:type="dxa"/>
          </w:tcPr>
          <w:p w14:paraId="4CACC90B" w14:textId="77777777" w:rsidR="00E9700E" w:rsidRPr="00176D37" w:rsidRDefault="00E9700E" w:rsidP="005B1CFD">
            <w:pPr>
              <w:pStyle w:val="Tablecolhead"/>
            </w:pPr>
            <w:r w:rsidRPr="00176D37">
              <w:t>Sometimes</w:t>
            </w:r>
          </w:p>
        </w:tc>
        <w:tc>
          <w:tcPr>
            <w:tcW w:w="1361" w:type="dxa"/>
          </w:tcPr>
          <w:p w14:paraId="1BA9915A" w14:textId="77777777" w:rsidR="00E9700E" w:rsidRPr="00176D37" w:rsidRDefault="00E9700E" w:rsidP="005B1CFD">
            <w:pPr>
              <w:pStyle w:val="Tablecolhead"/>
            </w:pPr>
            <w:r w:rsidRPr="00176D37">
              <w:t>Never</w:t>
            </w:r>
          </w:p>
        </w:tc>
        <w:tc>
          <w:tcPr>
            <w:tcW w:w="1361" w:type="dxa"/>
          </w:tcPr>
          <w:p w14:paraId="5339E1D1" w14:textId="77777777" w:rsidR="00E9700E" w:rsidRPr="00176D37" w:rsidRDefault="00E9700E" w:rsidP="005B1CFD">
            <w:pPr>
              <w:pStyle w:val="Tablecolhead"/>
            </w:pPr>
            <w:r w:rsidRPr="00176D37">
              <w:t>Unsure</w:t>
            </w:r>
          </w:p>
        </w:tc>
        <w:tc>
          <w:tcPr>
            <w:tcW w:w="1157" w:type="dxa"/>
          </w:tcPr>
          <w:p w14:paraId="6E98EAA3" w14:textId="77777777" w:rsidR="00E9700E" w:rsidRPr="00176D37" w:rsidRDefault="00E9700E" w:rsidP="005B1CFD">
            <w:pPr>
              <w:pStyle w:val="Tablecolhead"/>
            </w:pPr>
            <w:r w:rsidRPr="00176D37">
              <w:t>N/A</w:t>
            </w:r>
          </w:p>
        </w:tc>
      </w:tr>
      <w:tr w:rsidR="00E9700E" w:rsidRPr="00176D37" w14:paraId="7703C157" w14:textId="77777777" w:rsidTr="00E10B44">
        <w:tc>
          <w:tcPr>
            <w:tcW w:w="1413" w:type="dxa"/>
          </w:tcPr>
          <w:p w14:paraId="52D85A1B" w14:textId="7A5F8E21" w:rsidR="00E9700E" w:rsidRPr="00176D37" w:rsidRDefault="00E9700E" w:rsidP="005B1CFD">
            <w:pPr>
              <w:pStyle w:val="Tabletext"/>
            </w:pPr>
            <w:r w:rsidRPr="00176D37">
              <w:t>Scanning device used</w:t>
            </w:r>
            <w:r w:rsidRPr="00176D37">
              <w:br/>
              <w:t>Respondent count (n</w:t>
            </w:r>
            <w:r w:rsidR="001D3FB5">
              <w:t xml:space="preserve"> </w:t>
            </w:r>
            <w:r w:rsidRPr="00176D37">
              <w:t>=</w:t>
            </w:r>
            <w:r w:rsidR="001D3FB5">
              <w:t xml:space="preserve"> </w:t>
            </w:r>
            <w:r w:rsidRPr="00176D37">
              <w:t>4)</w:t>
            </w:r>
          </w:p>
        </w:tc>
        <w:tc>
          <w:tcPr>
            <w:tcW w:w="1360" w:type="dxa"/>
          </w:tcPr>
          <w:p w14:paraId="51059C71" w14:textId="77777777" w:rsidR="00E9700E" w:rsidRPr="00176D37" w:rsidRDefault="00E9700E" w:rsidP="009742AB">
            <w:pPr>
              <w:pStyle w:val="Tabletext"/>
              <w:jc w:val="center"/>
            </w:pPr>
            <w:r w:rsidRPr="00176D37">
              <w:t>-</w:t>
            </w:r>
          </w:p>
        </w:tc>
        <w:tc>
          <w:tcPr>
            <w:tcW w:w="1361" w:type="dxa"/>
          </w:tcPr>
          <w:p w14:paraId="5F4F84B3" w14:textId="77777777" w:rsidR="00E9700E" w:rsidRPr="00176D37" w:rsidRDefault="00E9700E" w:rsidP="009742AB">
            <w:pPr>
              <w:pStyle w:val="Tabletext"/>
              <w:jc w:val="center"/>
            </w:pPr>
            <w:r w:rsidRPr="00176D37">
              <w:t>-</w:t>
            </w:r>
          </w:p>
        </w:tc>
        <w:tc>
          <w:tcPr>
            <w:tcW w:w="1361" w:type="dxa"/>
          </w:tcPr>
          <w:p w14:paraId="08A2A537" w14:textId="77777777" w:rsidR="00E9700E" w:rsidRPr="00176D37" w:rsidRDefault="00E9700E" w:rsidP="009742AB">
            <w:pPr>
              <w:pStyle w:val="Tabletext"/>
              <w:jc w:val="center"/>
            </w:pPr>
            <w:r w:rsidRPr="00176D37">
              <w:t>1</w:t>
            </w:r>
          </w:p>
        </w:tc>
        <w:tc>
          <w:tcPr>
            <w:tcW w:w="1361" w:type="dxa"/>
          </w:tcPr>
          <w:p w14:paraId="62A8EED1" w14:textId="77777777" w:rsidR="00E9700E" w:rsidRPr="00176D37" w:rsidRDefault="00E9700E" w:rsidP="009742AB">
            <w:pPr>
              <w:pStyle w:val="Tabletext"/>
              <w:jc w:val="center"/>
            </w:pPr>
            <w:r w:rsidRPr="00176D37">
              <w:t>1</w:t>
            </w:r>
          </w:p>
        </w:tc>
        <w:tc>
          <w:tcPr>
            <w:tcW w:w="1361" w:type="dxa"/>
          </w:tcPr>
          <w:p w14:paraId="05DEBED7" w14:textId="77777777" w:rsidR="00E9700E" w:rsidRPr="00176D37" w:rsidRDefault="00E9700E" w:rsidP="009742AB">
            <w:pPr>
              <w:pStyle w:val="Tabletext"/>
              <w:jc w:val="center"/>
            </w:pPr>
            <w:r w:rsidRPr="00176D37">
              <w:t>-</w:t>
            </w:r>
          </w:p>
        </w:tc>
        <w:tc>
          <w:tcPr>
            <w:tcW w:w="1157" w:type="dxa"/>
          </w:tcPr>
          <w:p w14:paraId="4D4BFBB2" w14:textId="77777777" w:rsidR="00E9700E" w:rsidRPr="00176D37" w:rsidRDefault="00E9700E" w:rsidP="009742AB">
            <w:pPr>
              <w:pStyle w:val="Tabletext"/>
              <w:jc w:val="center"/>
            </w:pPr>
            <w:r w:rsidRPr="00176D37">
              <w:t>2</w:t>
            </w:r>
          </w:p>
        </w:tc>
      </w:tr>
      <w:tr w:rsidR="00E9700E" w:rsidRPr="00176D37" w14:paraId="2AB3969D" w14:textId="77777777" w:rsidTr="00E10B44">
        <w:tc>
          <w:tcPr>
            <w:tcW w:w="1413" w:type="dxa"/>
          </w:tcPr>
          <w:p w14:paraId="661D131A" w14:textId="039BF78B" w:rsidR="00E9700E" w:rsidRPr="00176D37" w:rsidRDefault="00E9700E" w:rsidP="005B1CFD">
            <w:pPr>
              <w:pStyle w:val="Tabletext"/>
            </w:pPr>
            <w:r w:rsidRPr="00176D37">
              <w:t>No scanning device used/Unsure</w:t>
            </w:r>
            <w:r w:rsidRPr="00176D37">
              <w:br/>
              <w:t>Respondent count (n</w:t>
            </w:r>
            <w:r w:rsidR="001D3FB5">
              <w:t xml:space="preserve"> </w:t>
            </w:r>
            <w:r w:rsidRPr="00176D37">
              <w:t>=</w:t>
            </w:r>
            <w:r w:rsidR="001D3FB5">
              <w:t xml:space="preserve"> </w:t>
            </w:r>
            <w:r w:rsidRPr="00176D37">
              <w:t>4)</w:t>
            </w:r>
          </w:p>
        </w:tc>
        <w:tc>
          <w:tcPr>
            <w:tcW w:w="1360" w:type="dxa"/>
          </w:tcPr>
          <w:p w14:paraId="0472A6E3" w14:textId="77777777" w:rsidR="00E9700E" w:rsidRPr="00176D37" w:rsidRDefault="00E9700E" w:rsidP="009742AB">
            <w:pPr>
              <w:pStyle w:val="Tabletext"/>
              <w:jc w:val="center"/>
            </w:pPr>
            <w:r w:rsidRPr="00176D37">
              <w:t>-</w:t>
            </w:r>
          </w:p>
        </w:tc>
        <w:tc>
          <w:tcPr>
            <w:tcW w:w="1361" w:type="dxa"/>
          </w:tcPr>
          <w:p w14:paraId="3D790F28" w14:textId="77777777" w:rsidR="00E9700E" w:rsidRPr="00176D37" w:rsidRDefault="00E9700E" w:rsidP="009742AB">
            <w:pPr>
              <w:pStyle w:val="Tabletext"/>
              <w:jc w:val="center"/>
            </w:pPr>
            <w:r w:rsidRPr="00176D37">
              <w:t>1</w:t>
            </w:r>
          </w:p>
        </w:tc>
        <w:tc>
          <w:tcPr>
            <w:tcW w:w="1361" w:type="dxa"/>
          </w:tcPr>
          <w:p w14:paraId="68475050" w14:textId="77777777" w:rsidR="00E9700E" w:rsidRPr="00176D37" w:rsidRDefault="00E9700E" w:rsidP="009742AB">
            <w:pPr>
              <w:pStyle w:val="Tabletext"/>
              <w:jc w:val="center"/>
            </w:pPr>
            <w:r w:rsidRPr="00176D37">
              <w:t>1</w:t>
            </w:r>
          </w:p>
        </w:tc>
        <w:tc>
          <w:tcPr>
            <w:tcW w:w="1361" w:type="dxa"/>
          </w:tcPr>
          <w:p w14:paraId="12E104A7" w14:textId="77777777" w:rsidR="00E9700E" w:rsidRPr="00176D37" w:rsidRDefault="00E9700E" w:rsidP="009742AB">
            <w:pPr>
              <w:pStyle w:val="Tabletext"/>
              <w:jc w:val="center"/>
            </w:pPr>
            <w:r w:rsidRPr="00176D37">
              <w:t>1</w:t>
            </w:r>
          </w:p>
        </w:tc>
        <w:tc>
          <w:tcPr>
            <w:tcW w:w="1361" w:type="dxa"/>
          </w:tcPr>
          <w:p w14:paraId="5D7C2A3F" w14:textId="77777777" w:rsidR="00E9700E" w:rsidRPr="00176D37" w:rsidRDefault="00E9700E" w:rsidP="009742AB">
            <w:pPr>
              <w:pStyle w:val="Tabletext"/>
              <w:jc w:val="center"/>
            </w:pPr>
            <w:r w:rsidRPr="00176D37">
              <w:t>-</w:t>
            </w:r>
          </w:p>
        </w:tc>
        <w:tc>
          <w:tcPr>
            <w:tcW w:w="1157" w:type="dxa"/>
          </w:tcPr>
          <w:p w14:paraId="7F6D99D6" w14:textId="77777777" w:rsidR="00E9700E" w:rsidRPr="00176D37" w:rsidRDefault="00E9700E" w:rsidP="009742AB">
            <w:pPr>
              <w:pStyle w:val="Tabletext"/>
              <w:jc w:val="center"/>
            </w:pPr>
            <w:r w:rsidRPr="00176D37">
              <w:t>1</w:t>
            </w:r>
          </w:p>
        </w:tc>
      </w:tr>
    </w:tbl>
    <w:p w14:paraId="5FBDFE96" w14:textId="77777777" w:rsidR="00E9700E" w:rsidRPr="00176D37" w:rsidRDefault="00E9700E" w:rsidP="009742AB">
      <w:pPr>
        <w:pStyle w:val="Bodyaftertablefigure"/>
      </w:pPr>
      <w:r w:rsidRPr="00176D37">
        <w:t xml:space="preserve">Most respondents </w:t>
      </w:r>
      <w:r w:rsidRPr="001D3FB5">
        <w:t>do</w:t>
      </w:r>
      <w:r w:rsidRPr="00176D37">
        <w:t xml:space="preserve"> not feel they are more reliant on the computer/scanning device for positive patient ID. </w:t>
      </w:r>
    </w:p>
    <w:p w14:paraId="16DCAC04" w14:textId="0E498F94" w:rsidR="00E9700E" w:rsidRPr="00176D37" w:rsidRDefault="00E9700E" w:rsidP="005B1CFD">
      <w:pPr>
        <w:pStyle w:val="Body"/>
      </w:pPr>
      <w:r w:rsidRPr="00176D37">
        <w:t>If correct patient ID procedures are not followed</w:t>
      </w:r>
      <w:r w:rsidR="001D3FB5">
        <w:t>,</w:t>
      </w:r>
      <w:r w:rsidRPr="00176D37">
        <w:t xml:space="preserve"> there is a genuine risk to patient safety. Patient ID</w:t>
      </w:r>
      <w:r w:rsidR="00B4635A">
        <w:t xml:space="preserve"> </w:t>
      </w:r>
      <w:r w:rsidRPr="00176D37">
        <w:t xml:space="preserve">band scanning can result in a ‘false sense of security’, </w:t>
      </w:r>
      <w:r w:rsidR="001D3FB5">
        <w:t xml:space="preserve">so </w:t>
      </w:r>
      <w:r w:rsidRPr="00176D37">
        <w:t>awareness and understanding of this aspect of EMR functionality is vital.</w:t>
      </w:r>
    </w:p>
    <w:p w14:paraId="2ABFE208" w14:textId="11EB6862" w:rsidR="00E9700E" w:rsidRPr="00176D37" w:rsidRDefault="00E9700E" w:rsidP="005B1CFD">
      <w:pPr>
        <w:pStyle w:val="Body"/>
      </w:pPr>
      <w:r w:rsidRPr="00176D37">
        <w:t xml:space="preserve">ANZSBT </w:t>
      </w:r>
      <w:r w:rsidRPr="00176D37">
        <w:rPr>
          <w:i/>
        </w:rPr>
        <w:t xml:space="preserve">Guidelines for the </w:t>
      </w:r>
      <w:r w:rsidR="001D3FB5" w:rsidRPr="00176D37">
        <w:rPr>
          <w:i/>
        </w:rPr>
        <w:t xml:space="preserve">implementation and use of electronic medical records for transfusion </w:t>
      </w:r>
      <w:r w:rsidR="001D3FB5" w:rsidRPr="00176D37">
        <w:rPr>
          <w:noProof/>
        </w:rPr>
        <w:t>(ANZSBT 2021)</w:t>
      </w:r>
      <w:r w:rsidRPr="00176D37">
        <w:rPr>
          <w:i/>
        </w:rPr>
        <w:t xml:space="preserve"> </w:t>
      </w:r>
      <w:r w:rsidRPr="00176D37">
        <w:t xml:space="preserve">state that positive patient ID must occur in accordance with the ANZSBT </w:t>
      </w:r>
      <w:r w:rsidRPr="00176D37">
        <w:rPr>
          <w:i/>
        </w:rPr>
        <w:t xml:space="preserve">Guidelines for </w:t>
      </w:r>
      <w:r w:rsidR="001D3FB5" w:rsidRPr="00176D37">
        <w:rPr>
          <w:i/>
        </w:rPr>
        <w:t xml:space="preserve">transfusion and immunohaematology laboratory practice </w:t>
      </w:r>
      <w:r w:rsidR="001D3FB5" w:rsidRPr="00176D37">
        <w:rPr>
          <w:noProof/>
        </w:rPr>
        <w:t>(ANZSBT 2020)</w:t>
      </w:r>
      <w:r w:rsidRPr="00176D37">
        <w:rPr>
          <w:i/>
        </w:rPr>
        <w:t xml:space="preserve"> </w:t>
      </w:r>
      <w:r w:rsidRPr="00176D37">
        <w:t>prior to electronic confirmation of identity. Where possible, the EMR should be used to assist in patient ID at the point of sample collection although this is not always practical (</w:t>
      </w:r>
      <w:r w:rsidR="001D3FB5">
        <w:t>for example,</w:t>
      </w:r>
      <w:r w:rsidRPr="00176D37">
        <w:t xml:space="preserve"> where pretransfusion samples are collected at outpatient pathology collection centres). </w:t>
      </w:r>
    </w:p>
    <w:p w14:paraId="1E4F18D0" w14:textId="77777777" w:rsidR="00E9700E" w:rsidRPr="00176D37" w:rsidRDefault="00E9700E" w:rsidP="005B1CFD">
      <w:pPr>
        <w:pStyle w:val="Body"/>
        <w:rPr>
          <w:color w:val="000000" w:themeColor="text1"/>
        </w:rPr>
      </w:pPr>
      <w:r w:rsidRPr="00176D37">
        <w:t xml:space="preserve">When the EMR is used to assist sample collection and patient ID, processes must identify both the blood collector and patient. </w:t>
      </w:r>
    </w:p>
    <w:p w14:paraId="5B77971D" w14:textId="0ACAEBBA" w:rsidR="00E9700E" w:rsidRPr="00176D37" w:rsidRDefault="00E9700E" w:rsidP="005B1CFD">
      <w:pPr>
        <w:pStyle w:val="Body"/>
        <w:rPr>
          <w:color w:val="000000" w:themeColor="text1"/>
        </w:rPr>
      </w:pPr>
      <w:r w:rsidRPr="00176D37">
        <w:rPr>
          <w:color w:val="000000" w:themeColor="text1"/>
        </w:rPr>
        <w:t xml:space="preserve">A regional hospital emergency department in Queensland, Australia found safety behaviours were an assumed skill, and education improved critical key behaviours markedly. These key behaviours were further reinforced with implementation of patient ID band barcode scanners </w:t>
      </w:r>
      <w:r w:rsidR="001D3FB5" w:rsidRPr="00176D37">
        <w:rPr>
          <w:noProof/>
          <w:color w:val="000000" w:themeColor="text1"/>
        </w:rPr>
        <w:t>(Spain 2015)</w:t>
      </w:r>
      <w:r w:rsidRPr="00176D37">
        <w:rPr>
          <w:color w:val="000000" w:themeColor="text1"/>
        </w:rPr>
        <w:t>.</w:t>
      </w:r>
    </w:p>
    <w:p w14:paraId="15ED0C2E" w14:textId="25C1E516" w:rsidR="00E9700E" w:rsidRPr="00176D37" w:rsidRDefault="00E9700E" w:rsidP="005B1CFD">
      <w:pPr>
        <w:pStyle w:val="Body"/>
        <w:rPr>
          <w:color w:val="000000" w:themeColor="text1"/>
        </w:rPr>
      </w:pPr>
      <w:r w:rsidRPr="00176D37">
        <w:rPr>
          <w:color w:val="000000" w:themeColor="text1"/>
        </w:rPr>
        <w:t xml:space="preserve">There is widespread recognition of risks to patient safety </w:t>
      </w:r>
      <w:r w:rsidR="001D3FB5">
        <w:rPr>
          <w:color w:val="000000" w:themeColor="text1"/>
        </w:rPr>
        <w:t>in relying upon</w:t>
      </w:r>
      <w:r w:rsidR="001D3FB5" w:rsidRPr="00176D37">
        <w:rPr>
          <w:color w:val="000000" w:themeColor="text1"/>
        </w:rPr>
        <w:t xml:space="preserve"> </w:t>
      </w:r>
      <w:r w:rsidRPr="00176D37">
        <w:rPr>
          <w:color w:val="000000" w:themeColor="text1"/>
        </w:rPr>
        <w:t>electronic scanning</w:t>
      </w:r>
      <w:r w:rsidRPr="00176D37">
        <w:t xml:space="preserve"> or patient ID </w:t>
      </w:r>
      <w:r w:rsidR="001D3FB5" w:rsidRPr="00176D37">
        <w:rPr>
          <w:noProof/>
        </w:rPr>
        <w:t>(Murphy 2012)</w:t>
      </w:r>
      <w:r w:rsidRPr="00176D37">
        <w:rPr>
          <w:color w:val="000000" w:themeColor="text1"/>
        </w:rPr>
        <w:t xml:space="preserve">. Thorough training and ongoing support for staff undertaking ID procedures, robust reporting of near-miss events and their follow-up is required. Subsequent retraining may be necessary if indicated. </w:t>
      </w:r>
      <w:r w:rsidRPr="00176D37">
        <w:t>The capacity to introduce reminders within the EMR to always ask a conscious patient to state their name and date of birth could compliment the education.</w:t>
      </w:r>
    </w:p>
    <w:p w14:paraId="41F8EF9E" w14:textId="77777777" w:rsidR="00E9700E" w:rsidRPr="005B1CFD" w:rsidRDefault="00E9700E" w:rsidP="005B1CFD">
      <w:pPr>
        <w:pStyle w:val="Heading4"/>
      </w:pPr>
      <w:r w:rsidRPr="005B1CFD">
        <w:t>Pretransfusion specimen labelling</w:t>
      </w:r>
    </w:p>
    <w:p w14:paraId="060D4F01" w14:textId="59891CF3" w:rsidR="00E9700E" w:rsidRPr="00176D37" w:rsidRDefault="00E9700E" w:rsidP="005B1CFD">
      <w:pPr>
        <w:pStyle w:val="Body"/>
      </w:pPr>
      <w:r w:rsidRPr="00176D37">
        <w:t>Quality, nursing (clinical and management), medical (clinical) and laboratory staff were asked how pretransfusion specimens are labelled during normal operation (</w:t>
      </w:r>
      <w:r w:rsidRPr="00176D37">
        <w:fldChar w:fldCharType="begin"/>
      </w:r>
      <w:r w:rsidRPr="00176D37">
        <w:instrText xml:space="preserve"> REF _Ref100678811 \h  \* MERGEFORMAT </w:instrText>
      </w:r>
      <w:r w:rsidRPr="00176D37">
        <w:fldChar w:fldCharType="separate"/>
      </w:r>
      <w:r w:rsidR="00E73E2F" w:rsidRPr="00176D37">
        <w:t xml:space="preserve">Table </w:t>
      </w:r>
      <w:r w:rsidR="00E73E2F">
        <w:rPr>
          <w:noProof/>
        </w:rPr>
        <w:t>18</w:t>
      </w:r>
      <w:r w:rsidRPr="00176D37">
        <w:fldChar w:fldCharType="end"/>
      </w:r>
      <w:r w:rsidRPr="00176D37">
        <w:t xml:space="preserve">). </w:t>
      </w:r>
    </w:p>
    <w:p w14:paraId="479C7B3B" w14:textId="1A7E3E68" w:rsidR="00E9700E" w:rsidRPr="00176D37" w:rsidRDefault="00E9700E" w:rsidP="005B1CFD">
      <w:pPr>
        <w:pStyle w:val="Tablecaption"/>
      </w:pPr>
      <w:bookmarkStart w:id="129" w:name="_Ref100678811"/>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18</w:t>
      </w:r>
      <w:r w:rsidR="00F751A0">
        <w:rPr>
          <w:noProof/>
        </w:rPr>
        <w:fldChar w:fldCharType="end"/>
      </w:r>
      <w:bookmarkEnd w:id="129"/>
      <w:r w:rsidRPr="00176D37">
        <w:t>: Pretransfusion specimen labelling during normal operation</w:t>
      </w:r>
      <w:r w:rsidRPr="00176D37">
        <w:rPr>
          <w:rStyle w:val="FootnoteReference"/>
          <w:rFonts w:cs="Arial"/>
          <w:sz w:val="22"/>
          <w:szCs w:val="22"/>
        </w:rPr>
        <w:footnoteReference w:id="14"/>
      </w:r>
    </w:p>
    <w:tbl>
      <w:tblPr>
        <w:tblStyle w:val="TableGrid"/>
        <w:tblW w:w="9345" w:type="dxa"/>
        <w:tblLook w:val="04A0" w:firstRow="1" w:lastRow="0" w:firstColumn="1" w:lastColumn="0" w:noHBand="0" w:noVBand="1"/>
      </w:tblPr>
      <w:tblGrid>
        <w:gridCol w:w="2551"/>
        <w:gridCol w:w="3397"/>
        <w:gridCol w:w="3397"/>
      </w:tblGrid>
      <w:tr w:rsidR="00E9700E" w:rsidRPr="00176D37" w14:paraId="2C881783" w14:textId="77777777" w:rsidTr="00E201FE">
        <w:tc>
          <w:tcPr>
            <w:tcW w:w="2551" w:type="dxa"/>
          </w:tcPr>
          <w:p w14:paraId="5930642B" w14:textId="77777777" w:rsidR="00E9700E" w:rsidRPr="00176D37" w:rsidRDefault="00E9700E" w:rsidP="005B1CFD">
            <w:pPr>
              <w:pStyle w:val="Tablecolhead"/>
            </w:pPr>
            <w:r w:rsidRPr="00176D37">
              <w:t>Pretransfusion specimen labelling</w:t>
            </w:r>
          </w:p>
        </w:tc>
        <w:tc>
          <w:tcPr>
            <w:tcW w:w="3397" w:type="dxa"/>
          </w:tcPr>
          <w:p w14:paraId="307FA861" w14:textId="19E08DB8" w:rsidR="00E9700E" w:rsidRPr="00176D37" w:rsidRDefault="00E9700E" w:rsidP="005B1CFD">
            <w:pPr>
              <w:pStyle w:val="Tablecolhead"/>
            </w:pPr>
            <w:r w:rsidRPr="00176D37">
              <w:t>Pretransfusion sample collection incorporated into EMR</w:t>
            </w:r>
            <w:r w:rsidRPr="00176D37">
              <w:br/>
              <w:t>Health service count n</w:t>
            </w:r>
            <w:r w:rsidR="001D3FB5">
              <w:t xml:space="preserve"> </w:t>
            </w:r>
            <w:r w:rsidRPr="00176D37">
              <w:t>=</w:t>
            </w:r>
            <w:r w:rsidR="001D3FB5">
              <w:t xml:space="preserve"> </w:t>
            </w:r>
            <w:r w:rsidRPr="00176D37">
              <w:t>11, (%)</w:t>
            </w:r>
          </w:p>
        </w:tc>
        <w:tc>
          <w:tcPr>
            <w:tcW w:w="3397" w:type="dxa"/>
          </w:tcPr>
          <w:p w14:paraId="2C6B5427" w14:textId="1DE740FC" w:rsidR="00E9700E" w:rsidRPr="00176D37" w:rsidRDefault="00E9700E" w:rsidP="005B1CFD">
            <w:pPr>
              <w:pStyle w:val="Tablecolhead"/>
            </w:pPr>
            <w:r w:rsidRPr="00176D37">
              <w:t>No pretransfusion sample collection incorporated into EMR</w:t>
            </w:r>
            <w:r w:rsidRPr="00176D37">
              <w:br/>
              <w:t>Health service count n</w:t>
            </w:r>
            <w:r w:rsidR="001D3FB5">
              <w:t xml:space="preserve"> </w:t>
            </w:r>
            <w:r w:rsidRPr="00176D37">
              <w:t>=</w:t>
            </w:r>
            <w:r w:rsidR="001D3FB5">
              <w:t xml:space="preserve"> </w:t>
            </w:r>
            <w:r w:rsidRPr="00176D37">
              <w:t>4, (%)</w:t>
            </w:r>
          </w:p>
        </w:tc>
      </w:tr>
      <w:tr w:rsidR="00E9700E" w:rsidRPr="00176D37" w14:paraId="30D28CE4" w14:textId="77777777" w:rsidTr="00E201FE">
        <w:tc>
          <w:tcPr>
            <w:tcW w:w="2551" w:type="dxa"/>
          </w:tcPr>
          <w:p w14:paraId="7BFAD108" w14:textId="77777777" w:rsidR="00E9700E" w:rsidRPr="00176D37" w:rsidRDefault="00E9700E" w:rsidP="005B1CFD">
            <w:pPr>
              <w:pStyle w:val="Tabletext"/>
            </w:pPr>
            <w:r w:rsidRPr="00176D37">
              <w:t>Handwritten</w:t>
            </w:r>
          </w:p>
        </w:tc>
        <w:tc>
          <w:tcPr>
            <w:tcW w:w="3397" w:type="dxa"/>
          </w:tcPr>
          <w:p w14:paraId="603214F1" w14:textId="77777777" w:rsidR="00E9700E" w:rsidRPr="00176D37" w:rsidRDefault="00E9700E" w:rsidP="009742AB">
            <w:pPr>
              <w:pStyle w:val="Tabletext"/>
              <w:jc w:val="right"/>
            </w:pPr>
            <w:r w:rsidRPr="00176D37">
              <w:t>4 (36%)</w:t>
            </w:r>
          </w:p>
        </w:tc>
        <w:tc>
          <w:tcPr>
            <w:tcW w:w="3397" w:type="dxa"/>
          </w:tcPr>
          <w:p w14:paraId="7C5A5743" w14:textId="77777777" w:rsidR="00E9700E" w:rsidRPr="00176D37" w:rsidRDefault="00E9700E" w:rsidP="009742AB">
            <w:pPr>
              <w:pStyle w:val="Tabletext"/>
              <w:jc w:val="right"/>
            </w:pPr>
            <w:r w:rsidRPr="00176D37">
              <w:t>3 (75%)</w:t>
            </w:r>
          </w:p>
        </w:tc>
      </w:tr>
      <w:tr w:rsidR="00E9700E" w:rsidRPr="00176D37" w14:paraId="3DAC3A2F" w14:textId="77777777" w:rsidTr="00E201FE">
        <w:tc>
          <w:tcPr>
            <w:tcW w:w="2551" w:type="dxa"/>
          </w:tcPr>
          <w:p w14:paraId="1873E1DE" w14:textId="77777777" w:rsidR="00E9700E" w:rsidRPr="00176D37" w:rsidRDefault="00E9700E" w:rsidP="005B1CFD">
            <w:pPr>
              <w:pStyle w:val="Tabletext"/>
            </w:pPr>
            <w:r w:rsidRPr="00176D37">
              <w:t>EMR printed labels</w:t>
            </w:r>
          </w:p>
        </w:tc>
        <w:tc>
          <w:tcPr>
            <w:tcW w:w="3397" w:type="dxa"/>
          </w:tcPr>
          <w:p w14:paraId="30ACCFBA" w14:textId="77777777" w:rsidR="00E9700E" w:rsidRPr="00176D37" w:rsidRDefault="00E9700E" w:rsidP="009742AB">
            <w:pPr>
              <w:pStyle w:val="Tabletext"/>
              <w:jc w:val="right"/>
            </w:pPr>
            <w:r w:rsidRPr="00176D37">
              <w:t>7 (64%)</w:t>
            </w:r>
          </w:p>
        </w:tc>
        <w:tc>
          <w:tcPr>
            <w:tcW w:w="3397" w:type="dxa"/>
          </w:tcPr>
          <w:p w14:paraId="70A9D062" w14:textId="77777777" w:rsidR="00E9700E" w:rsidRPr="00176D37" w:rsidRDefault="00E9700E" w:rsidP="009742AB">
            <w:pPr>
              <w:pStyle w:val="Tabletext"/>
              <w:jc w:val="right"/>
            </w:pPr>
            <w:r w:rsidRPr="00176D37">
              <w:t xml:space="preserve">- </w:t>
            </w:r>
          </w:p>
        </w:tc>
      </w:tr>
      <w:tr w:rsidR="00E9700E" w:rsidRPr="00176D37" w14:paraId="07412F35" w14:textId="77777777" w:rsidTr="00E201FE">
        <w:tc>
          <w:tcPr>
            <w:tcW w:w="2551" w:type="dxa"/>
          </w:tcPr>
          <w:p w14:paraId="1340FD36" w14:textId="77777777" w:rsidR="00E9700E" w:rsidRPr="00176D37" w:rsidRDefault="00E9700E" w:rsidP="005B1CFD">
            <w:pPr>
              <w:pStyle w:val="Tabletext"/>
            </w:pPr>
            <w:r w:rsidRPr="00176D37">
              <w:t>Addressograph</w:t>
            </w:r>
          </w:p>
        </w:tc>
        <w:tc>
          <w:tcPr>
            <w:tcW w:w="3397" w:type="dxa"/>
          </w:tcPr>
          <w:p w14:paraId="3F3EB5D1" w14:textId="04062EB4" w:rsidR="00E9700E" w:rsidRPr="00176D37" w:rsidRDefault="001D3FB5" w:rsidP="009742AB">
            <w:pPr>
              <w:pStyle w:val="Tabletext"/>
              <w:jc w:val="right"/>
            </w:pPr>
            <w:r>
              <w:t>-</w:t>
            </w:r>
          </w:p>
        </w:tc>
        <w:tc>
          <w:tcPr>
            <w:tcW w:w="3397" w:type="dxa"/>
          </w:tcPr>
          <w:p w14:paraId="63D1EB6A" w14:textId="77777777" w:rsidR="00E9700E" w:rsidRPr="00176D37" w:rsidRDefault="00E9700E" w:rsidP="009742AB">
            <w:pPr>
              <w:pStyle w:val="Tabletext"/>
              <w:jc w:val="right"/>
            </w:pPr>
            <w:r w:rsidRPr="00176D37">
              <w:t>1 (25%)</w:t>
            </w:r>
          </w:p>
        </w:tc>
      </w:tr>
    </w:tbl>
    <w:p w14:paraId="6ABCB4BB" w14:textId="5DE3EDDC" w:rsidR="00E9700E" w:rsidRPr="00176D37" w:rsidRDefault="00E9700E" w:rsidP="009742AB">
      <w:pPr>
        <w:pStyle w:val="Bodyaftertablefigure"/>
      </w:pPr>
      <w:proofErr w:type="gramStart"/>
      <w:r w:rsidRPr="00176D37">
        <w:t>The majority of</w:t>
      </w:r>
      <w:proofErr w:type="gramEnd"/>
      <w:r w:rsidRPr="00176D37">
        <w:t xml:space="preserve"> health services with pretransfusion sample collection incorporated into the EMR (n</w:t>
      </w:r>
      <w:r w:rsidR="001D3FB5">
        <w:t> </w:t>
      </w:r>
      <w:r w:rsidR="001D3FB5" w:rsidRPr="00176D37">
        <w:t>=</w:t>
      </w:r>
      <w:r w:rsidR="001D3FB5">
        <w:t> </w:t>
      </w:r>
      <w:r w:rsidRPr="00176D37">
        <w:t xml:space="preserve">7, 64 per cent) use labels generated through the EMR. Whereas health services </w:t>
      </w:r>
      <w:r w:rsidR="005C7ADA">
        <w:t xml:space="preserve">with an EMR </w:t>
      </w:r>
      <w:r w:rsidR="001D3FB5">
        <w:t>that did not inco</w:t>
      </w:r>
      <w:r w:rsidR="005C7ADA">
        <w:t>rporate</w:t>
      </w:r>
      <w:r w:rsidRPr="00176D37">
        <w:t xml:space="preserve"> pretransfusion sample collection predominantly use handwritten labelling for pretransfusion specimens.</w:t>
      </w:r>
    </w:p>
    <w:p w14:paraId="646E57C7" w14:textId="3EADF193" w:rsidR="00E9700E" w:rsidRPr="00176D37" w:rsidRDefault="00E9700E" w:rsidP="005B1CFD">
      <w:pPr>
        <w:pStyle w:val="Body"/>
        <w:rPr>
          <w:color w:val="000000" w:themeColor="text1"/>
        </w:rPr>
      </w:pPr>
      <w:r w:rsidRPr="00176D37">
        <w:rPr>
          <w:color w:val="000000" w:themeColor="text1"/>
        </w:rPr>
        <w:t xml:space="preserve">ANZSBT guidelines state that sample labelling is required after collection. Systems should prevent pre-labelling and should facilitate labelling at the patient’s side where possible (for example by printing labels at the patient’s side after collection). Systems must not force labelling away from the bedside (such as sample labels being printed at a distant printer such as at a nurses’ station) once samples have been collected. Handwritten labelling may be required if unable to print at patient side </w:t>
      </w:r>
      <w:r w:rsidR="005C7ADA" w:rsidRPr="00176D37">
        <w:rPr>
          <w:noProof/>
          <w:color w:val="000000" w:themeColor="text1"/>
        </w:rPr>
        <w:t>(ANZSBT 2021)</w:t>
      </w:r>
      <w:r w:rsidRPr="00176D37">
        <w:rPr>
          <w:color w:val="000000" w:themeColor="text1"/>
        </w:rPr>
        <w:t>.</w:t>
      </w:r>
    </w:p>
    <w:p w14:paraId="782A5212" w14:textId="43D310EB" w:rsidR="00E9700E" w:rsidRPr="00176D37" w:rsidRDefault="00E9700E" w:rsidP="005B1CFD">
      <w:pPr>
        <w:pStyle w:val="Body"/>
        <w:rPr>
          <w:color w:val="000000" w:themeColor="text1"/>
        </w:rPr>
      </w:pPr>
      <w:r w:rsidRPr="00176D37">
        <w:rPr>
          <w:color w:val="000000" w:themeColor="text1"/>
        </w:rPr>
        <w:t>EMRs may guide staff on which tubes to use for sample collection</w:t>
      </w:r>
      <w:r w:rsidR="005C7ADA">
        <w:rPr>
          <w:color w:val="000000" w:themeColor="text1"/>
        </w:rPr>
        <w:t>.</w:t>
      </w:r>
      <w:r w:rsidRPr="00176D37">
        <w:rPr>
          <w:color w:val="000000" w:themeColor="text1"/>
        </w:rPr>
        <w:t xml:space="preserve"> </w:t>
      </w:r>
      <w:r w:rsidR="005C7ADA">
        <w:rPr>
          <w:color w:val="000000" w:themeColor="text1"/>
        </w:rPr>
        <w:t>I</w:t>
      </w:r>
      <w:r w:rsidRPr="00176D37">
        <w:rPr>
          <w:color w:val="000000" w:themeColor="text1"/>
        </w:rPr>
        <w:t xml:space="preserve">n some systems, the specimen labels may contain a unique barcode for each tube </w:t>
      </w:r>
      <w:r w:rsidR="005C7ADA" w:rsidRPr="00176D37">
        <w:rPr>
          <w:noProof/>
          <w:color w:val="000000" w:themeColor="text1"/>
        </w:rPr>
        <w:t>(Verrall 2019)</w:t>
      </w:r>
      <w:r w:rsidRPr="00176D37">
        <w:rPr>
          <w:color w:val="000000" w:themeColor="text1"/>
        </w:rPr>
        <w:t>. It is crucial that the correct label is placed on the corresponding tube, otherwise when the specimens are receipted in the laboratory</w:t>
      </w:r>
      <w:r w:rsidR="005C7ADA">
        <w:rPr>
          <w:color w:val="000000" w:themeColor="text1"/>
        </w:rPr>
        <w:t>,</w:t>
      </w:r>
      <w:r w:rsidRPr="00176D37">
        <w:rPr>
          <w:color w:val="000000" w:themeColor="text1"/>
        </w:rPr>
        <w:t xml:space="preserve"> the sample may be directed to the incorrect department for analysis, leading to spurious results or </w:t>
      </w:r>
      <w:r w:rsidR="005C7ADA">
        <w:rPr>
          <w:color w:val="000000" w:themeColor="text1"/>
        </w:rPr>
        <w:t>the need for</w:t>
      </w:r>
      <w:r w:rsidRPr="00176D37">
        <w:rPr>
          <w:color w:val="000000" w:themeColor="text1"/>
        </w:rPr>
        <w:t xml:space="preserve"> a rebleed.</w:t>
      </w:r>
    </w:p>
    <w:p w14:paraId="0A9B6225" w14:textId="77777777" w:rsidR="00E9700E" w:rsidRPr="005B1CFD" w:rsidRDefault="00E9700E" w:rsidP="005B1CFD">
      <w:pPr>
        <w:pStyle w:val="Heading5"/>
      </w:pPr>
      <w:r w:rsidRPr="005B1CFD">
        <w:t>Location of label printers</w:t>
      </w:r>
    </w:p>
    <w:p w14:paraId="0610E49C" w14:textId="133CD680" w:rsidR="00E9700E" w:rsidRPr="00176D37" w:rsidRDefault="00E9700E" w:rsidP="005B1CFD">
      <w:pPr>
        <w:pStyle w:val="Body"/>
      </w:pPr>
      <w:r w:rsidRPr="00176D37">
        <w:t>Labels can either be printed from a central computer (</w:t>
      </w:r>
      <w:r w:rsidR="005C7ADA">
        <w:t>that is,</w:t>
      </w:r>
      <w:r w:rsidRPr="00176D37">
        <w:t xml:space="preserve"> not at the patient’s side), or at the patient’s side by a wireless/battery operated printer. There is usually a continuous roll of perforated blank labels in the printers. </w:t>
      </w:r>
    </w:p>
    <w:p w14:paraId="511EECDE" w14:textId="3902A24F" w:rsidR="00E9700E" w:rsidRPr="00176D37" w:rsidRDefault="00E9700E" w:rsidP="005B1CFD">
      <w:pPr>
        <w:pStyle w:val="Body"/>
      </w:pPr>
      <w:r w:rsidRPr="00176D37">
        <w:t>Nine of the 17 (53 per cent) health services require EMR</w:t>
      </w:r>
      <w:r w:rsidR="005C7ADA">
        <w:t>-</w:t>
      </w:r>
      <w:r w:rsidRPr="00176D37">
        <w:t>generated printed labels for specimen labelling. They were asked where the label printers are located (</w:t>
      </w:r>
      <w:r w:rsidRPr="00176D37">
        <w:fldChar w:fldCharType="begin"/>
      </w:r>
      <w:r w:rsidRPr="00176D37">
        <w:instrText xml:space="preserve"> REF _Ref101285749 \h </w:instrText>
      </w:r>
      <w:r>
        <w:instrText xml:space="preserve"> \* MERGEFORMAT </w:instrText>
      </w:r>
      <w:r w:rsidRPr="00176D37">
        <w:fldChar w:fldCharType="separate"/>
      </w:r>
      <w:r w:rsidR="00E73E2F" w:rsidRPr="00176D37">
        <w:t xml:space="preserve">Table </w:t>
      </w:r>
      <w:r w:rsidR="00E73E2F">
        <w:rPr>
          <w:noProof/>
        </w:rPr>
        <w:t>19</w:t>
      </w:r>
      <w:r w:rsidRPr="00176D37">
        <w:fldChar w:fldCharType="end"/>
      </w:r>
      <w:r w:rsidRPr="00176D37">
        <w:t>).</w:t>
      </w:r>
    </w:p>
    <w:p w14:paraId="2A71E355" w14:textId="26A5097C" w:rsidR="00E9700E" w:rsidRPr="00176D37" w:rsidRDefault="00E9700E" w:rsidP="005B1CFD">
      <w:pPr>
        <w:pStyle w:val="Tablecaption"/>
      </w:pPr>
      <w:bookmarkStart w:id="130" w:name="_Ref101285749"/>
      <w:bookmarkStart w:id="131" w:name="_Ref101285748"/>
      <w:r w:rsidRPr="00176D37">
        <w:t xml:space="preserve">Table </w:t>
      </w:r>
      <w:r w:rsidR="00F751A0">
        <w:fldChar w:fldCharType="begin"/>
      </w:r>
      <w:r w:rsidR="00F751A0">
        <w:instrText xml:space="preserve"> SEQ Table \* ARABIC </w:instrText>
      </w:r>
      <w:r w:rsidR="00F751A0">
        <w:fldChar w:fldCharType="separate"/>
      </w:r>
      <w:r w:rsidR="00E73E2F">
        <w:rPr>
          <w:noProof/>
        </w:rPr>
        <w:t>19</w:t>
      </w:r>
      <w:r w:rsidR="00F751A0">
        <w:rPr>
          <w:noProof/>
        </w:rPr>
        <w:fldChar w:fldCharType="end"/>
      </w:r>
      <w:bookmarkEnd w:id="130"/>
      <w:r w:rsidRPr="00176D37">
        <w:t>: Location of label printers</w:t>
      </w:r>
      <w:r w:rsidRPr="00176D37">
        <w:rPr>
          <w:rStyle w:val="FootnoteReference"/>
          <w:rFonts w:cs="Arial"/>
          <w:sz w:val="22"/>
          <w:szCs w:val="22"/>
        </w:rPr>
        <w:footnoteReference w:id="15"/>
      </w:r>
      <w:bookmarkEnd w:id="131"/>
    </w:p>
    <w:tbl>
      <w:tblPr>
        <w:tblStyle w:val="TableGrid"/>
        <w:tblW w:w="0" w:type="auto"/>
        <w:tblLook w:val="04A0" w:firstRow="1" w:lastRow="0" w:firstColumn="1" w:lastColumn="0" w:noHBand="0" w:noVBand="1"/>
      </w:tblPr>
      <w:tblGrid>
        <w:gridCol w:w="4508"/>
        <w:gridCol w:w="4508"/>
      </w:tblGrid>
      <w:tr w:rsidR="00E9700E" w:rsidRPr="00176D37" w14:paraId="134C200C" w14:textId="77777777" w:rsidTr="009742AB">
        <w:trPr>
          <w:tblHeader/>
        </w:trPr>
        <w:tc>
          <w:tcPr>
            <w:tcW w:w="4508" w:type="dxa"/>
          </w:tcPr>
          <w:p w14:paraId="6E2AEFD2" w14:textId="77777777" w:rsidR="00E9700E" w:rsidRPr="00176D37" w:rsidRDefault="00E9700E" w:rsidP="005B1CFD">
            <w:pPr>
              <w:pStyle w:val="Tablecolhead"/>
            </w:pPr>
            <w:r w:rsidRPr="00176D37">
              <w:t>Location of printers</w:t>
            </w:r>
          </w:p>
        </w:tc>
        <w:tc>
          <w:tcPr>
            <w:tcW w:w="4508" w:type="dxa"/>
          </w:tcPr>
          <w:p w14:paraId="003F311F" w14:textId="3522444D" w:rsidR="00E9700E" w:rsidRPr="00176D37" w:rsidRDefault="00E9700E" w:rsidP="005B1CFD">
            <w:pPr>
              <w:pStyle w:val="Tablecolhead"/>
            </w:pPr>
            <w:r w:rsidRPr="00176D37">
              <w:t>Health service count n</w:t>
            </w:r>
            <w:r w:rsidR="005C7ADA">
              <w:t xml:space="preserve"> </w:t>
            </w:r>
            <w:r w:rsidRPr="00176D37">
              <w:t>=</w:t>
            </w:r>
            <w:r w:rsidR="005C7ADA">
              <w:t xml:space="preserve"> </w:t>
            </w:r>
            <w:r w:rsidRPr="00176D37">
              <w:t>9, (%)</w:t>
            </w:r>
          </w:p>
        </w:tc>
      </w:tr>
      <w:tr w:rsidR="00E9700E" w:rsidRPr="00176D37" w14:paraId="326C001A" w14:textId="77777777" w:rsidTr="00A173F8">
        <w:tc>
          <w:tcPr>
            <w:tcW w:w="4508" w:type="dxa"/>
          </w:tcPr>
          <w:p w14:paraId="6A761F29" w14:textId="77777777" w:rsidR="00E9700E" w:rsidRPr="00176D37" w:rsidRDefault="00E9700E" w:rsidP="005B1CFD">
            <w:pPr>
              <w:pStyle w:val="Tabletext"/>
            </w:pPr>
            <w:r w:rsidRPr="00176D37">
              <w:t>Mobile printers for all printing</w:t>
            </w:r>
          </w:p>
        </w:tc>
        <w:tc>
          <w:tcPr>
            <w:tcW w:w="4508" w:type="dxa"/>
          </w:tcPr>
          <w:p w14:paraId="509655F2" w14:textId="77777777" w:rsidR="00E9700E" w:rsidRPr="00176D37" w:rsidRDefault="00E9700E" w:rsidP="009742AB">
            <w:pPr>
              <w:pStyle w:val="Tabletext"/>
              <w:jc w:val="right"/>
            </w:pPr>
            <w:r w:rsidRPr="00176D37">
              <w:t>3 (33%)</w:t>
            </w:r>
          </w:p>
        </w:tc>
      </w:tr>
      <w:tr w:rsidR="00E9700E" w:rsidRPr="00176D37" w14:paraId="71C0A117" w14:textId="77777777" w:rsidTr="00A173F8">
        <w:tc>
          <w:tcPr>
            <w:tcW w:w="4508" w:type="dxa"/>
          </w:tcPr>
          <w:p w14:paraId="744CC174" w14:textId="77777777" w:rsidR="00E9700E" w:rsidRPr="00176D37" w:rsidRDefault="00E9700E" w:rsidP="005B1CFD">
            <w:pPr>
              <w:pStyle w:val="Tabletext"/>
            </w:pPr>
            <w:r w:rsidRPr="00176D37">
              <w:t>Mobile or handheld for sample labels only</w:t>
            </w:r>
          </w:p>
        </w:tc>
        <w:tc>
          <w:tcPr>
            <w:tcW w:w="4508" w:type="dxa"/>
          </w:tcPr>
          <w:p w14:paraId="3FA68171" w14:textId="77777777" w:rsidR="00E9700E" w:rsidRPr="00176D37" w:rsidRDefault="00E9700E" w:rsidP="009742AB">
            <w:pPr>
              <w:pStyle w:val="Tabletext"/>
              <w:jc w:val="right"/>
            </w:pPr>
            <w:r w:rsidRPr="00176D37">
              <w:t>7 (78%)</w:t>
            </w:r>
          </w:p>
        </w:tc>
      </w:tr>
      <w:tr w:rsidR="00E9700E" w:rsidRPr="00176D37" w14:paraId="28684BD2" w14:textId="77777777" w:rsidTr="00A173F8">
        <w:tc>
          <w:tcPr>
            <w:tcW w:w="4508" w:type="dxa"/>
          </w:tcPr>
          <w:p w14:paraId="05F0F5C8" w14:textId="77777777" w:rsidR="00E9700E" w:rsidRPr="00176D37" w:rsidRDefault="00E9700E" w:rsidP="005B1CFD">
            <w:pPr>
              <w:pStyle w:val="Tabletext"/>
            </w:pPr>
            <w:r w:rsidRPr="00176D37">
              <w:t>Fixed outside patient rooms</w:t>
            </w:r>
          </w:p>
        </w:tc>
        <w:tc>
          <w:tcPr>
            <w:tcW w:w="4508" w:type="dxa"/>
          </w:tcPr>
          <w:p w14:paraId="0811A80A" w14:textId="77777777" w:rsidR="00E9700E" w:rsidRPr="00176D37" w:rsidRDefault="00E9700E" w:rsidP="009742AB">
            <w:pPr>
              <w:pStyle w:val="Tabletext"/>
              <w:jc w:val="right"/>
            </w:pPr>
            <w:r w:rsidRPr="00176D37">
              <w:t>1 (11%)</w:t>
            </w:r>
          </w:p>
        </w:tc>
      </w:tr>
      <w:tr w:rsidR="00E9700E" w:rsidRPr="00176D37" w14:paraId="75F2205C" w14:textId="77777777" w:rsidTr="00A173F8">
        <w:tc>
          <w:tcPr>
            <w:tcW w:w="4508" w:type="dxa"/>
          </w:tcPr>
          <w:p w14:paraId="44317601" w14:textId="77777777" w:rsidR="00E9700E" w:rsidRPr="00176D37" w:rsidRDefault="00E9700E" w:rsidP="005B1CFD">
            <w:pPr>
              <w:pStyle w:val="Tabletext"/>
            </w:pPr>
            <w:r w:rsidRPr="00176D37">
              <w:t>Fixed inside patient rooms</w:t>
            </w:r>
          </w:p>
        </w:tc>
        <w:tc>
          <w:tcPr>
            <w:tcW w:w="4508" w:type="dxa"/>
          </w:tcPr>
          <w:p w14:paraId="3888DF7A" w14:textId="77777777" w:rsidR="00E9700E" w:rsidRPr="00176D37" w:rsidRDefault="00E9700E" w:rsidP="009742AB">
            <w:pPr>
              <w:pStyle w:val="Tabletext"/>
              <w:jc w:val="right"/>
            </w:pPr>
            <w:r w:rsidRPr="00176D37">
              <w:t>2 (22%)</w:t>
            </w:r>
          </w:p>
        </w:tc>
      </w:tr>
      <w:tr w:rsidR="00E9700E" w:rsidRPr="00176D37" w14:paraId="0AACB02B" w14:textId="77777777" w:rsidTr="00A173F8">
        <w:tc>
          <w:tcPr>
            <w:tcW w:w="4508" w:type="dxa"/>
          </w:tcPr>
          <w:p w14:paraId="64D06FD7" w14:textId="77777777" w:rsidR="00E9700E" w:rsidRPr="00176D37" w:rsidRDefault="00E9700E" w:rsidP="005B1CFD">
            <w:pPr>
              <w:pStyle w:val="Tabletext"/>
            </w:pPr>
            <w:r w:rsidRPr="00176D37">
              <w:t>Fixed at central station</w:t>
            </w:r>
          </w:p>
        </w:tc>
        <w:tc>
          <w:tcPr>
            <w:tcW w:w="4508" w:type="dxa"/>
          </w:tcPr>
          <w:p w14:paraId="2B5F8637" w14:textId="77777777" w:rsidR="00E9700E" w:rsidRPr="00176D37" w:rsidRDefault="00E9700E" w:rsidP="009742AB">
            <w:pPr>
              <w:pStyle w:val="Tabletext"/>
              <w:jc w:val="right"/>
            </w:pPr>
            <w:r w:rsidRPr="00176D37">
              <w:t>5 (56%)</w:t>
            </w:r>
          </w:p>
        </w:tc>
      </w:tr>
    </w:tbl>
    <w:p w14:paraId="1DEF2057" w14:textId="77777777" w:rsidR="00E9700E" w:rsidRPr="005B1CFD" w:rsidRDefault="00E9700E" w:rsidP="005B1CFD">
      <w:pPr>
        <w:pStyle w:val="Heading5"/>
      </w:pPr>
      <w:r w:rsidRPr="005B1CFD">
        <w:lastRenderedPageBreak/>
        <w:t>Issues with printing labels</w:t>
      </w:r>
    </w:p>
    <w:p w14:paraId="79B85E5A" w14:textId="2F0A2BA3" w:rsidR="00E9700E" w:rsidRPr="00176D37" w:rsidRDefault="00E9700E" w:rsidP="005B1CFD">
      <w:pPr>
        <w:pStyle w:val="Body"/>
      </w:pPr>
      <w:r w:rsidRPr="00176D37">
        <w:t>Respondents (n</w:t>
      </w:r>
      <w:r w:rsidR="005C7ADA">
        <w:t xml:space="preserve"> </w:t>
      </w:r>
      <w:r w:rsidRPr="00176D37">
        <w:t>=</w:t>
      </w:r>
      <w:r w:rsidR="005C7ADA">
        <w:t xml:space="preserve"> </w:t>
      </w:r>
      <w:r w:rsidRPr="00176D37">
        <w:t>17) were asked if there have been any issues with printing specimen labels (</w:t>
      </w:r>
      <w:r w:rsidRPr="00176D37">
        <w:fldChar w:fldCharType="begin"/>
      </w:r>
      <w:r w:rsidRPr="00176D37">
        <w:instrText xml:space="preserve"> REF _Ref101285750 \h </w:instrText>
      </w:r>
      <w:r>
        <w:instrText xml:space="preserve"> \* MERGEFORMAT </w:instrText>
      </w:r>
      <w:r w:rsidRPr="00176D37">
        <w:fldChar w:fldCharType="separate"/>
      </w:r>
      <w:r w:rsidR="00E73E2F" w:rsidRPr="00176D37">
        <w:t xml:space="preserve">Table </w:t>
      </w:r>
      <w:r w:rsidR="00E73E2F">
        <w:rPr>
          <w:noProof/>
        </w:rPr>
        <w:t>20</w:t>
      </w:r>
      <w:r w:rsidRPr="00176D37">
        <w:fldChar w:fldCharType="end"/>
      </w:r>
      <w:r w:rsidRPr="00176D37">
        <w:t>).</w:t>
      </w:r>
    </w:p>
    <w:p w14:paraId="31089E1A" w14:textId="773DD7E5" w:rsidR="00E9700E" w:rsidRPr="00176D37" w:rsidRDefault="00E9700E" w:rsidP="005B1CFD">
      <w:pPr>
        <w:pStyle w:val="Tablecaption"/>
      </w:pPr>
      <w:bookmarkStart w:id="132" w:name="_Ref101285750"/>
      <w:r w:rsidRPr="00176D37">
        <w:t xml:space="preserve">Table </w:t>
      </w:r>
      <w:r w:rsidR="00F751A0">
        <w:fldChar w:fldCharType="begin"/>
      </w:r>
      <w:r w:rsidR="00F751A0">
        <w:instrText xml:space="preserve"> SE</w:instrText>
      </w:r>
      <w:r w:rsidR="00F751A0">
        <w:instrText xml:space="preserve">Q Table \* ARABIC </w:instrText>
      </w:r>
      <w:r w:rsidR="00F751A0">
        <w:fldChar w:fldCharType="separate"/>
      </w:r>
      <w:r w:rsidR="00E73E2F">
        <w:rPr>
          <w:noProof/>
        </w:rPr>
        <w:t>20</w:t>
      </w:r>
      <w:r w:rsidR="00F751A0">
        <w:rPr>
          <w:noProof/>
        </w:rPr>
        <w:fldChar w:fldCharType="end"/>
      </w:r>
      <w:bookmarkEnd w:id="132"/>
      <w:r w:rsidRPr="00176D37">
        <w:t>: Printing label issues</w:t>
      </w:r>
      <w:r w:rsidRPr="00176D37">
        <w:rPr>
          <w:rStyle w:val="FootnoteReference"/>
          <w:rFonts w:cs="Arial"/>
          <w:sz w:val="22"/>
          <w:szCs w:val="22"/>
        </w:rPr>
        <w:footnoteReference w:id="16"/>
      </w:r>
      <w:r w:rsidRPr="00176D37">
        <w:t xml:space="preserve"> </w:t>
      </w:r>
    </w:p>
    <w:tbl>
      <w:tblPr>
        <w:tblStyle w:val="TableGrid"/>
        <w:tblW w:w="0" w:type="auto"/>
        <w:tblLook w:val="04A0" w:firstRow="1" w:lastRow="0" w:firstColumn="1" w:lastColumn="0" w:noHBand="0" w:noVBand="1"/>
      </w:tblPr>
      <w:tblGrid>
        <w:gridCol w:w="3539"/>
        <w:gridCol w:w="1843"/>
        <w:gridCol w:w="1701"/>
        <w:gridCol w:w="1701"/>
      </w:tblGrid>
      <w:tr w:rsidR="00E9700E" w:rsidRPr="00176D37" w14:paraId="3DB780EF" w14:textId="77777777" w:rsidTr="00A173F8">
        <w:tc>
          <w:tcPr>
            <w:tcW w:w="3539" w:type="dxa"/>
          </w:tcPr>
          <w:p w14:paraId="32A62B94" w14:textId="77777777" w:rsidR="00E9700E" w:rsidRPr="00176D37" w:rsidRDefault="00E9700E" w:rsidP="005B1CFD">
            <w:pPr>
              <w:pStyle w:val="Tablecolhead"/>
            </w:pPr>
          </w:p>
        </w:tc>
        <w:tc>
          <w:tcPr>
            <w:tcW w:w="1843" w:type="dxa"/>
            <w:vAlign w:val="center"/>
          </w:tcPr>
          <w:p w14:paraId="2BE2A854" w14:textId="77777777" w:rsidR="00E9700E" w:rsidRPr="00176D37" w:rsidRDefault="00E9700E" w:rsidP="005B1CFD">
            <w:pPr>
              <w:pStyle w:val="Tablecolhead"/>
              <w:rPr>
                <w:bCs/>
              </w:rPr>
            </w:pPr>
            <w:r w:rsidRPr="00176D37">
              <w:rPr>
                <w:bCs/>
              </w:rPr>
              <w:t xml:space="preserve">Initially an issue </w:t>
            </w:r>
          </w:p>
          <w:p w14:paraId="31607702" w14:textId="77777777" w:rsidR="00E9700E" w:rsidRPr="00176D37" w:rsidRDefault="00E9700E" w:rsidP="005B1CFD">
            <w:pPr>
              <w:pStyle w:val="Tablecolhead"/>
            </w:pPr>
            <w:r w:rsidRPr="00176D37">
              <w:t>n (%)</w:t>
            </w:r>
          </w:p>
        </w:tc>
        <w:tc>
          <w:tcPr>
            <w:tcW w:w="1701" w:type="dxa"/>
            <w:vAlign w:val="center"/>
          </w:tcPr>
          <w:p w14:paraId="5CC24F0F" w14:textId="77777777" w:rsidR="00E9700E" w:rsidRPr="00176D37" w:rsidRDefault="00E9700E" w:rsidP="005B1CFD">
            <w:pPr>
              <w:pStyle w:val="Tablecolhead"/>
              <w:rPr>
                <w:bCs/>
              </w:rPr>
            </w:pPr>
            <w:r w:rsidRPr="00176D37">
              <w:rPr>
                <w:bCs/>
              </w:rPr>
              <w:t>Ongoing issue</w:t>
            </w:r>
          </w:p>
          <w:p w14:paraId="255FC94B" w14:textId="77777777" w:rsidR="00E9700E" w:rsidRPr="00176D37" w:rsidRDefault="00E9700E" w:rsidP="005B1CFD">
            <w:pPr>
              <w:pStyle w:val="Tablecolhead"/>
            </w:pPr>
            <w:r w:rsidRPr="00176D37">
              <w:t>n (%)</w:t>
            </w:r>
          </w:p>
        </w:tc>
        <w:tc>
          <w:tcPr>
            <w:tcW w:w="1701" w:type="dxa"/>
            <w:vAlign w:val="center"/>
          </w:tcPr>
          <w:p w14:paraId="66BA09BA" w14:textId="77777777" w:rsidR="00E9700E" w:rsidRPr="00176D37" w:rsidRDefault="00E9700E" w:rsidP="005B1CFD">
            <w:pPr>
              <w:pStyle w:val="Tablecolhead"/>
              <w:rPr>
                <w:bCs/>
              </w:rPr>
            </w:pPr>
            <w:r w:rsidRPr="00176D37">
              <w:rPr>
                <w:bCs/>
              </w:rPr>
              <w:t>Never an issue</w:t>
            </w:r>
          </w:p>
          <w:p w14:paraId="0A14095A" w14:textId="77777777" w:rsidR="00E9700E" w:rsidRPr="00176D37" w:rsidRDefault="00E9700E" w:rsidP="005B1CFD">
            <w:pPr>
              <w:pStyle w:val="Tablecolhead"/>
            </w:pPr>
            <w:r w:rsidRPr="00176D37">
              <w:t>n (%)</w:t>
            </w:r>
          </w:p>
        </w:tc>
      </w:tr>
      <w:tr w:rsidR="00E9700E" w:rsidRPr="00176D37" w14:paraId="70DEC70C" w14:textId="77777777" w:rsidTr="00A173F8">
        <w:tc>
          <w:tcPr>
            <w:tcW w:w="3539" w:type="dxa"/>
          </w:tcPr>
          <w:p w14:paraId="43DA365A" w14:textId="77777777" w:rsidR="00E9700E" w:rsidRPr="00176D37" w:rsidRDefault="00E9700E" w:rsidP="005B1CFD">
            <w:pPr>
              <w:pStyle w:val="Tabletext"/>
            </w:pPr>
            <w:r w:rsidRPr="00176D37">
              <w:t>Battery life</w:t>
            </w:r>
            <w:r w:rsidRPr="00176D37">
              <w:rPr>
                <w:rStyle w:val="FootnoteReference"/>
                <w:rFonts w:cs="Arial"/>
              </w:rPr>
              <w:footnoteReference w:id="17"/>
            </w:r>
          </w:p>
        </w:tc>
        <w:tc>
          <w:tcPr>
            <w:tcW w:w="1843" w:type="dxa"/>
          </w:tcPr>
          <w:p w14:paraId="2563F942" w14:textId="77777777" w:rsidR="00E9700E" w:rsidRPr="00176D37" w:rsidRDefault="00E9700E" w:rsidP="009742AB">
            <w:pPr>
              <w:pStyle w:val="Tabletext"/>
              <w:jc w:val="right"/>
            </w:pPr>
            <w:r w:rsidRPr="00176D37">
              <w:t>1 (6%)</w:t>
            </w:r>
          </w:p>
        </w:tc>
        <w:tc>
          <w:tcPr>
            <w:tcW w:w="1701" w:type="dxa"/>
          </w:tcPr>
          <w:p w14:paraId="075E154C" w14:textId="77777777" w:rsidR="00E9700E" w:rsidRPr="00176D37" w:rsidRDefault="00E9700E" w:rsidP="009742AB">
            <w:pPr>
              <w:pStyle w:val="Tabletext"/>
              <w:jc w:val="right"/>
            </w:pPr>
            <w:r w:rsidRPr="00176D37">
              <w:t>3 (18%)</w:t>
            </w:r>
          </w:p>
        </w:tc>
        <w:tc>
          <w:tcPr>
            <w:tcW w:w="1701" w:type="dxa"/>
          </w:tcPr>
          <w:p w14:paraId="3F63C08D" w14:textId="77777777" w:rsidR="00E9700E" w:rsidRPr="00176D37" w:rsidRDefault="00E9700E" w:rsidP="009742AB">
            <w:pPr>
              <w:pStyle w:val="Tabletext"/>
              <w:jc w:val="right"/>
            </w:pPr>
            <w:r w:rsidRPr="00176D37">
              <w:t>1 (6%)</w:t>
            </w:r>
          </w:p>
        </w:tc>
      </w:tr>
      <w:tr w:rsidR="00E9700E" w:rsidRPr="00176D37" w14:paraId="68515440" w14:textId="77777777" w:rsidTr="00A173F8">
        <w:tc>
          <w:tcPr>
            <w:tcW w:w="3539" w:type="dxa"/>
          </w:tcPr>
          <w:p w14:paraId="2D8711CB" w14:textId="77777777" w:rsidR="00E9700E" w:rsidRPr="00176D37" w:rsidRDefault="00E9700E" w:rsidP="005B1CFD">
            <w:pPr>
              <w:pStyle w:val="Tabletext"/>
            </w:pPr>
            <w:r w:rsidRPr="00176D37">
              <w:t>Wi-Fi outages</w:t>
            </w:r>
          </w:p>
        </w:tc>
        <w:tc>
          <w:tcPr>
            <w:tcW w:w="1843" w:type="dxa"/>
          </w:tcPr>
          <w:p w14:paraId="31C26B18" w14:textId="77777777" w:rsidR="00E9700E" w:rsidRPr="00176D37" w:rsidRDefault="00E9700E" w:rsidP="009742AB">
            <w:pPr>
              <w:pStyle w:val="Tabletext"/>
              <w:jc w:val="right"/>
            </w:pPr>
            <w:r w:rsidRPr="00176D37">
              <w:t>1 (6%)</w:t>
            </w:r>
          </w:p>
        </w:tc>
        <w:tc>
          <w:tcPr>
            <w:tcW w:w="1701" w:type="dxa"/>
          </w:tcPr>
          <w:p w14:paraId="0A93431A" w14:textId="77777777" w:rsidR="00E9700E" w:rsidRPr="00176D37" w:rsidRDefault="00E9700E" w:rsidP="009742AB">
            <w:pPr>
              <w:pStyle w:val="Tabletext"/>
              <w:jc w:val="right"/>
            </w:pPr>
            <w:r w:rsidRPr="00176D37">
              <w:t>5 (29%)</w:t>
            </w:r>
          </w:p>
        </w:tc>
        <w:tc>
          <w:tcPr>
            <w:tcW w:w="1701" w:type="dxa"/>
          </w:tcPr>
          <w:p w14:paraId="4E81E595" w14:textId="77777777" w:rsidR="00E9700E" w:rsidRPr="00176D37" w:rsidRDefault="00E9700E" w:rsidP="009742AB">
            <w:pPr>
              <w:pStyle w:val="Tabletext"/>
              <w:jc w:val="right"/>
            </w:pPr>
            <w:r w:rsidRPr="00176D37">
              <w:t>3 (18%)</w:t>
            </w:r>
          </w:p>
        </w:tc>
      </w:tr>
      <w:tr w:rsidR="00E9700E" w:rsidRPr="00176D37" w14:paraId="45DFA0FA" w14:textId="77777777" w:rsidTr="00A173F8">
        <w:tc>
          <w:tcPr>
            <w:tcW w:w="3539" w:type="dxa"/>
          </w:tcPr>
          <w:p w14:paraId="131A1443" w14:textId="77777777" w:rsidR="00E9700E" w:rsidRPr="00176D37" w:rsidRDefault="00E9700E" w:rsidP="005B1CFD">
            <w:pPr>
              <w:pStyle w:val="Tabletext"/>
            </w:pPr>
            <w:r w:rsidRPr="00176D37">
              <w:t>Misaligned labels</w:t>
            </w:r>
          </w:p>
        </w:tc>
        <w:tc>
          <w:tcPr>
            <w:tcW w:w="1843" w:type="dxa"/>
          </w:tcPr>
          <w:p w14:paraId="6A880F3A" w14:textId="77777777" w:rsidR="00E9700E" w:rsidRPr="00176D37" w:rsidRDefault="00E9700E" w:rsidP="009742AB">
            <w:pPr>
              <w:pStyle w:val="Tabletext"/>
              <w:jc w:val="right"/>
            </w:pPr>
            <w:r w:rsidRPr="00176D37">
              <w:t>4 (24%)</w:t>
            </w:r>
          </w:p>
        </w:tc>
        <w:tc>
          <w:tcPr>
            <w:tcW w:w="1701" w:type="dxa"/>
          </w:tcPr>
          <w:p w14:paraId="00BD0974" w14:textId="77777777" w:rsidR="00E9700E" w:rsidRPr="00176D37" w:rsidRDefault="00E9700E" w:rsidP="009742AB">
            <w:pPr>
              <w:pStyle w:val="Tabletext"/>
              <w:jc w:val="right"/>
            </w:pPr>
            <w:r w:rsidRPr="00176D37">
              <w:t>6 (35%)</w:t>
            </w:r>
          </w:p>
        </w:tc>
        <w:tc>
          <w:tcPr>
            <w:tcW w:w="1701" w:type="dxa"/>
          </w:tcPr>
          <w:p w14:paraId="6F205166" w14:textId="77777777" w:rsidR="00E9700E" w:rsidRPr="00176D37" w:rsidRDefault="00E9700E" w:rsidP="009742AB">
            <w:pPr>
              <w:pStyle w:val="Tabletext"/>
              <w:jc w:val="right"/>
            </w:pPr>
            <w:r w:rsidRPr="00176D37">
              <w:t>2 (12%)</w:t>
            </w:r>
          </w:p>
        </w:tc>
      </w:tr>
      <w:tr w:rsidR="00E9700E" w:rsidRPr="00176D37" w14:paraId="2C1C54DF" w14:textId="77777777" w:rsidTr="00A173F8">
        <w:tc>
          <w:tcPr>
            <w:tcW w:w="3539" w:type="dxa"/>
          </w:tcPr>
          <w:p w14:paraId="2F2F83FE" w14:textId="77777777" w:rsidR="00E9700E" w:rsidRPr="00176D37" w:rsidRDefault="00E9700E" w:rsidP="005B1CFD">
            <w:pPr>
              <w:pStyle w:val="Tabletext"/>
            </w:pPr>
            <w:r w:rsidRPr="00176D37">
              <w:t>Printing quality</w:t>
            </w:r>
          </w:p>
        </w:tc>
        <w:tc>
          <w:tcPr>
            <w:tcW w:w="1843" w:type="dxa"/>
          </w:tcPr>
          <w:p w14:paraId="4CE773B3" w14:textId="77777777" w:rsidR="00E9700E" w:rsidRPr="00176D37" w:rsidRDefault="00E9700E" w:rsidP="009742AB">
            <w:pPr>
              <w:pStyle w:val="Tabletext"/>
              <w:jc w:val="right"/>
            </w:pPr>
            <w:r w:rsidRPr="00176D37">
              <w:t>3 (18%)</w:t>
            </w:r>
          </w:p>
        </w:tc>
        <w:tc>
          <w:tcPr>
            <w:tcW w:w="1701" w:type="dxa"/>
          </w:tcPr>
          <w:p w14:paraId="664E7E5B" w14:textId="77777777" w:rsidR="00E9700E" w:rsidRPr="00176D37" w:rsidRDefault="00E9700E" w:rsidP="009742AB">
            <w:pPr>
              <w:pStyle w:val="Tabletext"/>
              <w:jc w:val="right"/>
            </w:pPr>
            <w:r w:rsidRPr="00176D37">
              <w:t>5 (29%)</w:t>
            </w:r>
          </w:p>
        </w:tc>
        <w:tc>
          <w:tcPr>
            <w:tcW w:w="1701" w:type="dxa"/>
          </w:tcPr>
          <w:p w14:paraId="6C524B36" w14:textId="77777777" w:rsidR="00E9700E" w:rsidRPr="00176D37" w:rsidRDefault="00E9700E" w:rsidP="009742AB">
            <w:pPr>
              <w:pStyle w:val="Tabletext"/>
              <w:jc w:val="right"/>
            </w:pPr>
            <w:r w:rsidRPr="00176D37">
              <w:t>2 (12%)</w:t>
            </w:r>
          </w:p>
        </w:tc>
      </w:tr>
      <w:tr w:rsidR="00E9700E" w:rsidRPr="00176D37" w14:paraId="04549939" w14:textId="77777777" w:rsidTr="00A173F8">
        <w:tc>
          <w:tcPr>
            <w:tcW w:w="3539" w:type="dxa"/>
          </w:tcPr>
          <w:p w14:paraId="55F0CB66" w14:textId="77777777" w:rsidR="00E9700E" w:rsidRPr="00176D37" w:rsidRDefault="00E9700E" w:rsidP="005B1CFD">
            <w:pPr>
              <w:pStyle w:val="Tabletext"/>
            </w:pPr>
            <w:r w:rsidRPr="00176D37">
              <w:t>Printer queues</w:t>
            </w:r>
          </w:p>
        </w:tc>
        <w:tc>
          <w:tcPr>
            <w:tcW w:w="1843" w:type="dxa"/>
          </w:tcPr>
          <w:p w14:paraId="11B7E079" w14:textId="77777777" w:rsidR="00E9700E" w:rsidRPr="00176D37" w:rsidRDefault="00E9700E" w:rsidP="009742AB">
            <w:pPr>
              <w:pStyle w:val="Tabletext"/>
              <w:jc w:val="right"/>
            </w:pPr>
            <w:r w:rsidRPr="00176D37">
              <w:t>1 (6%)</w:t>
            </w:r>
          </w:p>
        </w:tc>
        <w:tc>
          <w:tcPr>
            <w:tcW w:w="1701" w:type="dxa"/>
          </w:tcPr>
          <w:p w14:paraId="562B4252" w14:textId="77777777" w:rsidR="00E9700E" w:rsidRPr="00176D37" w:rsidRDefault="00E9700E" w:rsidP="009742AB">
            <w:pPr>
              <w:pStyle w:val="Tabletext"/>
              <w:jc w:val="right"/>
            </w:pPr>
            <w:r w:rsidRPr="00176D37">
              <w:t>4 (24%)</w:t>
            </w:r>
          </w:p>
        </w:tc>
        <w:tc>
          <w:tcPr>
            <w:tcW w:w="1701" w:type="dxa"/>
          </w:tcPr>
          <w:p w14:paraId="549C1EC0" w14:textId="77777777" w:rsidR="00E9700E" w:rsidRPr="00176D37" w:rsidRDefault="00E9700E" w:rsidP="009742AB">
            <w:pPr>
              <w:pStyle w:val="Tabletext"/>
              <w:jc w:val="right"/>
            </w:pPr>
            <w:r w:rsidRPr="00176D37">
              <w:t>5 (29%)</w:t>
            </w:r>
          </w:p>
        </w:tc>
      </w:tr>
      <w:tr w:rsidR="00E9700E" w:rsidRPr="00176D37" w14:paraId="2E00FF49" w14:textId="77777777" w:rsidTr="00A173F8">
        <w:tc>
          <w:tcPr>
            <w:tcW w:w="3539" w:type="dxa"/>
          </w:tcPr>
          <w:p w14:paraId="3C86E1A5" w14:textId="77777777" w:rsidR="00E9700E" w:rsidRPr="00176D37" w:rsidRDefault="00E9700E" w:rsidP="005B1CFD">
            <w:pPr>
              <w:pStyle w:val="Tabletext"/>
            </w:pPr>
            <w:r w:rsidRPr="00176D37">
              <w:t>Uncollected labels</w:t>
            </w:r>
          </w:p>
        </w:tc>
        <w:tc>
          <w:tcPr>
            <w:tcW w:w="1843" w:type="dxa"/>
          </w:tcPr>
          <w:p w14:paraId="1D8B4ACA" w14:textId="77777777" w:rsidR="00E9700E" w:rsidRPr="00176D37" w:rsidRDefault="00E9700E" w:rsidP="009742AB">
            <w:pPr>
              <w:pStyle w:val="Tabletext"/>
              <w:jc w:val="right"/>
            </w:pPr>
            <w:r w:rsidRPr="00176D37">
              <w:t>1 (6%)</w:t>
            </w:r>
          </w:p>
        </w:tc>
        <w:tc>
          <w:tcPr>
            <w:tcW w:w="1701" w:type="dxa"/>
          </w:tcPr>
          <w:p w14:paraId="03C0E4AE" w14:textId="77777777" w:rsidR="00E9700E" w:rsidRPr="00176D37" w:rsidRDefault="00E9700E" w:rsidP="009742AB">
            <w:pPr>
              <w:pStyle w:val="Tabletext"/>
              <w:jc w:val="right"/>
            </w:pPr>
            <w:r w:rsidRPr="00176D37">
              <w:t>5 (29%)</w:t>
            </w:r>
          </w:p>
        </w:tc>
        <w:tc>
          <w:tcPr>
            <w:tcW w:w="1701" w:type="dxa"/>
          </w:tcPr>
          <w:p w14:paraId="1A118AA8" w14:textId="77777777" w:rsidR="00E9700E" w:rsidRPr="00176D37" w:rsidRDefault="00E9700E" w:rsidP="009742AB">
            <w:pPr>
              <w:pStyle w:val="Tabletext"/>
              <w:jc w:val="right"/>
            </w:pPr>
            <w:r w:rsidRPr="00176D37">
              <w:t>5 (29%)</w:t>
            </w:r>
          </w:p>
        </w:tc>
      </w:tr>
      <w:tr w:rsidR="00E9700E" w:rsidRPr="00176D37" w14:paraId="1BDE562A" w14:textId="77777777" w:rsidTr="00A173F8">
        <w:tc>
          <w:tcPr>
            <w:tcW w:w="3539" w:type="dxa"/>
          </w:tcPr>
          <w:p w14:paraId="774E6C75" w14:textId="77777777" w:rsidR="00E9700E" w:rsidRPr="00176D37" w:rsidRDefault="00E9700E" w:rsidP="005B1CFD">
            <w:pPr>
              <w:pStyle w:val="Tabletext"/>
            </w:pPr>
            <w:r w:rsidRPr="00176D37">
              <w:t>Incorrect printer selected</w:t>
            </w:r>
          </w:p>
        </w:tc>
        <w:tc>
          <w:tcPr>
            <w:tcW w:w="1843" w:type="dxa"/>
          </w:tcPr>
          <w:p w14:paraId="16A3B5A6" w14:textId="77777777" w:rsidR="00E9700E" w:rsidRPr="00176D37" w:rsidRDefault="00E9700E" w:rsidP="009742AB">
            <w:pPr>
              <w:pStyle w:val="Tabletext"/>
              <w:jc w:val="right"/>
            </w:pPr>
            <w:r w:rsidRPr="00176D37">
              <w:t>2 (12%)</w:t>
            </w:r>
          </w:p>
        </w:tc>
        <w:tc>
          <w:tcPr>
            <w:tcW w:w="1701" w:type="dxa"/>
          </w:tcPr>
          <w:p w14:paraId="217C5F93" w14:textId="77777777" w:rsidR="00E9700E" w:rsidRPr="00176D37" w:rsidRDefault="00E9700E" w:rsidP="009742AB">
            <w:pPr>
              <w:pStyle w:val="Tabletext"/>
              <w:jc w:val="right"/>
            </w:pPr>
            <w:r w:rsidRPr="00176D37">
              <w:t>6 (35%)</w:t>
            </w:r>
          </w:p>
        </w:tc>
        <w:tc>
          <w:tcPr>
            <w:tcW w:w="1701" w:type="dxa"/>
          </w:tcPr>
          <w:p w14:paraId="3B6B3BB5" w14:textId="77777777" w:rsidR="00E9700E" w:rsidRPr="00176D37" w:rsidRDefault="00E9700E" w:rsidP="009742AB">
            <w:pPr>
              <w:pStyle w:val="Tabletext"/>
              <w:jc w:val="right"/>
            </w:pPr>
            <w:r w:rsidRPr="00176D37">
              <w:t>2 (12%)</w:t>
            </w:r>
          </w:p>
        </w:tc>
      </w:tr>
      <w:tr w:rsidR="00E9700E" w:rsidRPr="00176D37" w14:paraId="1C23DE7C" w14:textId="77777777" w:rsidTr="00A173F8">
        <w:tc>
          <w:tcPr>
            <w:tcW w:w="3539" w:type="dxa"/>
          </w:tcPr>
          <w:p w14:paraId="3B9C40B5" w14:textId="77777777" w:rsidR="00E9700E" w:rsidRPr="00176D37" w:rsidRDefault="00E9700E" w:rsidP="005B1CFD">
            <w:pPr>
              <w:pStyle w:val="Tabletext"/>
            </w:pPr>
            <w:r w:rsidRPr="00176D37">
              <w:t>Extra specimen labels printed</w:t>
            </w:r>
          </w:p>
        </w:tc>
        <w:tc>
          <w:tcPr>
            <w:tcW w:w="1843" w:type="dxa"/>
          </w:tcPr>
          <w:p w14:paraId="746B231D" w14:textId="77777777" w:rsidR="00E9700E" w:rsidRPr="00176D37" w:rsidRDefault="00E9700E" w:rsidP="009742AB">
            <w:pPr>
              <w:pStyle w:val="Tabletext"/>
              <w:jc w:val="right"/>
            </w:pPr>
            <w:r w:rsidRPr="00176D37">
              <w:t>-</w:t>
            </w:r>
          </w:p>
        </w:tc>
        <w:tc>
          <w:tcPr>
            <w:tcW w:w="1701" w:type="dxa"/>
          </w:tcPr>
          <w:p w14:paraId="4D2EF4B0" w14:textId="77777777" w:rsidR="00E9700E" w:rsidRPr="00176D37" w:rsidRDefault="00E9700E" w:rsidP="009742AB">
            <w:pPr>
              <w:pStyle w:val="Tabletext"/>
              <w:jc w:val="right"/>
            </w:pPr>
            <w:r w:rsidRPr="00176D37">
              <w:t>1 (6%)</w:t>
            </w:r>
          </w:p>
        </w:tc>
        <w:tc>
          <w:tcPr>
            <w:tcW w:w="1701" w:type="dxa"/>
          </w:tcPr>
          <w:p w14:paraId="1D6DE62C" w14:textId="77777777" w:rsidR="00E9700E" w:rsidRPr="00176D37" w:rsidRDefault="00E9700E" w:rsidP="009742AB">
            <w:pPr>
              <w:pStyle w:val="Tabletext"/>
              <w:jc w:val="right"/>
            </w:pPr>
            <w:r w:rsidRPr="00176D37">
              <w:t>1 (6%)</w:t>
            </w:r>
          </w:p>
        </w:tc>
      </w:tr>
    </w:tbl>
    <w:p w14:paraId="271AECE0" w14:textId="28E8014C" w:rsidR="00E9700E" w:rsidRPr="00176D37" w:rsidRDefault="00E9700E" w:rsidP="009742AB">
      <w:pPr>
        <w:pStyle w:val="Bodyaftertablefigure"/>
      </w:pPr>
      <w:r w:rsidRPr="00176D37">
        <w:t xml:space="preserve">The greatest ongoing issues with printing labels </w:t>
      </w:r>
      <w:r w:rsidR="005C7ADA">
        <w:t>are</w:t>
      </w:r>
      <w:r w:rsidRPr="00176D37">
        <w:t xml:space="preserve"> misaligned </w:t>
      </w:r>
      <w:r w:rsidR="001343FD" w:rsidRPr="00176D37">
        <w:t>labels</w:t>
      </w:r>
      <w:r w:rsidR="001343FD">
        <w:t xml:space="preserve"> and </w:t>
      </w:r>
      <w:r w:rsidR="00EF5C3D">
        <w:t>selecting the incorrect printer</w:t>
      </w:r>
      <w:r w:rsidR="001343FD">
        <w:t>. Others include Wi-Fi outages, printing quality</w:t>
      </w:r>
      <w:r w:rsidRPr="00176D37">
        <w:t xml:space="preserve"> and uncollected labels. Many of the label printing issues reported can </w:t>
      </w:r>
      <w:r w:rsidR="005C7ADA">
        <w:t>affect</w:t>
      </w:r>
      <w:r w:rsidR="005C7ADA" w:rsidRPr="00176D37">
        <w:t xml:space="preserve"> </w:t>
      </w:r>
      <w:r w:rsidRPr="00176D37">
        <w:t xml:space="preserve">not only </w:t>
      </w:r>
      <w:proofErr w:type="gramStart"/>
      <w:r w:rsidR="005B1CFD" w:rsidRPr="00176D37">
        <w:t>efficiency, but</w:t>
      </w:r>
      <w:proofErr w:type="gramEnd"/>
      <w:r w:rsidRPr="00176D37">
        <w:t xml:space="preserve"> could result in risks to patient safety by selecting incorrect labels.</w:t>
      </w:r>
    </w:p>
    <w:p w14:paraId="4EFE1F32" w14:textId="69D61092" w:rsidR="00E9700E" w:rsidRPr="00176D37" w:rsidRDefault="00E9700E" w:rsidP="005B1CFD">
      <w:pPr>
        <w:pStyle w:val="Body"/>
        <w:rPr>
          <w:color w:val="4F81BD" w:themeColor="accent1"/>
        </w:rPr>
      </w:pPr>
      <w:r w:rsidRPr="00176D37">
        <w:t xml:space="preserve">Two health services (12 per cent) reported the EMR </w:t>
      </w:r>
      <w:r w:rsidR="005C7ADA">
        <w:t xml:space="preserve">font on </w:t>
      </w:r>
      <w:r w:rsidRPr="00176D37">
        <w:t xml:space="preserve">printed specimen labels was too small. One health service also noted that the labels were easily smudged. This is </w:t>
      </w:r>
      <w:r w:rsidR="00011362">
        <w:t>not in line with</w:t>
      </w:r>
      <w:r w:rsidRPr="00176D37">
        <w:t xml:space="preserve"> the ANZSBT guidelines</w:t>
      </w:r>
      <w:r w:rsidR="00011362">
        <w:t>,</w:t>
      </w:r>
      <w:r w:rsidRPr="00176D37">
        <w:t xml:space="preserve"> which state that samples, </w:t>
      </w:r>
      <w:proofErr w:type="gramStart"/>
      <w:r w:rsidRPr="00176D37">
        <w:t>labels</w:t>
      </w:r>
      <w:proofErr w:type="gramEnd"/>
      <w:r w:rsidRPr="00176D37">
        <w:t xml:space="preserve"> and blood products must have written identification visible at all times so that identification can be performed or confirmed manually </w:t>
      </w:r>
      <w:r w:rsidR="00011362" w:rsidRPr="00176D37">
        <w:rPr>
          <w:noProof/>
        </w:rPr>
        <w:t>(ANZSBT 2021)</w:t>
      </w:r>
      <w:r w:rsidRPr="00176D37">
        <w:t>. If the font is too small or smudged</w:t>
      </w:r>
      <w:r w:rsidR="00011362">
        <w:t>,</w:t>
      </w:r>
      <w:r w:rsidRPr="00176D37">
        <w:t xml:space="preserve"> the </w:t>
      </w:r>
      <w:r w:rsidR="00EF5C3D">
        <w:t>printed</w:t>
      </w:r>
      <w:r w:rsidRPr="00176D37">
        <w:t xml:space="preserve"> ID is ineffective</w:t>
      </w:r>
      <w:r w:rsidRPr="009742AB">
        <w:t>.</w:t>
      </w:r>
    </w:p>
    <w:p w14:paraId="05FFA87E" w14:textId="01ECDA76" w:rsidR="00E9700E" w:rsidRPr="00176D37" w:rsidRDefault="00E9700E" w:rsidP="005B1CFD">
      <w:pPr>
        <w:pStyle w:val="Body"/>
      </w:pPr>
      <w:r w:rsidRPr="00176D37">
        <w:t>In addition, one health service reported that the laboratory accession (specimen) number is not always printed on the specimen label as it should be, as per ANZSBT</w:t>
      </w:r>
      <w:r w:rsidR="0093336E">
        <w:t xml:space="preserve"> 2021</w:t>
      </w:r>
      <w:r w:rsidRPr="00176D37">
        <w:t xml:space="preserve"> guidelines.</w:t>
      </w:r>
    </w:p>
    <w:p w14:paraId="3BEFAFC2" w14:textId="2ED996EF" w:rsidR="00E9700E" w:rsidRPr="00176D37" w:rsidRDefault="00E9700E" w:rsidP="005B1CFD">
      <w:pPr>
        <w:pStyle w:val="Body"/>
      </w:pPr>
      <w:r w:rsidRPr="00176D37">
        <w:t xml:space="preserve">Various issues have been identified depending on where labels are printed, as outlined below in </w:t>
      </w:r>
      <w:r w:rsidRPr="00176D37">
        <w:fldChar w:fldCharType="begin"/>
      </w:r>
      <w:r w:rsidRPr="00176D37">
        <w:instrText xml:space="preserve"> REF _Ref100829833 \h  \* MERGEFORMAT </w:instrText>
      </w:r>
      <w:r w:rsidRPr="00176D37">
        <w:fldChar w:fldCharType="separate"/>
      </w:r>
      <w:r w:rsidR="00E73E2F" w:rsidRPr="00176D37">
        <w:t xml:space="preserve">Table </w:t>
      </w:r>
      <w:r w:rsidR="00E73E2F">
        <w:rPr>
          <w:noProof/>
        </w:rPr>
        <w:t>21</w:t>
      </w:r>
      <w:r w:rsidRPr="00176D37">
        <w:fldChar w:fldCharType="end"/>
      </w:r>
      <w:r w:rsidRPr="00176D37">
        <w:t xml:space="preserve">, </w:t>
      </w:r>
      <w:r w:rsidRPr="00176D37">
        <w:fldChar w:fldCharType="begin"/>
      </w:r>
      <w:r w:rsidRPr="00176D37">
        <w:instrText xml:space="preserve"> REF _Ref100829835 \h  \* MERGEFORMAT </w:instrText>
      </w:r>
      <w:r w:rsidRPr="00176D37">
        <w:fldChar w:fldCharType="separate"/>
      </w:r>
      <w:r w:rsidR="00E73E2F" w:rsidRPr="00176D37">
        <w:t xml:space="preserve">Table </w:t>
      </w:r>
      <w:r w:rsidR="00E73E2F">
        <w:rPr>
          <w:noProof/>
        </w:rPr>
        <w:t>22</w:t>
      </w:r>
      <w:r w:rsidRPr="00176D37">
        <w:fldChar w:fldCharType="end"/>
      </w:r>
      <w:r w:rsidRPr="00176D37">
        <w:t xml:space="preserve"> and </w:t>
      </w:r>
      <w:r w:rsidRPr="00176D37">
        <w:fldChar w:fldCharType="begin"/>
      </w:r>
      <w:r w:rsidRPr="00176D37">
        <w:instrText xml:space="preserve"> REF _Ref100829839 \h  \* MERGEFORMAT </w:instrText>
      </w:r>
      <w:r w:rsidRPr="00176D37">
        <w:fldChar w:fldCharType="separate"/>
      </w:r>
      <w:r w:rsidR="00E73E2F" w:rsidRPr="00176D37">
        <w:t xml:space="preserve">Table </w:t>
      </w:r>
      <w:r w:rsidR="00E73E2F">
        <w:rPr>
          <w:noProof/>
        </w:rPr>
        <w:t>23</w:t>
      </w:r>
      <w:r w:rsidRPr="00176D37">
        <w:fldChar w:fldCharType="end"/>
      </w:r>
      <w:r w:rsidRPr="00176D37">
        <w:t xml:space="preserve">  </w:t>
      </w:r>
      <w:r w:rsidR="00011362" w:rsidRPr="00176D37">
        <w:rPr>
          <w:noProof/>
        </w:rPr>
        <w:t>(Verrall 2019)</w:t>
      </w:r>
      <w:r w:rsidRPr="00176D37">
        <w:t xml:space="preserve">. </w:t>
      </w:r>
    </w:p>
    <w:p w14:paraId="33A1DBFB" w14:textId="3DF950B9" w:rsidR="00B63F6D" w:rsidRDefault="00B63F6D">
      <w:pPr>
        <w:spacing w:after="0" w:line="240" w:lineRule="auto"/>
        <w:rPr>
          <w:rFonts w:eastAsia="MS Mincho"/>
          <w:b/>
          <w:bCs/>
          <w:iCs/>
          <w:color w:val="000000" w:themeColor="text1"/>
          <w:szCs w:val="26"/>
        </w:rPr>
      </w:pPr>
      <w:r w:rsidRPr="00B63F6D">
        <w:t>WBITs have been detected when staff have reprinted labels using the same laboratory accession number (Verrall 2019).</w:t>
      </w:r>
      <w:r>
        <w:br w:type="page"/>
      </w:r>
    </w:p>
    <w:p w14:paraId="753671FA" w14:textId="51F15DA1" w:rsidR="00E9700E" w:rsidRPr="00A67CDB" w:rsidRDefault="00E9700E" w:rsidP="00A67CDB">
      <w:pPr>
        <w:pStyle w:val="Heading5"/>
      </w:pPr>
      <w:r w:rsidRPr="00A67CDB">
        <w:lastRenderedPageBreak/>
        <w:t xml:space="preserve">Labels printed at a central printer </w:t>
      </w:r>
    </w:p>
    <w:p w14:paraId="44BF6F1E" w14:textId="680AB4FE" w:rsidR="00E9700E" w:rsidRPr="00176D37" w:rsidRDefault="00E9700E" w:rsidP="005B1CFD">
      <w:pPr>
        <w:pStyle w:val="Tablecaption"/>
      </w:pPr>
      <w:bookmarkStart w:id="133" w:name="_Ref100829833"/>
      <w:bookmarkStart w:id="134" w:name="_Ref100829826"/>
      <w:bookmarkStart w:id="135" w:name="_Hlk100829397"/>
      <w:r w:rsidRPr="00176D37">
        <w:t xml:space="preserve">Table </w:t>
      </w:r>
      <w:r w:rsidR="00F751A0">
        <w:fldChar w:fldCharType="begin"/>
      </w:r>
      <w:r w:rsidR="00F751A0">
        <w:instrText xml:space="preserve"> SEQ Table \* ARABIC </w:instrText>
      </w:r>
      <w:r w:rsidR="00F751A0">
        <w:fldChar w:fldCharType="separate"/>
      </w:r>
      <w:r w:rsidR="00E73E2F">
        <w:rPr>
          <w:noProof/>
        </w:rPr>
        <w:t>21</w:t>
      </w:r>
      <w:r w:rsidR="00F751A0">
        <w:rPr>
          <w:noProof/>
        </w:rPr>
        <w:fldChar w:fldCharType="end"/>
      </w:r>
      <w:bookmarkEnd w:id="133"/>
      <w:r w:rsidRPr="00176D37">
        <w:t>: Issues relating to labels printed at a central computer</w:t>
      </w:r>
      <w:bookmarkEnd w:id="134"/>
    </w:p>
    <w:tbl>
      <w:tblPr>
        <w:tblStyle w:val="TableGrid"/>
        <w:tblW w:w="9493" w:type="dxa"/>
        <w:tblLook w:val="04A0" w:firstRow="1" w:lastRow="0" w:firstColumn="1" w:lastColumn="0" w:noHBand="0" w:noVBand="1"/>
      </w:tblPr>
      <w:tblGrid>
        <w:gridCol w:w="4248"/>
        <w:gridCol w:w="5245"/>
      </w:tblGrid>
      <w:tr w:rsidR="00E9700E" w:rsidRPr="00176D37" w14:paraId="4DD6174B" w14:textId="77777777" w:rsidTr="009742AB">
        <w:trPr>
          <w:tblHeader/>
        </w:trPr>
        <w:tc>
          <w:tcPr>
            <w:tcW w:w="4248" w:type="dxa"/>
          </w:tcPr>
          <w:p w14:paraId="7F16AFEE" w14:textId="77777777" w:rsidR="00E9700E" w:rsidRPr="00176D37" w:rsidRDefault="00E9700E" w:rsidP="005B1CFD">
            <w:pPr>
              <w:pStyle w:val="Tablecolhead"/>
            </w:pPr>
            <w:r w:rsidRPr="00176D37">
              <w:t>Issue</w:t>
            </w:r>
          </w:p>
        </w:tc>
        <w:tc>
          <w:tcPr>
            <w:tcW w:w="5245" w:type="dxa"/>
          </w:tcPr>
          <w:p w14:paraId="24683C17" w14:textId="77777777" w:rsidR="00E9700E" w:rsidRPr="00176D37" w:rsidRDefault="00E9700E" w:rsidP="005B1CFD">
            <w:pPr>
              <w:pStyle w:val="Tablecolhead"/>
            </w:pPr>
            <w:r w:rsidRPr="00176D37">
              <w:t>Potential consequence</w:t>
            </w:r>
          </w:p>
        </w:tc>
      </w:tr>
      <w:tr w:rsidR="00011362" w:rsidRPr="00176D37" w14:paraId="4933D1D8" w14:textId="77777777" w:rsidTr="009742AB">
        <w:tc>
          <w:tcPr>
            <w:tcW w:w="4248" w:type="dxa"/>
          </w:tcPr>
          <w:p w14:paraId="0C68ABC2" w14:textId="277E6022" w:rsidR="00011362" w:rsidRPr="00176D37" w:rsidRDefault="00011362" w:rsidP="009742AB">
            <w:pPr>
              <w:pStyle w:val="Tabletext"/>
            </w:pPr>
            <w:r w:rsidRPr="00176D37">
              <w:t>Delay in collecting labels from the printer, or multiple staff printing labels at the same time</w:t>
            </w:r>
          </w:p>
        </w:tc>
        <w:tc>
          <w:tcPr>
            <w:tcW w:w="5245" w:type="dxa"/>
          </w:tcPr>
          <w:p w14:paraId="38D76F33" w14:textId="77777777" w:rsidR="00011362" w:rsidRPr="00011362" w:rsidRDefault="00011362" w:rsidP="009742AB">
            <w:pPr>
              <w:pStyle w:val="Tablebullet1"/>
            </w:pPr>
            <w:r w:rsidRPr="00011362">
              <w:t>Multiple patient labels being attached to each other waiting to be collected</w:t>
            </w:r>
          </w:p>
          <w:p w14:paraId="3BD1CF45" w14:textId="77777777" w:rsidR="00011362" w:rsidRPr="00011362" w:rsidRDefault="00011362" w:rsidP="009742AB">
            <w:pPr>
              <w:pStyle w:val="Tablebullet1"/>
            </w:pPr>
            <w:r w:rsidRPr="00011362">
              <w:t>Wrong patient’s labels removed from the printer along with some of the correct patient’s labels</w:t>
            </w:r>
          </w:p>
          <w:p w14:paraId="2691FA15" w14:textId="7B095870" w:rsidR="00011362" w:rsidRPr="00011362" w:rsidRDefault="00011362" w:rsidP="009742AB">
            <w:pPr>
              <w:pStyle w:val="Tablebullet1"/>
            </w:pPr>
            <w:r w:rsidRPr="00011362">
              <w:t>Wrong patient’s labels used for some specimens along with some correct patient’s labels</w:t>
            </w:r>
          </w:p>
        </w:tc>
      </w:tr>
      <w:tr w:rsidR="00011362" w:rsidRPr="00176D37" w14:paraId="51AA2411" w14:textId="77777777" w:rsidTr="009742AB">
        <w:tc>
          <w:tcPr>
            <w:tcW w:w="4248" w:type="dxa"/>
          </w:tcPr>
          <w:p w14:paraId="261618D9" w14:textId="77777777" w:rsidR="00011362" w:rsidRPr="00176D37" w:rsidRDefault="00011362" w:rsidP="00011362">
            <w:pPr>
              <w:pStyle w:val="Tabletext"/>
            </w:pPr>
            <w:r w:rsidRPr="00176D37">
              <w:t>Printed labels being placed in pre-prepared blood taking trays</w:t>
            </w:r>
          </w:p>
        </w:tc>
        <w:tc>
          <w:tcPr>
            <w:tcW w:w="5245" w:type="dxa"/>
          </w:tcPr>
          <w:p w14:paraId="38C3FC13" w14:textId="77777777" w:rsidR="00011362" w:rsidRPr="00011362" w:rsidRDefault="00011362" w:rsidP="009742AB">
            <w:pPr>
              <w:pStyle w:val="Tablebullet1"/>
            </w:pPr>
            <w:r w:rsidRPr="00011362">
              <w:t>The incorrect pre-prepared blood tray or labels being taken to the wrong patient</w:t>
            </w:r>
          </w:p>
        </w:tc>
      </w:tr>
      <w:tr w:rsidR="00011362" w:rsidRPr="00176D37" w14:paraId="77FF5D20" w14:textId="77777777" w:rsidTr="009742AB">
        <w:tc>
          <w:tcPr>
            <w:tcW w:w="4248" w:type="dxa"/>
          </w:tcPr>
          <w:p w14:paraId="07367EBD" w14:textId="77777777" w:rsidR="00011362" w:rsidRPr="00176D37" w:rsidRDefault="00011362" w:rsidP="00011362">
            <w:pPr>
              <w:pStyle w:val="Tabletext"/>
            </w:pPr>
            <w:r w:rsidRPr="00176D37">
              <w:t>Hospital phlebotomists printing multiple labels for different patients prior to collecting blood specimens</w:t>
            </w:r>
          </w:p>
        </w:tc>
        <w:tc>
          <w:tcPr>
            <w:tcW w:w="5245" w:type="dxa"/>
          </w:tcPr>
          <w:p w14:paraId="50A8D4FA" w14:textId="77777777" w:rsidR="00011362" w:rsidRPr="00011362" w:rsidRDefault="00011362" w:rsidP="009742AB">
            <w:pPr>
              <w:pStyle w:val="Tablebullet1"/>
            </w:pPr>
            <w:r w:rsidRPr="00011362">
              <w:t>Incorrect labels being used for the patient being bled</w:t>
            </w:r>
          </w:p>
        </w:tc>
      </w:tr>
      <w:tr w:rsidR="00011362" w:rsidRPr="00176D37" w14:paraId="504B31AF" w14:textId="77777777" w:rsidTr="009742AB">
        <w:tc>
          <w:tcPr>
            <w:tcW w:w="4248" w:type="dxa"/>
          </w:tcPr>
          <w:p w14:paraId="1AA47A75" w14:textId="77777777" w:rsidR="00011362" w:rsidRPr="00176D37" w:rsidRDefault="00011362" w:rsidP="00011362">
            <w:pPr>
              <w:pStyle w:val="Tabletext"/>
            </w:pPr>
            <w:r w:rsidRPr="00176D37">
              <w:t>Unlabelled specimens removed from patient side to label at the printer</w:t>
            </w:r>
          </w:p>
        </w:tc>
        <w:tc>
          <w:tcPr>
            <w:tcW w:w="5245" w:type="dxa"/>
          </w:tcPr>
          <w:p w14:paraId="32FA8849" w14:textId="2CBDB948" w:rsidR="00011362" w:rsidRPr="00011362" w:rsidRDefault="00011362" w:rsidP="009742AB">
            <w:pPr>
              <w:pStyle w:val="Tablebullet1"/>
            </w:pPr>
            <w:r w:rsidRPr="00011362">
              <w:t>This may involve overriding the PPID in the system</w:t>
            </w:r>
          </w:p>
        </w:tc>
      </w:tr>
    </w:tbl>
    <w:bookmarkEnd w:id="135"/>
    <w:p w14:paraId="63374A17" w14:textId="77777777" w:rsidR="00E9700E" w:rsidRPr="005B1CFD" w:rsidRDefault="00E9700E" w:rsidP="00A67CDB">
      <w:pPr>
        <w:pStyle w:val="Heading5"/>
      </w:pPr>
      <w:r w:rsidRPr="005B1CFD">
        <w:t>Labels printed at the patient’s side by a wireless/battery operated printer</w:t>
      </w:r>
    </w:p>
    <w:p w14:paraId="5B224592" w14:textId="72B22B51" w:rsidR="00E9700E" w:rsidRPr="00176D37" w:rsidRDefault="00E9700E" w:rsidP="005B1CFD">
      <w:pPr>
        <w:pStyle w:val="Tablecaption"/>
      </w:pPr>
      <w:bookmarkStart w:id="136" w:name="_Ref100829835"/>
      <w:r w:rsidRPr="00176D37">
        <w:t xml:space="preserve">Table </w:t>
      </w:r>
      <w:r w:rsidR="00F751A0">
        <w:fldChar w:fldCharType="begin"/>
      </w:r>
      <w:r w:rsidR="00F751A0">
        <w:instrText xml:space="preserve"> SEQ Table \* ARABIC </w:instrText>
      </w:r>
      <w:r w:rsidR="00F751A0">
        <w:fldChar w:fldCharType="separate"/>
      </w:r>
      <w:r w:rsidR="00E73E2F">
        <w:rPr>
          <w:noProof/>
        </w:rPr>
        <w:t>22</w:t>
      </w:r>
      <w:r w:rsidR="00F751A0">
        <w:rPr>
          <w:noProof/>
        </w:rPr>
        <w:fldChar w:fldCharType="end"/>
      </w:r>
      <w:bookmarkEnd w:id="136"/>
      <w:r w:rsidRPr="00176D37">
        <w:t>: Issues relating to labels printed at the patient's side by a wireless/battery operated printer</w:t>
      </w:r>
    </w:p>
    <w:tbl>
      <w:tblPr>
        <w:tblStyle w:val="TableGrid"/>
        <w:tblW w:w="0" w:type="auto"/>
        <w:tblLook w:val="04A0" w:firstRow="1" w:lastRow="0" w:firstColumn="1" w:lastColumn="0" w:noHBand="0" w:noVBand="1"/>
      </w:tblPr>
      <w:tblGrid>
        <w:gridCol w:w="4192"/>
        <w:gridCol w:w="5096"/>
      </w:tblGrid>
      <w:tr w:rsidR="00E9700E" w:rsidRPr="00B63F6D" w14:paraId="4226F1D7" w14:textId="77777777" w:rsidTr="009742AB">
        <w:trPr>
          <w:tblHeader/>
        </w:trPr>
        <w:tc>
          <w:tcPr>
            <w:tcW w:w="4192" w:type="dxa"/>
          </w:tcPr>
          <w:p w14:paraId="4CD3DD7C" w14:textId="77777777" w:rsidR="00E9700E" w:rsidRPr="00B63F6D" w:rsidRDefault="00E9700E" w:rsidP="005B1CFD">
            <w:pPr>
              <w:pStyle w:val="Tablecolhead"/>
              <w:rPr>
                <w:sz w:val="20"/>
              </w:rPr>
            </w:pPr>
            <w:r w:rsidRPr="00B63F6D">
              <w:rPr>
                <w:sz w:val="20"/>
              </w:rPr>
              <w:t>Issue</w:t>
            </w:r>
          </w:p>
        </w:tc>
        <w:tc>
          <w:tcPr>
            <w:tcW w:w="5096" w:type="dxa"/>
          </w:tcPr>
          <w:p w14:paraId="76E4CA04" w14:textId="77777777" w:rsidR="00E9700E" w:rsidRPr="00B63F6D" w:rsidRDefault="00E9700E" w:rsidP="005B1CFD">
            <w:pPr>
              <w:pStyle w:val="Tablecolhead"/>
              <w:rPr>
                <w:sz w:val="20"/>
              </w:rPr>
            </w:pPr>
            <w:r w:rsidRPr="00B63F6D">
              <w:rPr>
                <w:sz w:val="20"/>
              </w:rPr>
              <w:t>Potential consequence</w:t>
            </w:r>
          </w:p>
        </w:tc>
      </w:tr>
      <w:tr w:rsidR="00011362" w:rsidRPr="00B63F6D" w14:paraId="7EF2BC2E" w14:textId="77777777" w:rsidTr="00011362">
        <w:tc>
          <w:tcPr>
            <w:tcW w:w="4192" w:type="dxa"/>
          </w:tcPr>
          <w:p w14:paraId="6E7521C0" w14:textId="26C5C96C" w:rsidR="00011362" w:rsidRPr="00B63F6D" w:rsidRDefault="00011362" w:rsidP="009742AB">
            <w:pPr>
              <w:pStyle w:val="Tabletext"/>
              <w:rPr>
                <w:sz w:val="20"/>
              </w:rPr>
            </w:pPr>
            <w:r w:rsidRPr="00B63F6D">
              <w:rPr>
                <w:sz w:val="20"/>
              </w:rPr>
              <w:t>Printer batteries low on charge/printers not being returned to charger</w:t>
            </w:r>
          </w:p>
        </w:tc>
        <w:tc>
          <w:tcPr>
            <w:tcW w:w="5096" w:type="dxa"/>
          </w:tcPr>
          <w:p w14:paraId="5D10F223" w14:textId="77777777" w:rsidR="00011362" w:rsidRPr="00B63F6D" w:rsidRDefault="00011362" w:rsidP="009742AB">
            <w:pPr>
              <w:pStyle w:val="Tablebullet1"/>
              <w:rPr>
                <w:sz w:val="20"/>
              </w:rPr>
            </w:pPr>
            <w:r w:rsidRPr="00B63F6D">
              <w:rPr>
                <w:sz w:val="20"/>
              </w:rPr>
              <w:t>Mobile printer not available when required</w:t>
            </w:r>
          </w:p>
          <w:p w14:paraId="1E9CC308" w14:textId="7040DC79" w:rsidR="00011362" w:rsidRPr="00B63F6D" w:rsidRDefault="00011362" w:rsidP="009742AB">
            <w:pPr>
              <w:pStyle w:val="Tablebullet1"/>
              <w:rPr>
                <w:sz w:val="20"/>
              </w:rPr>
            </w:pPr>
            <w:r w:rsidRPr="00B63F6D">
              <w:rPr>
                <w:sz w:val="20"/>
              </w:rPr>
              <w:t>Unlabelled specimens removed from patient side</w:t>
            </w:r>
          </w:p>
        </w:tc>
      </w:tr>
      <w:tr w:rsidR="00011362" w:rsidRPr="00B63F6D" w14:paraId="3BBD0276" w14:textId="77777777" w:rsidTr="00011362">
        <w:tc>
          <w:tcPr>
            <w:tcW w:w="4192" w:type="dxa"/>
          </w:tcPr>
          <w:p w14:paraId="1F9ED076" w14:textId="70924079" w:rsidR="00011362" w:rsidRPr="00B63F6D" w:rsidRDefault="00011362" w:rsidP="00011362">
            <w:pPr>
              <w:pStyle w:val="Tabletext"/>
              <w:rPr>
                <w:sz w:val="20"/>
              </w:rPr>
            </w:pPr>
            <w:r w:rsidRPr="00B63F6D">
              <w:rPr>
                <w:sz w:val="20"/>
              </w:rPr>
              <w:t>Inability to find mobile printers</w:t>
            </w:r>
          </w:p>
        </w:tc>
        <w:tc>
          <w:tcPr>
            <w:tcW w:w="5096" w:type="dxa"/>
          </w:tcPr>
          <w:p w14:paraId="47E90F69" w14:textId="77777777" w:rsidR="00011362" w:rsidRPr="00B63F6D" w:rsidRDefault="00011362" w:rsidP="00011362">
            <w:pPr>
              <w:pStyle w:val="Tablebullet1"/>
              <w:rPr>
                <w:sz w:val="20"/>
              </w:rPr>
            </w:pPr>
            <w:r w:rsidRPr="00B63F6D">
              <w:rPr>
                <w:sz w:val="20"/>
              </w:rPr>
              <w:t>Mobile printer not available when required</w:t>
            </w:r>
          </w:p>
          <w:p w14:paraId="2AAFF7AA" w14:textId="6FA0B460" w:rsidR="00011362" w:rsidRPr="00B63F6D" w:rsidRDefault="00011362" w:rsidP="00011362">
            <w:pPr>
              <w:pStyle w:val="Tablebullet1"/>
              <w:rPr>
                <w:sz w:val="20"/>
              </w:rPr>
            </w:pPr>
            <w:r w:rsidRPr="00B63F6D">
              <w:rPr>
                <w:sz w:val="20"/>
              </w:rPr>
              <w:t>Unlabelled specimens removed from patient side</w:t>
            </w:r>
          </w:p>
        </w:tc>
      </w:tr>
      <w:tr w:rsidR="00011362" w:rsidRPr="00B63F6D" w14:paraId="15710A00" w14:textId="77777777" w:rsidTr="00011362">
        <w:tc>
          <w:tcPr>
            <w:tcW w:w="4192" w:type="dxa"/>
          </w:tcPr>
          <w:p w14:paraId="416751E7" w14:textId="54B128DE" w:rsidR="00011362" w:rsidRPr="00B63F6D" w:rsidRDefault="00011362" w:rsidP="00011362">
            <w:pPr>
              <w:pStyle w:val="Tabletext"/>
              <w:rPr>
                <w:sz w:val="20"/>
              </w:rPr>
            </w:pPr>
            <w:r w:rsidRPr="00B63F6D">
              <w:rPr>
                <w:sz w:val="20"/>
              </w:rPr>
              <w:t>Inability to print due to wireless black spots/ printer going offline</w:t>
            </w:r>
          </w:p>
        </w:tc>
        <w:tc>
          <w:tcPr>
            <w:tcW w:w="5096" w:type="dxa"/>
          </w:tcPr>
          <w:p w14:paraId="43415AEA" w14:textId="77777777" w:rsidR="00011362" w:rsidRPr="00B63F6D" w:rsidRDefault="00011362" w:rsidP="00011362">
            <w:pPr>
              <w:pStyle w:val="Tablebullet1"/>
              <w:rPr>
                <w:sz w:val="20"/>
              </w:rPr>
            </w:pPr>
            <w:r w:rsidRPr="00B63F6D">
              <w:rPr>
                <w:sz w:val="20"/>
              </w:rPr>
              <w:t>Mobile printer not available when required</w:t>
            </w:r>
          </w:p>
          <w:p w14:paraId="4637241E" w14:textId="77777777" w:rsidR="00011362" w:rsidRPr="00B63F6D" w:rsidRDefault="00011362" w:rsidP="00011362">
            <w:pPr>
              <w:pStyle w:val="Tablebullet1"/>
              <w:rPr>
                <w:sz w:val="20"/>
              </w:rPr>
            </w:pPr>
            <w:r w:rsidRPr="00B63F6D">
              <w:rPr>
                <w:sz w:val="20"/>
              </w:rPr>
              <w:t>When the printer comes back online, multiple patient labels printing (queuing)</w:t>
            </w:r>
          </w:p>
          <w:p w14:paraId="6DAD4A3E" w14:textId="77777777" w:rsidR="00011362" w:rsidRPr="00B63F6D" w:rsidRDefault="00011362" w:rsidP="00011362">
            <w:pPr>
              <w:pStyle w:val="Tablebullet1"/>
              <w:rPr>
                <w:sz w:val="20"/>
              </w:rPr>
            </w:pPr>
            <w:r w:rsidRPr="00B63F6D">
              <w:rPr>
                <w:sz w:val="20"/>
              </w:rPr>
              <w:t>Multiple patient labels being attached to each other waiting to be collected</w:t>
            </w:r>
          </w:p>
          <w:p w14:paraId="33BDDA6B" w14:textId="6F7A671F" w:rsidR="00011362" w:rsidRPr="00B63F6D" w:rsidRDefault="00011362" w:rsidP="00011362">
            <w:pPr>
              <w:pStyle w:val="Tablebullet1"/>
              <w:rPr>
                <w:sz w:val="20"/>
              </w:rPr>
            </w:pPr>
            <w:r w:rsidRPr="00B63F6D">
              <w:rPr>
                <w:sz w:val="20"/>
              </w:rPr>
              <w:t>Wrong patient’s labels removed from the printer along with some of the correct patient’s labels</w:t>
            </w:r>
          </w:p>
        </w:tc>
      </w:tr>
    </w:tbl>
    <w:p w14:paraId="517D6C23" w14:textId="77777777" w:rsidR="00E9700E" w:rsidRPr="00690E4F" w:rsidRDefault="00E9700E" w:rsidP="00A67CDB">
      <w:pPr>
        <w:pStyle w:val="Heading5"/>
      </w:pPr>
      <w:r w:rsidRPr="00690E4F">
        <w:t>Printed either from a central printer or printed at the patient’s side</w:t>
      </w:r>
    </w:p>
    <w:p w14:paraId="53AA5A2C" w14:textId="064D0AB2" w:rsidR="00E9700E" w:rsidRDefault="00E9700E" w:rsidP="00690E4F">
      <w:pPr>
        <w:pStyle w:val="Tablecaption"/>
      </w:pPr>
      <w:bookmarkStart w:id="137" w:name="_Ref100829839"/>
      <w:r w:rsidRPr="00176D37">
        <w:t xml:space="preserve">Table </w:t>
      </w:r>
      <w:r w:rsidR="00F751A0">
        <w:fldChar w:fldCharType="begin"/>
      </w:r>
      <w:r w:rsidR="00F751A0">
        <w:instrText xml:space="preserve"> SEQ Table \* ARABIC </w:instrText>
      </w:r>
      <w:r w:rsidR="00F751A0">
        <w:fldChar w:fldCharType="separate"/>
      </w:r>
      <w:r w:rsidR="00E73E2F">
        <w:rPr>
          <w:noProof/>
        </w:rPr>
        <w:t>23</w:t>
      </w:r>
      <w:r w:rsidR="00F751A0">
        <w:rPr>
          <w:noProof/>
        </w:rPr>
        <w:fldChar w:fldCharType="end"/>
      </w:r>
      <w:bookmarkEnd w:id="137"/>
      <w:r w:rsidRPr="00176D37">
        <w:t>: Issues relating to labels printed either from a central printer or printed at the patient’s side</w:t>
      </w:r>
    </w:p>
    <w:tbl>
      <w:tblPr>
        <w:tblStyle w:val="TableGrid"/>
        <w:tblW w:w="9209" w:type="dxa"/>
        <w:tblLook w:val="04A0" w:firstRow="1" w:lastRow="0" w:firstColumn="1" w:lastColumn="0" w:noHBand="0" w:noVBand="1"/>
      </w:tblPr>
      <w:tblGrid>
        <w:gridCol w:w="4106"/>
        <w:gridCol w:w="5103"/>
      </w:tblGrid>
      <w:tr w:rsidR="00E9700E" w:rsidRPr="00B63F6D" w14:paraId="5AF55194" w14:textId="77777777" w:rsidTr="009742AB">
        <w:trPr>
          <w:tblHeader/>
        </w:trPr>
        <w:tc>
          <w:tcPr>
            <w:tcW w:w="4106" w:type="dxa"/>
          </w:tcPr>
          <w:p w14:paraId="4952338F" w14:textId="77777777" w:rsidR="00E9700E" w:rsidRPr="00B63F6D" w:rsidRDefault="00E9700E" w:rsidP="00690E4F">
            <w:pPr>
              <w:pStyle w:val="Tablecolhead"/>
              <w:rPr>
                <w:sz w:val="20"/>
              </w:rPr>
            </w:pPr>
            <w:bookmarkStart w:id="138" w:name="_Hlk100830352"/>
            <w:r w:rsidRPr="00B63F6D">
              <w:rPr>
                <w:sz w:val="20"/>
              </w:rPr>
              <w:t>Issue</w:t>
            </w:r>
          </w:p>
        </w:tc>
        <w:tc>
          <w:tcPr>
            <w:tcW w:w="5103" w:type="dxa"/>
          </w:tcPr>
          <w:p w14:paraId="7190CC2A" w14:textId="77777777" w:rsidR="00E9700E" w:rsidRPr="00B63F6D" w:rsidRDefault="00E9700E" w:rsidP="00690E4F">
            <w:pPr>
              <w:pStyle w:val="Tablecolhead"/>
              <w:rPr>
                <w:sz w:val="20"/>
              </w:rPr>
            </w:pPr>
            <w:r w:rsidRPr="00B63F6D">
              <w:rPr>
                <w:sz w:val="20"/>
              </w:rPr>
              <w:t>Potential consequence</w:t>
            </w:r>
          </w:p>
        </w:tc>
      </w:tr>
      <w:tr w:rsidR="00011362" w:rsidRPr="00B63F6D" w14:paraId="19C42F55" w14:textId="77777777" w:rsidTr="00182564">
        <w:tc>
          <w:tcPr>
            <w:tcW w:w="4106" w:type="dxa"/>
          </w:tcPr>
          <w:p w14:paraId="77E11E76" w14:textId="1DA2D056" w:rsidR="00011362" w:rsidRPr="00B63F6D" w:rsidRDefault="00011362" w:rsidP="00011362">
            <w:pPr>
              <w:pStyle w:val="Tabletext"/>
              <w:rPr>
                <w:sz w:val="20"/>
              </w:rPr>
            </w:pPr>
            <w:r w:rsidRPr="00B63F6D">
              <w:rPr>
                <w:sz w:val="20"/>
              </w:rPr>
              <w:t>Delay in printing labels and queuing of printing labels</w:t>
            </w:r>
          </w:p>
          <w:p w14:paraId="20A3A2F4" w14:textId="77777777" w:rsidR="00011362" w:rsidRPr="00B63F6D" w:rsidRDefault="00011362" w:rsidP="009742AB">
            <w:pPr>
              <w:pStyle w:val="Tabletext"/>
              <w:rPr>
                <w:sz w:val="20"/>
              </w:rPr>
            </w:pPr>
          </w:p>
        </w:tc>
        <w:tc>
          <w:tcPr>
            <w:tcW w:w="5103" w:type="dxa"/>
          </w:tcPr>
          <w:p w14:paraId="73A16B86" w14:textId="77777777" w:rsidR="00011362" w:rsidRPr="00B63F6D" w:rsidRDefault="00011362" w:rsidP="009742AB">
            <w:pPr>
              <w:pStyle w:val="Tablebullet1"/>
              <w:rPr>
                <w:sz w:val="20"/>
              </w:rPr>
            </w:pPr>
            <w:r w:rsidRPr="00B63F6D">
              <w:rPr>
                <w:sz w:val="20"/>
              </w:rPr>
              <w:t>Unlabelled specimens removed from patient side</w:t>
            </w:r>
          </w:p>
          <w:p w14:paraId="3A595474" w14:textId="77777777" w:rsidR="00011362" w:rsidRPr="00B63F6D" w:rsidRDefault="00011362" w:rsidP="009742AB">
            <w:pPr>
              <w:pStyle w:val="Tablebullet1"/>
              <w:rPr>
                <w:sz w:val="20"/>
              </w:rPr>
            </w:pPr>
            <w:r w:rsidRPr="00B63F6D">
              <w:rPr>
                <w:sz w:val="20"/>
              </w:rPr>
              <w:t>Multiple patient labels being attached to each other waiting to be collected</w:t>
            </w:r>
          </w:p>
          <w:p w14:paraId="40AF2250" w14:textId="1824A29A" w:rsidR="00011362" w:rsidRPr="00B63F6D" w:rsidRDefault="00011362" w:rsidP="009742AB">
            <w:pPr>
              <w:pStyle w:val="Tablebullet1"/>
              <w:rPr>
                <w:sz w:val="20"/>
              </w:rPr>
            </w:pPr>
            <w:r w:rsidRPr="00B63F6D">
              <w:rPr>
                <w:sz w:val="20"/>
              </w:rPr>
              <w:t>Wrong patient’s labels removed from the printer along with some of the correct patient’s labels</w:t>
            </w:r>
          </w:p>
        </w:tc>
      </w:tr>
      <w:tr w:rsidR="00011362" w:rsidRPr="00B63F6D" w14:paraId="71877AF1" w14:textId="77777777" w:rsidTr="00182564">
        <w:tc>
          <w:tcPr>
            <w:tcW w:w="4106" w:type="dxa"/>
          </w:tcPr>
          <w:p w14:paraId="1EA62BBF" w14:textId="042307AE" w:rsidR="00011362" w:rsidRPr="00B63F6D" w:rsidRDefault="00011362" w:rsidP="00011362">
            <w:pPr>
              <w:pStyle w:val="Tabletext"/>
              <w:rPr>
                <w:sz w:val="20"/>
              </w:rPr>
            </w:pPr>
            <w:r w:rsidRPr="00B63F6D">
              <w:rPr>
                <w:sz w:val="20"/>
              </w:rPr>
              <w:lastRenderedPageBreak/>
              <w:t>Accidently selecting the wrong printer from a list of printers</w:t>
            </w:r>
          </w:p>
        </w:tc>
        <w:tc>
          <w:tcPr>
            <w:tcW w:w="5103" w:type="dxa"/>
          </w:tcPr>
          <w:p w14:paraId="660FA0BF" w14:textId="77777777" w:rsidR="00011362" w:rsidRPr="00B63F6D" w:rsidRDefault="00011362" w:rsidP="00011362">
            <w:pPr>
              <w:pStyle w:val="Tablebullet1"/>
              <w:rPr>
                <w:sz w:val="20"/>
              </w:rPr>
            </w:pPr>
            <w:r w:rsidRPr="00B63F6D">
              <w:rPr>
                <w:sz w:val="20"/>
              </w:rPr>
              <w:t>Unlabelled specimens removed from patient side</w:t>
            </w:r>
          </w:p>
          <w:p w14:paraId="67E90591" w14:textId="53B6BFB4" w:rsidR="00011362" w:rsidRPr="00B63F6D" w:rsidRDefault="00011362" w:rsidP="00011362">
            <w:pPr>
              <w:pStyle w:val="Tablebullet1"/>
              <w:rPr>
                <w:sz w:val="20"/>
              </w:rPr>
            </w:pPr>
            <w:r w:rsidRPr="00B63F6D">
              <w:rPr>
                <w:sz w:val="20"/>
              </w:rPr>
              <w:t>Multiple patient labels being attached to each other waiting to be collected</w:t>
            </w:r>
          </w:p>
        </w:tc>
      </w:tr>
      <w:tr w:rsidR="00E9700E" w:rsidRPr="00B63F6D" w14:paraId="4056D356" w14:textId="77777777" w:rsidTr="00182564">
        <w:tc>
          <w:tcPr>
            <w:tcW w:w="4106" w:type="dxa"/>
          </w:tcPr>
          <w:p w14:paraId="0EE7D9FC" w14:textId="77777777" w:rsidR="00E9700E" w:rsidRPr="00B63F6D" w:rsidRDefault="00E9700E" w:rsidP="00690E4F">
            <w:pPr>
              <w:pStyle w:val="Tabletext"/>
              <w:rPr>
                <w:sz w:val="20"/>
              </w:rPr>
            </w:pPr>
            <w:r w:rsidRPr="00B63F6D">
              <w:rPr>
                <w:sz w:val="20"/>
              </w:rPr>
              <w:t>The wrong labels being collected from the printer</w:t>
            </w:r>
          </w:p>
        </w:tc>
        <w:tc>
          <w:tcPr>
            <w:tcW w:w="5103" w:type="dxa"/>
          </w:tcPr>
          <w:p w14:paraId="6FA24C52" w14:textId="77777777" w:rsidR="00E9700E" w:rsidRPr="00B63F6D" w:rsidRDefault="00E9700E" w:rsidP="009742AB">
            <w:pPr>
              <w:pStyle w:val="Tablebullet1"/>
              <w:rPr>
                <w:sz w:val="20"/>
              </w:rPr>
            </w:pPr>
            <w:r w:rsidRPr="00B63F6D">
              <w:rPr>
                <w:sz w:val="20"/>
              </w:rPr>
              <w:t>Incorrect labels being used for the patient being bled</w:t>
            </w:r>
          </w:p>
        </w:tc>
      </w:tr>
      <w:tr w:rsidR="00E9700E" w:rsidRPr="00B63F6D" w14:paraId="1B3AFADB" w14:textId="77777777" w:rsidTr="00182564">
        <w:tc>
          <w:tcPr>
            <w:tcW w:w="4106" w:type="dxa"/>
          </w:tcPr>
          <w:p w14:paraId="5DF6534C" w14:textId="77777777" w:rsidR="00E9700E" w:rsidRPr="00B63F6D" w:rsidRDefault="00E9700E" w:rsidP="00690E4F">
            <w:pPr>
              <w:pStyle w:val="Tabletext"/>
              <w:rPr>
                <w:sz w:val="20"/>
              </w:rPr>
            </w:pPr>
            <w:r w:rsidRPr="00B63F6D">
              <w:rPr>
                <w:sz w:val="20"/>
              </w:rPr>
              <w:t>Incorrect patient labels printed</w:t>
            </w:r>
          </w:p>
        </w:tc>
        <w:tc>
          <w:tcPr>
            <w:tcW w:w="5103" w:type="dxa"/>
          </w:tcPr>
          <w:p w14:paraId="4DE66845" w14:textId="77777777" w:rsidR="00E9700E" w:rsidRPr="00B63F6D" w:rsidRDefault="00E9700E" w:rsidP="009742AB">
            <w:pPr>
              <w:pStyle w:val="Tablebullet1"/>
              <w:rPr>
                <w:sz w:val="20"/>
              </w:rPr>
            </w:pPr>
            <w:r w:rsidRPr="00B63F6D">
              <w:rPr>
                <w:sz w:val="20"/>
              </w:rPr>
              <w:t>Incorrect labels being used for the patient being bled</w:t>
            </w:r>
          </w:p>
        </w:tc>
      </w:tr>
      <w:tr w:rsidR="00011362" w:rsidRPr="00B63F6D" w14:paraId="01A8724D" w14:textId="77777777" w:rsidTr="00182564">
        <w:tc>
          <w:tcPr>
            <w:tcW w:w="4106" w:type="dxa"/>
          </w:tcPr>
          <w:p w14:paraId="7AF71F41" w14:textId="77777777" w:rsidR="00011362" w:rsidRPr="00B63F6D" w:rsidRDefault="00011362" w:rsidP="00011362">
            <w:pPr>
              <w:pStyle w:val="Tabletext"/>
              <w:rPr>
                <w:rFonts w:cs="Arial"/>
                <w:sz w:val="20"/>
              </w:rPr>
            </w:pPr>
            <w:r w:rsidRPr="00B63F6D">
              <w:rPr>
                <w:rFonts w:cs="Arial"/>
                <w:sz w:val="20"/>
              </w:rPr>
              <w:t>Print on the labels being small or smudged, making it difficult to read</w:t>
            </w:r>
          </w:p>
          <w:p w14:paraId="13BB0BF0" w14:textId="77777777" w:rsidR="00011362" w:rsidRPr="00B63F6D" w:rsidRDefault="00011362" w:rsidP="00690E4F">
            <w:pPr>
              <w:pStyle w:val="Tabletext"/>
              <w:rPr>
                <w:sz w:val="20"/>
              </w:rPr>
            </w:pPr>
          </w:p>
        </w:tc>
        <w:tc>
          <w:tcPr>
            <w:tcW w:w="5103" w:type="dxa"/>
          </w:tcPr>
          <w:p w14:paraId="7BFDEE82" w14:textId="77777777" w:rsidR="00011362" w:rsidRPr="00B63F6D" w:rsidRDefault="00011362" w:rsidP="00011362">
            <w:pPr>
              <w:pStyle w:val="Tablebullet1"/>
              <w:rPr>
                <w:sz w:val="20"/>
              </w:rPr>
            </w:pPr>
            <w:r w:rsidRPr="00B63F6D">
              <w:rPr>
                <w:rFonts w:cs="Arial"/>
                <w:sz w:val="20"/>
              </w:rPr>
              <w:t>Correct checking procedures not followed</w:t>
            </w:r>
          </w:p>
          <w:p w14:paraId="09C5BB20" w14:textId="44121809" w:rsidR="00011362" w:rsidRPr="00B63F6D" w:rsidRDefault="00011362" w:rsidP="00011362">
            <w:pPr>
              <w:pStyle w:val="Tablebullet1"/>
              <w:rPr>
                <w:sz w:val="20"/>
              </w:rPr>
            </w:pPr>
            <w:r w:rsidRPr="00B63F6D">
              <w:rPr>
                <w:rFonts w:cs="Arial"/>
                <w:sz w:val="20"/>
              </w:rPr>
              <w:t>Specimens rejected by laboratory due to inability to meet labelling requirements</w:t>
            </w:r>
          </w:p>
        </w:tc>
      </w:tr>
      <w:tr w:rsidR="00011362" w:rsidRPr="00B63F6D" w14:paraId="77609D91" w14:textId="77777777" w:rsidTr="00182564">
        <w:tc>
          <w:tcPr>
            <w:tcW w:w="4106" w:type="dxa"/>
          </w:tcPr>
          <w:p w14:paraId="75C99FFB" w14:textId="5F20AE1B" w:rsidR="00011362" w:rsidRPr="00B63F6D" w:rsidRDefault="00011362" w:rsidP="00011362">
            <w:pPr>
              <w:pStyle w:val="Tabletext"/>
              <w:rPr>
                <w:rFonts w:cs="Arial"/>
                <w:sz w:val="20"/>
              </w:rPr>
            </w:pPr>
            <w:r w:rsidRPr="00B63F6D">
              <w:rPr>
                <w:rFonts w:cs="Arial"/>
                <w:sz w:val="20"/>
              </w:rPr>
              <w:t>The roll of blank labels being inserted into printer incorrectly resulting in patient details printing at an angle and/or missing letters of the patient’s name on the label</w:t>
            </w:r>
          </w:p>
        </w:tc>
        <w:tc>
          <w:tcPr>
            <w:tcW w:w="5103" w:type="dxa"/>
          </w:tcPr>
          <w:p w14:paraId="787DF41A" w14:textId="77777777" w:rsidR="00011362" w:rsidRPr="00B63F6D" w:rsidRDefault="00011362" w:rsidP="00011362">
            <w:pPr>
              <w:pStyle w:val="Tablebullet1"/>
              <w:rPr>
                <w:rFonts w:cs="Arial"/>
                <w:sz w:val="20"/>
              </w:rPr>
            </w:pPr>
            <w:r w:rsidRPr="00B63F6D">
              <w:rPr>
                <w:rFonts w:cs="Arial"/>
                <w:sz w:val="20"/>
              </w:rPr>
              <w:t>Correct checking procedures not followed</w:t>
            </w:r>
          </w:p>
          <w:p w14:paraId="530B664E" w14:textId="018BD7E1" w:rsidR="00011362" w:rsidRPr="00B63F6D" w:rsidRDefault="00011362" w:rsidP="00011362">
            <w:pPr>
              <w:pStyle w:val="Tablebullet1"/>
              <w:rPr>
                <w:rFonts w:cs="Arial"/>
                <w:sz w:val="20"/>
              </w:rPr>
            </w:pPr>
            <w:r w:rsidRPr="00B63F6D">
              <w:rPr>
                <w:rFonts w:cs="Arial"/>
                <w:sz w:val="20"/>
              </w:rPr>
              <w:t>Specimens rejected by laboratory due to inability to meet labelling requirements</w:t>
            </w:r>
          </w:p>
        </w:tc>
      </w:tr>
      <w:tr w:rsidR="00011362" w:rsidRPr="00B63F6D" w14:paraId="3E231056" w14:textId="77777777" w:rsidTr="00182564">
        <w:tc>
          <w:tcPr>
            <w:tcW w:w="4106" w:type="dxa"/>
          </w:tcPr>
          <w:p w14:paraId="7590567F" w14:textId="7EE83422" w:rsidR="00011362" w:rsidRPr="00B63F6D" w:rsidRDefault="00011362" w:rsidP="00011362">
            <w:pPr>
              <w:pStyle w:val="Tabletext"/>
              <w:rPr>
                <w:rFonts w:cs="Arial"/>
                <w:sz w:val="20"/>
              </w:rPr>
            </w:pPr>
            <w:r w:rsidRPr="00B63F6D">
              <w:rPr>
                <w:rFonts w:cs="Arial"/>
                <w:sz w:val="20"/>
              </w:rPr>
              <w:t>Double</w:t>
            </w:r>
            <w:r w:rsidR="00B4635A" w:rsidRPr="00B63F6D">
              <w:rPr>
                <w:rFonts w:cs="Arial"/>
                <w:sz w:val="20"/>
              </w:rPr>
              <w:t xml:space="preserve"> </w:t>
            </w:r>
            <w:r w:rsidRPr="00B63F6D">
              <w:rPr>
                <w:rFonts w:cs="Arial"/>
                <w:sz w:val="20"/>
              </w:rPr>
              <w:t>labelling of specimens if staff initially label the tubes by hand or with a patient addressograph label if a printing error occurs</w:t>
            </w:r>
          </w:p>
        </w:tc>
        <w:tc>
          <w:tcPr>
            <w:tcW w:w="5103" w:type="dxa"/>
          </w:tcPr>
          <w:p w14:paraId="3D53424B" w14:textId="116C5F3B" w:rsidR="00011362" w:rsidRPr="00B63F6D" w:rsidRDefault="00011362" w:rsidP="00011362">
            <w:pPr>
              <w:pStyle w:val="Tablebullet1"/>
              <w:rPr>
                <w:rFonts w:cs="Arial"/>
                <w:sz w:val="20"/>
              </w:rPr>
            </w:pPr>
            <w:r w:rsidRPr="00B63F6D">
              <w:rPr>
                <w:rFonts w:cs="Arial"/>
                <w:sz w:val="20"/>
              </w:rPr>
              <w:t>Specimens rejected by laboratory due to inability to meet labelling requirements</w:t>
            </w:r>
          </w:p>
        </w:tc>
      </w:tr>
    </w:tbl>
    <w:bookmarkEnd w:id="138"/>
    <w:p w14:paraId="0157E0C8" w14:textId="77777777" w:rsidR="00E9700E" w:rsidRPr="00690E4F" w:rsidRDefault="00E9700E" w:rsidP="00690E4F">
      <w:pPr>
        <w:pStyle w:val="Heading5"/>
      </w:pPr>
      <w:r w:rsidRPr="00690E4F">
        <w:t>Signing of pretransfusion samples</w:t>
      </w:r>
    </w:p>
    <w:p w14:paraId="2356FD00" w14:textId="4A168907" w:rsidR="00E9700E" w:rsidRPr="00176D37" w:rsidRDefault="00E9700E" w:rsidP="00690E4F">
      <w:pPr>
        <w:pStyle w:val="Body"/>
      </w:pPr>
      <w:r w:rsidRPr="00176D37">
        <w:t xml:space="preserve">Prior to the introduction of EMR, some health services required all specimens to be signed by the collector. For simplicity, some now only require signatures on pretransfusion specimens. Confusion with staff may occur as to which specimen labels require a signature, and some pretransfusion specimens consequently require recollection due to the signature being omitted </w:t>
      </w:r>
      <w:r w:rsidR="00011362" w:rsidRPr="00176D37">
        <w:rPr>
          <w:noProof/>
        </w:rPr>
        <w:t>(Verrall</w:t>
      </w:r>
      <w:r w:rsidR="00011362">
        <w:rPr>
          <w:noProof/>
        </w:rPr>
        <w:t xml:space="preserve"> </w:t>
      </w:r>
      <w:r w:rsidR="00011362" w:rsidRPr="00176D37">
        <w:rPr>
          <w:noProof/>
        </w:rPr>
        <w:t>2019)</w:t>
      </w:r>
      <w:r w:rsidRPr="00176D37">
        <w:t>. Two laboratory staff respondents reported an increase in unsigned pretransfusion specimens</w:t>
      </w:r>
      <w:r w:rsidR="00716BC5">
        <w:t>,</w:t>
      </w:r>
      <w:r w:rsidRPr="00176D37">
        <w:t xml:space="preserve"> excluding wrong blood in tube events (WBITs). Two respondents also noted an increase in the incidence of a different signature on specimen to that on the collector’s declaration. </w:t>
      </w:r>
    </w:p>
    <w:p w14:paraId="5B34A026" w14:textId="33C4C87C" w:rsidR="00E9700E" w:rsidRPr="00690E4F" w:rsidRDefault="00E9700E" w:rsidP="00F62261">
      <w:pPr>
        <w:pStyle w:val="Heading2"/>
        <w:numPr>
          <w:ilvl w:val="0"/>
          <w:numId w:val="38"/>
        </w:numPr>
        <w:ind w:left="426" w:hanging="426"/>
      </w:pPr>
      <w:bookmarkStart w:id="139" w:name="_Toc101285689"/>
      <w:bookmarkStart w:id="140" w:name="_Toc101947711"/>
      <w:bookmarkStart w:id="141" w:name="_Toc104975930"/>
      <w:r w:rsidRPr="00690E4F">
        <w:t>Consent</w:t>
      </w:r>
      <w:bookmarkEnd w:id="139"/>
      <w:bookmarkEnd w:id="140"/>
      <w:bookmarkEnd w:id="141"/>
      <w:r w:rsidRPr="00690E4F">
        <w:t xml:space="preserve"> </w:t>
      </w:r>
    </w:p>
    <w:p w14:paraId="0CF0AB29" w14:textId="37250983" w:rsidR="00E9700E" w:rsidRDefault="00E9700E" w:rsidP="00690E4F">
      <w:pPr>
        <w:pStyle w:val="Body"/>
      </w:pPr>
      <w:r w:rsidRPr="00176D37">
        <w:t xml:space="preserve">Twenty-five quality and clinical (nursing and medical) staff from 20 health services, provided responses to a series of questions on consent. </w:t>
      </w:r>
    </w:p>
    <w:tbl>
      <w:tblPr>
        <w:tblStyle w:val="TableGrid"/>
        <w:tblW w:w="0" w:type="auto"/>
        <w:tblLook w:val="04A0" w:firstRow="1" w:lastRow="0" w:firstColumn="1" w:lastColumn="0" w:noHBand="0" w:noVBand="1"/>
      </w:tblPr>
      <w:tblGrid>
        <w:gridCol w:w="9288"/>
      </w:tblGrid>
      <w:tr w:rsidR="00A727D2" w14:paraId="380CF316" w14:textId="77777777" w:rsidTr="009742AB">
        <w:tc>
          <w:tcPr>
            <w:tcW w:w="9288" w:type="dxa"/>
            <w:tcBorders>
              <w:left w:val="nil"/>
              <w:right w:val="nil"/>
            </w:tcBorders>
          </w:tcPr>
          <w:p w14:paraId="3073DFA8" w14:textId="77777777" w:rsidR="00A727D2" w:rsidRDefault="00A727D2" w:rsidP="00AB5DB9">
            <w:pPr>
              <w:pStyle w:val="Quotetext"/>
              <w:keepNext/>
              <w:keepLines/>
              <w:rPr>
                <w:rStyle w:val="Emphasis"/>
                <w:i w:val="0"/>
                <w:iCs w:val="0"/>
              </w:rPr>
            </w:pPr>
            <w:r w:rsidRPr="00011362">
              <w:rPr>
                <w:rStyle w:val="Emphasis"/>
                <w:i w:val="0"/>
                <w:iCs w:val="0"/>
              </w:rPr>
              <w:t xml:space="preserve">Crispin et al. (2022) </w:t>
            </w:r>
            <w:r w:rsidR="00D2756E">
              <w:rPr>
                <w:rStyle w:val="Emphasis"/>
                <w:i w:val="0"/>
                <w:iCs w:val="0"/>
              </w:rPr>
              <w:t>state</w:t>
            </w:r>
            <w:r w:rsidR="00AB5DB9">
              <w:rPr>
                <w:rStyle w:val="Emphasis"/>
                <w:i w:val="0"/>
                <w:iCs w:val="0"/>
              </w:rPr>
              <w:t xml:space="preserve"> that </w:t>
            </w:r>
            <w:r w:rsidRPr="00011362">
              <w:rPr>
                <w:rStyle w:val="Emphasis"/>
                <w:i w:val="0"/>
                <w:iCs w:val="0"/>
              </w:rPr>
              <w:t xml:space="preserve">EMRs must have a process for </w:t>
            </w:r>
            <w:r w:rsidRPr="000C5EDD">
              <w:rPr>
                <w:rStyle w:val="FollowedHyperlink"/>
                <w:color w:val="1F497D" w:themeColor="text2"/>
                <w:u w:val="none"/>
              </w:rPr>
              <w:t>documenting</w:t>
            </w:r>
            <w:r w:rsidRPr="00011362">
              <w:rPr>
                <w:rStyle w:val="Emphasis"/>
                <w:i w:val="0"/>
                <w:iCs w:val="0"/>
              </w:rPr>
              <w:t xml:space="preserve"> informed consent or refusal in line with institutional policies.</w:t>
            </w:r>
          </w:p>
          <w:p w14:paraId="69247E44" w14:textId="7E056801" w:rsidR="00AB5DB9" w:rsidRPr="00D2756E" w:rsidRDefault="00AB5DB9" w:rsidP="00E73E2F">
            <w:pPr>
              <w:pStyle w:val="Quotetext"/>
              <w:keepNext/>
              <w:keepLines/>
            </w:pPr>
          </w:p>
        </w:tc>
      </w:tr>
    </w:tbl>
    <w:p w14:paraId="29D6E213" w14:textId="77777777" w:rsidR="00E9700E" w:rsidRPr="00690E4F" w:rsidRDefault="00E9700E" w:rsidP="00A727D2">
      <w:pPr>
        <w:pStyle w:val="Heading3"/>
      </w:pPr>
      <w:bookmarkStart w:id="142" w:name="_Toc101285690"/>
      <w:bookmarkStart w:id="143" w:name="_Toc101947712"/>
      <w:r w:rsidRPr="00690E4F">
        <w:t>Method of consent documentation</w:t>
      </w:r>
      <w:bookmarkEnd w:id="142"/>
      <w:bookmarkEnd w:id="143"/>
    </w:p>
    <w:p w14:paraId="33ABA974" w14:textId="76859AC9" w:rsidR="00E9700E" w:rsidRPr="00176D37" w:rsidRDefault="00E9700E" w:rsidP="00690E4F">
      <w:pPr>
        <w:pStyle w:val="Body"/>
      </w:pPr>
      <w:r w:rsidRPr="00176D37">
        <w:t xml:space="preserve">The method of documenting consent varies between health services. </w:t>
      </w:r>
      <w:r w:rsidRPr="00176D37">
        <w:fldChar w:fldCharType="begin"/>
      </w:r>
      <w:r w:rsidRPr="00176D37">
        <w:instrText xml:space="preserve"> REF _Ref100678851 \h  \* MERGEFORMAT </w:instrText>
      </w:r>
      <w:r w:rsidRPr="00176D37">
        <w:fldChar w:fldCharType="separate"/>
      </w:r>
      <w:r w:rsidR="00E73E2F" w:rsidRPr="00176D37">
        <w:t xml:space="preserve">Table </w:t>
      </w:r>
      <w:r w:rsidR="00E73E2F">
        <w:rPr>
          <w:noProof/>
        </w:rPr>
        <w:t>24</w:t>
      </w:r>
      <w:r w:rsidRPr="00176D37">
        <w:fldChar w:fldCharType="end"/>
      </w:r>
      <w:r w:rsidRPr="00176D37">
        <w:t xml:space="preserve"> shows the different permutations for blood product transfusion consent identified at 16 health services by 24 respondents. </w:t>
      </w:r>
    </w:p>
    <w:p w14:paraId="5B90839B" w14:textId="74EFEF48" w:rsidR="00E9700E" w:rsidRPr="00176D37" w:rsidRDefault="00E9700E" w:rsidP="00690E4F">
      <w:pPr>
        <w:pStyle w:val="Tablecaption"/>
      </w:pPr>
      <w:bookmarkStart w:id="144" w:name="_Ref100678851"/>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24</w:t>
      </w:r>
      <w:r w:rsidR="00F751A0">
        <w:rPr>
          <w:noProof/>
        </w:rPr>
        <w:fldChar w:fldCharType="end"/>
      </w:r>
      <w:bookmarkEnd w:id="144"/>
      <w:r w:rsidRPr="00176D37">
        <w:t>: Consent options identified at responding health services</w:t>
      </w:r>
    </w:p>
    <w:tbl>
      <w:tblPr>
        <w:tblStyle w:val="TableGrid"/>
        <w:tblW w:w="9355" w:type="dxa"/>
        <w:tblLook w:val="04A0" w:firstRow="1" w:lastRow="0" w:firstColumn="1" w:lastColumn="0" w:noHBand="0" w:noVBand="1"/>
      </w:tblPr>
      <w:tblGrid>
        <w:gridCol w:w="5386"/>
        <w:gridCol w:w="3969"/>
      </w:tblGrid>
      <w:tr w:rsidR="00E9700E" w:rsidRPr="00176D37" w14:paraId="03CAA906" w14:textId="77777777" w:rsidTr="00E201FE">
        <w:trPr>
          <w:tblHeader/>
        </w:trPr>
        <w:tc>
          <w:tcPr>
            <w:tcW w:w="5386" w:type="dxa"/>
          </w:tcPr>
          <w:p w14:paraId="5215C18D" w14:textId="77777777" w:rsidR="00E9700E" w:rsidRPr="00176D37" w:rsidRDefault="00E9700E" w:rsidP="00690E4F">
            <w:pPr>
              <w:pStyle w:val="Tablecolhead"/>
            </w:pPr>
            <w:r w:rsidRPr="00176D37">
              <w:t>Documentation type</w:t>
            </w:r>
          </w:p>
        </w:tc>
        <w:tc>
          <w:tcPr>
            <w:tcW w:w="3969" w:type="dxa"/>
          </w:tcPr>
          <w:p w14:paraId="27AF1BCF" w14:textId="06B5738A" w:rsidR="00E9700E" w:rsidRPr="00176D37" w:rsidRDefault="00E9700E" w:rsidP="00690E4F">
            <w:pPr>
              <w:pStyle w:val="Tablecolhead"/>
            </w:pPr>
            <w:r w:rsidRPr="00176D37">
              <w:t>Health service count n</w:t>
            </w:r>
            <w:r w:rsidR="00011362">
              <w:t xml:space="preserve"> </w:t>
            </w:r>
            <w:r w:rsidRPr="00176D37">
              <w:t>=</w:t>
            </w:r>
            <w:r w:rsidR="00011362">
              <w:t xml:space="preserve"> </w:t>
            </w:r>
            <w:r w:rsidRPr="00176D37">
              <w:t>16, (%)</w:t>
            </w:r>
          </w:p>
        </w:tc>
      </w:tr>
      <w:tr w:rsidR="00E9700E" w:rsidRPr="00176D37" w14:paraId="4E5F7436" w14:textId="77777777" w:rsidTr="00E201FE">
        <w:tc>
          <w:tcPr>
            <w:tcW w:w="5386" w:type="dxa"/>
          </w:tcPr>
          <w:p w14:paraId="10C2EFF9" w14:textId="77777777" w:rsidR="00E9700E" w:rsidRPr="00176D37" w:rsidRDefault="00E9700E" w:rsidP="00690E4F">
            <w:pPr>
              <w:pStyle w:val="Tabletext"/>
            </w:pPr>
            <w:r w:rsidRPr="00176D37">
              <w:t>Paper-based transfusion consent form – signed by the patient and medical officer then scanned into EMR</w:t>
            </w:r>
          </w:p>
        </w:tc>
        <w:tc>
          <w:tcPr>
            <w:tcW w:w="3969" w:type="dxa"/>
          </w:tcPr>
          <w:p w14:paraId="217CDE0E" w14:textId="77777777" w:rsidR="00E9700E" w:rsidRPr="00176D37" w:rsidRDefault="00E9700E" w:rsidP="009742AB">
            <w:pPr>
              <w:pStyle w:val="Tabletext"/>
              <w:jc w:val="right"/>
            </w:pPr>
            <w:r w:rsidRPr="00176D37">
              <w:t>12 (75%)</w:t>
            </w:r>
          </w:p>
        </w:tc>
      </w:tr>
      <w:tr w:rsidR="00E9700E" w:rsidRPr="00176D37" w14:paraId="64C9DCDF" w14:textId="77777777" w:rsidTr="00E201FE">
        <w:tc>
          <w:tcPr>
            <w:tcW w:w="5386" w:type="dxa"/>
          </w:tcPr>
          <w:p w14:paraId="3EFA0D24" w14:textId="77777777" w:rsidR="00E9700E" w:rsidRPr="00176D37" w:rsidRDefault="00E9700E" w:rsidP="00690E4F">
            <w:pPr>
              <w:pStyle w:val="Tabletext"/>
            </w:pPr>
            <w:r w:rsidRPr="00176D37">
              <w:rPr>
                <w:shd w:val="clear" w:color="auto" w:fill="FFFFFF"/>
              </w:rPr>
              <w:t>Summary of conversation between patient and medical officer entered as a note or tick box into EMR</w:t>
            </w:r>
          </w:p>
        </w:tc>
        <w:tc>
          <w:tcPr>
            <w:tcW w:w="3969" w:type="dxa"/>
          </w:tcPr>
          <w:p w14:paraId="19D6E989" w14:textId="77777777" w:rsidR="00E9700E" w:rsidRPr="00176D37" w:rsidRDefault="00E9700E" w:rsidP="009742AB">
            <w:pPr>
              <w:pStyle w:val="Tabletext"/>
              <w:jc w:val="right"/>
            </w:pPr>
            <w:r w:rsidRPr="00176D37">
              <w:t>-</w:t>
            </w:r>
          </w:p>
        </w:tc>
      </w:tr>
      <w:tr w:rsidR="00E9700E" w:rsidRPr="00176D37" w14:paraId="38D2BBB5" w14:textId="77777777" w:rsidTr="00E201FE">
        <w:tc>
          <w:tcPr>
            <w:tcW w:w="5386" w:type="dxa"/>
          </w:tcPr>
          <w:p w14:paraId="2F2B4861" w14:textId="195FAC8B" w:rsidR="00E9700E" w:rsidRPr="00176D37" w:rsidRDefault="00E9700E" w:rsidP="00690E4F">
            <w:pPr>
              <w:pStyle w:val="Tabletext"/>
            </w:pPr>
            <w:r w:rsidRPr="00176D37">
              <w:rPr>
                <w:shd w:val="clear" w:color="auto" w:fill="FFFFFF"/>
              </w:rPr>
              <w:t xml:space="preserve">Both a scanned paper consent </w:t>
            </w:r>
            <w:r w:rsidR="00011362">
              <w:rPr>
                <w:shd w:val="clear" w:color="auto" w:fill="FFFFFF"/>
              </w:rPr>
              <w:t>and</w:t>
            </w:r>
            <w:r w:rsidR="00011362" w:rsidRPr="00176D37">
              <w:rPr>
                <w:shd w:val="clear" w:color="auto" w:fill="FFFFFF"/>
              </w:rPr>
              <w:t xml:space="preserve"> </w:t>
            </w:r>
            <w:r w:rsidRPr="00176D37">
              <w:rPr>
                <w:shd w:val="clear" w:color="auto" w:fill="FFFFFF"/>
              </w:rPr>
              <w:t>note of conversation or tick box in EMR</w:t>
            </w:r>
          </w:p>
        </w:tc>
        <w:tc>
          <w:tcPr>
            <w:tcW w:w="3969" w:type="dxa"/>
          </w:tcPr>
          <w:p w14:paraId="2A848443" w14:textId="77777777" w:rsidR="00E9700E" w:rsidRPr="00176D37" w:rsidRDefault="00E9700E" w:rsidP="009742AB">
            <w:pPr>
              <w:pStyle w:val="Tabletext"/>
              <w:jc w:val="right"/>
            </w:pPr>
            <w:r w:rsidRPr="00176D37">
              <w:t>1 (6%)</w:t>
            </w:r>
          </w:p>
        </w:tc>
      </w:tr>
      <w:tr w:rsidR="00E9700E" w:rsidRPr="00176D37" w14:paraId="1BD25773" w14:textId="77777777" w:rsidTr="00E201FE">
        <w:tc>
          <w:tcPr>
            <w:tcW w:w="5386" w:type="dxa"/>
          </w:tcPr>
          <w:p w14:paraId="0777DF88" w14:textId="77777777" w:rsidR="00E9700E" w:rsidRPr="00176D37" w:rsidRDefault="00E9700E" w:rsidP="00690E4F">
            <w:pPr>
              <w:pStyle w:val="Tabletext"/>
            </w:pPr>
            <w:r w:rsidRPr="00176D37">
              <w:rPr>
                <w:shd w:val="clear" w:color="auto" w:fill="FFFFFF"/>
              </w:rPr>
              <w:t>An electronic consent that is signed by the patient on a tablet (or similar)</w:t>
            </w:r>
          </w:p>
        </w:tc>
        <w:tc>
          <w:tcPr>
            <w:tcW w:w="3969" w:type="dxa"/>
          </w:tcPr>
          <w:p w14:paraId="1CC7108B" w14:textId="77777777" w:rsidR="00E9700E" w:rsidRPr="00176D37" w:rsidRDefault="00E9700E" w:rsidP="009742AB">
            <w:pPr>
              <w:pStyle w:val="Tabletext"/>
              <w:jc w:val="right"/>
            </w:pPr>
            <w:r w:rsidRPr="00176D37">
              <w:t>-</w:t>
            </w:r>
          </w:p>
        </w:tc>
      </w:tr>
      <w:tr w:rsidR="00E9700E" w:rsidRPr="00176D37" w14:paraId="4D284A32" w14:textId="77777777" w:rsidTr="00E201FE">
        <w:tc>
          <w:tcPr>
            <w:tcW w:w="5386" w:type="dxa"/>
          </w:tcPr>
          <w:p w14:paraId="6F719E08" w14:textId="77777777" w:rsidR="00E9700E" w:rsidRPr="00176D37" w:rsidRDefault="00E9700E" w:rsidP="00690E4F">
            <w:pPr>
              <w:pStyle w:val="Tabletext"/>
            </w:pPr>
            <w:r w:rsidRPr="00176D37">
              <w:t>Other</w:t>
            </w:r>
          </w:p>
        </w:tc>
        <w:tc>
          <w:tcPr>
            <w:tcW w:w="3969" w:type="dxa"/>
          </w:tcPr>
          <w:p w14:paraId="74C88F24" w14:textId="77777777" w:rsidR="00E9700E" w:rsidRPr="00176D37" w:rsidRDefault="00E9700E" w:rsidP="009742AB">
            <w:pPr>
              <w:pStyle w:val="Tabletext"/>
              <w:jc w:val="right"/>
            </w:pPr>
            <w:r w:rsidRPr="00176D37">
              <w:t>3 (19%)</w:t>
            </w:r>
          </w:p>
        </w:tc>
      </w:tr>
    </w:tbl>
    <w:p w14:paraId="1DB32C38" w14:textId="066B09F8" w:rsidR="00E9700E" w:rsidRPr="00176D37" w:rsidRDefault="00E9700E" w:rsidP="009742AB">
      <w:pPr>
        <w:pStyle w:val="Bodyaftertablefigure"/>
      </w:pPr>
      <w:r w:rsidRPr="00176D37">
        <w:t>Most health services (n</w:t>
      </w:r>
      <w:r w:rsidR="00011362">
        <w:t xml:space="preserve"> </w:t>
      </w:r>
      <w:r w:rsidRPr="00176D37">
        <w:t>= 12, 75 per cent) use a paper-based transfusion consent form</w:t>
      </w:r>
      <w:r w:rsidR="00011362">
        <w:t xml:space="preserve"> that </w:t>
      </w:r>
      <w:r w:rsidRPr="00176D37">
        <w:t xml:space="preserve">is signed by the patient and medical officer and then scanned into the EMR. </w:t>
      </w:r>
    </w:p>
    <w:p w14:paraId="7DB421D4" w14:textId="2F7AC4E8" w:rsidR="00E9700E" w:rsidRPr="00176D37" w:rsidRDefault="00E9700E" w:rsidP="00690E4F">
      <w:pPr>
        <w:pStyle w:val="Body"/>
      </w:pPr>
      <w:r w:rsidRPr="00176D37">
        <w:t>Other documentation types include a paper-based consent form kept in patient medical record or scanned into scanned medical record /digital medical record.</w:t>
      </w:r>
    </w:p>
    <w:p w14:paraId="0282B8C8" w14:textId="77777777" w:rsidR="00E9700E" w:rsidRPr="00690E4F" w:rsidRDefault="00E9700E" w:rsidP="00690E4F">
      <w:pPr>
        <w:pStyle w:val="Heading3"/>
      </w:pPr>
      <w:bookmarkStart w:id="145" w:name="_Toc101285691"/>
      <w:bookmarkStart w:id="146" w:name="_Toc101947713"/>
      <w:r w:rsidRPr="00690E4F">
        <w:t>Finding consent</w:t>
      </w:r>
      <w:bookmarkEnd w:id="145"/>
      <w:bookmarkEnd w:id="146"/>
    </w:p>
    <w:p w14:paraId="6BF78062" w14:textId="251058E9" w:rsidR="00E9700E" w:rsidRPr="00176D37" w:rsidRDefault="00E9700E" w:rsidP="00690E4F">
      <w:pPr>
        <w:pStyle w:val="Body"/>
      </w:pPr>
      <w:r w:rsidRPr="00176D37">
        <w:fldChar w:fldCharType="begin"/>
      </w:r>
      <w:r w:rsidRPr="00176D37">
        <w:instrText xml:space="preserve"> REF _Ref100678865 \h  \* MERGEFORMAT </w:instrText>
      </w:r>
      <w:r w:rsidRPr="00176D37">
        <w:fldChar w:fldCharType="separate"/>
      </w:r>
      <w:r w:rsidR="00E73E2F" w:rsidRPr="00176D37">
        <w:t xml:space="preserve">Table </w:t>
      </w:r>
      <w:r w:rsidR="00E73E2F">
        <w:rPr>
          <w:noProof/>
        </w:rPr>
        <w:t>25</w:t>
      </w:r>
      <w:r w:rsidRPr="00176D37">
        <w:fldChar w:fldCharType="end"/>
      </w:r>
      <w:r w:rsidRPr="00176D37">
        <w:t xml:space="preserve"> summarises the ease with which staff can access the completed consent</w:t>
      </w:r>
      <w:r w:rsidR="00232FDB">
        <w:t xml:space="preserve"> in the EMR,</w:t>
      </w:r>
      <w:r w:rsidRPr="00176D37">
        <w:t xml:space="preserve"> based on their role.</w:t>
      </w:r>
    </w:p>
    <w:p w14:paraId="1105247F" w14:textId="4E5F6462" w:rsidR="00E9700E" w:rsidRPr="00176D37" w:rsidRDefault="00E9700E" w:rsidP="00690E4F">
      <w:pPr>
        <w:pStyle w:val="Tablecaption"/>
      </w:pPr>
      <w:bookmarkStart w:id="147" w:name="_Ref100678865"/>
      <w:r w:rsidRPr="00176D37">
        <w:t xml:space="preserve">Table </w:t>
      </w:r>
      <w:r w:rsidR="00F751A0">
        <w:fldChar w:fldCharType="begin"/>
      </w:r>
      <w:r w:rsidR="00F751A0">
        <w:instrText xml:space="preserve"> SEQ Table \* ARABIC </w:instrText>
      </w:r>
      <w:r w:rsidR="00F751A0">
        <w:fldChar w:fldCharType="separate"/>
      </w:r>
      <w:r w:rsidR="00E73E2F">
        <w:rPr>
          <w:noProof/>
        </w:rPr>
        <w:t>25</w:t>
      </w:r>
      <w:r w:rsidR="00F751A0">
        <w:rPr>
          <w:noProof/>
        </w:rPr>
        <w:fldChar w:fldCharType="end"/>
      </w:r>
      <w:bookmarkEnd w:id="147"/>
      <w:r w:rsidRPr="00176D37">
        <w:t>: Ease of accessing completed consent based on role</w:t>
      </w:r>
      <w:r w:rsidRPr="00176D37">
        <w:rPr>
          <w:rStyle w:val="FootnoteReference"/>
          <w:rFonts w:cs="Arial"/>
          <w:bCs/>
          <w:sz w:val="22"/>
          <w:szCs w:val="22"/>
        </w:rPr>
        <w:footnoteReference w:id="18"/>
      </w:r>
    </w:p>
    <w:tbl>
      <w:tblPr>
        <w:tblStyle w:val="TableGrid"/>
        <w:tblW w:w="0" w:type="auto"/>
        <w:tblLook w:val="04A0" w:firstRow="1" w:lastRow="0" w:firstColumn="1" w:lastColumn="0" w:noHBand="0" w:noVBand="1"/>
      </w:tblPr>
      <w:tblGrid>
        <w:gridCol w:w="2225"/>
        <w:gridCol w:w="1828"/>
        <w:gridCol w:w="1906"/>
        <w:gridCol w:w="1638"/>
        <w:gridCol w:w="1691"/>
      </w:tblGrid>
      <w:tr w:rsidR="00E9700E" w:rsidRPr="00176D37" w14:paraId="104853DD" w14:textId="77777777" w:rsidTr="00E201FE">
        <w:trPr>
          <w:tblHeader/>
        </w:trPr>
        <w:tc>
          <w:tcPr>
            <w:tcW w:w="2225" w:type="dxa"/>
          </w:tcPr>
          <w:p w14:paraId="0D55CE1E" w14:textId="77777777" w:rsidR="00E9700E" w:rsidRPr="00176D37" w:rsidRDefault="00E9700E" w:rsidP="00690E4F">
            <w:pPr>
              <w:pStyle w:val="Tablecolhead"/>
            </w:pPr>
            <w:r w:rsidRPr="00176D37">
              <w:t>Ease of finding consent in the EMR</w:t>
            </w:r>
          </w:p>
        </w:tc>
        <w:tc>
          <w:tcPr>
            <w:tcW w:w="1828" w:type="dxa"/>
          </w:tcPr>
          <w:p w14:paraId="2FD10E4B" w14:textId="1DC3AC3B" w:rsidR="00E9700E" w:rsidRPr="00176D37" w:rsidRDefault="00E9700E" w:rsidP="00690E4F">
            <w:pPr>
              <w:pStyle w:val="Tablecolhead"/>
            </w:pPr>
            <w:r w:rsidRPr="00176D37">
              <w:t>Clinical (nursing) n</w:t>
            </w:r>
            <w:r w:rsidR="00011362">
              <w:t xml:space="preserve"> </w:t>
            </w:r>
            <w:r w:rsidRPr="00176D37">
              <w:t>=</w:t>
            </w:r>
            <w:r w:rsidR="00011362">
              <w:t xml:space="preserve"> </w:t>
            </w:r>
            <w:r w:rsidRPr="00176D37">
              <w:t>4</w:t>
            </w:r>
          </w:p>
        </w:tc>
        <w:tc>
          <w:tcPr>
            <w:tcW w:w="1906" w:type="dxa"/>
          </w:tcPr>
          <w:p w14:paraId="021E3256" w14:textId="36E59556" w:rsidR="00E9700E" w:rsidRPr="00176D37" w:rsidRDefault="00E9700E" w:rsidP="00690E4F">
            <w:pPr>
              <w:pStyle w:val="Tablecolhead"/>
            </w:pPr>
            <w:r w:rsidRPr="00176D37">
              <w:t>Clinical (medical) n</w:t>
            </w:r>
            <w:r w:rsidR="00011362">
              <w:t xml:space="preserve"> </w:t>
            </w:r>
            <w:r w:rsidRPr="00176D37">
              <w:t>=</w:t>
            </w:r>
            <w:r w:rsidR="00011362">
              <w:t xml:space="preserve"> </w:t>
            </w:r>
            <w:r w:rsidRPr="00176D37">
              <w:t>6</w:t>
            </w:r>
          </w:p>
        </w:tc>
        <w:tc>
          <w:tcPr>
            <w:tcW w:w="1638" w:type="dxa"/>
          </w:tcPr>
          <w:p w14:paraId="4D9210F7" w14:textId="7E15D33F" w:rsidR="00232FDB" w:rsidRPr="00176D37" w:rsidRDefault="00E9700E" w:rsidP="00E73E2F">
            <w:pPr>
              <w:pStyle w:val="Tablecolhead"/>
              <w:spacing w:after="0"/>
            </w:pPr>
            <w:r w:rsidRPr="00176D37">
              <w:t xml:space="preserve">Quality </w:t>
            </w:r>
          </w:p>
          <w:p w14:paraId="7F7A257E" w14:textId="536A2EC8" w:rsidR="00E9700E" w:rsidRPr="00176D37" w:rsidRDefault="00011362" w:rsidP="00E73E2F">
            <w:pPr>
              <w:pStyle w:val="Tablecolhead"/>
              <w:spacing w:before="0" w:after="0"/>
            </w:pPr>
            <w:r>
              <w:t xml:space="preserve">n </w:t>
            </w:r>
            <w:r w:rsidR="00E9700E" w:rsidRPr="00176D37">
              <w:t>=</w:t>
            </w:r>
            <w:r>
              <w:t xml:space="preserve"> </w:t>
            </w:r>
            <w:r w:rsidR="00E9700E" w:rsidRPr="00176D37">
              <w:t>14</w:t>
            </w:r>
          </w:p>
        </w:tc>
        <w:tc>
          <w:tcPr>
            <w:tcW w:w="1691" w:type="dxa"/>
          </w:tcPr>
          <w:p w14:paraId="0BFD523B" w14:textId="304A5EF9" w:rsidR="00E9700E" w:rsidRPr="00176D37" w:rsidRDefault="00E9700E" w:rsidP="00690E4F">
            <w:pPr>
              <w:pStyle w:val="Tablecolhead"/>
            </w:pPr>
            <w:r w:rsidRPr="00176D37">
              <w:t xml:space="preserve">Total </w:t>
            </w:r>
            <w:r w:rsidRPr="00176D37">
              <w:rPr>
                <w:bCs/>
              </w:rPr>
              <w:t>n</w:t>
            </w:r>
            <w:r w:rsidR="00011362">
              <w:rPr>
                <w:bCs/>
              </w:rPr>
              <w:t xml:space="preserve"> </w:t>
            </w:r>
            <w:r w:rsidRPr="00176D37">
              <w:rPr>
                <w:bCs/>
              </w:rPr>
              <w:t>=</w:t>
            </w:r>
            <w:r w:rsidR="00011362">
              <w:rPr>
                <w:bCs/>
              </w:rPr>
              <w:t xml:space="preserve"> </w:t>
            </w:r>
            <w:r w:rsidRPr="00176D37">
              <w:rPr>
                <w:bCs/>
              </w:rPr>
              <w:t>24, (%)</w:t>
            </w:r>
          </w:p>
        </w:tc>
      </w:tr>
      <w:tr w:rsidR="00E9700E" w:rsidRPr="00176D37" w14:paraId="15CB20D7" w14:textId="77777777" w:rsidTr="00E201FE">
        <w:tc>
          <w:tcPr>
            <w:tcW w:w="2225" w:type="dxa"/>
          </w:tcPr>
          <w:p w14:paraId="41C60221" w14:textId="77777777" w:rsidR="00E9700E" w:rsidRPr="00176D37" w:rsidRDefault="00E9700E" w:rsidP="00690E4F">
            <w:pPr>
              <w:pStyle w:val="Tabletext"/>
            </w:pPr>
            <w:r w:rsidRPr="00176D37">
              <w:t>Always</w:t>
            </w:r>
          </w:p>
        </w:tc>
        <w:tc>
          <w:tcPr>
            <w:tcW w:w="1828" w:type="dxa"/>
          </w:tcPr>
          <w:p w14:paraId="644C7258" w14:textId="77777777" w:rsidR="00E9700E" w:rsidRPr="00176D37" w:rsidRDefault="00E9700E" w:rsidP="009742AB">
            <w:pPr>
              <w:pStyle w:val="Tabletext"/>
              <w:jc w:val="right"/>
            </w:pPr>
            <w:r w:rsidRPr="00176D37">
              <w:t>1</w:t>
            </w:r>
          </w:p>
        </w:tc>
        <w:tc>
          <w:tcPr>
            <w:tcW w:w="1906" w:type="dxa"/>
          </w:tcPr>
          <w:p w14:paraId="63CB894F" w14:textId="77777777" w:rsidR="00E9700E" w:rsidRPr="00176D37" w:rsidRDefault="00E9700E" w:rsidP="009742AB">
            <w:pPr>
              <w:pStyle w:val="Tabletext"/>
              <w:jc w:val="right"/>
            </w:pPr>
            <w:r w:rsidRPr="00176D37">
              <w:t>-</w:t>
            </w:r>
          </w:p>
        </w:tc>
        <w:tc>
          <w:tcPr>
            <w:tcW w:w="1638" w:type="dxa"/>
          </w:tcPr>
          <w:p w14:paraId="125F98C2" w14:textId="77777777" w:rsidR="00E9700E" w:rsidRPr="00176D37" w:rsidRDefault="00E9700E" w:rsidP="009742AB">
            <w:pPr>
              <w:pStyle w:val="Tabletext"/>
              <w:jc w:val="right"/>
            </w:pPr>
            <w:r w:rsidRPr="00176D37">
              <w:t>1</w:t>
            </w:r>
          </w:p>
        </w:tc>
        <w:tc>
          <w:tcPr>
            <w:tcW w:w="1691" w:type="dxa"/>
          </w:tcPr>
          <w:p w14:paraId="78740405" w14:textId="77777777" w:rsidR="00E9700E" w:rsidRPr="00176D37" w:rsidRDefault="00E9700E" w:rsidP="009742AB">
            <w:pPr>
              <w:pStyle w:val="Tabletext"/>
              <w:jc w:val="right"/>
            </w:pPr>
            <w:r w:rsidRPr="00176D37">
              <w:t>2 (8%)</w:t>
            </w:r>
          </w:p>
        </w:tc>
      </w:tr>
      <w:tr w:rsidR="00E9700E" w:rsidRPr="00176D37" w14:paraId="1D2E481A" w14:textId="77777777" w:rsidTr="00E201FE">
        <w:tc>
          <w:tcPr>
            <w:tcW w:w="2225" w:type="dxa"/>
          </w:tcPr>
          <w:p w14:paraId="2CB796AC" w14:textId="77777777" w:rsidR="00E9700E" w:rsidRPr="00176D37" w:rsidRDefault="00E9700E" w:rsidP="00690E4F">
            <w:pPr>
              <w:pStyle w:val="Tabletext"/>
            </w:pPr>
            <w:proofErr w:type="gramStart"/>
            <w:r w:rsidRPr="00176D37">
              <w:t>Usually</w:t>
            </w:r>
            <w:proofErr w:type="gramEnd"/>
          </w:p>
        </w:tc>
        <w:tc>
          <w:tcPr>
            <w:tcW w:w="1828" w:type="dxa"/>
          </w:tcPr>
          <w:p w14:paraId="1A1C11AA" w14:textId="77777777" w:rsidR="00E9700E" w:rsidRPr="00176D37" w:rsidRDefault="00E9700E" w:rsidP="009742AB">
            <w:pPr>
              <w:pStyle w:val="Tabletext"/>
              <w:jc w:val="right"/>
            </w:pPr>
            <w:r w:rsidRPr="00176D37">
              <w:t>1</w:t>
            </w:r>
          </w:p>
        </w:tc>
        <w:tc>
          <w:tcPr>
            <w:tcW w:w="1906" w:type="dxa"/>
          </w:tcPr>
          <w:p w14:paraId="41DE5DAE" w14:textId="77777777" w:rsidR="00E9700E" w:rsidRPr="00176D37" w:rsidRDefault="00E9700E" w:rsidP="009742AB">
            <w:pPr>
              <w:pStyle w:val="Tabletext"/>
              <w:jc w:val="right"/>
            </w:pPr>
            <w:r w:rsidRPr="00176D37">
              <w:t>3</w:t>
            </w:r>
          </w:p>
        </w:tc>
        <w:tc>
          <w:tcPr>
            <w:tcW w:w="1638" w:type="dxa"/>
          </w:tcPr>
          <w:p w14:paraId="0ABCBB86" w14:textId="77777777" w:rsidR="00E9700E" w:rsidRPr="00176D37" w:rsidRDefault="00E9700E" w:rsidP="009742AB">
            <w:pPr>
              <w:pStyle w:val="Tabletext"/>
              <w:jc w:val="right"/>
            </w:pPr>
            <w:r w:rsidRPr="00176D37">
              <w:t>4</w:t>
            </w:r>
          </w:p>
        </w:tc>
        <w:tc>
          <w:tcPr>
            <w:tcW w:w="1691" w:type="dxa"/>
          </w:tcPr>
          <w:p w14:paraId="0572B8F5" w14:textId="77777777" w:rsidR="00E9700E" w:rsidRPr="00176D37" w:rsidRDefault="00E9700E" w:rsidP="009742AB">
            <w:pPr>
              <w:pStyle w:val="Tabletext"/>
              <w:jc w:val="right"/>
            </w:pPr>
            <w:r w:rsidRPr="00176D37">
              <w:t>8 (33%)</w:t>
            </w:r>
          </w:p>
        </w:tc>
      </w:tr>
      <w:tr w:rsidR="00E9700E" w:rsidRPr="00176D37" w14:paraId="3856C1D8" w14:textId="77777777" w:rsidTr="00E201FE">
        <w:tc>
          <w:tcPr>
            <w:tcW w:w="2225" w:type="dxa"/>
          </w:tcPr>
          <w:p w14:paraId="1390D0A9" w14:textId="77777777" w:rsidR="00E9700E" w:rsidRPr="00176D37" w:rsidRDefault="00E9700E" w:rsidP="00690E4F">
            <w:pPr>
              <w:pStyle w:val="Tabletext"/>
            </w:pPr>
            <w:r w:rsidRPr="00176D37">
              <w:t>Sometimes</w:t>
            </w:r>
          </w:p>
        </w:tc>
        <w:tc>
          <w:tcPr>
            <w:tcW w:w="1828" w:type="dxa"/>
          </w:tcPr>
          <w:p w14:paraId="35A19440" w14:textId="77777777" w:rsidR="00E9700E" w:rsidRPr="00176D37" w:rsidRDefault="00E9700E" w:rsidP="009742AB">
            <w:pPr>
              <w:pStyle w:val="Tabletext"/>
              <w:jc w:val="right"/>
            </w:pPr>
            <w:r w:rsidRPr="00176D37">
              <w:t>1</w:t>
            </w:r>
          </w:p>
        </w:tc>
        <w:tc>
          <w:tcPr>
            <w:tcW w:w="1906" w:type="dxa"/>
          </w:tcPr>
          <w:p w14:paraId="12C11F37" w14:textId="77777777" w:rsidR="00E9700E" w:rsidRPr="00176D37" w:rsidRDefault="00E9700E" w:rsidP="009742AB">
            <w:pPr>
              <w:pStyle w:val="Tabletext"/>
              <w:jc w:val="right"/>
            </w:pPr>
            <w:r w:rsidRPr="00176D37">
              <w:t>1</w:t>
            </w:r>
          </w:p>
        </w:tc>
        <w:tc>
          <w:tcPr>
            <w:tcW w:w="1638" w:type="dxa"/>
          </w:tcPr>
          <w:p w14:paraId="15D72ACB" w14:textId="77777777" w:rsidR="00E9700E" w:rsidRPr="00176D37" w:rsidRDefault="00E9700E" w:rsidP="009742AB">
            <w:pPr>
              <w:pStyle w:val="Tabletext"/>
              <w:jc w:val="right"/>
            </w:pPr>
          </w:p>
        </w:tc>
        <w:tc>
          <w:tcPr>
            <w:tcW w:w="1691" w:type="dxa"/>
          </w:tcPr>
          <w:p w14:paraId="7A916EDB" w14:textId="77777777" w:rsidR="00E9700E" w:rsidRPr="00176D37" w:rsidRDefault="00E9700E" w:rsidP="009742AB">
            <w:pPr>
              <w:pStyle w:val="Tabletext"/>
              <w:jc w:val="right"/>
            </w:pPr>
            <w:r w:rsidRPr="00176D37">
              <w:t>2 (8%)</w:t>
            </w:r>
          </w:p>
        </w:tc>
      </w:tr>
      <w:tr w:rsidR="00E9700E" w:rsidRPr="00176D37" w14:paraId="5461C3E2" w14:textId="77777777" w:rsidTr="00E201FE">
        <w:tc>
          <w:tcPr>
            <w:tcW w:w="2225" w:type="dxa"/>
          </w:tcPr>
          <w:p w14:paraId="73573FBA" w14:textId="77777777" w:rsidR="00E9700E" w:rsidRPr="00176D37" w:rsidRDefault="00E9700E" w:rsidP="00690E4F">
            <w:pPr>
              <w:pStyle w:val="Tabletext"/>
            </w:pPr>
            <w:r w:rsidRPr="00176D37">
              <w:t>Never</w:t>
            </w:r>
          </w:p>
        </w:tc>
        <w:tc>
          <w:tcPr>
            <w:tcW w:w="1828" w:type="dxa"/>
          </w:tcPr>
          <w:p w14:paraId="7534AE9D" w14:textId="77777777" w:rsidR="00E9700E" w:rsidRPr="00176D37" w:rsidRDefault="00E9700E" w:rsidP="009742AB">
            <w:pPr>
              <w:pStyle w:val="Tabletext"/>
              <w:jc w:val="right"/>
            </w:pPr>
            <w:r w:rsidRPr="00176D37">
              <w:t>-</w:t>
            </w:r>
          </w:p>
        </w:tc>
        <w:tc>
          <w:tcPr>
            <w:tcW w:w="1906" w:type="dxa"/>
          </w:tcPr>
          <w:p w14:paraId="011BBA8B" w14:textId="77777777" w:rsidR="00E9700E" w:rsidRPr="00176D37" w:rsidRDefault="00E9700E" w:rsidP="009742AB">
            <w:pPr>
              <w:pStyle w:val="Tabletext"/>
              <w:jc w:val="right"/>
            </w:pPr>
            <w:r w:rsidRPr="00176D37">
              <w:t>1</w:t>
            </w:r>
          </w:p>
        </w:tc>
        <w:tc>
          <w:tcPr>
            <w:tcW w:w="1638" w:type="dxa"/>
          </w:tcPr>
          <w:p w14:paraId="1FD02391" w14:textId="77777777" w:rsidR="00E9700E" w:rsidRPr="00176D37" w:rsidRDefault="00E9700E" w:rsidP="009742AB">
            <w:pPr>
              <w:pStyle w:val="Tabletext"/>
              <w:jc w:val="right"/>
            </w:pPr>
            <w:r w:rsidRPr="00176D37">
              <w:t>1</w:t>
            </w:r>
          </w:p>
        </w:tc>
        <w:tc>
          <w:tcPr>
            <w:tcW w:w="1691" w:type="dxa"/>
          </w:tcPr>
          <w:p w14:paraId="0EF12694" w14:textId="77777777" w:rsidR="00E9700E" w:rsidRPr="00176D37" w:rsidRDefault="00E9700E" w:rsidP="009742AB">
            <w:pPr>
              <w:pStyle w:val="Tabletext"/>
              <w:jc w:val="right"/>
            </w:pPr>
            <w:r w:rsidRPr="00176D37">
              <w:t>2 (8%)</w:t>
            </w:r>
          </w:p>
        </w:tc>
      </w:tr>
      <w:tr w:rsidR="00E9700E" w:rsidRPr="00176D37" w14:paraId="2C7FA3E9" w14:textId="77777777" w:rsidTr="00E201FE">
        <w:tc>
          <w:tcPr>
            <w:tcW w:w="2225" w:type="dxa"/>
          </w:tcPr>
          <w:p w14:paraId="45A49B91" w14:textId="77777777" w:rsidR="00E9700E" w:rsidRPr="00176D37" w:rsidRDefault="00E9700E" w:rsidP="009742AB">
            <w:pPr>
              <w:pStyle w:val="Tabletext"/>
              <w:keepNext/>
              <w:keepLines/>
            </w:pPr>
            <w:r w:rsidRPr="00176D37">
              <w:t>Not applicable</w:t>
            </w:r>
          </w:p>
        </w:tc>
        <w:tc>
          <w:tcPr>
            <w:tcW w:w="1828" w:type="dxa"/>
          </w:tcPr>
          <w:p w14:paraId="56F0DF65" w14:textId="77777777" w:rsidR="00E9700E" w:rsidRPr="00176D37" w:rsidRDefault="00E9700E" w:rsidP="009742AB">
            <w:pPr>
              <w:pStyle w:val="Tabletext"/>
              <w:keepNext/>
              <w:keepLines/>
              <w:jc w:val="right"/>
            </w:pPr>
            <w:r w:rsidRPr="00176D37">
              <w:t>1</w:t>
            </w:r>
          </w:p>
        </w:tc>
        <w:tc>
          <w:tcPr>
            <w:tcW w:w="1906" w:type="dxa"/>
          </w:tcPr>
          <w:p w14:paraId="71B6F7BC" w14:textId="77777777" w:rsidR="00E9700E" w:rsidRPr="00176D37" w:rsidRDefault="00E9700E" w:rsidP="009742AB">
            <w:pPr>
              <w:pStyle w:val="Tabletext"/>
              <w:keepNext/>
              <w:keepLines/>
              <w:jc w:val="right"/>
            </w:pPr>
            <w:r w:rsidRPr="00176D37">
              <w:t>-</w:t>
            </w:r>
          </w:p>
        </w:tc>
        <w:tc>
          <w:tcPr>
            <w:tcW w:w="1638" w:type="dxa"/>
          </w:tcPr>
          <w:p w14:paraId="134AE388" w14:textId="77777777" w:rsidR="00E9700E" w:rsidRPr="00176D37" w:rsidRDefault="00E9700E" w:rsidP="009742AB">
            <w:pPr>
              <w:pStyle w:val="Tabletext"/>
              <w:keepNext/>
              <w:keepLines/>
              <w:jc w:val="right"/>
            </w:pPr>
            <w:r w:rsidRPr="00176D37">
              <w:t>8</w:t>
            </w:r>
          </w:p>
        </w:tc>
        <w:tc>
          <w:tcPr>
            <w:tcW w:w="1691" w:type="dxa"/>
          </w:tcPr>
          <w:p w14:paraId="3B07922D" w14:textId="77777777" w:rsidR="00E9700E" w:rsidRPr="00176D37" w:rsidRDefault="00E9700E" w:rsidP="009742AB">
            <w:pPr>
              <w:pStyle w:val="Tabletext"/>
              <w:keepNext/>
              <w:keepLines/>
              <w:jc w:val="right"/>
            </w:pPr>
            <w:r w:rsidRPr="00176D37">
              <w:t>9 (38%)</w:t>
            </w:r>
          </w:p>
        </w:tc>
      </w:tr>
      <w:tr w:rsidR="00E9700E" w:rsidRPr="00176D37" w14:paraId="49DE227C" w14:textId="77777777" w:rsidTr="00E201FE">
        <w:tc>
          <w:tcPr>
            <w:tcW w:w="2225" w:type="dxa"/>
          </w:tcPr>
          <w:p w14:paraId="37BFFA23" w14:textId="77777777" w:rsidR="00E9700E" w:rsidRPr="00176D37" w:rsidRDefault="00E9700E" w:rsidP="009742AB">
            <w:pPr>
              <w:pStyle w:val="Tabletext"/>
              <w:keepNext/>
              <w:keepLines/>
            </w:pPr>
            <w:r w:rsidRPr="00176D37">
              <w:t>Other</w:t>
            </w:r>
          </w:p>
        </w:tc>
        <w:tc>
          <w:tcPr>
            <w:tcW w:w="1828" w:type="dxa"/>
          </w:tcPr>
          <w:p w14:paraId="5AEBD80C" w14:textId="77777777" w:rsidR="00E9700E" w:rsidRPr="00176D37" w:rsidRDefault="00E9700E" w:rsidP="009742AB">
            <w:pPr>
              <w:pStyle w:val="Tabletext"/>
              <w:keepNext/>
              <w:keepLines/>
              <w:jc w:val="right"/>
            </w:pPr>
            <w:r w:rsidRPr="00176D37">
              <w:t>-</w:t>
            </w:r>
          </w:p>
        </w:tc>
        <w:tc>
          <w:tcPr>
            <w:tcW w:w="1906" w:type="dxa"/>
          </w:tcPr>
          <w:p w14:paraId="24CC1B34" w14:textId="77777777" w:rsidR="00E9700E" w:rsidRPr="00176D37" w:rsidRDefault="00E9700E" w:rsidP="009742AB">
            <w:pPr>
              <w:pStyle w:val="Tabletext"/>
              <w:keepNext/>
              <w:keepLines/>
              <w:jc w:val="right"/>
            </w:pPr>
            <w:r w:rsidRPr="00176D37">
              <w:t>1</w:t>
            </w:r>
            <w:r w:rsidRPr="00176D37">
              <w:rPr>
                <w:rStyle w:val="FootnoteReference"/>
                <w:rFonts w:cs="Arial"/>
              </w:rPr>
              <w:footnoteReference w:id="19"/>
            </w:r>
          </w:p>
        </w:tc>
        <w:tc>
          <w:tcPr>
            <w:tcW w:w="1638" w:type="dxa"/>
          </w:tcPr>
          <w:p w14:paraId="453C615F" w14:textId="77777777" w:rsidR="00E9700E" w:rsidRPr="00176D37" w:rsidRDefault="00E9700E" w:rsidP="009742AB">
            <w:pPr>
              <w:pStyle w:val="Tabletext"/>
              <w:keepNext/>
              <w:keepLines/>
              <w:jc w:val="right"/>
            </w:pPr>
            <w:r w:rsidRPr="00176D37">
              <w:t>-</w:t>
            </w:r>
          </w:p>
        </w:tc>
        <w:tc>
          <w:tcPr>
            <w:tcW w:w="1691" w:type="dxa"/>
          </w:tcPr>
          <w:p w14:paraId="38705E4B" w14:textId="77777777" w:rsidR="00E9700E" w:rsidRPr="00176D37" w:rsidRDefault="00E9700E" w:rsidP="009742AB">
            <w:pPr>
              <w:pStyle w:val="Tabletext"/>
              <w:keepNext/>
              <w:keepLines/>
              <w:jc w:val="right"/>
            </w:pPr>
            <w:r w:rsidRPr="00176D37">
              <w:t>1 (4%)</w:t>
            </w:r>
          </w:p>
        </w:tc>
      </w:tr>
    </w:tbl>
    <w:p w14:paraId="69DDD493" w14:textId="77777777" w:rsidR="00E9700E" w:rsidRPr="00176D37" w:rsidRDefault="00E9700E" w:rsidP="009742AB">
      <w:pPr>
        <w:pStyle w:val="Bodyaftertablefigure"/>
        <w:rPr>
          <w:lang w:eastAsia="en-AU"/>
        </w:rPr>
      </w:pPr>
      <w:r w:rsidRPr="00176D37">
        <w:rPr>
          <w:lang w:eastAsia="en-AU"/>
        </w:rPr>
        <w:t>There are a range of responses regarding the ease of finding consent in the EMR, which may be related to the role of the respondent, the different EMRs used, or the method of documenting blood consent.</w:t>
      </w:r>
    </w:p>
    <w:p w14:paraId="7E30E9F5" w14:textId="4E013208" w:rsidR="00E9700E" w:rsidRPr="00176D37" w:rsidRDefault="00E9700E" w:rsidP="00690E4F">
      <w:pPr>
        <w:pStyle w:val="Body"/>
      </w:pPr>
      <w:r w:rsidRPr="00176D37">
        <w:t>The hybrid style of documenting consent may be a factor in the reported low accessibility rate (</w:t>
      </w:r>
      <w:r w:rsidRPr="00176D37">
        <w:fldChar w:fldCharType="begin"/>
      </w:r>
      <w:r w:rsidRPr="00176D37">
        <w:instrText xml:space="preserve"> REF _Ref100678851 \h </w:instrText>
      </w:r>
      <w:r>
        <w:instrText xml:space="preserve"> \* MERGEFORMAT </w:instrText>
      </w:r>
      <w:r w:rsidRPr="00176D37">
        <w:fldChar w:fldCharType="separate"/>
      </w:r>
      <w:r w:rsidR="00E73E2F" w:rsidRPr="00176D37">
        <w:t xml:space="preserve">Table </w:t>
      </w:r>
      <w:r w:rsidR="00E73E2F">
        <w:rPr>
          <w:noProof/>
        </w:rPr>
        <w:t>24</w:t>
      </w:r>
      <w:r w:rsidRPr="00176D37">
        <w:fldChar w:fldCharType="end"/>
      </w:r>
      <w:r w:rsidRPr="00176D37">
        <w:t xml:space="preserve">). From a patient safety and governance perspective it would be expected that consent should always, or usually be easy to access prior to a procedure. </w:t>
      </w:r>
    </w:p>
    <w:p w14:paraId="358C650C" w14:textId="5826F219" w:rsidR="00E9700E" w:rsidRPr="00690E4F" w:rsidRDefault="00E9700E" w:rsidP="00690E4F">
      <w:pPr>
        <w:pStyle w:val="Body"/>
      </w:pPr>
      <w:r w:rsidRPr="00690E4F">
        <w:t xml:space="preserve">ANZSBT guidelines state that institutions must have processes for obtaining consent in accordance with the ANZSBT </w:t>
      </w:r>
      <w:r w:rsidRPr="00BE1BE8">
        <w:rPr>
          <w:i/>
          <w:iCs/>
        </w:rPr>
        <w:t xml:space="preserve">Guidelines for the </w:t>
      </w:r>
      <w:r w:rsidR="00BE1BE8">
        <w:rPr>
          <w:i/>
          <w:iCs/>
        </w:rPr>
        <w:t>a</w:t>
      </w:r>
      <w:r w:rsidRPr="00BE1BE8">
        <w:rPr>
          <w:i/>
          <w:iCs/>
        </w:rPr>
        <w:t xml:space="preserve">dministration of </w:t>
      </w:r>
      <w:r w:rsidR="00BE1BE8">
        <w:rPr>
          <w:i/>
          <w:iCs/>
        </w:rPr>
        <w:t>b</w:t>
      </w:r>
      <w:r w:rsidRPr="00BE1BE8">
        <w:rPr>
          <w:i/>
          <w:iCs/>
        </w:rPr>
        <w:t xml:space="preserve">lood </w:t>
      </w:r>
      <w:r w:rsidR="00BE1BE8">
        <w:rPr>
          <w:i/>
          <w:iCs/>
        </w:rPr>
        <w:t>p</w:t>
      </w:r>
      <w:r w:rsidRPr="00BE1BE8">
        <w:rPr>
          <w:i/>
          <w:iCs/>
        </w:rPr>
        <w:t>roducts</w:t>
      </w:r>
      <w:r w:rsidRPr="00690E4F">
        <w:t xml:space="preserve"> </w:t>
      </w:r>
      <w:r w:rsidR="00BE575C" w:rsidRPr="00690E4F">
        <w:t>(ANZSBT 2019)</w:t>
      </w:r>
      <w:r w:rsidRPr="00690E4F">
        <w:t xml:space="preserve">. When </w:t>
      </w:r>
      <w:r w:rsidRPr="00690E4F">
        <w:lastRenderedPageBreak/>
        <w:t xml:space="preserve">developing processes within the EMR, consideration should be given to the availability of consumer information and resources to obtain informed consent. Health services must have a process for documenting informed consent for transfusion within the EMR, in line with the institution consent policies. In developing EMRs, consideration should also be given to the documentation and accessibility of transfusion refusal and other treatment limiting orders </w:t>
      </w:r>
      <w:r w:rsidR="00BE1BE8">
        <w:t>(ANZSBT 2021).</w:t>
      </w:r>
    </w:p>
    <w:p w14:paraId="660D5FBD" w14:textId="3E315E6E" w:rsidR="00E9700E" w:rsidRDefault="00E9700E" w:rsidP="00F62261">
      <w:pPr>
        <w:pStyle w:val="Heading2"/>
        <w:numPr>
          <w:ilvl w:val="0"/>
          <w:numId w:val="38"/>
        </w:numPr>
        <w:ind w:left="426" w:hanging="426"/>
      </w:pPr>
      <w:bookmarkStart w:id="148" w:name="_Toc101285692"/>
      <w:bookmarkStart w:id="149" w:name="_Toc101947714"/>
      <w:bookmarkStart w:id="150" w:name="_Toc104975931"/>
      <w:r w:rsidRPr="00690E4F">
        <w:t xml:space="preserve">Prescribing, </w:t>
      </w:r>
      <w:proofErr w:type="gramStart"/>
      <w:r w:rsidR="00A727D2">
        <w:t>o</w:t>
      </w:r>
      <w:r w:rsidR="00A727D2" w:rsidRPr="00690E4F">
        <w:t>rdering</w:t>
      </w:r>
      <w:proofErr w:type="gramEnd"/>
      <w:r w:rsidR="00A727D2" w:rsidRPr="00690E4F">
        <w:t xml:space="preserve"> </w:t>
      </w:r>
      <w:r w:rsidRPr="00690E4F">
        <w:t xml:space="preserve">and </w:t>
      </w:r>
      <w:r w:rsidR="00A727D2">
        <w:t>c</w:t>
      </w:r>
      <w:r w:rsidR="00A727D2" w:rsidRPr="00690E4F">
        <w:t xml:space="preserve">ollecting </w:t>
      </w:r>
      <w:r w:rsidRPr="00690E4F">
        <w:t>(</w:t>
      </w:r>
      <w:r w:rsidR="00A727D2">
        <w:t>b</w:t>
      </w:r>
      <w:r w:rsidR="00A727D2" w:rsidRPr="00690E4F">
        <w:t xml:space="preserve">lood </w:t>
      </w:r>
      <w:r w:rsidRPr="00690E4F">
        <w:t>components and products)</w:t>
      </w:r>
      <w:bookmarkEnd w:id="148"/>
      <w:bookmarkEnd w:id="149"/>
      <w:bookmarkEnd w:id="150"/>
    </w:p>
    <w:tbl>
      <w:tblPr>
        <w:tblStyle w:val="TableGrid"/>
        <w:tblW w:w="0" w:type="auto"/>
        <w:tblCellMar>
          <w:bottom w:w="425" w:type="dxa"/>
        </w:tblCellMar>
        <w:tblLook w:val="04A0" w:firstRow="1" w:lastRow="0" w:firstColumn="1" w:lastColumn="0" w:noHBand="0" w:noVBand="1"/>
      </w:tblPr>
      <w:tblGrid>
        <w:gridCol w:w="9288"/>
      </w:tblGrid>
      <w:tr w:rsidR="00D2756E" w14:paraId="76004F26" w14:textId="77777777" w:rsidTr="009742AB">
        <w:tc>
          <w:tcPr>
            <w:tcW w:w="9288" w:type="dxa"/>
            <w:tcBorders>
              <w:left w:val="nil"/>
              <w:right w:val="nil"/>
            </w:tcBorders>
          </w:tcPr>
          <w:p w14:paraId="11867BD0" w14:textId="45D49602" w:rsidR="00D2756E" w:rsidRPr="00176D37" w:rsidRDefault="00D2756E" w:rsidP="009742AB">
            <w:pPr>
              <w:pStyle w:val="Quotetext"/>
            </w:pPr>
            <w:r w:rsidRPr="00176D37">
              <w:t xml:space="preserve">Crispin et al. (2022) </w:t>
            </w:r>
            <w:r>
              <w:t>state:</w:t>
            </w:r>
          </w:p>
          <w:p w14:paraId="6F4885A5" w14:textId="078BB295" w:rsidR="00D2756E" w:rsidRPr="00AB5DB9" w:rsidRDefault="00D2756E" w:rsidP="00B73AB7">
            <w:pPr>
              <w:pStyle w:val="Quotebullet2"/>
              <w:spacing w:before="160"/>
            </w:pPr>
            <w:r w:rsidRPr="00AB5DB9">
              <w:t>Prescriptions must be in accordance with national guidelines.</w:t>
            </w:r>
          </w:p>
          <w:p w14:paraId="4C3BF5CA" w14:textId="747BD7C9" w:rsidR="00D2756E" w:rsidRPr="00AB5DB9" w:rsidRDefault="00D2756E" w:rsidP="00B73AB7">
            <w:pPr>
              <w:pStyle w:val="Quotebullet2"/>
              <w:spacing w:before="160"/>
            </w:pPr>
            <w:r w:rsidRPr="00AB5DB9">
              <w:t>The EMR must have a complete and up-to-date list of blood products, to be prescribed by the product form (e.g., units of red cells) or weight</w:t>
            </w:r>
            <w:r w:rsidR="00965BEE">
              <w:t>-based dosing</w:t>
            </w:r>
            <w:r w:rsidRPr="00AB5DB9">
              <w:t>.</w:t>
            </w:r>
          </w:p>
          <w:p w14:paraId="3351211F" w14:textId="77777777" w:rsidR="00D2756E" w:rsidRPr="00AB5DB9" w:rsidRDefault="00D2756E" w:rsidP="00B73AB7">
            <w:pPr>
              <w:pStyle w:val="Quotebullet2"/>
              <w:spacing w:before="160"/>
            </w:pPr>
            <w:r w:rsidRPr="00AB5DB9">
              <w:t>EMRs should alert prescribers to special transfusion requirements.</w:t>
            </w:r>
          </w:p>
          <w:p w14:paraId="4A707AD4" w14:textId="77777777" w:rsidR="00D2756E" w:rsidRPr="00AB5DB9" w:rsidRDefault="00D2756E" w:rsidP="00B73AB7">
            <w:pPr>
              <w:pStyle w:val="Quotebullet2"/>
              <w:spacing w:before="160"/>
            </w:pPr>
            <w:r w:rsidRPr="00AB5DB9">
              <w:t>Special transfusion requirements should be communicated between clinical and laboratory systems.</w:t>
            </w:r>
          </w:p>
          <w:p w14:paraId="1DCA53DF" w14:textId="6CBA5059" w:rsidR="00D2756E" w:rsidRDefault="00D2756E" w:rsidP="009742AB">
            <w:pPr>
              <w:pStyle w:val="Quotebullet2"/>
            </w:pPr>
            <w:r w:rsidRPr="00AB5DB9">
              <w:t>EMRs may use standardi</w:t>
            </w:r>
            <w:r w:rsidR="00AA7869">
              <w:t>s</w:t>
            </w:r>
            <w:r w:rsidRPr="00AB5DB9">
              <w:t>ed prescriptions for rates of administration but need to maintain flexibility for individual patient needs.</w:t>
            </w:r>
          </w:p>
        </w:tc>
      </w:tr>
    </w:tbl>
    <w:p w14:paraId="7D4B1D1E" w14:textId="77777777" w:rsidR="00E9700E" w:rsidRPr="00690E4F" w:rsidRDefault="00E9700E" w:rsidP="00690E4F">
      <w:pPr>
        <w:pStyle w:val="Heading3"/>
      </w:pPr>
      <w:bookmarkStart w:id="151" w:name="_Toc101285693"/>
      <w:bookmarkStart w:id="152" w:name="_Toc101947715"/>
      <w:bookmarkStart w:id="153" w:name="_Hlk97124775"/>
      <w:r w:rsidRPr="00690E4F">
        <w:t>Prescribing blood components/products</w:t>
      </w:r>
      <w:bookmarkEnd w:id="151"/>
      <w:bookmarkEnd w:id="152"/>
    </w:p>
    <w:p w14:paraId="45A8F764" w14:textId="76CE8D8F" w:rsidR="00E9700E" w:rsidRPr="00176D37" w:rsidRDefault="00E9700E" w:rsidP="00690E4F">
      <w:pPr>
        <w:pStyle w:val="Body"/>
        <w:rPr>
          <w:shd w:val="clear" w:color="auto" w:fill="FFFFFF"/>
        </w:rPr>
      </w:pPr>
      <w:bookmarkStart w:id="154" w:name="_Hlk89948355"/>
      <w:bookmarkEnd w:id="153"/>
      <w:r w:rsidRPr="00176D37">
        <w:rPr>
          <w:shd w:val="clear" w:color="auto" w:fill="FFFFFF"/>
        </w:rPr>
        <w:t xml:space="preserve">Quality, nursing (clinical and management) and clinical medical staff were asked how blood products are prescribed/ordered for transfusion. </w:t>
      </w:r>
      <w:r w:rsidRPr="00176D37">
        <w:rPr>
          <w:shd w:val="clear" w:color="auto" w:fill="FFFFFF"/>
        </w:rPr>
        <w:fldChar w:fldCharType="begin"/>
      </w:r>
      <w:r w:rsidRPr="00176D37">
        <w:rPr>
          <w:shd w:val="clear" w:color="auto" w:fill="FFFFFF"/>
        </w:rPr>
        <w:instrText xml:space="preserve"> REF _Ref100678884 \h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26</w:t>
      </w:r>
      <w:r w:rsidRPr="00176D37">
        <w:rPr>
          <w:shd w:val="clear" w:color="auto" w:fill="FFFFFF"/>
        </w:rPr>
        <w:fldChar w:fldCharType="end"/>
      </w:r>
      <w:r w:rsidRPr="00176D37">
        <w:rPr>
          <w:shd w:val="clear" w:color="auto" w:fill="FFFFFF"/>
        </w:rPr>
        <w:t xml:space="preserve"> summarises the responses from staff at each health service. </w:t>
      </w:r>
    </w:p>
    <w:p w14:paraId="7E279BF4" w14:textId="46D90A70" w:rsidR="00E9700E" w:rsidRPr="00176D37" w:rsidRDefault="00E9700E" w:rsidP="00690E4F">
      <w:pPr>
        <w:pStyle w:val="Tablecaption"/>
      </w:pPr>
      <w:bookmarkStart w:id="155" w:name="_Ref100678884"/>
      <w:r w:rsidRPr="00176D37">
        <w:t xml:space="preserve">Table </w:t>
      </w:r>
      <w:r w:rsidR="00F751A0">
        <w:fldChar w:fldCharType="begin"/>
      </w:r>
      <w:r w:rsidR="00F751A0">
        <w:instrText xml:space="preserve"> SEQ Table \* ARABIC </w:instrText>
      </w:r>
      <w:r w:rsidR="00F751A0">
        <w:fldChar w:fldCharType="separate"/>
      </w:r>
      <w:r w:rsidR="00E73E2F">
        <w:rPr>
          <w:noProof/>
        </w:rPr>
        <w:t>26</w:t>
      </w:r>
      <w:r w:rsidR="00F751A0">
        <w:rPr>
          <w:noProof/>
        </w:rPr>
        <w:fldChar w:fldCharType="end"/>
      </w:r>
      <w:bookmarkEnd w:id="155"/>
      <w:r w:rsidRPr="00176D37">
        <w:t>: Methods used for prescribing blood/blood products at participating health services using an EMR</w:t>
      </w:r>
      <w:r w:rsidRPr="00176D37">
        <w:rPr>
          <w:rStyle w:val="FootnoteReference"/>
          <w:rFonts w:cs="Arial"/>
          <w:sz w:val="22"/>
          <w:szCs w:val="22"/>
        </w:rPr>
        <w:footnoteReference w:id="20"/>
      </w:r>
    </w:p>
    <w:tbl>
      <w:tblPr>
        <w:tblStyle w:val="TableGrid"/>
        <w:tblW w:w="0" w:type="auto"/>
        <w:tblLook w:val="04A0" w:firstRow="1" w:lastRow="0" w:firstColumn="1" w:lastColumn="0" w:noHBand="0" w:noVBand="1"/>
      </w:tblPr>
      <w:tblGrid>
        <w:gridCol w:w="4508"/>
        <w:gridCol w:w="4508"/>
      </w:tblGrid>
      <w:tr w:rsidR="00E9700E" w:rsidRPr="00176D37" w14:paraId="3BC08661" w14:textId="77777777" w:rsidTr="009742AB">
        <w:trPr>
          <w:tblHeader/>
        </w:trPr>
        <w:tc>
          <w:tcPr>
            <w:tcW w:w="4508" w:type="dxa"/>
          </w:tcPr>
          <w:p w14:paraId="5096DDAB" w14:textId="6D26BC7E" w:rsidR="00E9700E" w:rsidRPr="00176D37" w:rsidRDefault="00E60AED" w:rsidP="00690E4F">
            <w:pPr>
              <w:pStyle w:val="Tablecolhead"/>
            </w:pPr>
            <w:r>
              <w:t>Method</w:t>
            </w:r>
          </w:p>
        </w:tc>
        <w:tc>
          <w:tcPr>
            <w:tcW w:w="4508" w:type="dxa"/>
          </w:tcPr>
          <w:p w14:paraId="46C2D70A" w14:textId="23A83B9F" w:rsidR="00E9700E" w:rsidRPr="00176D37" w:rsidRDefault="00E9700E" w:rsidP="00690E4F">
            <w:pPr>
              <w:pStyle w:val="Tablecolhead"/>
            </w:pPr>
            <w:r w:rsidRPr="00176D37">
              <w:t xml:space="preserve">Health service count </w:t>
            </w:r>
            <w:r w:rsidR="00F751A0">
              <w:t xml:space="preserve">n = </w:t>
            </w:r>
            <w:r w:rsidRPr="00176D37">
              <w:t>17, (%)</w:t>
            </w:r>
          </w:p>
        </w:tc>
      </w:tr>
      <w:tr w:rsidR="00E9700E" w:rsidRPr="00176D37" w14:paraId="1BE7EA6D" w14:textId="77777777" w:rsidTr="00A173F8">
        <w:tc>
          <w:tcPr>
            <w:tcW w:w="4508" w:type="dxa"/>
          </w:tcPr>
          <w:p w14:paraId="63F018B8" w14:textId="77777777" w:rsidR="00E9700E" w:rsidRPr="00176D37" w:rsidRDefault="00E9700E" w:rsidP="00690E4F">
            <w:pPr>
              <w:pStyle w:val="Tabletext"/>
            </w:pPr>
            <w:r w:rsidRPr="00176D37">
              <w:t>Electronic – via the patient’s EMR</w:t>
            </w:r>
          </w:p>
        </w:tc>
        <w:tc>
          <w:tcPr>
            <w:tcW w:w="4508" w:type="dxa"/>
          </w:tcPr>
          <w:p w14:paraId="0CF130C0" w14:textId="77777777" w:rsidR="00E9700E" w:rsidRPr="00176D37" w:rsidRDefault="00E9700E" w:rsidP="009742AB">
            <w:pPr>
              <w:pStyle w:val="Tabletext"/>
              <w:jc w:val="right"/>
            </w:pPr>
            <w:r w:rsidRPr="00176D37">
              <w:t>4 (24%)</w:t>
            </w:r>
          </w:p>
        </w:tc>
      </w:tr>
      <w:tr w:rsidR="00E9700E" w:rsidRPr="00176D37" w14:paraId="377D1CFA" w14:textId="77777777" w:rsidTr="00A173F8">
        <w:tc>
          <w:tcPr>
            <w:tcW w:w="4508" w:type="dxa"/>
          </w:tcPr>
          <w:p w14:paraId="2B1925AD" w14:textId="77777777" w:rsidR="00E9700E" w:rsidRPr="00176D37" w:rsidRDefault="00E9700E" w:rsidP="00690E4F">
            <w:pPr>
              <w:pStyle w:val="Tabletext"/>
            </w:pPr>
            <w:r w:rsidRPr="00176D37">
              <w:t>Paper form</w:t>
            </w:r>
          </w:p>
        </w:tc>
        <w:tc>
          <w:tcPr>
            <w:tcW w:w="4508" w:type="dxa"/>
          </w:tcPr>
          <w:p w14:paraId="7EC71BA9" w14:textId="77777777" w:rsidR="00E9700E" w:rsidRPr="00176D37" w:rsidRDefault="00E9700E" w:rsidP="009742AB">
            <w:pPr>
              <w:pStyle w:val="Tabletext"/>
              <w:jc w:val="right"/>
            </w:pPr>
            <w:r w:rsidRPr="00176D37">
              <w:t>9 (53%)</w:t>
            </w:r>
          </w:p>
        </w:tc>
      </w:tr>
      <w:tr w:rsidR="00E9700E" w:rsidRPr="00176D37" w14:paraId="6765F161" w14:textId="77777777" w:rsidTr="00A173F8">
        <w:tc>
          <w:tcPr>
            <w:tcW w:w="4508" w:type="dxa"/>
          </w:tcPr>
          <w:p w14:paraId="55CD82F4" w14:textId="77777777" w:rsidR="00E9700E" w:rsidRPr="00176D37" w:rsidRDefault="00E9700E" w:rsidP="00690E4F">
            <w:pPr>
              <w:pStyle w:val="Tabletext"/>
            </w:pPr>
            <w:r w:rsidRPr="00176D37">
              <w:rPr>
                <w:shd w:val="clear" w:color="auto" w:fill="FFFFFF"/>
              </w:rPr>
              <w:t xml:space="preserve">Hybrid system </w:t>
            </w:r>
            <w:proofErr w:type="gramStart"/>
            <w:r w:rsidRPr="00176D37">
              <w:rPr>
                <w:shd w:val="clear" w:color="auto" w:fill="FFFFFF"/>
              </w:rPr>
              <w:t>i.e.</w:t>
            </w:r>
            <w:proofErr w:type="gramEnd"/>
            <w:r w:rsidRPr="00176D37">
              <w:rPr>
                <w:shd w:val="clear" w:color="auto" w:fill="FFFFFF"/>
              </w:rPr>
              <w:t xml:space="preserve"> a combination of electronic and paper prescribing/ordering</w:t>
            </w:r>
          </w:p>
        </w:tc>
        <w:tc>
          <w:tcPr>
            <w:tcW w:w="4508" w:type="dxa"/>
          </w:tcPr>
          <w:p w14:paraId="4825A634" w14:textId="77777777" w:rsidR="00E9700E" w:rsidRPr="00176D37" w:rsidRDefault="00E9700E" w:rsidP="009742AB">
            <w:pPr>
              <w:pStyle w:val="Tabletext"/>
              <w:jc w:val="right"/>
            </w:pPr>
            <w:r w:rsidRPr="00176D37">
              <w:t>3 (18%)</w:t>
            </w:r>
          </w:p>
        </w:tc>
      </w:tr>
      <w:tr w:rsidR="00E9700E" w:rsidRPr="00176D37" w14:paraId="19906D9B" w14:textId="77777777" w:rsidTr="00A173F8">
        <w:tc>
          <w:tcPr>
            <w:tcW w:w="4508" w:type="dxa"/>
          </w:tcPr>
          <w:p w14:paraId="4CEA03EF" w14:textId="77777777" w:rsidR="00E9700E" w:rsidRPr="00176D37" w:rsidRDefault="00E9700E" w:rsidP="00690E4F">
            <w:pPr>
              <w:pStyle w:val="Tabletext"/>
              <w:rPr>
                <w:shd w:val="clear" w:color="auto" w:fill="FFFFFF"/>
              </w:rPr>
            </w:pPr>
            <w:r w:rsidRPr="00176D37">
              <w:rPr>
                <w:shd w:val="clear" w:color="auto" w:fill="FFFFFF"/>
              </w:rPr>
              <w:t>No response</w:t>
            </w:r>
          </w:p>
        </w:tc>
        <w:tc>
          <w:tcPr>
            <w:tcW w:w="4508" w:type="dxa"/>
          </w:tcPr>
          <w:p w14:paraId="48A5BEAA" w14:textId="77777777" w:rsidR="00E9700E" w:rsidRPr="00176D37" w:rsidRDefault="00E9700E" w:rsidP="009742AB">
            <w:pPr>
              <w:pStyle w:val="Tabletext"/>
              <w:jc w:val="right"/>
            </w:pPr>
            <w:r w:rsidRPr="00176D37">
              <w:t>1 (6%)</w:t>
            </w:r>
          </w:p>
        </w:tc>
      </w:tr>
    </w:tbl>
    <w:p w14:paraId="54C991B9" w14:textId="42A95214" w:rsidR="00E9700E" w:rsidRPr="00176D37" w:rsidRDefault="00E9700E" w:rsidP="009742AB">
      <w:pPr>
        <w:pStyle w:val="Bodyaftertablefigure"/>
      </w:pPr>
      <w:r w:rsidRPr="00176D37">
        <w:t xml:space="preserve">Most health services (53 per cent) with an EMR are still using a paper form for prescribing/ordering. Four (24 per cent) prescribe/order blood for transfusion within the EMR, and </w:t>
      </w:r>
      <w:r w:rsidR="00E60AED">
        <w:t>three</w:t>
      </w:r>
      <w:r w:rsidR="00E60AED" w:rsidRPr="00176D37">
        <w:t xml:space="preserve"> </w:t>
      </w:r>
      <w:r w:rsidRPr="00176D37">
        <w:t xml:space="preserve">(18 per cent) use a hybrid system (combination of electronic and paper). </w:t>
      </w:r>
    </w:p>
    <w:p w14:paraId="53E84BCF" w14:textId="77777777" w:rsidR="00E9700E" w:rsidRPr="00176D37" w:rsidRDefault="00E9700E" w:rsidP="00690E4F">
      <w:pPr>
        <w:pStyle w:val="Body"/>
      </w:pPr>
      <w:r w:rsidRPr="00176D37">
        <w:lastRenderedPageBreak/>
        <w:t>ANZSBT guidelines (2021)</w:t>
      </w:r>
      <w:bookmarkEnd w:id="154"/>
      <w:r w:rsidRPr="00176D37">
        <w:t xml:space="preserve"> suggest prescription of blood products via an EMR is an opportunity to offer prescriber decision support tools. Options include:</w:t>
      </w:r>
    </w:p>
    <w:p w14:paraId="11B129BB" w14:textId="08E0CD1B" w:rsidR="00E9700E" w:rsidRPr="00176D37" w:rsidRDefault="00E60AED" w:rsidP="00690E4F">
      <w:pPr>
        <w:pStyle w:val="Bullet1"/>
      </w:pPr>
      <w:r>
        <w:t>li</w:t>
      </w:r>
      <w:r w:rsidRPr="00176D37">
        <w:t xml:space="preserve">nks </w:t>
      </w:r>
      <w:r w:rsidR="00E9700E" w:rsidRPr="00176D37">
        <w:t xml:space="preserve">to current guidelines </w:t>
      </w:r>
      <w:r>
        <w:t>that</w:t>
      </w:r>
      <w:r w:rsidRPr="00176D37">
        <w:t xml:space="preserve"> </w:t>
      </w:r>
      <w:r w:rsidR="00E9700E" w:rsidRPr="00176D37">
        <w:t xml:space="preserve">are generic and require clinicians to choose to access </w:t>
      </w:r>
      <w:r w:rsidRPr="00176D37">
        <w:t>the</w:t>
      </w:r>
      <w:r>
        <w:t>m</w:t>
      </w:r>
    </w:p>
    <w:p w14:paraId="549AA321" w14:textId="51C55EA5" w:rsidR="00E9700E" w:rsidRPr="00176D37" w:rsidRDefault="00E60AED" w:rsidP="00690E4F">
      <w:pPr>
        <w:pStyle w:val="Bullet1"/>
      </w:pPr>
      <w:r>
        <w:t>g</w:t>
      </w:r>
      <w:r w:rsidRPr="00176D37">
        <w:t xml:space="preserve">eneral </w:t>
      </w:r>
      <w:r w:rsidR="00E9700E" w:rsidRPr="00176D37">
        <w:t>advice actively presented to clinicians when prescribing</w:t>
      </w:r>
    </w:p>
    <w:p w14:paraId="4B710BAB" w14:textId="1BCCBDE7" w:rsidR="00E9700E" w:rsidRPr="00176D37" w:rsidRDefault="00E60AED" w:rsidP="00690E4F">
      <w:pPr>
        <w:pStyle w:val="Bullet1"/>
      </w:pPr>
      <w:r>
        <w:t>s</w:t>
      </w:r>
      <w:r w:rsidRPr="00176D37">
        <w:t xml:space="preserve">pecific </w:t>
      </w:r>
      <w:r w:rsidR="00E9700E" w:rsidRPr="00176D37">
        <w:t>advice using patient characteristics/test results, run through an algorithm based on best practice guidelines, presented when prescribing</w:t>
      </w:r>
      <w:r w:rsidR="00E9700E" w:rsidRPr="00176D37">
        <w:rPr>
          <w:color w:val="0070C0"/>
        </w:rPr>
        <w:t>.</w:t>
      </w:r>
    </w:p>
    <w:p w14:paraId="4AD9816D" w14:textId="0D22A9DA" w:rsidR="00E9700E" w:rsidRPr="00176D37" w:rsidRDefault="00E9700E" w:rsidP="009742AB">
      <w:pPr>
        <w:pStyle w:val="Bodyafterbullets"/>
      </w:pPr>
      <w:r w:rsidRPr="00176D37">
        <w:t xml:space="preserve">Respondents were asked if their EMR has one </w:t>
      </w:r>
      <w:r w:rsidRPr="00E60AED">
        <w:t>standard</w:t>
      </w:r>
      <w:r w:rsidRPr="00176D37">
        <w:t xml:space="preserve"> way to order blood for routine transfusion for all areas (excluding emergency or massive transfusion) (</w:t>
      </w:r>
      <w:r w:rsidRPr="00176D37">
        <w:fldChar w:fldCharType="begin"/>
      </w:r>
      <w:r w:rsidRPr="00176D37">
        <w:instrText xml:space="preserve"> REF _Ref100678898 \h  \* MERGEFORMAT </w:instrText>
      </w:r>
      <w:r w:rsidRPr="00176D37">
        <w:fldChar w:fldCharType="separate"/>
      </w:r>
      <w:r w:rsidR="00E73E2F" w:rsidRPr="00176D37">
        <w:t xml:space="preserve">Table </w:t>
      </w:r>
      <w:r w:rsidR="00E73E2F">
        <w:rPr>
          <w:noProof/>
        </w:rPr>
        <w:t>27</w:t>
      </w:r>
      <w:r w:rsidRPr="00176D37">
        <w:fldChar w:fldCharType="end"/>
      </w:r>
      <w:r w:rsidRPr="00176D37">
        <w:t xml:space="preserve">). </w:t>
      </w:r>
    </w:p>
    <w:p w14:paraId="1547186E" w14:textId="37A1FCD8" w:rsidR="00E9700E" w:rsidRPr="00176D37" w:rsidRDefault="00E9700E" w:rsidP="00690E4F">
      <w:pPr>
        <w:pStyle w:val="Tablecaption"/>
      </w:pPr>
      <w:bookmarkStart w:id="156" w:name="_Ref100678898"/>
      <w:r w:rsidRPr="00176D37">
        <w:t xml:space="preserve">Table </w:t>
      </w:r>
      <w:r w:rsidR="00F751A0">
        <w:fldChar w:fldCharType="begin"/>
      </w:r>
      <w:r w:rsidR="00F751A0">
        <w:instrText xml:space="preserve"> SEQ Table \* ARABIC </w:instrText>
      </w:r>
      <w:r w:rsidR="00F751A0">
        <w:fldChar w:fldCharType="separate"/>
      </w:r>
      <w:r w:rsidR="00E73E2F">
        <w:rPr>
          <w:noProof/>
        </w:rPr>
        <w:t>27</w:t>
      </w:r>
      <w:r w:rsidR="00F751A0">
        <w:rPr>
          <w:noProof/>
        </w:rPr>
        <w:fldChar w:fldCharType="end"/>
      </w:r>
      <w:bookmarkEnd w:id="156"/>
      <w:r w:rsidRPr="00176D37">
        <w:t>: Methods to order blood for routine planned transfusion within EMR</w:t>
      </w:r>
      <w:r w:rsidRPr="00176D37">
        <w:rPr>
          <w:rStyle w:val="FootnoteReference"/>
          <w:rFonts w:cs="Arial"/>
          <w:sz w:val="22"/>
          <w:szCs w:val="22"/>
        </w:rPr>
        <w:footnoteReference w:id="21"/>
      </w:r>
    </w:p>
    <w:tbl>
      <w:tblPr>
        <w:tblStyle w:val="TableGrid"/>
        <w:tblW w:w="0" w:type="auto"/>
        <w:tblLook w:val="04A0" w:firstRow="1" w:lastRow="0" w:firstColumn="1" w:lastColumn="0" w:noHBand="0" w:noVBand="1"/>
      </w:tblPr>
      <w:tblGrid>
        <w:gridCol w:w="4390"/>
        <w:gridCol w:w="3402"/>
      </w:tblGrid>
      <w:tr w:rsidR="00E9700E" w:rsidRPr="00176D37" w14:paraId="524A1A3B" w14:textId="77777777" w:rsidTr="00E73E2F">
        <w:trPr>
          <w:tblHeader/>
        </w:trPr>
        <w:tc>
          <w:tcPr>
            <w:tcW w:w="4390" w:type="dxa"/>
          </w:tcPr>
          <w:p w14:paraId="6380E1AA" w14:textId="1CE06796" w:rsidR="00E9700E" w:rsidRPr="00176D37" w:rsidRDefault="00E60AED" w:rsidP="00690E4F">
            <w:pPr>
              <w:pStyle w:val="Tablecolhead"/>
            </w:pPr>
            <w:r>
              <w:t>Methods</w:t>
            </w:r>
          </w:p>
        </w:tc>
        <w:tc>
          <w:tcPr>
            <w:tcW w:w="3402" w:type="dxa"/>
          </w:tcPr>
          <w:p w14:paraId="625E2F51" w14:textId="24770762" w:rsidR="00E9700E" w:rsidRPr="00176D37" w:rsidRDefault="00E9700E" w:rsidP="00690E4F">
            <w:pPr>
              <w:pStyle w:val="Tablecolhead"/>
            </w:pPr>
            <w:r w:rsidRPr="00176D37">
              <w:t>Health service count n</w:t>
            </w:r>
            <w:r w:rsidR="00E60AED">
              <w:t xml:space="preserve"> </w:t>
            </w:r>
            <w:r w:rsidRPr="00176D37">
              <w:t>=</w:t>
            </w:r>
            <w:r w:rsidR="00E60AED">
              <w:t xml:space="preserve"> </w:t>
            </w:r>
            <w:r w:rsidRPr="00176D37">
              <w:t>20, (%)</w:t>
            </w:r>
          </w:p>
        </w:tc>
      </w:tr>
      <w:tr w:rsidR="00E9700E" w:rsidRPr="00176D37" w14:paraId="1D06580C" w14:textId="77777777" w:rsidTr="00E73E2F">
        <w:tc>
          <w:tcPr>
            <w:tcW w:w="4390" w:type="dxa"/>
          </w:tcPr>
          <w:p w14:paraId="7FDD212C" w14:textId="77777777" w:rsidR="00E9700E" w:rsidRPr="00176D37" w:rsidRDefault="00E9700E" w:rsidP="00690E4F">
            <w:pPr>
              <w:pStyle w:val="Tabletext"/>
            </w:pPr>
            <w:r w:rsidRPr="00176D37">
              <w:t>Only one way to order</w:t>
            </w:r>
          </w:p>
        </w:tc>
        <w:tc>
          <w:tcPr>
            <w:tcW w:w="3402" w:type="dxa"/>
          </w:tcPr>
          <w:p w14:paraId="614E89B9" w14:textId="77777777" w:rsidR="00E9700E" w:rsidRPr="00176D37" w:rsidRDefault="00E9700E" w:rsidP="009742AB">
            <w:pPr>
              <w:pStyle w:val="Tabletext"/>
              <w:jc w:val="right"/>
            </w:pPr>
            <w:r w:rsidRPr="00176D37">
              <w:t>5 (25%)</w:t>
            </w:r>
          </w:p>
        </w:tc>
      </w:tr>
      <w:tr w:rsidR="00E9700E" w:rsidRPr="00176D37" w14:paraId="7DFA53D5" w14:textId="77777777" w:rsidTr="00E73E2F">
        <w:tc>
          <w:tcPr>
            <w:tcW w:w="4390" w:type="dxa"/>
          </w:tcPr>
          <w:p w14:paraId="176C9609" w14:textId="77777777" w:rsidR="00E9700E" w:rsidRPr="00176D37" w:rsidRDefault="00E9700E" w:rsidP="00690E4F">
            <w:pPr>
              <w:pStyle w:val="Tabletext"/>
            </w:pPr>
            <w:r w:rsidRPr="00176D37">
              <w:t>Unsure</w:t>
            </w:r>
          </w:p>
        </w:tc>
        <w:tc>
          <w:tcPr>
            <w:tcW w:w="3402" w:type="dxa"/>
          </w:tcPr>
          <w:p w14:paraId="3BC48A4C" w14:textId="77777777" w:rsidR="00E9700E" w:rsidRPr="00176D37" w:rsidRDefault="00E9700E" w:rsidP="009742AB">
            <w:pPr>
              <w:pStyle w:val="Tabletext"/>
              <w:jc w:val="right"/>
            </w:pPr>
            <w:r w:rsidRPr="00176D37">
              <w:t>1 (5%)</w:t>
            </w:r>
          </w:p>
        </w:tc>
      </w:tr>
      <w:tr w:rsidR="00E9700E" w:rsidRPr="00176D37" w14:paraId="773A4149" w14:textId="77777777" w:rsidTr="00E73E2F">
        <w:tc>
          <w:tcPr>
            <w:tcW w:w="4390" w:type="dxa"/>
          </w:tcPr>
          <w:p w14:paraId="076F0480" w14:textId="77777777" w:rsidR="00E9700E" w:rsidRPr="00176D37" w:rsidRDefault="00E9700E" w:rsidP="00690E4F">
            <w:pPr>
              <w:pStyle w:val="Tabletext"/>
            </w:pPr>
            <w:r w:rsidRPr="00176D37">
              <w:t>Not applicable</w:t>
            </w:r>
          </w:p>
        </w:tc>
        <w:tc>
          <w:tcPr>
            <w:tcW w:w="3402" w:type="dxa"/>
          </w:tcPr>
          <w:p w14:paraId="490C4830" w14:textId="77777777" w:rsidR="00E9700E" w:rsidRPr="00176D37" w:rsidRDefault="00E9700E" w:rsidP="009742AB">
            <w:pPr>
              <w:pStyle w:val="Tabletext"/>
              <w:jc w:val="right"/>
            </w:pPr>
            <w:r w:rsidRPr="00176D37">
              <w:t>8 (40%)</w:t>
            </w:r>
          </w:p>
        </w:tc>
      </w:tr>
      <w:tr w:rsidR="00E9700E" w:rsidRPr="00176D37" w14:paraId="22A629C7" w14:textId="77777777" w:rsidTr="00E73E2F">
        <w:tc>
          <w:tcPr>
            <w:tcW w:w="4390" w:type="dxa"/>
          </w:tcPr>
          <w:p w14:paraId="10E78449" w14:textId="77777777" w:rsidR="00E9700E" w:rsidRPr="00176D37" w:rsidRDefault="00E9700E" w:rsidP="00690E4F">
            <w:pPr>
              <w:pStyle w:val="Tabletext"/>
            </w:pPr>
            <w:r w:rsidRPr="00176D37">
              <w:t>Multiple</w:t>
            </w:r>
          </w:p>
        </w:tc>
        <w:tc>
          <w:tcPr>
            <w:tcW w:w="3402" w:type="dxa"/>
          </w:tcPr>
          <w:p w14:paraId="1CCA9440" w14:textId="77777777" w:rsidR="00E9700E" w:rsidRPr="00176D37" w:rsidRDefault="00E9700E" w:rsidP="009742AB">
            <w:pPr>
              <w:pStyle w:val="Tabletext"/>
              <w:jc w:val="right"/>
            </w:pPr>
            <w:r w:rsidRPr="00176D37">
              <w:t>4 (20%)</w:t>
            </w:r>
          </w:p>
        </w:tc>
      </w:tr>
      <w:tr w:rsidR="00E9700E" w:rsidRPr="00176D37" w14:paraId="40D7EE6F" w14:textId="77777777" w:rsidTr="00E73E2F">
        <w:tc>
          <w:tcPr>
            <w:tcW w:w="4390" w:type="dxa"/>
          </w:tcPr>
          <w:p w14:paraId="5B9D788E" w14:textId="77777777" w:rsidR="00E9700E" w:rsidRPr="00176D37" w:rsidRDefault="00E9700E" w:rsidP="00690E4F">
            <w:pPr>
              <w:pStyle w:val="Tabletext"/>
            </w:pPr>
            <w:r w:rsidRPr="00176D37">
              <w:t xml:space="preserve">Conflicting responses within a health service </w:t>
            </w:r>
          </w:p>
        </w:tc>
        <w:tc>
          <w:tcPr>
            <w:tcW w:w="3402" w:type="dxa"/>
          </w:tcPr>
          <w:p w14:paraId="4326C171" w14:textId="77777777" w:rsidR="00E9700E" w:rsidRPr="00176D37" w:rsidRDefault="00E9700E" w:rsidP="009742AB">
            <w:pPr>
              <w:pStyle w:val="Tabletext"/>
              <w:jc w:val="right"/>
            </w:pPr>
            <w:r w:rsidRPr="00176D37">
              <w:t>2 (10%)</w:t>
            </w:r>
          </w:p>
        </w:tc>
      </w:tr>
    </w:tbl>
    <w:p w14:paraId="36E2DEC2" w14:textId="77777777" w:rsidR="00E9700E" w:rsidRPr="00176D37" w:rsidRDefault="00E9700E" w:rsidP="009742AB">
      <w:pPr>
        <w:pStyle w:val="Bodyaftertablefigure"/>
      </w:pPr>
      <w:r w:rsidRPr="00176D37">
        <w:t xml:space="preserve">The conflicting responses may result from respondents providing an individual perspective (as requested), and thus </w:t>
      </w:r>
      <w:r w:rsidRPr="00E60AED">
        <w:t>may</w:t>
      </w:r>
      <w:r w:rsidRPr="00176D37">
        <w:t xml:space="preserve"> not be aware that other areas may have a modified or different prescribing option.</w:t>
      </w:r>
    </w:p>
    <w:p w14:paraId="3888886D" w14:textId="77777777" w:rsidR="00E9700E" w:rsidRPr="00176D37" w:rsidRDefault="00E9700E" w:rsidP="00690E4F">
      <w:pPr>
        <w:pStyle w:val="Body"/>
      </w:pPr>
      <w:r w:rsidRPr="00176D37">
        <w:t>Increasing the complexity and individualisations of an EMR system can lead to confusion among users.</w:t>
      </w:r>
    </w:p>
    <w:p w14:paraId="68E6902B" w14:textId="26CB570C" w:rsidR="00E9700E" w:rsidRPr="00176D37" w:rsidRDefault="00E9700E" w:rsidP="00690E4F">
      <w:pPr>
        <w:pStyle w:val="Body"/>
      </w:pPr>
      <w:r w:rsidRPr="00176D37">
        <w:t xml:space="preserve">ANZSBT guidelines state that EMRs used to submit requests should restrict the ability to order blood products to groups or individuals with appropriate delegations </w:t>
      </w:r>
      <w:r w:rsidR="00BE1BE8">
        <w:t>(ANZSBT 2021)</w:t>
      </w:r>
      <w:r w:rsidRPr="00176D37">
        <w:t xml:space="preserve">. </w:t>
      </w:r>
    </w:p>
    <w:p w14:paraId="7035A1E7" w14:textId="77777777" w:rsidR="00E9700E" w:rsidRPr="00176D37" w:rsidRDefault="00E9700E" w:rsidP="00690E4F">
      <w:pPr>
        <w:pStyle w:val="Body"/>
      </w:pPr>
      <w:r w:rsidRPr="00176D37">
        <w:t>In health services with more than one way to prescribe blood, three health services identified up to four areas with a separate option for prescribing routine transfusions, these include:</w:t>
      </w:r>
    </w:p>
    <w:p w14:paraId="5491046B" w14:textId="6A4F12F2" w:rsidR="00E9700E" w:rsidRPr="00176D37" w:rsidRDefault="00E60AED" w:rsidP="00E2470C">
      <w:pPr>
        <w:pStyle w:val="Bullet1"/>
      </w:pPr>
      <w:r>
        <w:t>i</w:t>
      </w:r>
      <w:r w:rsidRPr="00176D37">
        <w:t>ntra</w:t>
      </w:r>
      <w:r w:rsidR="00E9700E" w:rsidRPr="00176D37">
        <w:t>-operative x 3</w:t>
      </w:r>
    </w:p>
    <w:p w14:paraId="5A634D1E" w14:textId="7696B1CA" w:rsidR="00E9700E" w:rsidRPr="00176D37" w:rsidRDefault="00E60AED" w:rsidP="00E2470C">
      <w:pPr>
        <w:pStyle w:val="Bullet1"/>
      </w:pPr>
      <w:r>
        <w:t>d</w:t>
      </w:r>
      <w:r w:rsidRPr="00176D37">
        <w:t xml:space="preserve">ay </w:t>
      </w:r>
      <w:r w:rsidR="00E9700E" w:rsidRPr="00176D37">
        <w:t>procedure x 1</w:t>
      </w:r>
    </w:p>
    <w:p w14:paraId="2E926658" w14:textId="0E2F9775" w:rsidR="00E9700E" w:rsidRPr="00176D37" w:rsidRDefault="00E60AED" w:rsidP="00E2470C">
      <w:pPr>
        <w:pStyle w:val="Bullet1"/>
      </w:pPr>
      <w:r>
        <w:t>h</w:t>
      </w:r>
      <w:r w:rsidRPr="00176D37">
        <w:t xml:space="preserve">aematology </w:t>
      </w:r>
      <w:r w:rsidR="00E9700E" w:rsidRPr="00176D37">
        <w:t>x 1</w:t>
      </w:r>
    </w:p>
    <w:p w14:paraId="416D0DC5" w14:textId="52D22DC2" w:rsidR="00E9700E" w:rsidRPr="00176D37" w:rsidRDefault="00E60AED" w:rsidP="00E2470C">
      <w:pPr>
        <w:pStyle w:val="Bullet1"/>
      </w:pPr>
      <w:r>
        <w:t>e</w:t>
      </w:r>
      <w:r w:rsidRPr="00176D37">
        <w:t xml:space="preserve">mergency </w:t>
      </w:r>
      <w:r w:rsidR="00E9700E" w:rsidRPr="00176D37">
        <w:t>department x 1</w:t>
      </w:r>
      <w:r>
        <w:t>.</w:t>
      </w:r>
    </w:p>
    <w:p w14:paraId="0FB60334" w14:textId="77777777" w:rsidR="00E9700E" w:rsidRPr="00E2470C" w:rsidRDefault="00E9700E" w:rsidP="00E2470C">
      <w:pPr>
        <w:pStyle w:val="Heading3"/>
      </w:pPr>
      <w:bookmarkStart w:id="157" w:name="_Toc101285694"/>
      <w:bookmarkStart w:id="158" w:name="_Toc101947716"/>
      <w:r w:rsidRPr="00E2470C">
        <w:t>EMR blood component/product ordering process in critical bleeding/massive transfusion</w:t>
      </w:r>
      <w:bookmarkEnd w:id="157"/>
      <w:bookmarkEnd w:id="158"/>
    </w:p>
    <w:p w14:paraId="54A5A40D" w14:textId="33C27878" w:rsidR="00E9700E" w:rsidRPr="00176D37" w:rsidRDefault="00E9700E" w:rsidP="00E2470C">
      <w:pPr>
        <w:pStyle w:val="Body"/>
        <w:rPr>
          <w:shd w:val="clear" w:color="auto" w:fill="FFFFFF"/>
        </w:rPr>
      </w:pPr>
      <w:r w:rsidRPr="00176D37">
        <w:rPr>
          <w:shd w:val="clear" w:color="auto" w:fill="FFFFFF"/>
        </w:rPr>
        <w:fldChar w:fldCharType="begin"/>
      </w:r>
      <w:r w:rsidRPr="00176D37">
        <w:rPr>
          <w:shd w:val="clear" w:color="auto" w:fill="FFFFFF"/>
        </w:rPr>
        <w:instrText xml:space="preserve"> REF _Ref100678915 \h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28</w:t>
      </w:r>
      <w:r w:rsidRPr="00176D37">
        <w:rPr>
          <w:shd w:val="clear" w:color="auto" w:fill="FFFFFF"/>
        </w:rPr>
        <w:fldChar w:fldCharType="end"/>
      </w:r>
      <w:r w:rsidRPr="00176D37">
        <w:rPr>
          <w:shd w:val="clear" w:color="auto" w:fill="FFFFFF"/>
        </w:rPr>
        <w:t xml:space="preserve"> </w:t>
      </w:r>
      <w:r w:rsidR="00E60AED">
        <w:rPr>
          <w:shd w:val="clear" w:color="auto" w:fill="FFFFFF"/>
        </w:rPr>
        <w:t>shows</w:t>
      </w:r>
      <w:r w:rsidR="00E60AED" w:rsidRPr="00176D37">
        <w:rPr>
          <w:shd w:val="clear" w:color="auto" w:fill="FFFFFF"/>
        </w:rPr>
        <w:t xml:space="preserve"> </w:t>
      </w:r>
      <w:r w:rsidRPr="00176D37">
        <w:rPr>
          <w:shd w:val="clear" w:color="auto" w:fill="FFFFFF"/>
        </w:rPr>
        <w:t>how blood is ordered in critical bleeding/massive transfusion situations.</w:t>
      </w:r>
    </w:p>
    <w:p w14:paraId="71936F78" w14:textId="3A83EE8B" w:rsidR="00E9700E" w:rsidRPr="00176D37" w:rsidRDefault="00E9700E" w:rsidP="00E2470C">
      <w:pPr>
        <w:pStyle w:val="Tablecaption"/>
        <w:rPr>
          <w:shd w:val="clear" w:color="auto" w:fill="FFFFFF"/>
        </w:rPr>
      </w:pPr>
      <w:bookmarkStart w:id="159" w:name="_Ref100678915"/>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28</w:t>
      </w:r>
      <w:r w:rsidR="00F751A0">
        <w:rPr>
          <w:noProof/>
        </w:rPr>
        <w:fldChar w:fldCharType="end"/>
      </w:r>
      <w:bookmarkEnd w:id="159"/>
      <w:r w:rsidRPr="00176D37">
        <w:t>: How blood is ordered in critical bleeding/massive transfusion situations</w:t>
      </w:r>
      <w:r w:rsidRPr="00176D37">
        <w:rPr>
          <w:rStyle w:val="FootnoteReference"/>
          <w:rFonts w:cs="Arial"/>
          <w:sz w:val="22"/>
          <w:szCs w:val="22"/>
        </w:rPr>
        <w:footnoteReference w:id="22"/>
      </w:r>
    </w:p>
    <w:tbl>
      <w:tblPr>
        <w:tblStyle w:val="TableGrid"/>
        <w:tblW w:w="0" w:type="auto"/>
        <w:tblLook w:val="04A0" w:firstRow="1" w:lastRow="0" w:firstColumn="1" w:lastColumn="0" w:noHBand="0" w:noVBand="1"/>
      </w:tblPr>
      <w:tblGrid>
        <w:gridCol w:w="3896"/>
        <w:gridCol w:w="3896"/>
      </w:tblGrid>
      <w:tr w:rsidR="00E9700E" w:rsidRPr="00176D37" w14:paraId="1883D6A3" w14:textId="77777777" w:rsidTr="00E73E2F">
        <w:trPr>
          <w:tblHeader/>
        </w:trPr>
        <w:tc>
          <w:tcPr>
            <w:tcW w:w="3896" w:type="dxa"/>
          </w:tcPr>
          <w:p w14:paraId="40284C40" w14:textId="077338B6" w:rsidR="00E9700E" w:rsidRPr="00176D37" w:rsidRDefault="00E60AED" w:rsidP="00E2470C">
            <w:pPr>
              <w:pStyle w:val="Tablecolhead"/>
            </w:pPr>
            <w:r>
              <w:t>Ordering process</w:t>
            </w:r>
          </w:p>
        </w:tc>
        <w:tc>
          <w:tcPr>
            <w:tcW w:w="3896" w:type="dxa"/>
          </w:tcPr>
          <w:p w14:paraId="6501FE40" w14:textId="2EC58B32" w:rsidR="00E9700E" w:rsidRPr="00176D37" w:rsidRDefault="00E9700E" w:rsidP="00E2470C">
            <w:pPr>
              <w:pStyle w:val="Tablecolhead"/>
            </w:pPr>
            <w:r w:rsidRPr="00176D37">
              <w:t>Health service count n</w:t>
            </w:r>
            <w:r w:rsidR="00E60AED">
              <w:t xml:space="preserve"> </w:t>
            </w:r>
            <w:r w:rsidRPr="00176D37">
              <w:t>=</w:t>
            </w:r>
            <w:r w:rsidR="00E60AED">
              <w:t xml:space="preserve"> </w:t>
            </w:r>
            <w:r w:rsidRPr="00176D37">
              <w:t xml:space="preserve">20, (%) </w:t>
            </w:r>
          </w:p>
        </w:tc>
      </w:tr>
      <w:tr w:rsidR="00E9700E" w:rsidRPr="00176D37" w14:paraId="203EAC6B" w14:textId="77777777" w:rsidTr="00E73E2F">
        <w:tc>
          <w:tcPr>
            <w:tcW w:w="3896" w:type="dxa"/>
          </w:tcPr>
          <w:p w14:paraId="14CDE896" w14:textId="77777777" w:rsidR="00E9700E" w:rsidRPr="00176D37" w:rsidRDefault="00E9700E" w:rsidP="00E2470C">
            <w:pPr>
              <w:pStyle w:val="Tabletext"/>
            </w:pPr>
            <w:r w:rsidRPr="00176D37">
              <w:t>Phone call to lab</w:t>
            </w:r>
          </w:p>
        </w:tc>
        <w:tc>
          <w:tcPr>
            <w:tcW w:w="3896" w:type="dxa"/>
          </w:tcPr>
          <w:p w14:paraId="3A606CE7" w14:textId="77777777" w:rsidR="00E9700E" w:rsidRPr="00176D37" w:rsidRDefault="00E9700E" w:rsidP="009742AB">
            <w:pPr>
              <w:pStyle w:val="Tabletext"/>
              <w:jc w:val="right"/>
            </w:pPr>
            <w:r w:rsidRPr="00176D37">
              <w:t>19 (95%)</w:t>
            </w:r>
          </w:p>
        </w:tc>
      </w:tr>
      <w:tr w:rsidR="00E9700E" w:rsidRPr="00176D37" w14:paraId="71859A84" w14:textId="77777777" w:rsidTr="00E73E2F">
        <w:tc>
          <w:tcPr>
            <w:tcW w:w="3896" w:type="dxa"/>
          </w:tcPr>
          <w:p w14:paraId="1F6937D3" w14:textId="77777777" w:rsidR="00E9700E" w:rsidRPr="00176D37" w:rsidRDefault="00E9700E" w:rsidP="00E2470C">
            <w:pPr>
              <w:pStyle w:val="Tabletext"/>
            </w:pPr>
            <w:r w:rsidRPr="00176D37">
              <w:t>Paper-based form</w:t>
            </w:r>
          </w:p>
        </w:tc>
        <w:tc>
          <w:tcPr>
            <w:tcW w:w="3896" w:type="dxa"/>
          </w:tcPr>
          <w:p w14:paraId="228F60E9" w14:textId="77777777" w:rsidR="00E9700E" w:rsidRPr="00176D37" w:rsidRDefault="00E9700E" w:rsidP="009742AB">
            <w:pPr>
              <w:pStyle w:val="Tabletext"/>
              <w:jc w:val="right"/>
            </w:pPr>
            <w:r w:rsidRPr="00176D37">
              <w:t>16 (80%)</w:t>
            </w:r>
          </w:p>
        </w:tc>
      </w:tr>
      <w:tr w:rsidR="00E9700E" w:rsidRPr="00176D37" w14:paraId="21DB86ED" w14:textId="77777777" w:rsidTr="00E73E2F">
        <w:tc>
          <w:tcPr>
            <w:tcW w:w="3896" w:type="dxa"/>
          </w:tcPr>
          <w:p w14:paraId="2D85ABEC" w14:textId="77777777" w:rsidR="00E9700E" w:rsidRPr="00176D37" w:rsidRDefault="00E9700E" w:rsidP="00E2470C">
            <w:pPr>
              <w:pStyle w:val="Tabletext"/>
            </w:pPr>
            <w:r w:rsidRPr="00176D37">
              <w:t>EMR – same as all blood orders</w:t>
            </w:r>
          </w:p>
        </w:tc>
        <w:tc>
          <w:tcPr>
            <w:tcW w:w="3896" w:type="dxa"/>
          </w:tcPr>
          <w:p w14:paraId="7C213AD9" w14:textId="77777777" w:rsidR="00E9700E" w:rsidRPr="00176D37" w:rsidRDefault="00E9700E" w:rsidP="009742AB">
            <w:pPr>
              <w:pStyle w:val="Tabletext"/>
              <w:jc w:val="right"/>
            </w:pPr>
            <w:r w:rsidRPr="00176D37">
              <w:t>4 (20%)</w:t>
            </w:r>
          </w:p>
        </w:tc>
      </w:tr>
      <w:tr w:rsidR="00E9700E" w:rsidRPr="00176D37" w14:paraId="30C9DB55" w14:textId="77777777" w:rsidTr="00E73E2F">
        <w:tc>
          <w:tcPr>
            <w:tcW w:w="3896" w:type="dxa"/>
          </w:tcPr>
          <w:p w14:paraId="7DD401BE" w14:textId="77777777" w:rsidR="00E9700E" w:rsidRPr="00176D37" w:rsidRDefault="00E9700E" w:rsidP="00E2470C">
            <w:pPr>
              <w:pStyle w:val="Tabletext"/>
            </w:pPr>
            <w:r w:rsidRPr="00176D37">
              <w:t>EMR – specific critical bleeding module</w:t>
            </w:r>
          </w:p>
        </w:tc>
        <w:tc>
          <w:tcPr>
            <w:tcW w:w="3896" w:type="dxa"/>
          </w:tcPr>
          <w:p w14:paraId="4953D973" w14:textId="77777777" w:rsidR="00E9700E" w:rsidRPr="00176D37" w:rsidRDefault="00E9700E" w:rsidP="009742AB">
            <w:pPr>
              <w:pStyle w:val="Tabletext"/>
              <w:jc w:val="right"/>
            </w:pPr>
            <w:r w:rsidRPr="00176D37">
              <w:t>4 (20%)</w:t>
            </w:r>
          </w:p>
        </w:tc>
      </w:tr>
    </w:tbl>
    <w:p w14:paraId="4AF01B74" w14:textId="77A2A5B5" w:rsidR="00E9700E" w:rsidRPr="00176D37" w:rsidRDefault="00E9700E" w:rsidP="009742AB">
      <w:pPr>
        <w:pStyle w:val="Bodyaftertablefigure"/>
      </w:pPr>
      <w:r w:rsidRPr="00176D37">
        <w:t xml:space="preserve">ANZSBT guidelines state </w:t>
      </w:r>
      <w:r w:rsidRPr="00E60AED">
        <w:t>that</w:t>
      </w:r>
      <w:r w:rsidRPr="00176D37">
        <w:t xml:space="preserve"> processes must be in place for urgent requests to ensure that the laboratory is actively informed, and requestor immediately notified that laboratory personnel have received the request. This may be through the EMR of by other means (such as telephoning urgent orders) </w:t>
      </w:r>
      <w:r w:rsidR="00E60AED" w:rsidRPr="00176D37">
        <w:rPr>
          <w:noProof/>
        </w:rPr>
        <w:t>(ANZSBT 2021)</w:t>
      </w:r>
      <w:r w:rsidRPr="00176D37">
        <w:t xml:space="preserve">. </w:t>
      </w:r>
    </w:p>
    <w:p w14:paraId="785A073B" w14:textId="77777777" w:rsidR="00E9700E" w:rsidRPr="00176D37" w:rsidRDefault="00E9700E" w:rsidP="00E2470C">
      <w:pPr>
        <w:pStyle w:val="Body"/>
      </w:pPr>
      <w:r w:rsidRPr="00176D37">
        <w:t xml:space="preserve">Nineteen health services phone the laboratory in critical bleeding/massive transfusion situations. Four health services reported using the same process for urgent blood ordering as they do for routine orders, fulfilling the guidelines </w:t>
      </w:r>
      <w:proofErr w:type="gramStart"/>
      <w:r w:rsidRPr="00176D37">
        <w:t>as long as</w:t>
      </w:r>
      <w:proofErr w:type="gramEnd"/>
      <w:r w:rsidRPr="00176D37">
        <w:t xml:space="preserve"> the laboratory is also phoned. If the routine ordering process is effective, this may be simpler and safer rather than introducing a separate critical bleeding module. </w:t>
      </w:r>
    </w:p>
    <w:p w14:paraId="30D45753" w14:textId="10D4D09B" w:rsidR="00E9700E" w:rsidRPr="00176D37" w:rsidRDefault="00E9700E" w:rsidP="00E2470C">
      <w:pPr>
        <w:pStyle w:val="Body"/>
      </w:pPr>
      <w:r w:rsidRPr="00176D37">
        <w:t>Phoning the laboratory in such situations could have the additional benefit of informing staff of the clinical urgency and creates an opportunity for critical information about the patient to be obtained. Current and anticipated blood requirements can be assessed, including discussion about timing of thawing frozen components</w:t>
      </w:r>
      <w:r w:rsidR="00306E2D">
        <w:t>,</w:t>
      </w:r>
      <w:r w:rsidR="00306E2D" w:rsidRPr="00306E2D">
        <w:t xml:space="preserve"> </w:t>
      </w:r>
      <w:proofErr w:type="spellStart"/>
      <w:r w:rsidR="00306E2D" w:rsidRPr="00306E2D">
        <w:t>turn around</w:t>
      </w:r>
      <w:proofErr w:type="spellEnd"/>
      <w:r w:rsidR="00306E2D" w:rsidRPr="00306E2D">
        <w:t xml:space="preserve"> time for patient specific blood group and antibody screen results</w:t>
      </w:r>
      <w:r w:rsidRPr="00176D37">
        <w:t xml:space="preserve"> and contact details for ongoing communication can be obtained.</w:t>
      </w:r>
    </w:p>
    <w:p w14:paraId="5D26CC6A" w14:textId="25C502F0" w:rsidR="00E9700E" w:rsidRPr="00176D37" w:rsidRDefault="00E9700E" w:rsidP="00E2470C">
      <w:pPr>
        <w:pStyle w:val="Body"/>
      </w:pPr>
      <w:r w:rsidRPr="00176D37">
        <w:t xml:space="preserve">Critical bleeding, massive </w:t>
      </w:r>
      <w:proofErr w:type="gramStart"/>
      <w:r w:rsidRPr="00176D37">
        <w:t>transfusion</w:t>
      </w:r>
      <w:proofErr w:type="gramEnd"/>
      <w:r w:rsidRPr="00176D37">
        <w:t xml:space="preserve"> and transfusion of </w:t>
      </w:r>
      <w:proofErr w:type="spellStart"/>
      <w:r w:rsidRPr="00176D37">
        <w:t>uncrossmatched</w:t>
      </w:r>
      <w:proofErr w:type="spellEnd"/>
      <w:r w:rsidRPr="00176D37">
        <w:t xml:space="preserve"> emergency blood need robust clinical, laboratory and electronic processes that enable rapid ordering, delivery and administration of blood products while minimising unnecessary administrative tasks and maintaining critical safety functions </w:t>
      </w:r>
      <w:r w:rsidR="00E60AED" w:rsidRPr="00176D37">
        <w:rPr>
          <w:noProof/>
        </w:rPr>
        <w:t>(ANZSBT 2021)</w:t>
      </w:r>
      <w:r w:rsidRPr="00176D37">
        <w:t>.</w:t>
      </w:r>
    </w:p>
    <w:p w14:paraId="347CE05D" w14:textId="6AD4B71D" w:rsidR="00E9700E" w:rsidRPr="00176D37" w:rsidRDefault="00E9700E" w:rsidP="00E2470C">
      <w:pPr>
        <w:pStyle w:val="Body"/>
        <w:rPr>
          <w:noProof/>
        </w:rPr>
      </w:pPr>
      <w:r w:rsidRPr="00176D37">
        <w:rPr>
          <w:noProof/>
        </w:rPr>
        <w:t>Sanderson et al. found that massive transfu</w:t>
      </w:r>
      <w:r w:rsidR="00BE575C">
        <w:rPr>
          <w:noProof/>
        </w:rPr>
        <w:t>s</w:t>
      </w:r>
      <w:r w:rsidRPr="00176D37">
        <w:rPr>
          <w:noProof/>
        </w:rPr>
        <w:t>ion management by anaesthetists and anaesthetic trainees across Australia and New Zealand was limited by timely access to point</w:t>
      </w:r>
      <w:r w:rsidR="00B4635A">
        <w:rPr>
          <w:noProof/>
        </w:rPr>
        <w:t xml:space="preserve"> </w:t>
      </w:r>
      <w:r w:rsidRPr="00176D37">
        <w:rPr>
          <w:noProof/>
        </w:rPr>
        <w:t>of</w:t>
      </w:r>
      <w:r w:rsidR="00B4635A">
        <w:rPr>
          <w:noProof/>
        </w:rPr>
        <w:t xml:space="preserve"> </w:t>
      </w:r>
      <w:r w:rsidRPr="00176D37">
        <w:rPr>
          <w:noProof/>
        </w:rPr>
        <w:t xml:space="preserve">care coagulation assessment and multiple competing tasks. Clinical decision support systems were widely supported, and integrating these into an EMR system would be ideal </w:t>
      </w:r>
      <w:r w:rsidR="00E60AED" w:rsidRPr="00176D37">
        <w:rPr>
          <w:noProof/>
        </w:rPr>
        <w:t>(Sanderson 2021)</w:t>
      </w:r>
      <w:r w:rsidRPr="00176D37">
        <w:rPr>
          <w:noProof/>
        </w:rPr>
        <w:t>.</w:t>
      </w:r>
      <w:r w:rsidRPr="00176D37" w:rsidDel="00B20766">
        <w:rPr>
          <w:noProof/>
        </w:rPr>
        <w:t xml:space="preserve"> </w:t>
      </w:r>
    </w:p>
    <w:p w14:paraId="35B8322B" w14:textId="225F0545" w:rsidR="00E9700E" w:rsidRPr="00176D37" w:rsidRDefault="00E9700E" w:rsidP="00E2470C">
      <w:pPr>
        <w:pStyle w:val="Body"/>
        <w:rPr>
          <w:noProof/>
        </w:rPr>
      </w:pPr>
      <w:r w:rsidRPr="00176D37">
        <w:rPr>
          <w:noProof/>
        </w:rPr>
        <w:t xml:space="preserve">Another publication by Sanderson et al. discusses the recommendation in international guidelines to routinley collect a range of quality indicators (QI) to measure </w:t>
      </w:r>
      <w:r w:rsidR="00BE575C">
        <w:rPr>
          <w:noProof/>
        </w:rPr>
        <w:t>massive transfusion protocol (</w:t>
      </w:r>
      <w:r w:rsidRPr="00176D37">
        <w:rPr>
          <w:noProof/>
        </w:rPr>
        <w:t>MTP</w:t>
      </w:r>
      <w:r w:rsidR="00BE575C">
        <w:rPr>
          <w:noProof/>
        </w:rPr>
        <w:t>)</w:t>
      </w:r>
      <w:r w:rsidRPr="00176D37">
        <w:rPr>
          <w:noProof/>
        </w:rPr>
        <w:t xml:space="preserve"> performance and patient outcomes </w:t>
      </w:r>
      <w:r w:rsidR="00E60AED" w:rsidRPr="00176D37">
        <w:rPr>
          <w:noProof/>
        </w:rPr>
        <w:t>(Sanderson 2020)</w:t>
      </w:r>
      <w:r w:rsidRPr="00176D37">
        <w:rPr>
          <w:noProof/>
        </w:rPr>
        <w:t xml:space="preserve">. The data captured in EMRs can facilitate the gathering and easy interpretation of this data. </w:t>
      </w:r>
    </w:p>
    <w:p w14:paraId="7669620D" w14:textId="77777777" w:rsidR="00E9700E" w:rsidRPr="00E2470C" w:rsidRDefault="00E9700E" w:rsidP="00E2470C">
      <w:pPr>
        <w:pStyle w:val="Heading3"/>
      </w:pPr>
      <w:bookmarkStart w:id="160" w:name="_Toc101285695"/>
      <w:bookmarkStart w:id="161" w:name="_Toc101947717"/>
      <w:r w:rsidRPr="00E2470C">
        <w:t>Ordering of batch products</w:t>
      </w:r>
      <w:bookmarkEnd w:id="160"/>
      <w:bookmarkEnd w:id="161"/>
    </w:p>
    <w:p w14:paraId="43E38309" w14:textId="7AEBAF8C" w:rsidR="00E9700E" w:rsidRPr="00176D37" w:rsidRDefault="00E9700E" w:rsidP="00E2470C">
      <w:pPr>
        <w:pStyle w:val="Body"/>
      </w:pPr>
      <w:r w:rsidRPr="00176D37">
        <w:t>Respondents were asked whether batch products (</w:t>
      </w:r>
      <w:r w:rsidR="00811B69">
        <w:t>such as</w:t>
      </w:r>
      <w:r w:rsidRPr="00176D37">
        <w:t xml:space="preserve"> </w:t>
      </w:r>
      <w:proofErr w:type="spellStart"/>
      <w:r w:rsidRPr="00176D37">
        <w:t>Albumex</w:t>
      </w:r>
      <w:proofErr w:type="spellEnd"/>
      <w:r w:rsidRPr="00176D37">
        <w:t>) are ordered differently to fresh blood components (</w:t>
      </w:r>
      <w:r w:rsidR="00811B69">
        <w:t>for example</w:t>
      </w:r>
      <w:r w:rsidRPr="00176D37">
        <w:t xml:space="preserve"> RBC) (</w:t>
      </w:r>
      <w:r w:rsidRPr="00176D37">
        <w:fldChar w:fldCharType="begin"/>
      </w:r>
      <w:r w:rsidRPr="00176D37">
        <w:instrText xml:space="preserve"> REF _Ref100678931 \h  \* MERGEFORMAT </w:instrText>
      </w:r>
      <w:r w:rsidRPr="00176D37">
        <w:fldChar w:fldCharType="separate"/>
      </w:r>
      <w:r w:rsidR="00E73E2F" w:rsidRPr="00176D37">
        <w:t xml:space="preserve">Table </w:t>
      </w:r>
      <w:r w:rsidR="00E73E2F">
        <w:rPr>
          <w:noProof/>
        </w:rPr>
        <w:t>29</w:t>
      </w:r>
      <w:r w:rsidRPr="00176D37">
        <w:fldChar w:fldCharType="end"/>
      </w:r>
      <w:r w:rsidRPr="00176D37">
        <w:t>).</w:t>
      </w:r>
    </w:p>
    <w:p w14:paraId="0A26C2EB" w14:textId="0DA856F5" w:rsidR="00E9700E" w:rsidRPr="00176D37" w:rsidRDefault="00E9700E" w:rsidP="00E2470C">
      <w:pPr>
        <w:pStyle w:val="Tablecaption"/>
      </w:pPr>
      <w:bookmarkStart w:id="162" w:name="_Ref100678931"/>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29</w:t>
      </w:r>
      <w:r w:rsidR="00F751A0">
        <w:rPr>
          <w:noProof/>
        </w:rPr>
        <w:fldChar w:fldCharType="end"/>
      </w:r>
      <w:bookmarkEnd w:id="162"/>
      <w:r w:rsidRPr="00176D37">
        <w:t>: Differences in order</w:t>
      </w:r>
      <w:r w:rsidR="00811B69">
        <w:t>i</w:t>
      </w:r>
      <w:r w:rsidRPr="00176D37">
        <w:t>ng of batch products to fresh blood components</w:t>
      </w:r>
      <w:r w:rsidRPr="00176D37">
        <w:rPr>
          <w:rStyle w:val="FootnoteReference"/>
          <w:rFonts w:cs="Arial"/>
          <w:sz w:val="22"/>
          <w:szCs w:val="22"/>
        </w:rPr>
        <w:footnoteReference w:id="23"/>
      </w:r>
    </w:p>
    <w:tbl>
      <w:tblPr>
        <w:tblStyle w:val="TableGrid"/>
        <w:tblW w:w="0" w:type="auto"/>
        <w:tblLook w:val="04A0" w:firstRow="1" w:lastRow="0" w:firstColumn="1" w:lastColumn="0" w:noHBand="0" w:noVBand="1"/>
      </w:tblPr>
      <w:tblGrid>
        <w:gridCol w:w="4815"/>
        <w:gridCol w:w="3544"/>
      </w:tblGrid>
      <w:tr w:rsidR="00E9700E" w:rsidRPr="00176D37" w14:paraId="7F4AFAAE" w14:textId="77777777" w:rsidTr="00E73E2F">
        <w:trPr>
          <w:tblHeader/>
        </w:trPr>
        <w:tc>
          <w:tcPr>
            <w:tcW w:w="4815" w:type="dxa"/>
          </w:tcPr>
          <w:p w14:paraId="0C107243" w14:textId="77777777" w:rsidR="00E9700E" w:rsidRPr="00176D37" w:rsidRDefault="00E9700E" w:rsidP="00E2470C">
            <w:pPr>
              <w:pStyle w:val="Tablecolhead"/>
            </w:pPr>
            <w:r w:rsidRPr="00176D37">
              <w:t>Different process for ordering batch products</w:t>
            </w:r>
          </w:p>
        </w:tc>
        <w:tc>
          <w:tcPr>
            <w:tcW w:w="3544" w:type="dxa"/>
          </w:tcPr>
          <w:p w14:paraId="6DFC335A" w14:textId="0346139B" w:rsidR="00E9700E" w:rsidRPr="00176D37" w:rsidRDefault="00E9700E" w:rsidP="00E2470C">
            <w:pPr>
              <w:pStyle w:val="Tablecolhead"/>
            </w:pPr>
            <w:r w:rsidRPr="00176D37">
              <w:t>Health service count n</w:t>
            </w:r>
            <w:r w:rsidR="00811B69">
              <w:t xml:space="preserve"> </w:t>
            </w:r>
            <w:r w:rsidRPr="00176D37">
              <w:t>=</w:t>
            </w:r>
            <w:r w:rsidR="00811B69">
              <w:t xml:space="preserve"> </w:t>
            </w:r>
            <w:r w:rsidRPr="00176D37">
              <w:t>20, (%)</w:t>
            </w:r>
          </w:p>
        </w:tc>
      </w:tr>
      <w:tr w:rsidR="00E9700E" w:rsidRPr="00176D37" w14:paraId="569A5619" w14:textId="77777777" w:rsidTr="00E73E2F">
        <w:tc>
          <w:tcPr>
            <w:tcW w:w="4815" w:type="dxa"/>
          </w:tcPr>
          <w:p w14:paraId="7A7FD021" w14:textId="77777777" w:rsidR="00E9700E" w:rsidRPr="00176D37" w:rsidRDefault="00E9700E" w:rsidP="00E2470C">
            <w:pPr>
              <w:pStyle w:val="Tabletext"/>
            </w:pPr>
            <w:r w:rsidRPr="00176D37">
              <w:t>Yes – all batch products</w:t>
            </w:r>
          </w:p>
        </w:tc>
        <w:tc>
          <w:tcPr>
            <w:tcW w:w="3544" w:type="dxa"/>
          </w:tcPr>
          <w:p w14:paraId="146089FC" w14:textId="77777777" w:rsidR="00E9700E" w:rsidRPr="00176D37" w:rsidRDefault="00E9700E" w:rsidP="009742AB">
            <w:pPr>
              <w:pStyle w:val="Tabletext"/>
              <w:jc w:val="right"/>
            </w:pPr>
            <w:r w:rsidRPr="00176D37">
              <w:t>8 (40%)</w:t>
            </w:r>
          </w:p>
        </w:tc>
      </w:tr>
      <w:tr w:rsidR="00E9700E" w:rsidRPr="00176D37" w14:paraId="42C41E5B" w14:textId="77777777" w:rsidTr="00E73E2F">
        <w:tc>
          <w:tcPr>
            <w:tcW w:w="4815" w:type="dxa"/>
          </w:tcPr>
          <w:p w14:paraId="79E5D6D8" w14:textId="77777777" w:rsidR="00E9700E" w:rsidRPr="00176D37" w:rsidRDefault="00E9700E" w:rsidP="00E2470C">
            <w:pPr>
              <w:pStyle w:val="Tabletext"/>
            </w:pPr>
            <w:r w:rsidRPr="00176D37">
              <w:t>Yes – some batch products</w:t>
            </w:r>
          </w:p>
        </w:tc>
        <w:tc>
          <w:tcPr>
            <w:tcW w:w="3544" w:type="dxa"/>
          </w:tcPr>
          <w:p w14:paraId="01700D8A" w14:textId="77777777" w:rsidR="00E9700E" w:rsidRPr="00176D37" w:rsidRDefault="00E9700E" w:rsidP="009742AB">
            <w:pPr>
              <w:pStyle w:val="Tabletext"/>
              <w:jc w:val="right"/>
            </w:pPr>
            <w:r w:rsidRPr="00176D37">
              <w:t>3 (15%)</w:t>
            </w:r>
          </w:p>
        </w:tc>
      </w:tr>
      <w:tr w:rsidR="00E9700E" w:rsidRPr="00176D37" w14:paraId="3DFF1700" w14:textId="77777777" w:rsidTr="00E73E2F">
        <w:tc>
          <w:tcPr>
            <w:tcW w:w="4815" w:type="dxa"/>
          </w:tcPr>
          <w:p w14:paraId="78CD5DE0" w14:textId="77777777" w:rsidR="00E9700E" w:rsidRPr="00176D37" w:rsidRDefault="00E9700E" w:rsidP="00E2470C">
            <w:pPr>
              <w:pStyle w:val="Tabletext"/>
            </w:pPr>
            <w:r w:rsidRPr="00176D37">
              <w:t>No</w:t>
            </w:r>
          </w:p>
        </w:tc>
        <w:tc>
          <w:tcPr>
            <w:tcW w:w="3544" w:type="dxa"/>
          </w:tcPr>
          <w:p w14:paraId="7997575A" w14:textId="77777777" w:rsidR="00E9700E" w:rsidRPr="00176D37" w:rsidRDefault="00E9700E" w:rsidP="009742AB">
            <w:pPr>
              <w:pStyle w:val="Tabletext"/>
              <w:jc w:val="right"/>
            </w:pPr>
            <w:r w:rsidRPr="00176D37">
              <w:t>7 (35%)</w:t>
            </w:r>
          </w:p>
        </w:tc>
      </w:tr>
      <w:tr w:rsidR="00E9700E" w:rsidRPr="00176D37" w14:paraId="18190AB4" w14:textId="77777777" w:rsidTr="00E73E2F">
        <w:tc>
          <w:tcPr>
            <w:tcW w:w="4815" w:type="dxa"/>
          </w:tcPr>
          <w:p w14:paraId="7E2225DA" w14:textId="77777777" w:rsidR="00E9700E" w:rsidRPr="00176D37" w:rsidRDefault="00E9700E" w:rsidP="00E2470C">
            <w:pPr>
              <w:pStyle w:val="Tabletext"/>
            </w:pPr>
            <w:r w:rsidRPr="00176D37">
              <w:t>Unsure</w:t>
            </w:r>
          </w:p>
        </w:tc>
        <w:tc>
          <w:tcPr>
            <w:tcW w:w="3544" w:type="dxa"/>
          </w:tcPr>
          <w:p w14:paraId="7F1307A4" w14:textId="77777777" w:rsidR="00E9700E" w:rsidRPr="00176D37" w:rsidRDefault="00E9700E" w:rsidP="009742AB">
            <w:pPr>
              <w:pStyle w:val="Tabletext"/>
              <w:jc w:val="right"/>
            </w:pPr>
            <w:r w:rsidRPr="00176D37">
              <w:t>2 (10%)</w:t>
            </w:r>
          </w:p>
        </w:tc>
      </w:tr>
    </w:tbl>
    <w:p w14:paraId="13BC5311" w14:textId="77777777" w:rsidR="00E9700E" w:rsidRPr="00176D37" w:rsidRDefault="00E9700E" w:rsidP="009742AB">
      <w:pPr>
        <w:pStyle w:val="Bodyaftertablefigure"/>
      </w:pPr>
      <w:r w:rsidRPr="00176D37">
        <w:t xml:space="preserve">Eight health services (40 per cent) order all batch products differently to fresh blood components, three (15 per cent) order some batch products differently, seven (35 per cent) have the same ordering process for batch products and fresh blood components. </w:t>
      </w:r>
    </w:p>
    <w:p w14:paraId="3ACB6514" w14:textId="77777777" w:rsidR="00E9700E" w:rsidRPr="00176D37" w:rsidRDefault="00E9700E" w:rsidP="00E2470C">
      <w:pPr>
        <w:pStyle w:val="Body"/>
      </w:pPr>
      <w:r w:rsidRPr="00176D37">
        <w:t xml:space="preserve">Having different areas within the EMR for blood components and blood products to be ordered can lead to confusion and delay in ordering. </w:t>
      </w:r>
    </w:p>
    <w:p w14:paraId="27F1890F" w14:textId="77777777" w:rsidR="00E9700E" w:rsidRPr="00E2470C" w:rsidRDefault="00E9700E" w:rsidP="00E2470C">
      <w:pPr>
        <w:pStyle w:val="Heading3"/>
      </w:pPr>
      <w:bookmarkStart w:id="163" w:name="_Toc101285696"/>
      <w:bookmarkStart w:id="164" w:name="_Toc101947718"/>
      <w:r w:rsidRPr="00E2470C">
        <w:t>Issue/release of blood and blood products from the transfusion laboratory</w:t>
      </w:r>
      <w:bookmarkEnd w:id="163"/>
      <w:bookmarkEnd w:id="164"/>
    </w:p>
    <w:p w14:paraId="7823C14A" w14:textId="17B1D913" w:rsidR="00E9700E" w:rsidRPr="00176D37" w:rsidRDefault="00E9700E" w:rsidP="00E2470C">
      <w:pPr>
        <w:pStyle w:val="Body"/>
      </w:pPr>
      <w:r w:rsidRPr="00176D37">
        <w:t>All 20 (100 per cent) health services require some form of patient ID for collection of blood and blood products (</w:t>
      </w:r>
      <w:r w:rsidRPr="00176D37">
        <w:fldChar w:fldCharType="begin"/>
      </w:r>
      <w:r w:rsidRPr="00176D37">
        <w:instrText xml:space="preserve"> REF _Ref100678944 \h  \* MERGEFORMAT </w:instrText>
      </w:r>
      <w:r w:rsidRPr="00176D37">
        <w:fldChar w:fldCharType="separate"/>
      </w:r>
      <w:r w:rsidR="00E73E2F" w:rsidRPr="00176D37">
        <w:t xml:space="preserve">Table </w:t>
      </w:r>
      <w:r w:rsidR="00E73E2F">
        <w:rPr>
          <w:noProof/>
        </w:rPr>
        <w:t>30</w:t>
      </w:r>
      <w:r w:rsidRPr="00176D37">
        <w:fldChar w:fldCharType="end"/>
      </w:r>
      <w:r w:rsidRPr="00176D37">
        <w:t xml:space="preserve">). </w:t>
      </w:r>
    </w:p>
    <w:p w14:paraId="0EBB209B" w14:textId="06BA49F9" w:rsidR="00E9700E" w:rsidRPr="00176D37" w:rsidRDefault="00E9700E" w:rsidP="00E2470C">
      <w:pPr>
        <w:pStyle w:val="Tablecaption"/>
      </w:pPr>
      <w:bookmarkStart w:id="165" w:name="_Ref100678944"/>
      <w:r w:rsidRPr="00176D37">
        <w:t xml:space="preserve">Table </w:t>
      </w:r>
      <w:r w:rsidR="00F751A0">
        <w:fldChar w:fldCharType="begin"/>
      </w:r>
      <w:r w:rsidR="00F751A0">
        <w:instrText xml:space="preserve"> SEQ Table \* ARABIC </w:instrText>
      </w:r>
      <w:r w:rsidR="00F751A0">
        <w:fldChar w:fldCharType="separate"/>
      </w:r>
      <w:r w:rsidR="00E73E2F">
        <w:rPr>
          <w:noProof/>
        </w:rPr>
        <w:t>30</w:t>
      </w:r>
      <w:r w:rsidR="00F751A0">
        <w:rPr>
          <w:noProof/>
        </w:rPr>
        <w:fldChar w:fldCharType="end"/>
      </w:r>
      <w:bookmarkEnd w:id="165"/>
      <w:r w:rsidRPr="00176D37">
        <w:t>: Requirement for collection of blood and blood products</w:t>
      </w:r>
      <w:r w:rsidRPr="00176D37">
        <w:rPr>
          <w:rStyle w:val="FootnoteReference"/>
          <w:rFonts w:cs="Arial"/>
          <w:sz w:val="22"/>
          <w:szCs w:val="22"/>
        </w:rPr>
        <w:t xml:space="preserve"> </w:t>
      </w:r>
      <w:r w:rsidRPr="00176D37">
        <w:rPr>
          <w:rStyle w:val="FootnoteReference"/>
          <w:rFonts w:cs="Arial"/>
          <w:sz w:val="22"/>
          <w:szCs w:val="22"/>
        </w:rPr>
        <w:footnoteReference w:id="24"/>
      </w:r>
    </w:p>
    <w:tbl>
      <w:tblPr>
        <w:tblStyle w:val="TableGrid"/>
        <w:tblW w:w="0" w:type="auto"/>
        <w:tblLook w:val="04A0" w:firstRow="1" w:lastRow="0" w:firstColumn="1" w:lastColumn="0" w:noHBand="0" w:noVBand="1"/>
      </w:tblPr>
      <w:tblGrid>
        <w:gridCol w:w="4644"/>
        <w:gridCol w:w="4644"/>
      </w:tblGrid>
      <w:tr w:rsidR="00E9700E" w:rsidRPr="00176D37" w14:paraId="6B6D6533" w14:textId="77777777" w:rsidTr="00E73E2F">
        <w:trPr>
          <w:tblHeader/>
        </w:trPr>
        <w:tc>
          <w:tcPr>
            <w:tcW w:w="4644" w:type="dxa"/>
          </w:tcPr>
          <w:p w14:paraId="3BDEA35D" w14:textId="4F1C0874" w:rsidR="00E9700E" w:rsidRPr="00176D37" w:rsidRDefault="00811B69" w:rsidP="00E2470C">
            <w:pPr>
              <w:pStyle w:val="Tablecolhead"/>
            </w:pPr>
            <w:r>
              <w:t>Form of ID</w:t>
            </w:r>
          </w:p>
        </w:tc>
        <w:tc>
          <w:tcPr>
            <w:tcW w:w="4644" w:type="dxa"/>
          </w:tcPr>
          <w:p w14:paraId="672E0472" w14:textId="65879096" w:rsidR="00E9700E" w:rsidRPr="00176D37" w:rsidRDefault="00E9700E" w:rsidP="00E2470C">
            <w:pPr>
              <w:pStyle w:val="Tablecolhead"/>
            </w:pPr>
            <w:r w:rsidRPr="00176D37">
              <w:t xml:space="preserve">Health service count </w:t>
            </w:r>
            <w:r w:rsidR="00F751A0">
              <w:t xml:space="preserve">n = </w:t>
            </w:r>
            <w:r w:rsidRPr="00176D37">
              <w:t>20, (%)</w:t>
            </w:r>
          </w:p>
        </w:tc>
      </w:tr>
      <w:tr w:rsidR="00E9700E" w:rsidRPr="00176D37" w14:paraId="152E1925" w14:textId="77777777" w:rsidTr="00E73E2F">
        <w:tc>
          <w:tcPr>
            <w:tcW w:w="4644" w:type="dxa"/>
          </w:tcPr>
          <w:p w14:paraId="5ED042EC" w14:textId="77777777" w:rsidR="00E9700E" w:rsidRPr="00176D37" w:rsidRDefault="00E9700E" w:rsidP="00E2470C">
            <w:pPr>
              <w:pStyle w:val="Tabletext"/>
            </w:pPr>
            <w:r w:rsidRPr="00176D37">
              <w:t>Paper form – not EMR based (including a paper prescription or other collection slip)</w:t>
            </w:r>
          </w:p>
        </w:tc>
        <w:tc>
          <w:tcPr>
            <w:tcW w:w="4644" w:type="dxa"/>
          </w:tcPr>
          <w:p w14:paraId="76A43910" w14:textId="77777777" w:rsidR="00E9700E" w:rsidRPr="00176D37" w:rsidRDefault="00E9700E" w:rsidP="009742AB">
            <w:pPr>
              <w:pStyle w:val="Tabletext"/>
              <w:jc w:val="right"/>
            </w:pPr>
            <w:r w:rsidRPr="00176D37">
              <w:t>14 (70%)</w:t>
            </w:r>
          </w:p>
        </w:tc>
      </w:tr>
      <w:tr w:rsidR="00E9700E" w:rsidRPr="00176D37" w14:paraId="4393E164" w14:textId="77777777" w:rsidTr="00E73E2F">
        <w:tc>
          <w:tcPr>
            <w:tcW w:w="4644" w:type="dxa"/>
          </w:tcPr>
          <w:p w14:paraId="24875D83" w14:textId="77777777" w:rsidR="00E9700E" w:rsidRPr="00176D37" w:rsidRDefault="00E9700E" w:rsidP="00E2470C">
            <w:pPr>
              <w:pStyle w:val="Tabletext"/>
            </w:pPr>
            <w:r w:rsidRPr="00176D37">
              <w:t>Form generated in EMR</w:t>
            </w:r>
          </w:p>
        </w:tc>
        <w:tc>
          <w:tcPr>
            <w:tcW w:w="4644" w:type="dxa"/>
          </w:tcPr>
          <w:p w14:paraId="781B1F7C" w14:textId="77777777" w:rsidR="00E9700E" w:rsidRPr="00176D37" w:rsidRDefault="00E9700E" w:rsidP="009742AB">
            <w:pPr>
              <w:pStyle w:val="Tabletext"/>
              <w:jc w:val="right"/>
            </w:pPr>
            <w:r w:rsidRPr="00176D37">
              <w:t>5 (25%)</w:t>
            </w:r>
          </w:p>
        </w:tc>
      </w:tr>
      <w:tr w:rsidR="00E9700E" w:rsidRPr="00176D37" w14:paraId="6667177A" w14:textId="77777777" w:rsidTr="00E73E2F">
        <w:tc>
          <w:tcPr>
            <w:tcW w:w="4644" w:type="dxa"/>
          </w:tcPr>
          <w:p w14:paraId="1B3A9139" w14:textId="77777777" w:rsidR="00E9700E" w:rsidRPr="00176D37" w:rsidRDefault="00E9700E" w:rsidP="00E2470C">
            <w:pPr>
              <w:pStyle w:val="Tabletext"/>
            </w:pPr>
            <w:r w:rsidRPr="00176D37">
              <w:t>Other – Patient ID label</w:t>
            </w:r>
          </w:p>
        </w:tc>
        <w:tc>
          <w:tcPr>
            <w:tcW w:w="4644" w:type="dxa"/>
          </w:tcPr>
          <w:p w14:paraId="30E1EDA8" w14:textId="77777777" w:rsidR="00E9700E" w:rsidRPr="00176D37" w:rsidRDefault="00E9700E" w:rsidP="009742AB">
            <w:pPr>
              <w:pStyle w:val="Tabletext"/>
              <w:jc w:val="right"/>
            </w:pPr>
            <w:r w:rsidRPr="00176D37">
              <w:t>1 (5%)</w:t>
            </w:r>
          </w:p>
        </w:tc>
      </w:tr>
    </w:tbl>
    <w:p w14:paraId="610C1DBC" w14:textId="0AE447B8" w:rsidR="00811B69" w:rsidRPr="00811B69" w:rsidRDefault="00E9700E" w:rsidP="00811B69">
      <w:pPr>
        <w:pStyle w:val="Bodyaftertablefigure"/>
      </w:pPr>
      <w:r w:rsidRPr="00176D37">
        <w:t>Fourteen of the 20 (70 per cent) health services require a paper collection form (not EMR based, including a paper prescription or other collection slip) for blood and blood products. Respondents from five (25 per cent) health services state that a form generated within EMR is required and one health service (5 per cent) indicated only a patient ID label is required to collect blood or blood products.</w:t>
      </w:r>
    </w:p>
    <w:tbl>
      <w:tblPr>
        <w:tblStyle w:val="TableGrid"/>
        <w:tblW w:w="0" w:type="auto"/>
        <w:tblLook w:val="04A0" w:firstRow="1" w:lastRow="0" w:firstColumn="1" w:lastColumn="0" w:noHBand="0" w:noVBand="1"/>
      </w:tblPr>
      <w:tblGrid>
        <w:gridCol w:w="9288"/>
      </w:tblGrid>
      <w:tr w:rsidR="00811B69" w14:paraId="67B5E15A" w14:textId="77777777" w:rsidTr="009742AB">
        <w:tc>
          <w:tcPr>
            <w:tcW w:w="9288" w:type="dxa"/>
            <w:tcBorders>
              <w:left w:val="nil"/>
              <w:right w:val="nil"/>
            </w:tcBorders>
          </w:tcPr>
          <w:p w14:paraId="308EAC34" w14:textId="45F78469" w:rsidR="00F51235" w:rsidRDefault="00811B69" w:rsidP="009742AB">
            <w:pPr>
              <w:pStyle w:val="Quotetext"/>
            </w:pPr>
            <w:r w:rsidRPr="00176D37">
              <w:t>Crispin et al. (2022) state that processes for blood product tracking, identification and collection are required for blood issued to satellite blood fridges.</w:t>
            </w:r>
          </w:p>
          <w:p w14:paraId="24F86134" w14:textId="48126731" w:rsidR="00811B69" w:rsidRDefault="00811B69" w:rsidP="009742AB">
            <w:pPr>
              <w:pStyle w:val="Body"/>
              <w:spacing w:before="240" w:after="240"/>
            </w:pPr>
          </w:p>
        </w:tc>
      </w:tr>
    </w:tbl>
    <w:p w14:paraId="2559D36E" w14:textId="0A7FA731" w:rsidR="00E9700E" w:rsidRPr="00E2470C" w:rsidRDefault="00E9700E" w:rsidP="00F62261">
      <w:pPr>
        <w:pStyle w:val="Heading2"/>
        <w:numPr>
          <w:ilvl w:val="0"/>
          <w:numId w:val="38"/>
        </w:numPr>
        <w:ind w:left="426" w:hanging="426"/>
      </w:pPr>
      <w:bookmarkStart w:id="166" w:name="_Toc104448471"/>
      <w:bookmarkStart w:id="167" w:name="_Toc101285697"/>
      <w:bookmarkStart w:id="168" w:name="_Toc101947719"/>
      <w:bookmarkStart w:id="169" w:name="_Toc104975932"/>
      <w:bookmarkEnd w:id="166"/>
      <w:r w:rsidRPr="00E2470C">
        <w:lastRenderedPageBreak/>
        <w:t>Administration of blood components/products in the EMR</w:t>
      </w:r>
      <w:bookmarkEnd w:id="167"/>
      <w:bookmarkEnd w:id="168"/>
      <w:bookmarkEnd w:id="169"/>
    </w:p>
    <w:p w14:paraId="0210F4F0" w14:textId="77777777" w:rsidR="00E9700E" w:rsidRPr="00176D37" w:rsidRDefault="00E9700E" w:rsidP="00E2470C">
      <w:pPr>
        <w:pStyle w:val="Body"/>
      </w:pPr>
      <w:r w:rsidRPr="00176D37">
        <w:t xml:space="preserve">Eleven health services reported including blood management in the EMR, seven health services include blood administration. </w:t>
      </w:r>
    </w:p>
    <w:p w14:paraId="5F9143B9" w14:textId="77777777" w:rsidR="00E9700E" w:rsidRPr="00E2470C" w:rsidRDefault="00E9700E" w:rsidP="00E2470C">
      <w:pPr>
        <w:pStyle w:val="Heading4"/>
      </w:pPr>
      <w:r w:rsidRPr="00E2470C">
        <w:t>Type of compatibility report issued</w:t>
      </w:r>
    </w:p>
    <w:p w14:paraId="62DFF450" w14:textId="66320BEE" w:rsidR="00E9700E" w:rsidRDefault="00E9700E" w:rsidP="00E2470C">
      <w:pPr>
        <w:pStyle w:val="Body"/>
      </w:pPr>
      <w:r w:rsidRPr="00176D37">
        <w:t>Respondents were asked if the type of transfusion/compatibility report has changed after the introduction of the EMR. Three of the 11 (27 per cent) health services who include blood management in the EMR have changed the type of report provided, a paper compatibility report is no longer issued and only an electronic report provided. Six (55 per cent) health services reported that they continue to provide paper compatibility reports after the introduction of EMR. Two (18 per cent) health services were unsure.</w:t>
      </w:r>
    </w:p>
    <w:tbl>
      <w:tblPr>
        <w:tblStyle w:val="TableGrid"/>
        <w:tblW w:w="0" w:type="auto"/>
        <w:tblLook w:val="04A0" w:firstRow="1" w:lastRow="0" w:firstColumn="1" w:lastColumn="0" w:noHBand="0" w:noVBand="1"/>
      </w:tblPr>
      <w:tblGrid>
        <w:gridCol w:w="9288"/>
      </w:tblGrid>
      <w:tr w:rsidR="00F51235" w14:paraId="21EE4F9A" w14:textId="77777777" w:rsidTr="009742AB">
        <w:tc>
          <w:tcPr>
            <w:tcW w:w="9288" w:type="dxa"/>
            <w:tcBorders>
              <w:left w:val="nil"/>
              <w:right w:val="nil"/>
            </w:tcBorders>
          </w:tcPr>
          <w:p w14:paraId="385CC040" w14:textId="0EEA49A5" w:rsidR="00F51235" w:rsidRPr="00CF46E9" w:rsidRDefault="00F51235" w:rsidP="009742AB">
            <w:pPr>
              <w:pStyle w:val="Quotetext"/>
            </w:pPr>
            <w:r w:rsidRPr="00CF46E9">
              <w:t xml:space="preserve">Crispin et al. (2022) </w:t>
            </w:r>
            <w:r w:rsidR="00CF46E9" w:rsidRPr="00CF46E9">
              <w:t>state</w:t>
            </w:r>
            <w:r w:rsidRPr="00CF46E9">
              <w:t xml:space="preserve">: </w:t>
            </w:r>
          </w:p>
          <w:p w14:paraId="594839B4" w14:textId="4D17F33E" w:rsidR="00F51235" w:rsidRPr="00CF46E9" w:rsidRDefault="00F51235" w:rsidP="009742AB">
            <w:pPr>
              <w:pStyle w:val="Quotebullet2"/>
            </w:pPr>
            <w:r w:rsidRPr="00CF46E9">
              <w:t>Positive patient ID is required prior to administration of blood products.</w:t>
            </w:r>
          </w:p>
          <w:p w14:paraId="42DAA228" w14:textId="2ADB631F" w:rsidR="00F51235" w:rsidRPr="00CF46E9" w:rsidRDefault="00F51235" w:rsidP="009742AB">
            <w:pPr>
              <w:pStyle w:val="Quotebullet2"/>
            </w:pPr>
            <w:r w:rsidRPr="00CF46E9">
              <w:t>Independent confirmation of patient and product ID needs to be performed by a second practitioner or the EMR. If performed by the EMR, it must be able to identify the patient, confirm the blood product and group and that it has been specifically issued to the patient.</w:t>
            </w:r>
          </w:p>
          <w:p w14:paraId="1D640A5D" w14:textId="77777777" w:rsidR="00F51235" w:rsidRDefault="00F51235" w:rsidP="00E2470C">
            <w:pPr>
              <w:pStyle w:val="Body"/>
            </w:pPr>
          </w:p>
        </w:tc>
      </w:tr>
    </w:tbl>
    <w:p w14:paraId="5864A64C" w14:textId="77777777" w:rsidR="00E9700E" w:rsidRPr="00E2470C" w:rsidRDefault="00E9700E" w:rsidP="00E2470C">
      <w:pPr>
        <w:pStyle w:val="Heading4"/>
      </w:pPr>
      <w:r w:rsidRPr="00E2470C">
        <w:t>Scanning during blood administration</w:t>
      </w:r>
    </w:p>
    <w:p w14:paraId="284C8694" w14:textId="0EF125F0" w:rsidR="00E9700E" w:rsidRPr="00176D37" w:rsidRDefault="00E9700E" w:rsidP="00E2470C">
      <w:pPr>
        <w:pStyle w:val="Body"/>
        <w:rPr>
          <w:lang w:eastAsia="en-AU"/>
        </w:rPr>
      </w:pPr>
      <w:r w:rsidRPr="00176D37">
        <w:rPr>
          <w:lang w:eastAsia="en-AU"/>
        </w:rPr>
        <w:t>Respondents indicated when a scanning device is required for blood administration with an EMR (</w:t>
      </w:r>
      <w:r w:rsidRPr="00176D37">
        <w:rPr>
          <w:lang w:eastAsia="en-AU"/>
        </w:rPr>
        <w:fldChar w:fldCharType="begin"/>
      </w:r>
      <w:r w:rsidRPr="00176D37">
        <w:rPr>
          <w:lang w:eastAsia="en-AU"/>
        </w:rPr>
        <w:instrText xml:space="preserve"> REF _Ref100678965 \h  \* MERGEFORMAT </w:instrText>
      </w:r>
      <w:r w:rsidRPr="00176D37">
        <w:rPr>
          <w:lang w:eastAsia="en-AU"/>
        </w:rPr>
      </w:r>
      <w:r w:rsidRPr="00176D37">
        <w:rPr>
          <w:lang w:eastAsia="en-AU"/>
        </w:rPr>
        <w:fldChar w:fldCharType="separate"/>
      </w:r>
      <w:r w:rsidR="00E73E2F" w:rsidRPr="00176D37">
        <w:t xml:space="preserve">Table </w:t>
      </w:r>
      <w:r w:rsidR="00E73E2F">
        <w:rPr>
          <w:noProof/>
        </w:rPr>
        <w:t>31</w:t>
      </w:r>
      <w:r w:rsidRPr="00176D37">
        <w:rPr>
          <w:lang w:eastAsia="en-AU"/>
        </w:rPr>
        <w:fldChar w:fldCharType="end"/>
      </w:r>
      <w:r w:rsidRPr="00176D37">
        <w:rPr>
          <w:lang w:eastAsia="en-AU"/>
        </w:rPr>
        <w:t>).</w:t>
      </w:r>
    </w:p>
    <w:p w14:paraId="1AD3B4DC" w14:textId="59A7CB4B" w:rsidR="00E9700E" w:rsidRPr="00176D37" w:rsidRDefault="00E9700E" w:rsidP="00E2470C">
      <w:pPr>
        <w:pStyle w:val="Tablecaption"/>
        <w:rPr>
          <w:lang w:eastAsia="en-AU"/>
        </w:rPr>
      </w:pPr>
      <w:bookmarkStart w:id="170" w:name="_Ref100678965"/>
      <w:bookmarkStart w:id="171" w:name="_Ref101879146"/>
      <w:bookmarkStart w:id="172" w:name="_Hlk100664032"/>
      <w:r w:rsidRPr="00176D37">
        <w:t xml:space="preserve">Table </w:t>
      </w:r>
      <w:r w:rsidR="00F751A0">
        <w:fldChar w:fldCharType="begin"/>
      </w:r>
      <w:r w:rsidR="00F751A0">
        <w:instrText xml:space="preserve"> SEQ Table \* ARABIC </w:instrText>
      </w:r>
      <w:r w:rsidR="00F751A0">
        <w:fldChar w:fldCharType="separate"/>
      </w:r>
      <w:r w:rsidR="00E73E2F">
        <w:rPr>
          <w:noProof/>
        </w:rPr>
        <w:t>31</w:t>
      </w:r>
      <w:r w:rsidR="00F751A0">
        <w:rPr>
          <w:noProof/>
        </w:rPr>
        <w:fldChar w:fldCharType="end"/>
      </w:r>
      <w:bookmarkEnd w:id="170"/>
      <w:r w:rsidRPr="00176D37">
        <w:t>: Scanning requirements for blood administration using the EMR</w:t>
      </w:r>
      <w:r w:rsidRPr="00176D37">
        <w:rPr>
          <w:rStyle w:val="FootnoteReference"/>
          <w:rFonts w:cs="Arial"/>
          <w:sz w:val="22"/>
          <w:szCs w:val="22"/>
        </w:rPr>
        <w:footnoteReference w:id="25"/>
      </w:r>
      <w:bookmarkEnd w:id="171"/>
      <w:r w:rsidRPr="00176D37">
        <w:rPr>
          <w:lang w:eastAsia="en-AU"/>
        </w:rPr>
        <w:t xml:space="preserve"> </w:t>
      </w:r>
    </w:p>
    <w:tbl>
      <w:tblPr>
        <w:tblStyle w:val="TableGrid"/>
        <w:tblW w:w="7933" w:type="dxa"/>
        <w:tblLook w:val="04A0" w:firstRow="1" w:lastRow="0" w:firstColumn="1" w:lastColumn="0" w:noHBand="0" w:noVBand="1"/>
      </w:tblPr>
      <w:tblGrid>
        <w:gridCol w:w="4673"/>
        <w:gridCol w:w="3260"/>
      </w:tblGrid>
      <w:tr w:rsidR="00E9700E" w:rsidRPr="00176D37" w14:paraId="13F6BD9A" w14:textId="77777777" w:rsidTr="00E73E2F">
        <w:trPr>
          <w:tblHeader/>
        </w:trPr>
        <w:tc>
          <w:tcPr>
            <w:tcW w:w="4673" w:type="dxa"/>
          </w:tcPr>
          <w:p w14:paraId="46CE0E46" w14:textId="77777777" w:rsidR="00E9700E" w:rsidRPr="00176D37" w:rsidRDefault="00E9700E" w:rsidP="00E2470C">
            <w:pPr>
              <w:pStyle w:val="Tablecolhead"/>
            </w:pPr>
            <w:r w:rsidRPr="00176D37">
              <w:t>Scanning required for</w:t>
            </w:r>
          </w:p>
        </w:tc>
        <w:tc>
          <w:tcPr>
            <w:tcW w:w="3260" w:type="dxa"/>
          </w:tcPr>
          <w:p w14:paraId="6A066FAA" w14:textId="66002A0A" w:rsidR="00E9700E" w:rsidRPr="00176D37" w:rsidRDefault="00E9700E" w:rsidP="00E2470C">
            <w:pPr>
              <w:pStyle w:val="Tablecolhead"/>
            </w:pPr>
            <w:r w:rsidRPr="00176D37">
              <w:t>Health services n</w:t>
            </w:r>
            <w:r w:rsidR="00F51235">
              <w:t xml:space="preserve"> </w:t>
            </w:r>
            <w:r w:rsidRPr="00176D37">
              <w:t>=</w:t>
            </w:r>
            <w:r w:rsidR="00F51235">
              <w:t xml:space="preserve"> </w:t>
            </w:r>
            <w:r w:rsidRPr="00176D37">
              <w:t>7, (%)</w:t>
            </w:r>
          </w:p>
        </w:tc>
      </w:tr>
      <w:tr w:rsidR="00E9700E" w:rsidRPr="00176D37" w14:paraId="5CC532D6" w14:textId="77777777" w:rsidTr="00E73E2F">
        <w:tc>
          <w:tcPr>
            <w:tcW w:w="4673" w:type="dxa"/>
          </w:tcPr>
          <w:p w14:paraId="7BD4858C" w14:textId="77777777" w:rsidR="00E9700E" w:rsidRPr="00176D37" w:rsidRDefault="00E9700E" w:rsidP="00E2470C">
            <w:pPr>
              <w:pStyle w:val="Tabletext"/>
            </w:pPr>
            <w:r w:rsidRPr="00176D37">
              <w:t>Patient ID band only</w:t>
            </w:r>
          </w:p>
        </w:tc>
        <w:tc>
          <w:tcPr>
            <w:tcW w:w="3260" w:type="dxa"/>
          </w:tcPr>
          <w:p w14:paraId="23144C70" w14:textId="77777777" w:rsidR="00E9700E" w:rsidRPr="00176D37" w:rsidRDefault="00E9700E" w:rsidP="009742AB">
            <w:pPr>
              <w:pStyle w:val="Tabletext"/>
              <w:jc w:val="right"/>
            </w:pPr>
            <w:r w:rsidRPr="00176D37">
              <w:t>1 (14%)</w:t>
            </w:r>
          </w:p>
        </w:tc>
      </w:tr>
      <w:tr w:rsidR="00E9700E" w:rsidRPr="00176D37" w14:paraId="19A50C9C" w14:textId="77777777" w:rsidTr="00E73E2F">
        <w:tc>
          <w:tcPr>
            <w:tcW w:w="4673" w:type="dxa"/>
          </w:tcPr>
          <w:p w14:paraId="143C26E5" w14:textId="77777777" w:rsidR="00E9700E" w:rsidRPr="00176D37" w:rsidRDefault="00E9700E" w:rsidP="00E2470C">
            <w:pPr>
              <w:pStyle w:val="Tabletext"/>
            </w:pPr>
            <w:r w:rsidRPr="00176D37">
              <w:t>Blood/blood product only</w:t>
            </w:r>
          </w:p>
        </w:tc>
        <w:tc>
          <w:tcPr>
            <w:tcW w:w="3260" w:type="dxa"/>
          </w:tcPr>
          <w:p w14:paraId="62ACC8ED" w14:textId="77777777" w:rsidR="00E9700E" w:rsidRPr="00176D37" w:rsidRDefault="00E9700E" w:rsidP="009742AB">
            <w:pPr>
              <w:pStyle w:val="Tabletext"/>
              <w:jc w:val="right"/>
            </w:pPr>
            <w:r w:rsidRPr="00176D37">
              <w:t>-</w:t>
            </w:r>
          </w:p>
        </w:tc>
      </w:tr>
      <w:tr w:rsidR="00E9700E" w:rsidRPr="00176D37" w14:paraId="0D61BB7D" w14:textId="77777777" w:rsidTr="00E73E2F">
        <w:tc>
          <w:tcPr>
            <w:tcW w:w="4673" w:type="dxa"/>
          </w:tcPr>
          <w:p w14:paraId="6BE16E59" w14:textId="77777777" w:rsidR="00E9700E" w:rsidRPr="00176D37" w:rsidRDefault="00E9700E" w:rsidP="00E2470C">
            <w:pPr>
              <w:pStyle w:val="Tabletext"/>
            </w:pPr>
            <w:r w:rsidRPr="00176D37">
              <w:t>Patient ID and blood/blood product</w:t>
            </w:r>
          </w:p>
        </w:tc>
        <w:tc>
          <w:tcPr>
            <w:tcW w:w="3260" w:type="dxa"/>
          </w:tcPr>
          <w:p w14:paraId="42533695" w14:textId="77777777" w:rsidR="00E9700E" w:rsidRPr="00176D37" w:rsidRDefault="00E9700E" w:rsidP="009742AB">
            <w:pPr>
              <w:pStyle w:val="Tabletext"/>
              <w:jc w:val="right"/>
            </w:pPr>
            <w:r w:rsidRPr="00176D37">
              <w:t>6 (86%)</w:t>
            </w:r>
          </w:p>
        </w:tc>
      </w:tr>
    </w:tbl>
    <w:bookmarkEnd w:id="172"/>
    <w:p w14:paraId="79625737" w14:textId="77777777" w:rsidR="00E9700E" w:rsidRPr="00E2470C" w:rsidRDefault="00E9700E" w:rsidP="00E2470C">
      <w:pPr>
        <w:pStyle w:val="Body"/>
        <w:spacing w:before="240"/>
      </w:pPr>
      <w:r w:rsidRPr="00E2470C">
        <w:t xml:space="preserve">One health service (14 per cent) requires scanning of only the patient ID band, six (86 per cent) health services require both the patient ID band and blood/blood product to be scanned. </w:t>
      </w:r>
    </w:p>
    <w:p w14:paraId="4CB8CAA5" w14:textId="38E03D7B" w:rsidR="00E9700E" w:rsidRPr="00E2470C" w:rsidRDefault="00E9700E" w:rsidP="00E2470C">
      <w:pPr>
        <w:pStyle w:val="Body"/>
      </w:pPr>
      <w:r w:rsidRPr="00E2470C">
        <w:t xml:space="preserve">As described in the ANZSBT </w:t>
      </w:r>
      <w:r w:rsidR="00BE575C">
        <w:t xml:space="preserve">2021 </w:t>
      </w:r>
      <w:r w:rsidR="00BE1BE8">
        <w:t>g</w:t>
      </w:r>
      <w:r w:rsidRPr="00E2470C">
        <w:t xml:space="preserve">uidelines, scanning </w:t>
      </w:r>
      <w:proofErr w:type="gramStart"/>
      <w:r w:rsidRPr="00E2470C">
        <w:t>all of</w:t>
      </w:r>
      <w:proofErr w:type="gramEnd"/>
      <w:r w:rsidRPr="00E2470C">
        <w:t xml:space="preserve"> the following: patient ID, blood component, blood group and compatibility confirmation are required for EMR. If </w:t>
      </w:r>
      <w:proofErr w:type="gramStart"/>
      <w:r w:rsidRPr="00E2470C">
        <w:t>all of</w:t>
      </w:r>
      <w:proofErr w:type="gramEnd"/>
      <w:r w:rsidRPr="00E2470C">
        <w:t xml:space="preserve"> these steps are not performed within the EMR process, two-person independent checks must still be performed.</w:t>
      </w:r>
    </w:p>
    <w:p w14:paraId="68430AE8" w14:textId="77777777" w:rsidR="00E9700E" w:rsidRPr="00E2470C" w:rsidRDefault="00E9700E" w:rsidP="00E2470C">
      <w:pPr>
        <w:pStyle w:val="Heading5"/>
      </w:pPr>
      <w:r w:rsidRPr="00E2470C">
        <w:t>Correct use of the scanner</w:t>
      </w:r>
    </w:p>
    <w:p w14:paraId="6F0666DB" w14:textId="1C631BC0" w:rsidR="00E9700E" w:rsidRPr="00176D37" w:rsidRDefault="00E9700E" w:rsidP="00E2470C">
      <w:pPr>
        <w:pStyle w:val="Body"/>
        <w:rPr>
          <w:shd w:val="clear" w:color="auto" w:fill="FFFFFF"/>
        </w:rPr>
      </w:pPr>
      <w:r w:rsidRPr="00176D37">
        <w:rPr>
          <w:shd w:val="clear" w:color="auto" w:fill="FFFFFF"/>
        </w:rPr>
        <w:t>Where clinical staff responded that scanning is required (n</w:t>
      </w:r>
      <w:r w:rsidR="006B1FCF">
        <w:rPr>
          <w:shd w:val="clear" w:color="auto" w:fill="FFFFFF"/>
        </w:rPr>
        <w:t xml:space="preserve"> </w:t>
      </w:r>
      <w:r w:rsidRPr="00176D37">
        <w:rPr>
          <w:shd w:val="clear" w:color="auto" w:fill="FFFFFF"/>
        </w:rPr>
        <w:t>=</w:t>
      </w:r>
      <w:r w:rsidR="006B1FCF">
        <w:rPr>
          <w:shd w:val="clear" w:color="auto" w:fill="FFFFFF"/>
        </w:rPr>
        <w:t xml:space="preserve"> </w:t>
      </w:r>
      <w:r w:rsidRPr="00176D37">
        <w:rPr>
          <w:shd w:val="clear" w:color="auto" w:fill="FFFFFF"/>
        </w:rPr>
        <w:t>6 from 5 health services), they were asked how often the scanning device is used as intended (</w:t>
      </w:r>
      <w:r w:rsidRPr="00176D37">
        <w:rPr>
          <w:shd w:val="clear" w:color="auto" w:fill="FFFFFF"/>
        </w:rPr>
        <w:fldChar w:fldCharType="begin"/>
      </w:r>
      <w:r w:rsidRPr="00176D37">
        <w:rPr>
          <w:shd w:val="clear" w:color="auto" w:fill="FFFFFF"/>
        </w:rPr>
        <w:instrText xml:space="preserve"> REF _Ref100678977 \h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32</w:t>
      </w:r>
      <w:r w:rsidRPr="00176D37">
        <w:rPr>
          <w:shd w:val="clear" w:color="auto" w:fill="FFFFFF"/>
        </w:rPr>
        <w:fldChar w:fldCharType="end"/>
      </w:r>
      <w:r w:rsidRPr="00176D37">
        <w:rPr>
          <w:shd w:val="clear" w:color="auto" w:fill="FFFFFF"/>
        </w:rPr>
        <w:t xml:space="preserve">). </w:t>
      </w:r>
    </w:p>
    <w:p w14:paraId="63A4D412" w14:textId="77777777" w:rsidR="00E9700E" w:rsidRPr="00176D37" w:rsidRDefault="00E9700E" w:rsidP="00E2470C">
      <w:pPr>
        <w:pStyle w:val="Body"/>
        <w:rPr>
          <w:shd w:val="clear" w:color="auto" w:fill="FFFFFF"/>
        </w:rPr>
      </w:pPr>
      <w:r w:rsidRPr="00176D37">
        <w:rPr>
          <w:shd w:val="clear" w:color="auto" w:fill="FFFFFF"/>
        </w:rPr>
        <w:lastRenderedPageBreak/>
        <w:t xml:space="preserve">If the scanning device is not used as intended, important built-in safety steps are bypassed. The risk of errors increases which may result in patient safety being compromised. </w:t>
      </w:r>
    </w:p>
    <w:p w14:paraId="4568A1C3" w14:textId="75601D6E" w:rsidR="00E9700E" w:rsidRPr="00176D37" w:rsidRDefault="00E9700E" w:rsidP="00E2470C">
      <w:pPr>
        <w:pStyle w:val="Tablecaption"/>
        <w:rPr>
          <w:i/>
          <w:iCs/>
          <w:shd w:val="clear" w:color="auto" w:fill="FFFFFF"/>
        </w:rPr>
      </w:pPr>
      <w:bookmarkStart w:id="173" w:name="_Ref100678977"/>
      <w:r w:rsidRPr="00176D37">
        <w:t xml:space="preserve">Table </w:t>
      </w:r>
      <w:r w:rsidR="00F751A0">
        <w:fldChar w:fldCharType="begin"/>
      </w:r>
      <w:r w:rsidR="00F751A0">
        <w:instrText xml:space="preserve"> SEQ Table \* ARABIC </w:instrText>
      </w:r>
      <w:r w:rsidR="00F751A0">
        <w:fldChar w:fldCharType="separate"/>
      </w:r>
      <w:r w:rsidR="00E73E2F">
        <w:rPr>
          <w:noProof/>
        </w:rPr>
        <w:t>32</w:t>
      </w:r>
      <w:r w:rsidR="00F751A0">
        <w:rPr>
          <w:noProof/>
        </w:rPr>
        <w:fldChar w:fldCharType="end"/>
      </w:r>
      <w:bookmarkEnd w:id="173"/>
      <w:r w:rsidRPr="00176D37">
        <w:t>: Frequency of scanning device being used as intended (</w:t>
      </w:r>
      <w:r w:rsidR="00F751A0">
        <w:t xml:space="preserve">n = </w:t>
      </w:r>
      <w:r w:rsidRPr="00176D37">
        <w:t>6)</w:t>
      </w:r>
      <w:r w:rsidRPr="00176D37">
        <w:rPr>
          <w:rStyle w:val="FootnoteReference"/>
          <w:rFonts w:cs="Arial"/>
          <w:sz w:val="22"/>
          <w:szCs w:val="22"/>
        </w:rPr>
        <w:footnoteReference w:id="26"/>
      </w:r>
    </w:p>
    <w:tbl>
      <w:tblPr>
        <w:tblStyle w:val="TableGrid"/>
        <w:tblW w:w="9351" w:type="dxa"/>
        <w:tblLayout w:type="fixed"/>
        <w:tblLook w:val="04A0" w:firstRow="1" w:lastRow="0" w:firstColumn="1" w:lastColumn="0" w:noHBand="0" w:noVBand="1"/>
      </w:tblPr>
      <w:tblGrid>
        <w:gridCol w:w="2830"/>
        <w:gridCol w:w="1304"/>
        <w:gridCol w:w="1390"/>
        <w:gridCol w:w="1417"/>
        <w:gridCol w:w="1276"/>
        <w:gridCol w:w="1134"/>
      </w:tblGrid>
      <w:tr w:rsidR="00E9700E" w:rsidRPr="00176D37" w14:paraId="7E0D1469" w14:textId="77777777" w:rsidTr="00C92B22">
        <w:tc>
          <w:tcPr>
            <w:tcW w:w="2830" w:type="dxa"/>
          </w:tcPr>
          <w:p w14:paraId="5A128CE8" w14:textId="77777777" w:rsidR="00E9700E" w:rsidRPr="00176D37" w:rsidRDefault="00E9700E" w:rsidP="00E2470C">
            <w:pPr>
              <w:pStyle w:val="Tablecolhead"/>
            </w:pPr>
            <w:r w:rsidRPr="00176D37">
              <w:t xml:space="preserve">Used as intended </w:t>
            </w:r>
          </w:p>
        </w:tc>
        <w:tc>
          <w:tcPr>
            <w:tcW w:w="1304" w:type="dxa"/>
          </w:tcPr>
          <w:p w14:paraId="14B47CAC" w14:textId="77777777" w:rsidR="00E9700E" w:rsidRPr="00176D37" w:rsidRDefault="00E9700E" w:rsidP="00E2470C">
            <w:pPr>
              <w:pStyle w:val="Tablecolhead"/>
            </w:pPr>
            <w:r w:rsidRPr="00176D37">
              <w:t>Always</w:t>
            </w:r>
          </w:p>
        </w:tc>
        <w:tc>
          <w:tcPr>
            <w:tcW w:w="1390" w:type="dxa"/>
          </w:tcPr>
          <w:p w14:paraId="6B1F8489" w14:textId="77777777" w:rsidR="00E9700E" w:rsidRPr="00176D37" w:rsidRDefault="00E9700E" w:rsidP="00E2470C">
            <w:pPr>
              <w:pStyle w:val="Tablecolhead"/>
            </w:pPr>
            <w:proofErr w:type="gramStart"/>
            <w:r w:rsidRPr="00176D37">
              <w:t>Usually</w:t>
            </w:r>
            <w:proofErr w:type="gramEnd"/>
          </w:p>
        </w:tc>
        <w:tc>
          <w:tcPr>
            <w:tcW w:w="1417" w:type="dxa"/>
          </w:tcPr>
          <w:p w14:paraId="332C627F" w14:textId="77777777" w:rsidR="00E9700E" w:rsidRPr="00176D37" w:rsidRDefault="00E9700E" w:rsidP="00E2470C">
            <w:pPr>
              <w:pStyle w:val="Tablecolhead"/>
            </w:pPr>
            <w:r w:rsidRPr="00176D37">
              <w:t>Sometimes</w:t>
            </w:r>
          </w:p>
        </w:tc>
        <w:tc>
          <w:tcPr>
            <w:tcW w:w="1276" w:type="dxa"/>
          </w:tcPr>
          <w:p w14:paraId="48CB7D2D" w14:textId="77777777" w:rsidR="00E9700E" w:rsidRPr="00176D37" w:rsidRDefault="00E9700E" w:rsidP="00E2470C">
            <w:pPr>
              <w:pStyle w:val="Tablecolhead"/>
            </w:pPr>
            <w:r w:rsidRPr="00176D37">
              <w:t>Never</w:t>
            </w:r>
          </w:p>
        </w:tc>
        <w:tc>
          <w:tcPr>
            <w:tcW w:w="1134" w:type="dxa"/>
          </w:tcPr>
          <w:p w14:paraId="418DF56C" w14:textId="77777777" w:rsidR="00E9700E" w:rsidRPr="00176D37" w:rsidRDefault="00E9700E" w:rsidP="00E2470C">
            <w:pPr>
              <w:pStyle w:val="Tablecolhead"/>
            </w:pPr>
            <w:r w:rsidRPr="00176D37">
              <w:t>Unsure</w:t>
            </w:r>
          </w:p>
        </w:tc>
      </w:tr>
      <w:tr w:rsidR="00E9700E" w:rsidRPr="00176D37" w14:paraId="305A5F1E" w14:textId="77777777" w:rsidTr="00C92B22">
        <w:tc>
          <w:tcPr>
            <w:tcW w:w="2830" w:type="dxa"/>
          </w:tcPr>
          <w:p w14:paraId="56D4FABA" w14:textId="77777777" w:rsidR="00E9700E" w:rsidRPr="00176D37" w:rsidRDefault="00E9700E" w:rsidP="00E2470C">
            <w:pPr>
              <w:pStyle w:val="Tabletext"/>
            </w:pPr>
            <w:r w:rsidRPr="00176D37">
              <w:t xml:space="preserve">Patient ID and blood product </w:t>
            </w:r>
          </w:p>
        </w:tc>
        <w:tc>
          <w:tcPr>
            <w:tcW w:w="1304" w:type="dxa"/>
          </w:tcPr>
          <w:p w14:paraId="43A391B4" w14:textId="77777777" w:rsidR="00E9700E" w:rsidRPr="00176D37" w:rsidRDefault="00E9700E" w:rsidP="009742AB">
            <w:pPr>
              <w:pStyle w:val="Tabletext"/>
              <w:jc w:val="right"/>
            </w:pPr>
            <w:r w:rsidRPr="00176D37">
              <w:t>2</w:t>
            </w:r>
          </w:p>
        </w:tc>
        <w:tc>
          <w:tcPr>
            <w:tcW w:w="1390" w:type="dxa"/>
          </w:tcPr>
          <w:p w14:paraId="751981F3" w14:textId="77777777" w:rsidR="00E9700E" w:rsidRPr="00176D37" w:rsidRDefault="00E9700E" w:rsidP="009742AB">
            <w:pPr>
              <w:pStyle w:val="Tabletext"/>
              <w:jc w:val="right"/>
            </w:pPr>
            <w:r w:rsidRPr="00176D37">
              <w:t>2</w:t>
            </w:r>
          </w:p>
        </w:tc>
        <w:tc>
          <w:tcPr>
            <w:tcW w:w="1417" w:type="dxa"/>
          </w:tcPr>
          <w:p w14:paraId="6E9B4621" w14:textId="77777777" w:rsidR="00E9700E" w:rsidRPr="00176D37" w:rsidRDefault="00E9700E" w:rsidP="009742AB">
            <w:pPr>
              <w:pStyle w:val="Tabletext"/>
              <w:jc w:val="right"/>
            </w:pPr>
            <w:r w:rsidRPr="00176D37">
              <w:t>-</w:t>
            </w:r>
          </w:p>
        </w:tc>
        <w:tc>
          <w:tcPr>
            <w:tcW w:w="1276" w:type="dxa"/>
          </w:tcPr>
          <w:p w14:paraId="55DE4DC2" w14:textId="77777777" w:rsidR="00E9700E" w:rsidRPr="00176D37" w:rsidRDefault="00E9700E" w:rsidP="009742AB">
            <w:pPr>
              <w:pStyle w:val="Tabletext"/>
              <w:jc w:val="right"/>
            </w:pPr>
            <w:r w:rsidRPr="00176D37">
              <w:t>-</w:t>
            </w:r>
          </w:p>
        </w:tc>
        <w:tc>
          <w:tcPr>
            <w:tcW w:w="1134" w:type="dxa"/>
          </w:tcPr>
          <w:p w14:paraId="4C59E95C" w14:textId="77777777" w:rsidR="00E9700E" w:rsidRPr="00176D37" w:rsidRDefault="00E9700E" w:rsidP="009742AB">
            <w:pPr>
              <w:pStyle w:val="Tabletext"/>
              <w:jc w:val="right"/>
            </w:pPr>
            <w:r w:rsidRPr="00176D37">
              <w:t>2</w:t>
            </w:r>
          </w:p>
        </w:tc>
      </w:tr>
    </w:tbl>
    <w:p w14:paraId="0EF1E923" w14:textId="77777777" w:rsidR="00E9700E" w:rsidRPr="00E2470C" w:rsidRDefault="00E9700E" w:rsidP="00E2470C">
      <w:pPr>
        <w:pStyle w:val="Heading5"/>
      </w:pPr>
      <w:r w:rsidRPr="00E2470C">
        <w:t>Errors during scanning</w:t>
      </w:r>
    </w:p>
    <w:p w14:paraId="71898AC0" w14:textId="3E2BA497" w:rsidR="00E9700E" w:rsidRPr="00176D37" w:rsidRDefault="00E9700E" w:rsidP="00E2470C">
      <w:pPr>
        <w:pStyle w:val="Body"/>
        <w:rPr>
          <w:shd w:val="clear" w:color="auto" w:fill="FFFFFF"/>
        </w:rPr>
      </w:pPr>
      <w:r w:rsidRPr="00176D37">
        <w:rPr>
          <w:shd w:val="clear" w:color="auto" w:fill="FFFFFF"/>
        </w:rPr>
        <w:t>If clinical and quality staff responded that scanning is required (n = 12), further details regarding the frequency and type of errors that occurred was obtained (</w:t>
      </w:r>
      <w:r w:rsidRPr="00176D37">
        <w:rPr>
          <w:shd w:val="clear" w:color="auto" w:fill="FFFFFF"/>
        </w:rPr>
        <w:fldChar w:fldCharType="begin"/>
      </w:r>
      <w:r w:rsidRPr="00176D37">
        <w:rPr>
          <w:shd w:val="clear" w:color="auto" w:fill="FFFFFF"/>
        </w:rPr>
        <w:instrText xml:space="preserve"> REF _Ref100678987 \h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33</w:t>
      </w:r>
      <w:r w:rsidRPr="00176D37">
        <w:rPr>
          <w:shd w:val="clear" w:color="auto" w:fill="FFFFFF"/>
        </w:rPr>
        <w:fldChar w:fldCharType="end"/>
      </w:r>
      <w:r w:rsidRPr="00176D37">
        <w:rPr>
          <w:shd w:val="clear" w:color="auto" w:fill="FFFFFF"/>
        </w:rPr>
        <w:t>).</w:t>
      </w:r>
    </w:p>
    <w:p w14:paraId="449CD9F1" w14:textId="7B7C36EB" w:rsidR="00E9700E" w:rsidRPr="00176D37" w:rsidRDefault="00E9700E" w:rsidP="00E2470C">
      <w:pPr>
        <w:pStyle w:val="Tablecaption"/>
        <w:rPr>
          <w:shd w:val="clear" w:color="auto" w:fill="FFFFFF"/>
        </w:rPr>
      </w:pPr>
      <w:bookmarkStart w:id="174" w:name="_Ref100678987"/>
      <w:r w:rsidRPr="00176D37">
        <w:t xml:space="preserve">Table </w:t>
      </w:r>
      <w:r w:rsidR="00F751A0">
        <w:fldChar w:fldCharType="begin"/>
      </w:r>
      <w:r w:rsidR="00F751A0">
        <w:instrText xml:space="preserve"> SEQ Table \* ARABIC </w:instrText>
      </w:r>
      <w:r w:rsidR="00F751A0">
        <w:fldChar w:fldCharType="separate"/>
      </w:r>
      <w:r w:rsidR="00E73E2F">
        <w:rPr>
          <w:noProof/>
        </w:rPr>
        <w:t>33</w:t>
      </w:r>
      <w:r w:rsidR="00F751A0">
        <w:rPr>
          <w:noProof/>
        </w:rPr>
        <w:fldChar w:fldCharType="end"/>
      </w:r>
      <w:bookmarkEnd w:id="174"/>
      <w:r w:rsidRPr="00176D37">
        <w:t>: Scanning errors encountered during blood administration</w:t>
      </w:r>
      <w:r w:rsidRPr="00176D37">
        <w:rPr>
          <w:rStyle w:val="FootnoteReference"/>
          <w:rFonts w:cs="Arial"/>
          <w:sz w:val="22"/>
          <w:szCs w:val="22"/>
          <w:shd w:val="clear" w:color="auto" w:fill="FFFFFF"/>
        </w:rPr>
        <w:footnoteReference w:id="27"/>
      </w:r>
    </w:p>
    <w:tbl>
      <w:tblPr>
        <w:tblStyle w:val="TableGrid"/>
        <w:tblW w:w="9351" w:type="dxa"/>
        <w:tblLook w:val="04A0" w:firstRow="1" w:lastRow="0" w:firstColumn="1" w:lastColumn="0" w:noHBand="0" w:noVBand="1"/>
      </w:tblPr>
      <w:tblGrid>
        <w:gridCol w:w="2812"/>
        <w:gridCol w:w="1345"/>
        <w:gridCol w:w="1346"/>
        <w:gridCol w:w="1390"/>
        <w:gridCol w:w="1343"/>
        <w:gridCol w:w="1115"/>
      </w:tblGrid>
      <w:tr w:rsidR="00E9700E" w:rsidRPr="00176D37" w14:paraId="58EA50B0" w14:textId="77777777" w:rsidTr="009742AB">
        <w:trPr>
          <w:tblHeader/>
        </w:trPr>
        <w:tc>
          <w:tcPr>
            <w:tcW w:w="2812" w:type="dxa"/>
          </w:tcPr>
          <w:p w14:paraId="5061C57F" w14:textId="22EADE19" w:rsidR="00E9700E" w:rsidRPr="00176D37" w:rsidRDefault="00D33D62" w:rsidP="00E2470C">
            <w:pPr>
              <w:pStyle w:val="Tablecolhead"/>
            </w:pPr>
            <w:r>
              <w:t>Error</w:t>
            </w:r>
          </w:p>
        </w:tc>
        <w:tc>
          <w:tcPr>
            <w:tcW w:w="1345" w:type="dxa"/>
          </w:tcPr>
          <w:p w14:paraId="51E275E6" w14:textId="77777777" w:rsidR="00E9700E" w:rsidRPr="00176D37" w:rsidRDefault="00E9700E" w:rsidP="00E2470C">
            <w:pPr>
              <w:pStyle w:val="Tablecolhead"/>
            </w:pPr>
            <w:r w:rsidRPr="00176D37">
              <w:t>Always</w:t>
            </w:r>
          </w:p>
          <w:p w14:paraId="77D1CD72" w14:textId="77777777" w:rsidR="00E9700E" w:rsidRPr="00176D37" w:rsidRDefault="00E9700E" w:rsidP="00E2470C">
            <w:pPr>
              <w:pStyle w:val="Tablecolhead"/>
              <w:rPr>
                <w:bCs/>
              </w:rPr>
            </w:pPr>
            <w:r w:rsidRPr="00176D37">
              <w:rPr>
                <w:bCs/>
              </w:rPr>
              <w:t>n (%)</w:t>
            </w:r>
          </w:p>
        </w:tc>
        <w:tc>
          <w:tcPr>
            <w:tcW w:w="1346" w:type="dxa"/>
          </w:tcPr>
          <w:p w14:paraId="46C386E6" w14:textId="77777777" w:rsidR="00E9700E" w:rsidRPr="00176D37" w:rsidRDefault="00E9700E" w:rsidP="00E2470C">
            <w:pPr>
              <w:pStyle w:val="Tablecolhead"/>
            </w:pPr>
            <w:r w:rsidRPr="00176D37">
              <w:t>Usually</w:t>
            </w:r>
          </w:p>
          <w:p w14:paraId="561B0264" w14:textId="77777777" w:rsidR="00E9700E" w:rsidRPr="00176D37" w:rsidRDefault="00E9700E" w:rsidP="00E2470C">
            <w:pPr>
              <w:pStyle w:val="Tablecolhead"/>
            </w:pPr>
            <w:r w:rsidRPr="00176D37">
              <w:rPr>
                <w:bCs/>
              </w:rPr>
              <w:t>n (%)</w:t>
            </w:r>
          </w:p>
        </w:tc>
        <w:tc>
          <w:tcPr>
            <w:tcW w:w="1390" w:type="dxa"/>
          </w:tcPr>
          <w:p w14:paraId="65379230" w14:textId="77777777" w:rsidR="00E9700E" w:rsidRPr="00176D37" w:rsidRDefault="00E9700E" w:rsidP="00E2470C">
            <w:pPr>
              <w:pStyle w:val="Tablecolhead"/>
            </w:pPr>
            <w:r w:rsidRPr="00176D37">
              <w:t>Sometimes</w:t>
            </w:r>
          </w:p>
          <w:p w14:paraId="1FF02FCE" w14:textId="77777777" w:rsidR="00E9700E" w:rsidRPr="00176D37" w:rsidRDefault="00E9700E" w:rsidP="00E2470C">
            <w:pPr>
              <w:pStyle w:val="Tablecolhead"/>
            </w:pPr>
            <w:r w:rsidRPr="00176D37">
              <w:rPr>
                <w:bCs/>
              </w:rPr>
              <w:t>n (%)</w:t>
            </w:r>
          </w:p>
        </w:tc>
        <w:tc>
          <w:tcPr>
            <w:tcW w:w="1343" w:type="dxa"/>
          </w:tcPr>
          <w:p w14:paraId="5C66A8AF" w14:textId="77777777" w:rsidR="00E9700E" w:rsidRPr="00176D37" w:rsidRDefault="00E9700E" w:rsidP="00E2470C">
            <w:pPr>
              <w:pStyle w:val="Tablecolhead"/>
            </w:pPr>
            <w:r w:rsidRPr="00176D37">
              <w:t>Never</w:t>
            </w:r>
          </w:p>
          <w:p w14:paraId="696219EA" w14:textId="77777777" w:rsidR="00E9700E" w:rsidRPr="00176D37" w:rsidRDefault="00E9700E" w:rsidP="00E2470C">
            <w:pPr>
              <w:pStyle w:val="Tablecolhead"/>
            </w:pPr>
            <w:r w:rsidRPr="00176D37">
              <w:rPr>
                <w:bCs/>
              </w:rPr>
              <w:t>n (%)</w:t>
            </w:r>
          </w:p>
        </w:tc>
        <w:tc>
          <w:tcPr>
            <w:tcW w:w="1115" w:type="dxa"/>
          </w:tcPr>
          <w:p w14:paraId="738905C3" w14:textId="77777777" w:rsidR="00E9700E" w:rsidRPr="00176D37" w:rsidRDefault="00E9700E" w:rsidP="00E2470C">
            <w:pPr>
              <w:pStyle w:val="Tablecolhead"/>
            </w:pPr>
            <w:r w:rsidRPr="00176D37">
              <w:t>N/A</w:t>
            </w:r>
          </w:p>
          <w:p w14:paraId="6AAF0F49" w14:textId="77777777" w:rsidR="00E9700E" w:rsidRPr="00176D37" w:rsidRDefault="00E9700E" w:rsidP="00E2470C">
            <w:pPr>
              <w:pStyle w:val="Tablecolhead"/>
            </w:pPr>
            <w:r w:rsidRPr="00176D37">
              <w:rPr>
                <w:bCs/>
              </w:rPr>
              <w:t>n (%)</w:t>
            </w:r>
          </w:p>
        </w:tc>
      </w:tr>
      <w:tr w:rsidR="00E9700E" w:rsidRPr="00176D37" w14:paraId="7DE2E01C" w14:textId="77777777" w:rsidTr="005F6CBF">
        <w:tc>
          <w:tcPr>
            <w:tcW w:w="2812" w:type="dxa"/>
          </w:tcPr>
          <w:p w14:paraId="302662BB" w14:textId="77777777" w:rsidR="00E9700E" w:rsidRPr="00176D37" w:rsidRDefault="00E9700E" w:rsidP="00E2470C">
            <w:pPr>
              <w:pStyle w:val="Tabletext"/>
            </w:pPr>
            <w:r w:rsidRPr="00176D37">
              <w:t>Unable to scan patient ID</w:t>
            </w:r>
          </w:p>
        </w:tc>
        <w:tc>
          <w:tcPr>
            <w:tcW w:w="1345" w:type="dxa"/>
          </w:tcPr>
          <w:p w14:paraId="4BA65DE6" w14:textId="77777777" w:rsidR="00E9700E" w:rsidRPr="00176D37" w:rsidRDefault="00E9700E" w:rsidP="009742AB">
            <w:pPr>
              <w:pStyle w:val="Tabletext"/>
              <w:jc w:val="right"/>
            </w:pPr>
            <w:r w:rsidRPr="00176D37">
              <w:t>-</w:t>
            </w:r>
          </w:p>
        </w:tc>
        <w:tc>
          <w:tcPr>
            <w:tcW w:w="1346" w:type="dxa"/>
          </w:tcPr>
          <w:p w14:paraId="486D22B6" w14:textId="77777777" w:rsidR="00E9700E" w:rsidRPr="00176D37" w:rsidRDefault="00E9700E" w:rsidP="009742AB">
            <w:pPr>
              <w:pStyle w:val="Tabletext"/>
              <w:jc w:val="right"/>
            </w:pPr>
            <w:r w:rsidRPr="00176D37">
              <w:t>-</w:t>
            </w:r>
          </w:p>
        </w:tc>
        <w:tc>
          <w:tcPr>
            <w:tcW w:w="1390" w:type="dxa"/>
          </w:tcPr>
          <w:p w14:paraId="1DD97803" w14:textId="77777777" w:rsidR="00E9700E" w:rsidRPr="00176D37" w:rsidRDefault="00E9700E" w:rsidP="009742AB">
            <w:pPr>
              <w:pStyle w:val="Tabletext"/>
              <w:jc w:val="right"/>
            </w:pPr>
            <w:r w:rsidRPr="00176D37">
              <w:t>8 (67%)</w:t>
            </w:r>
          </w:p>
        </w:tc>
        <w:tc>
          <w:tcPr>
            <w:tcW w:w="1343" w:type="dxa"/>
          </w:tcPr>
          <w:p w14:paraId="3ADDC10A" w14:textId="77777777" w:rsidR="00E9700E" w:rsidRPr="00176D37" w:rsidRDefault="00E9700E" w:rsidP="009742AB">
            <w:pPr>
              <w:pStyle w:val="Tabletext"/>
              <w:jc w:val="right"/>
            </w:pPr>
            <w:r w:rsidRPr="00176D37">
              <w:t>3 (25%)</w:t>
            </w:r>
          </w:p>
        </w:tc>
        <w:tc>
          <w:tcPr>
            <w:tcW w:w="1115" w:type="dxa"/>
          </w:tcPr>
          <w:p w14:paraId="68436E14" w14:textId="77777777" w:rsidR="00E9700E" w:rsidRPr="00176D37" w:rsidRDefault="00E9700E" w:rsidP="009742AB">
            <w:pPr>
              <w:pStyle w:val="Tabletext"/>
              <w:jc w:val="right"/>
            </w:pPr>
            <w:r w:rsidRPr="00176D37">
              <w:t>1 (8%)</w:t>
            </w:r>
          </w:p>
        </w:tc>
      </w:tr>
      <w:tr w:rsidR="00E9700E" w:rsidRPr="00176D37" w14:paraId="6346D7D0" w14:textId="77777777" w:rsidTr="005F6CBF">
        <w:tc>
          <w:tcPr>
            <w:tcW w:w="2812" w:type="dxa"/>
          </w:tcPr>
          <w:p w14:paraId="03BC9321" w14:textId="77777777" w:rsidR="00E9700E" w:rsidRPr="00176D37" w:rsidRDefault="00E9700E" w:rsidP="00E2470C">
            <w:pPr>
              <w:pStyle w:val="Tabletext"/>
            </w:pPr>
            <w:r w:rsidRPr="00176D37">
              <w:t>Incorrect patient ID details</w:t>
            </w:r>
          </w:p>
        </w:tc>
        <w:tc>
          <w:tcPr>
            <w:tcW w:w="1345" w:type="dxa"/>
          </w:tcPr>
          <w:p w14:paraId="7464FD53" w14:textId="77777777" w:rsidR="00E9700E" w:rsidRPr="00176D37" w:rsidRDefault="00E9700E" w:rsidP="009742AB">
            <w:pPr>
              <w:pStyle w:val="Tabletext"/>
              <w:jc w:val="right"/>
            </w:pPr>
            <w:r w:rsidRPr="00176D37">
              <w:t>-</w:t>
            </w:r>
          </w:p>
        </w:tc>
        <w:tc>
          <w:tcPr>
            <w:tcW w:w="1346" w:type="dxa"/>
          </w:tcPr>
          <w:p w14:paraId="61575D06" w14:textId="77777777" w:rsidR="00E9700E" w:rsidRPr="00176D37" w:rsidRDefault="00E9700E" w:rsidP="009742AB">
            <w:pPr>
              <w:pStyle w:val="Tabletext"/>
              <w:jc w:val="right"/>
            </w:pPr>
            <w:r w:rsidRPr="00176D37">
              <w:t>-</w:t>
            </w:r>
          </w:p>
        </w:tc>
        <w:tc>
          <w:tcPr>
            <w:tcW w:w="1390" w:type="dxa"/>
          </w:tcPr>
          <w:p w14:paraId="6F98A364" w14:textId="77777777" w:rsidR="00E9700E" w:rsidRPr="00176D37" w:rsidRDefault="00E9700E" w:rsidP="009742AB">
            <w:pPr>
              <w:pStyle w:val="Tabletext"/>
              <w:jc w:val="right"/>
            </w:pPr>
            <w:r w:rsidRPr="00176D37">
              <w:t>3 (25%)</w:t>
            </w:r>
          </w:p>
        </w:tc>
        <w:tc>
          <w:tcPr>
            <w:tcW w:w="1343" w:type="dxa"/>
          </w:tcPr>
          <w:p w14:paraId="4DC128F7" w14:textId="77777777" w:rsidR="00E9700E" w:rsidRPr="00176D37" w:rsidRDefault="00E9700E" w:rsidP="009742AB">
            <w:pPr>
              <w:pStyle w:val="Tabletext"/>
              <w:jc w:val="right"/>
            </w:pPr>
            <w:r w:rsidRPr="00176D37">
              <w:t>7 (58%)</w:t>
            </w:r>
          </w:p>
        </w:tc>
        <w:tc>
          <w:tcPr>
            <w:tcW w:w="1115" w:type="dxa"/>
          </w:tcPr>
          <w:p w14:paraId="064D6C77" w14:textId="77777777" w:rsidR="00E9700E" w:rsidRPr="00176D37" w:rsidRDefault="00E9700E" w:rsidP="009742AB">
            <w:pPr>
              <w:pStyle w:val="Tabletext"/>
              <w:jc w:val="right"/>
            </w:pPr>
            <w:r w:rsidRPr="00176D37">
              <w:t>2 (17%)</w:t>
            </w:r>
          </w:p>
        </w:tc>
      </w:tr>
      <w:tr w:rsidR="00E9700E" w:rsidRPr="00176D37" w14:paraId="4E1C3E6D" w14:textId="77777777" w:rsidTr="005F6CBF">
        <w:tc>
          <w:tcPr>
            <w:tcW w:w="2812" w:type="dxa"/>
          </w:tcPr>
          <w:p w14:paraId="2FD22473" w14:textId="77777777" w:rsidR="00E9700E" w:rsidRPr="00176D37" w:rsidRDefault="00E9700E" w:rsidP="00E2470C">
            <w:pPr>
              <w:pStyle w:val="Tabletext"/>
            </w:pPr>
            <w:r w:rsidRPr="00176D37">
              <w:t>Patient not wearing an ID</w:t>
            </w:r>
          </w:p>
        </w:tc>
        <w:tc>
          <w:tcPr>
            <w:tcW w:w="1345" w:type="dxa"/>
          </w:tcPr>
          <w:p w14:paraId="2BCD1A1C" w14:textId="77777777" w:rsidR="00E9700E" w:rsidRPr="00176D37" w:rsidRDefault="00E9700E" w:rsidP="009742AB">
            <w:pPr>
              <w:pStyle w:val="Tabletext"/>
              <w:jc w:val="right"/>
            </w:pPr>
            <w:r w:rsidRPr="00176D37">
              <w:t>-</w:t>
            </w:r>
          </w:p>
        </w:tc>
        <w:tc>
          <w:tcPr>
            <w:tcW w:w="1346" w:type="dxa"/>
          </w:tcPr>
          <w:p w14:paraId="766F5ED6" w14:textId="77777777" w:rsidR="00E9700E" w:rsidRPr="00176D37" w:rsidRDefault="00E9700E" w:rsidP="009742AB">
            <w:pPr>
              <w:pStyle w:val="Tabletext"/>
              <w:jc w:val="right"/>
            </w:pPr>
            <w:r w:rsidRPr="00176D37">
              <w:t>-</w:t>
            </w:r>
          </w:p>
        </w:tc>
        <w:tc>
          <w:tcPr>
            <w:tcW w:w="1390" w:type="dxa"/>
          </w:tcPr>
          <w:p w14:paraId="29964090" w14:textId="77777777" w:rsidR="00E9700E" w:rsidRPr="00176D37" w:rsidRDefault="00E9700E" w:rsidP="009742AB">
            <w:pPr>
              <w:pStyle w:val="Tabletext"/>
              <w:jc w:val="right"/>
            </w:pPr>
            <w:r w:rsidRPr="00176D37">
              <w:t>5 (42%)</w:t>
            </w:r>
          </w:p>
        </w:tc>
        <w:tc>
          <w:tcPr>
            <w:tcW w:w="1343" w:type="dxa"/>
          </w:tcPr>
          <w:p w14:paraId="0437A1DE" w14:textId="77777777" w:rsidR="00E9700E" w:rsidRPr="00176D37" w:rsidRDefault="00E9700E" w:rsidP="009742AB">
            <w:pPr>
              <w:pStyle w:val="Tabletext"/>
              <w:jc w:val="right"/>
            </w:pPr>
            <w:r w:rsidRPr="00176D37">
              <w:t>5 (42%)</w:t>
            </w:r>
          </w:p>
        </w:tc>
        <w:tc>
          <w:tcPr>
            <w:tcW w:w="1115" w:type="dxa"/>
          </w:tcPr>
          <w:p w14:paraId="6549750C" w14:textId="77777777" w:rsidR="00E9700E" w:rsidRPr="00176D37" w:rsidRDefault="00E9700E" w:rsidP="009742AB">
            <w:pPr>
              <w:pStyle w:val="Tabletext"/>
              <w:jc w:val="right"/>
            </w:pPr>
            <w:r w:rsidRPr="00176D37">
              <w:t>2 (17%)</w:t>
            </w:r>
          </w:p>
        </w:tc>
      </w:tr>
      <w:tr w:rsidR="00E9700E" w:rsidRPr="00176D37" w14:paraId="1BD387C1" w14:textId="77777777" w:rsidTr="005F6CBF">
        <w:tc>
          <w:tcPr>
            <w:tcW w:w="2812" w:type="dxa"/>
          </w:tcPr>
          <w:p w14:paraId="2C93B91C" w14:textId="77777777" w:rsidR="00E9700E" w:rsidRPr="00176D37" w:rsidRDefault="00E9700E" w:rsidP="00E2470C">
            <w:pPr>
              <w:pStyle w:val="Tabletext"/>
            </w:pPr>
            <w:r w:rsidRPr="00176D37">
              <w:t>Unable to scan barcodes on blood/blood products</w:t>
            </w:r>
          </w:p>
        </w:tc>
        <w:tc>
          <w:tcPr>
            <w:tcW w:w="1345" w:type="dxa"/>
          </w:tcPr>
          <w:p w14:paraId="3A313506" w14:textId="77777777" w:rsidR="00E9700E" w:rsidRPr="00176D37" w:rsidRDefault="00E9700E" w:rsidP="009742AB">
            <w:pPr>
              <w:pStyle w:val="Tabletext"/>
              <w:jc w:val="right"/>
            </w:pPr>
            <w:r w:rsidRPr="00176D37">
              <w:t>-</w:t>
            </w:r>
          </w:p>
        </w:tc>
        <w:tc>
          <w:tcPr>
            <w:tcW w:w="1346" w:type="dxa"/>
          </w:tcPr>
          <w:p w14:paraId="0CCBF675" w14:textId="77777777" w:rsidR="00E9700E" w:rsidRPr="00176D37" w:rsidRDefault="00E9700E" w:rsidP="009742AB">
            <w:pPr>
              <w:pStyle w:val="Tabletext"/>
              <w:jc w:val="right"/>
            </w:pPr>
            <w:r w:rsidRPr="00176D37">
              <w:t>1 (8%)</w:t>
            </w:r>
          </w:p>
        </w:tc>
        <w:tc>
          <w:tcPr>
            <w:tcW w:w="1390" w:type="dxa"/>
          </w:tcPr>
          <w:p w14:paraId="07BAA0BA" w14:textId="77777777" w:rsidR="00E9700E" w:rsidRPr="00176D37" w:rsidRDefault="00E9700E" w:rsidP="009742AB">
            <w:pPr>
              <w:pStyle w:val="Tabletext"/>
              <w:jc w:val="right"/>
            </w:pPr>
            <w:r w:rsidRPr="00176D37">
              <w:t>8 (67%)</w:t>
            </w:r>
          </w:p>
        </w:tc>
        <w:tc>
          <w:tcPr>
            <w:tcW w:w="1343" w:type="dxa"/>
          </w:tcPr>
          <w:p w14:paraId="1DB4B838" w14:textId="77777777" w:rsidR="00E9700E" w:rsidRPr="00176D37" w:rsidRDefault="00E9700E" w:rsidP="009742AB">
            <w:pPr>
              <w:pStyle w:val="Tabletext"/>
              <w:jc w:val="right"/>
            </w:pPr>
            <w:r w:rsidRPr="00176D37">
              <w:t>1 (8%)</w:t>
            </w:r>
          </w:p>
        </w:tc>
        <w:tc>
          <w:tcPr>
            <w:tcW w:w="1115" w:type="dxa"/>
          </w:tcPr>
          <w:p w14:paraId="390BFC1C" w14:textId="77777777" w:rsidR="00E9700E" w:rsidRPr="00176D37" w:rsidRDefault="00E9700E" w:rsidP="009742AB">
            <w:pPr>
              <w:pStyle w:val="Tabletext"/>
              <w:jc w:val="right"/>
            </w:pPr>
            <w:r w:rsidRPr="00176D37">
              <w:t>2 (17%)</w:t>
            </w:r>
          </w:p>
        </w:tc>
      </w:tr>
      <w:tr w:rsidR="00E9700E" w:rsidRPr="00176D37" w14:paraId="4A6AFE57" w14:textId="77777777" w:rsidTr="005F6CBF">
        <w:tc>
          <w:tcPr>
            <w:tcW w:w="2812" w:type="dxa"/>
          </w:tcPr>
          <w:p w14:paraId="1D0BB8D4" w14:textId="77777777" w:rsidR="00E9700E" w:rsidRPr="00176D37" w:rsidRDefault="00E9700E" w:rsidP="00E2470C">
            <w:pPr>
              <w:pStyle w:val="Tabletext"/>
            </w:pPr>
            <w:r w:rsidRPr="00176D37">
              <w:t>Uncertain which barcodes on blood/blood product to scan</w:t>
            </w:r>
          </w:p>
        </w:tc>
        <w:tc>
          <w:tcPr>
            <w:tcW w:w="1345" w:type="dxa"/>
          </w:tcPr>
          <w:p w14:paraId="65BE5BF4" w14:textId="77777777" w:rsidR="00E9700E" w:rsidRPr="00176D37" w:rsidRDefault="00E9700E" w:rsidP="009742AB">
            <w:pPr>
              <w:pStyle w:val="Tabletext"/>
              <w:jc w:val="right"/>
            </w:pPr>
            <w:r w:rsidRPr="00176D37">
              <w:t>-</w:t>
            </w:r>
          </w:p>
        </w:tc>
        <w:tc>
          <w:tcPr>
            <w:tcW w:w="1346" w:type="dxa"/>
          </w:tcPr>
          <w:p w14:paraId="52DA8FA8" w14:textId="77777777" w:rsidR="00E9700E" w:rsidRPr="00176D37" w:rsidRDefault="00E9700E" w:rsidP="009742AB">
            <w:pPr>
              <w:pStyle w:val="Tabletext"/>
              <w:jc w:val="right"/>
            </w:pPr>
            <w:r w:rsidRPr="00176D37">
              <w:t>-</w:t>
            </w:r>
          </w:p>
        </w:tc>
        <w:tc>
          <w:tcPr>
            <w:tcW w:w="1390" w:type="dxa"/>
          </w:tcPr>
          <w:p w14:paraId="25C60F14" w14:textId="77777777" w:rsidR="00E9700E" w:rsidRPr="00176D37" w:rsidRDefault="00E9700E" w:rsidP="009742AB">
            <w:pPr>
              <w:pStyle w:val="Tabletext"/>
              <w:jc w:val="right"/>
            </w:pPr>
            <w:r w:rsidRPr="00176D37">
              <w:t>8 (67%)</w:t>
            </w:r>
          </w:p>
        </w:tc>
        <w:tc>
          <w:tcPr>
            <w:tcW w:w="1343" w:type="dxa"/>
          </w:tcPr>
          <w:p w14:paraId="3A3D2D16" w14:textId="77777777" w:rsidR="00E9700E" w:rsidRPr="00176D37" w:rsidRDefault="00E9700E" w:rsidP="009742AB">
            <w:pPr>
              <w:pStyle w:val="Tabletext"/>
              <w:jc w:val="right"/>
            </w:pPr>
            <w:r w:rsidRPr="00176D37">
              <w:t>2 (17%)</w:t>
            </w:r>
          </w:p>
        </w:tc>
        <w:tc>
          <w:tcPr>
            <w:tcW w:w="1115" w:type="dxa"/>
          </w:tcPr>
          <w:p w14:paraId="57F76F05" w14:textId="77777777" w:rsidR="00E9700E" w:rsidRPr="00176D37" w:rsidRDefault="00E9700E" w:rsidP="009742AB">
            <w:pPr>
              <w:pStyle w:val="Tabletext"/>
              <w:jc w:val="right"/>
            </w:pPr>
            <w:r w:rsidRPr="00176D37">
              <w:t>2 (17%)</w:t>
            </w:r>
          </w:p>
        </w:tc>
      </w:tr>
      <w:tr w:rsidR="00E9700E" w:rsidRPr="00176D37" w14:paraId="6230D90A" w14:textId="77777777" w:rsidTr="005F6CBF">
        <w:tc>
          <w:tcPr>
            <w:tcW w:w="2812" w:type="dxa"/>
          </w:tcPr>
          <w:p w14:paraId="05AC1C30" w14:textId="77777777" w:rsidR="00E9700E" w:rsidRPr="00176D37" w:rsidRDefault="00E9700E" w:rsidP="00E2470C">
            <w:pPr>
              <w:pStyle w:val="Tabletext"/>
            </w:pPr>
            <w:r w:rsidRPr="00176D37">
              <w:t>Information on more than one barcode is unintentionally detected</w:t>
            </w:r>
          </w:p>
        </w:tc>
        <w:tc>
          <w:tcPr>
            <w:tcW w:w="1345" w:type="dxa"/>
          </w:tcPr>
          <w:p w14:paraId="36C202FA" w14:textId="77777777" w:rsidR="00E9700E" w:rsidRPr="00176D37" w:rsidRDefault="00E9700E" w:rsidP="009742AB">
            <w:pPr>
              <w:pStyle w:val="Tabletext"/>
              <w:jc w:val="right"/>
            </w:pPr>
            <w:r w:rsidRPr="00176D37">
              <w:t>-</w:t>
            </w:r>
          </w:p>
        </w:tc>
        <w:tc>
          <w:tcPr>
            <w:tcW w:w="1346" w:type="dxa"/>
          </w:tcPr>
          <w:p w14:paraId="4BF90ABC" w14:textId="77777777" w:rsidR="00E9700E" w:rsidRPr="00176D37" w:rsidRDefault="00E9700E" w:rsidP="009742AB">
            <w:pPr>
              <w:pStyle w:val="Tabletext"/>
              <w:jc w:val="right"/>
            </w:pPr>
            <w:r w:rsidRPr="00176D37">
              <w:t>-</w:t>
            </w:r>
          </w:p>
        </w:tc>
        <w:tc>
          <w:tcPr>
            <w:tcW w:w="1390" w:type="dxa"/>
          </w:tcPr>
          <w:p w14:paraId="2C1DA6F0" w14:textId="77777777" w:rsidR="00E9700E" w:rsidRPr="00176D37" w:rsidRDefault="00E9700E" w:rsidP="009742AB">
            <w:pPr>
              <w:pStyle w:val="Tabletext"/>
              <w:jc w:val="right"/>
            </w:pPr>
            <w:r w:rsidRPr="00176D37">
              <w:t>7 (58%)</w:t>
            </w:r>
          </w:p>
        </w:tc>
        <w:tc>
          <w:tcPr>
            <w:tcW w:w="1343" w:type="dxa"/>
          </w:tcPr>
          <w:p w14:paraId="089A1A76" w14:textId="77777777" w:rsidR="00E9700E" w:rsidRPr="00176D37" w:rsidRDefault="00E9700E" w:rsidP="009742AB">
            <w:pPr>
              <w:pStyle w:val="Tabletext"/>
              <w:jc w:val="right"/>
            </w:pPr>
            <w:r w:rsidRPr="00176D37">
              <w:t>3 (25%)</w:t>
            </w:r>
          </w:p>
        </w:tc>
        <w:tc>
          <w:tcPr>
            <w:tcW w:w="1115" w:type="dxa"/>
          </w:tcPr>
          <w:p w14:paraId="1AF5C91B" w14:textId="77777777" w:rsidR="00E9700E" w:rsidRPr="00176D37" w:rsidRDefault="00E9700E" w:rsidP="009742AB">
            <w:pPr>
              <w:pStyle w:val="Tabletext"/>
              <w:jc w:val="right"/>
            </w:pPr>
            <w:r w:rsidRPr="00176D37">
              <w:t>2 (17%)</w:t>
            </w:r>
          </w:p>
        </w:tc>
      </w:tr>
      <w:tr w:rsidR="00E9700E" w:rsidRPr="00176D37" w14:paraId="01F8EA19" w14:textId="77777777" w:rsidTr="005F6CBF">
        <w:tc>
          <w:tcPr>
            <w:tcW w:w="2812" w:type="dxa"/>
          </w:tcPr>
          <w:p w14:paraId="0703325F" w14:textId="77777777" w:rsidR="00E9700E" w:rsidRPr="00176D37" w:rsidRDefault="00E9700E" w:rsidP="00E2470C">
            <w:pPr>
              <w:pStyle w:val="Tabletext"/>
            </w:pPr>
            <w:r w:rsidRPr="00176D37">
              <w:t>Specimen request/blood or blood product ordered on incorrect patient</w:t>
            </w:r>
          </w:p>
        </w:tc>
        <w:tc>
          <w:tcPr>
            <w:tcW w:w="1345" w:type="dxa"/>
          </w:tcPr>
          <w:p w14:paraId="20B022E8" w14:textId="77777777" w:rsidR="00E9700E" w:rsidRPr="00176D37" w:rsidRDefault="00E9700E" w:rsidP="009742AB">
            <w:pPr>
              <w:pStyle w:val="Tabletext"/>
              <w:jc w:val="right"/>
            </w:pPr>
            <w:r w:rsidRPr="00176D37">
              <w:t>-</w:t>
            </w:r>
          </w:p>
        </w:tc>
        <w:tc>
          <w:tcPr>
            <w:tcW w:w="1346" w:type="dxa"/>
          </w:tcPr>
          <w:p w14:paraId="2037E132" w14:textId="77777777" w:rsidR="00E9700E" w:rsidRPr="00176D37" w:rsidRDefault="00E9700E" w:rsidP="009742AB">
            <w:pPr>
              <w:pStyle w:val="Tabletext"/>
              <w:jc w:val="right"/>
            </w:pPr>
            <w:r w:rsidRPr="00176D37">
              <w:t>-</w:t>
            </w:r>
          </w:p>
        </w:tc>
        <w:tc>
          <w:tcPr>
            <w:tcW w:w="1390" w:type="dxa"/>
          </w:tcPr>
          <w:p w14:paraId="1AC6F683" w14:textId="77777777" w:rsidR="00E9700E" w:rsidRPr="00176D37" w:rsidRDefault="00E9700E" w:rsidP="009742AB">
            <w:pPr>
              <w:pStyle w:val="Tabletext"/>
              <w:jc w:val="right"/>
            </w:pPr>
            <w:r w:rsidRPr="00176D37">
              <w:t>5 (42%)</w:t>
            </w:r>
          </w:p>
        </w:tc>
        <w:tc>
          <w:tcPr>
            <w:tcW w:w="1343" w:type="dxa"/>
          </w:tcPr>
          <w:p w14:paraId="5DEBADAB" w14:textId="77777777" w:rsidR="00E9700E" w:rsidRPr="00176D37" w:rsidRDefault="00E9700E" w:rsidP="009742AB">
            <w:pPr>
              <w:pStyle w:val="Tabletext"/>
              <w:jc w:val="right"/>
            </w:pPr>
            <w:r w:rsidRPr="00176D37">
              <w:t>5 (42%)</w:t>
            </w:r>
          </w:p>
        </w:tc>
        <w:tc>
          <w:tcPr>
            <w:tcW w:w="1115" w:type="dxa"/>
          </w:tcPr>
          <w:p w14:paraId="35726E29" w14:textId="77777777" w:rsidR="00E9700E" w:rsidRPr="00176D37" w:rsidRDefault="00E9700E" w:rsidP="009742AB">
            <w:pPr>
              <w:pStyle w:val="Tabletext"/>
              <w:jc w:val="right"/>
            </w:pPr>
            <w:r w:rsidRPr="00176D37">
              <w:t>2 (17%)</w:t>
            </w:r>
          </w:p>
        </w:tc>
      </w:tr>
      <w:tr w:rsidR="00E9700E" w:rsidRPr="00176D37" w14:paraId="2112A008" w14:textId="77777777" w:rsidTr="005F6CBF">
        <w:tc>
          <w:tcPr>
            <w:tcW w:w="2812" w:type="dxa"/>
          </w:tcPr>
          <w:p w14:paraId="45397455" w14:textId="77777777" w:rsidR="00E9700E" w:rsidRPr="00176D37" w:rsidRDefault="00E9700E" w:rsidP="00E2470C">
            <w:pPr>
              <w:pStyle w:val="Tabletext"/>
            </w:pPr>
            <w:r w:rsidRPr="00176D37">
              <w:t>Difficulty in scanning either patient ID band or blood/blood product due to Wi-Fi issues</w:t>
            </w:r>
          </w:p>
        </w:tc>
        <w:tc>
          <w:tcPr>
            <w:tcW w:w="1345" w:type="dxa"/>
          </w:tcPr>
          <w:p w14:paraId="4830C403" w14:textId="77777777" w:rsidR="00E9700E" w:rsidRPr="00176D37" w:rsidRDefault="00E9700E" w:rsidP="009742AB">
            <w:pPr>
              <w:pStyle w:val="Tabletext"/>
              <w:jc w:val="right"/>
            </w:pPr>
            <w:r w:rsidRPr="00176D37">
              <w:t>-</w:t>
            </w:r>
          </w:p>
        </w:tc>
        <w:tc>
          <w:tcPr>
            <w:tcW w:w="1346" w:type="dxa"/>
          </w:tcPr>
          <w:p w14:paraId="11DC7D7C" w14:textId="77777777" w:rsidR="00E9700E" w:rsidRPr="00176D37" w:rsidRDefault="00E9700E" w:rsidP="009742AB">
            <w:pPr>
              <w:pStyle w:val="Tabletext"/>
              <w:jc w:val="right"/>
            </w:pPr>
            <w:r w:rsidRPr="00176D37">
              <w:t>-</w:t>
            </w:r>
          </w:p>
        </w:tc>
        <w:tc>
          <w:tcPr>
            <w:tcW w:w="1390" w:type="dxa"/>
          </w:tcPr>
          <w:p w14:paraId="52C6C215" w14:textId="77777777" w:rsidR="00E9700E" w:rsidRPr="00176D37" w:rsidRDefault="00E9700E" w:rsidP="009742AB">
            <w:pPr>
              <w:pStyle w:val="Tabletext"/>
              <w:jc w:val="right"/>
            </w:pPr>
            <w:r w:rsidRPr="00176D37">
              <w:t>5 (42%)</w:t>
            </w:r>
          </w:p>
        </w:tc>
        <w:tc>
          <w:tcPr>
            <w:tcW w:w="1343" w:type="dxa"/>
          </w:tcPr>
          <w:p w14:paraId="2E1076C6" w14:textId="77777777" w:rsidR="00E9700E" w:rsidRPr="00176D37" w:rsidRDefault="00E9700E" w:rsidP="009742AB">
            <w:pPr>
              <w:pStyle w:val="Tabletext"/>
              <w:jc w:val="right"/>
            </w:pPr>
            <w:r w:rsidRPr="00176D37">
              <w:t>6 (50%)</w:t>
            </w:r>
          </w:p>
        </w:tc>
        <w:tc>
          <w:tcPr>
            <w:tcW w:w="1115" w:type="dxa"/>
          </w:tcPr>
          <w:p w14:paraId="48A946EC" w14:textId="77777777" w:rsidR="00E9700E" w:rsidRPr="00176D37" w:rsidRDefault="00E9700E" w:rsidP="009742AB">
            <w:pPr>
              <w:pStyle w:val="Tabletext"/>
              <w:jc w:val="right"/>
            </w:pPr>
            <w:r w:rsidRPr="00176D37">
              <w:t>1 (8%)</w:t>
            </w:r>
          </w:p>
        </w:tc>
      </w:tr>
      <w:tr w:rsidR="00E9700E" w:rsidRPr="00176D37" w14:paraId="61D16CEA" w14:textId="77777777" w:rsidTr="005F6CBF">
        <w:tc>
          <w:tcPr>
            <w:tcW w:w="2812" w:type="dxa"/>
          </w:tcPr>
          <w:p w14:paraId="629213A4" w14:textId="77777777" w:rsidR="00E9700E" w:rsidRPr="00176D37" w:rsidRDefault="00E9700E" w:rsidP="00E2470C">
            <w:pPr>
              <w:pStyle w:val="Tabletext"/>
            </w:pPr>
            <w:r w:rsidRPr="00176D37">
              <w:t>Need to revert to manual checking processes for any reason</w:t>
            </w:r>
          </w:p>
        </w:tc>
        <w:tc>
          <w:tcPr>
            <w:tcW w:w="1345" w:type="dxa"/>
          </w:tcPr>
          <w:p w14:paraId="19087863" w14:textId="77777777" w:rsidR="00E9700E" w:rsidRPr="00176D37" w:rsidRDefault="00E9700E" w:rsidP="009742AB">
            <w:pPr>
              <w:pStyle w:val="Tabletext"/>
              <w:jc w:val="right"/>
            </w:pPr>
            <w:r w:rsidRPr="00176D37">
              <w:t>-</w:t>
            </w:r>
          </w:p>
        </w:tc>
        <w:tc>
          <w:tcPr>
            <w:tcW w:w="1346" w:type="dxa"/>
          </w:tcPr>
          <w:p w14:paraId="74FF2077" w14:textId="77777777" w:rsidR="00E9700E" w:rsidRPr="00176D37" w:rsidRDefault="00E9700E" w:rsidP="009742AB">
            <w:pPr>
              <w:pStyle w:val="Tabletext"/>
              <w:jc w:val="right"/>
            </w:pPr>
            <w:r w:rsidRPr="00176D37">
              <w:t>-</w:t>
            </w:r>
          </w:p>
        </w:tc>
        <w:tc>
          <w:tcPr>
            <w:tcW w:w="1390" w:type="dxa"/>
          </w:tcPr>
          <w:p w14:paraId="7A8D5F67" w14:textId="77777777" w:rsidR="00E9700E" w:rsidRPr="00176D37" w:rsidRDefault="00E9700E" w:rsidP="009742AB">
            <w:pPr>
              <w:pStyle w:val="Tabletext"/>
              <w:jc w:val="right"/>
            </w:pPr>
            <w:r w:rsidRPr="00176D37">
              <w:t>10 (83%)</w:t>
            </w:r>
          </w:p>
        </w:tc>
        <w:tc>
          <w:tcPr>
            <w:tcW w:w="1343" w:type="dxa"/>
          </w:tcPr>
          <w:p w14:paraId="1C91DB18" w14:textId="77777777" w:rsidR="00E9700E" w:rsidRPr="00176D37" w:rsidRDefault="00E9700E" w:rsidP="009742AB">
            <w:pPr>
              <w:pStyle w:val="Tabletext"/>
              <w:jc w:val="right"/>
            </w:pPr>
            <w:r w:rsidRPr="00176D37">
              <w:t>1 (8%)</w:t>
            </w:r>
          </w:p>
        </w:tc>
        <w:tc>
          <w:tcPr>
            <w:tcW w:w="1115" w:type="dxa"/>
          </w:tcPr>
          <w:p w14:paraId="228EF81E" w14:textId="77777777" w:rsidR="00E9700E" w:rsidRPr="00176D37" w:rsidRDefault="00E9700E" w:rsidP="009742AB">
            <w:pPr>
              <w:pStyle w:val="Tabletext"/>
              <w:jc w:val="right"/>
            </w:pPr>
            <w:r w:rsidRPr="00176D37">
              <w:t>1 (8%)</w:t>
            </w:r>
          </w:p>
        </w:tc>
      </w:tr>
      <w:tr w:rsidR="00E9700E" w:rsidRPr="00176D37" w14:paraId="31494CFC" w14:textId="77777777" w:rsidTr="005F6CBF">
        <w:tc>
          <w:tcPr>
            <w:tcW w:w="2812" w:type="dxa"/>
          </w:tcPr>
          <w:p w14:paraId="3A4C3AEE" w14:textId="77777777" w:rsidR="00E9700E" w:rsidRPr="00176D37" w:rsidRDefault="00E9700E" w:rsidP="00E2470C">
            <w:pPr>
              <w:pStyle w:val="Tabletext"/>
            </w:pPr>
            <w:r w:rsidRPr="00176D37">
              <w:t>Other</w:t>
            </w:r>
          </w:p>
        </w:tc>
        <w:tc>
          <w:tcPr>
            <w:tcW w:w="1345" w:type="dxa"/>
          </w:tcPr>
          <w:p w14:paraId="197D81D9" w14:textId="77777777" w:rsidR="00E9700E" w:rsidRPr="00176D37" w:rsidRDefault="00E9700E" w:rsidP="009742AB">
            <w:pPr>
              <w:pStyle w:val="Tabletext"/>
              <w:jc w:val="right"/>
            </w:pPr>
            <w:r w:rsidRPr="00176D37">
              <w:t>-</w:t>
            </w:r>
          </w:p>
        </w:tc>
        <w:tc>
          <w:tcPr>
            <w:tcW w:w="1346" w:type="dxa"/>
          </w:tcPr>
          <w:p w14:paraId="7EEB1CF2" w14:textId="77777777" w:rsidR="00E9700E" w:rsidRPr="00176D37" w:rsidRDefault="00E9700E" w:rsidP="009742AB">
            <w:pPr>
              <w:pStyle w:val="Tabletext"/>
              <w:jc w:val="right"/>
            </w:pPr>
            <w:r w:rsidRPr="00176D37">
              <w:t>-</w:t>
            </w:r>
          </w:p>
        </w:tc>
        <w:tc>
          <w:tcPr>
            <w:tcW w:w="1390" w:type="dxa"/>
          </w:tcPr>
          <w:p w14:paraId="1CC27C2F" w14:textId="77777777" w:rsidR="00E9700E" w:rsidRPr="00176D37" w:rsidRDefault="00E9700E" w:rsidP="009742AB">
            <w:pPr>
              <w:pStyle w:val="Tabletext"/>
              <w:jc w:val="right"/>
            </w:pPr>
            <w:r w:rsidRPr="00176D37">
              <w:t>2 (17%)</w:t>
            </w:r>
          </w:p>
        </w:tc>
        <w:tc>
          <w:tcPr>
            <w:tcW w:w="1343" w:type="dxa"/>
          </w:tcPr>
          <w:p w14:paraId="6C22CBBF" w14:textId="77777777" w:rsidR="00E9700E" w:rsidRPr="00176D37" w:rsidRDefault="00E9700E" w:rsidP="009742AB">
            <w:pPr>
              <w:pStyle w:val="Tabletext"/>
              <w:jc w:val="right"/>
            </w:pPr>
            <w:r w:rsidRPr="00176D37">
              <w:t>-</w:t>
            </w:r>
          </w:p>
        </w:tc>
        <w:tc>
          <w:tcPr>
            <w:tcW w:w="1115" w:type="dxa"/>
          </w:tcPr>
          <w:p w14:paraId="0DEF52D4" w14:textId="77777777" w:rsidR="00E9700E" w:rsidRPr="00176D37" w:rsidRDefault="00E9700E" w:rsidP="009742AB">
            <w:pPr>
              <w:pStyle w:val="Tabletext"/>
              <w:jc w:val="right"/>
            </w:pPr>
            <w:r w:rsidRPr="00176D37">
              <w:t>10 (83%)</w:t>
            </w:r>
          </w:p>
        </w:tc>
      </w:tr>
    </w:tbl>
    <w:p w14:paraId="641B1B56" w14:textId="77777777" w:rsidR="00E9700E" w:rsidRPr="00176D37" w:rsidRDefault="00E9700E" w:rsidP="009742AB">
      <w:pPr>
        <w:pStyle w:val="Bodyaftertablefigure"/>
      </w:pPr>
      <w:r w:rsidRPr="00176D37">
        <w:t xml:space="preserve">Other problems reported </w:t>
      </w:r>
      <w:r w:rsidRPr="00D33D62">
        <w:t>included</w:t>
      </w:r>
      <w:r w:rsidRPr="00176D37">
        <w:t xml:space="preserve">: </w:t>
      </w:r>
    </w:p>
    <w:p w14:paraId="7EF4B07E" w14:textId="40726EF3" w:rsidR="00E9700E" w:rsidRPr="00176D37" w:rsidRDefault="00D33D62" w:rsidP="00E2470C">
      <w:pPr>
        <w:pStyle w:val="Bullet1"/>
      </w:pPr>
      <w:r>
        <w:t>o</w:t>
      </w:r>
      <w:r w:rsidRPr="00176D37">
        <w:t xml:space="preserve">ccasional </w:t>
      </w:r>
      <w:r w:rsidR="00E9700E" w:rsidRPr="00176D37">
        <w:t xml:space="preserve">issues where scanning has failed due to the LIS/EMR interface </w:t>
      </w:r>
    </w:p>
    <w:p w14:paraId="0C23D474" w14:textId="011726A4" w:rsidR="00E9700E" w:rsidRPr="00176D37" w:rsidRDefault="00D33D62" w:rsidP="00E2470C">
      <w:pPr>
        <w:pStyle w:val="Bullet1"/>
      </w:pPr>
      <w:r>
        <w:t>s</w:t>
      </w:r>
      <w:r w:rsidRPr="00176D37">
        <w:t xml:space="preserve">taff </w:t>
      </w:r>
      <w:r w:rsidR="00E9700E" w:rsidRPr="00176D37">
        <w:t>reluctance to submit an ICT request when scanners need recalibration</w:t>
      </w:r>
      <w:r>
        <w:t>.</w:t>
      </w:r>
      <w:r w:rsidR="00E9700E" w:rsidRPr="00176D37">
        <w:t xml:space="preserve"> </w:t>
      </w:r>
    </w:p>
    <w:p w14:paraId="559A1139" w14:textId="76416514" w:rsidR="00E9700E" w:rsidRPr="00176D37" w:rsidRDefault="00E9700E" w:rsidP="009742AB">
      <w:pPr>
        <w:pStyle w:val="Bodyafterbullets"/>
      </w:pPr>
      <w:r w:rsidRPr="00176D37">
        <w:lastRenderedPageBreak/>
        <w:t xml:space="preserve">Barcode scanning on units was one of the major challenges </w:t>
      </w:r>
      <w:r w:rsidRPr="00D33D62">
        <w:t>highlighted</w:t>
      </w:r>
      <w:r w:rsidRPr="00176D37">
        <w:t xml:space="preserve"> by Verrall </w:t>
      </w:r>
      <w:r w:rsidR="00D33D62">
        <w:t>(</w:t>
      </w:r>
      <w:r w:rsidRPr="00176D37">
        <w:t>2019</w:t>
      </w:r>
      <w:r w:rsidR="00D33D62">
        <w:t>)</w:t>
      </w:r>
      <w:r w:rsidRPr="00176D37">
        <w:t>. The number and proximity of barcodes on a unit make it difficult to scan the correct barcode. If the EMR locks the user out after multiple incorrect attempts</w:t>
      </w:r>
      <w:r w:rsidR="00CD18A4">
        <w:t>,</w:t>
      </w:r>
      <w:r w:rsidRPr="00176D37">
        <w:t xml:space="preserve"> this could delay the transfusion. This may result in product waste due to non-compliant storage</w:t>
      </w:r>
      <w:r w:rsidR="00CD18A4" w:rsidRPr="00176D37">
        <w:rPr>
          <w:noProof/>
        </w:rPr>
        <w:t xml:space="preserve"> (Verrall 2019)</w:t>
      </w:r>
      <w:r w:rsidRPr="00176D37">
        <w:t xml:space="preserve">. </w:t>
      </w:r>
    </w:p>
    <w:p w14:paraId="1293A28F" w14:textId="49B4F44E" w:rsidR="00E9700E" w:rsidRPr="00176D37" w:rsidRDefault="00E9700E" w:rsidP="00E2470C">
      <w:pPr>
        <w:pStyle w:val="Body"/>
      </w:pPr>
      <w:r w:rsidRPr="00176D37">
        <w:t xml:space="preserve">This frustration has been captured by one respondent who stated that they </w:t>
      </w:r>
      <w:r w:rsidR="00CD18A4">
        <w:t>‘</w:t>
      </w:r>
      <w:r w:rsidRPr="00176D37">
        <w:t>usually</w:t>
      </w:r>
      <w:r w:rsidR="00CD18A4">
        <w:t>’</w:t>
      </w:r>
      <w:r w:rsidR="00CD18A4" w:rsidRPr="00176D37">
        <w:t xml:space="preserve"> </w:t>
      </w:r>
      <w:r w:rsidRPr="00176D37">
        <w:t>had errors scanning the blood product during administration.</w:t>
      </w:r>
    </w:p>
    <w:p w14:paraId="44CFFC2D" w14:textId="6C57E065" w:rsidR="00E9700E" w:rsidRPr="00176D37" w:rsidRDefault="00E9700E" w:rsidP="00E2470C">
      <w:pPr>
        <w:pStyle w:val="Body"/>
      </w:pPr>
      <w:r w:rsidRPr="00176D37">
        <w:t>Most EMRs do not detect if blood is issued with the wrong compatibility label (</w:t>
      </w:r>
      <w:r w:rsidR="00CD18A4">
        <w:t>for example,</w:t>
      </w:r>
      <w:r w:rsidRPr="00176D37">
        <w:t xml:space="preserve"> patient’s blood group is not compatible with the donor’s blood group). Nor may it detect if blood or crossmatch has expired, or if it was issued without necessary special requirements </w:t>
      </w:r>
      <w:r w:rsidR="00CD18A4" w:rsidRPr="00176D37">
        <w:rPr>
          <w:noProof/>
        </w:rPr>
        <w:t>(Verrall 2019)</w:t>
      </w:r>
      <w:r w:rsidRPr="00176D37">
        <w:t xml:space="preserve">. </w:t>
      </w:r>
    </w:p>
    <w:p w14:paraId="7A0A14F9" w14:textId="49CAFF66" w:rsidR="00E9700E" w:rsidRPr="00176D37" w:rsidRDefault="00CD18A4" w:rsidP="00E2470C">
      <w:pPr>
        <w:pStyle w:val="Body"/>
      </w:pPr>
      <w:r>
        <w:t>S</w:t>
      </w:r>
      <w:r w:rsidR="00E9700E" w:rsidRPr="00176D37">
        <w:t xml:space="preserve">taff involved in checking blood </w:t>
      </w:r>
      <w:r>
        <w:t>should not</w:t>
      </w:r>
      <w:r w:rsidR="00E9700E" w:rsidRPr="00176D37">
        <w:t xml:space="preserve"> </w:t>
      </w:r>
      <w:r>
        <w:t>rely</w:t>
      </w:r>
      <w:r w:rsidRPr="00176D37">
        <w:t xml:space="preserve"> </w:t>
      </w:r>
      <w:r w:rsidR="00E9700E" w:rsidRPr="00176D37">
        <w:t xml:space="preserve">on barcode scanning and </w:t>
      </w:r>
      <w:r>
        <w:t xml:space="preserve">should </w:t>
      </w:r>
      <w:r w:rsidR="00E9700E" w:rsidRPr="00176D37">
        <w:t xml:space="preserve">understand its limitations without gaining a false sense of security. They must still fulfil the safety requirements of the pre-transfusion patient and product checks. The ANZSBT </w:t>
      </w:r>
      <w:r w:rsidR="00E9700E" w:rsidRPr="00176D37">
        <w:rPr>
          <w:i/>
          <w:iCs/>
        </w:rPr>
        <w:t>Guidelines for the implementation and use of electronic medical records</w:t>
      </w:r>
      <w:r w:rsidR="00E9700E" w:rsidRPr="00176D37">
        <w:t xml:space="preserve"> fo</w:t>
      </w:r>
      <w:r w:rsidR="00E9700E" w:rsidRPr="00176D37">
        <w:rPr>
          <w:i/>
          <w:iCs/>
        </w:rPr>
        <w:t>r transfusion</w:t>
      </w:r>
      <w:r w:rsidR="00E9700E" w:rsidRPr="00176D37">
        <w:t xml:space="preserve"> state that product labels must always have written ID in addition to machine-readable ID </w:t>
      </w:r>
      <w:r w:rsidRPr="00176D37">
        <w:rPr>
          <w:noProof/>
        </w:rPr>
        <w:t>(ANZSBT 2021)</w:t>
      </w:r>
      <w:r w:rsidR="00E9700E" w:rsidRPr="00176D37">
        <w:t>.</w:t>
      </w:r>
    </w:p>
    <w:p w14:paraId="6B54F1D9" w14:textId="6C084222" w:rsidR="00CD18A4" w:rsidRDefault="00E9700E" w:rsidP="00E2470C">
      <w:pPr>
        <w:pStyle w:val="Body"/>
      </w:pPr>
      <w:r w:rsidRPr="00176D37">
        <w:t xml:space="preserve">Where the EMR is interfaced with the laboratory information system (LIS), use of single operator ID for transfusion could be used. These requirements are found in the ANZSBT </w:t>
      </w:r>
      <w:r w:rsidRPr="00176D37">
        <w:rPr>
          <w:i/>
          <w:iCs/>
        </w:rPr>
        <w:t xml:space="preserve">Guidelines for </w:t>
      </w:r>
      <w:r w:rsidR="00CD18A4" w:rsidRPr="00176D37">
        <w:rPr>
          <w:i/>
          <w:iCs/>
        </w:rPr>
        <w:t>transfusion and immunohaematology laboratory practice</w:t>
      </w:r>
      <w:r w:rsidR="00CD18A4" w:rsidRPr="00176D37">
        <w:t xml:space="preserve"> </w:t>
      </w:r>
      <w:r w:rsidR="00CD18A4" w:rsidRPr="00176D37">
        <w:rPr>
          <w:noProof/>
        </w:rPr>
        <w:t>(ANZSBT 2020)</w:t>
      </w:r>
      <w:r w:rsidRPr="00176D37">
        <w:t xml:space="preserve"> and </w:t>
      </w:r>
      <w:r w:rsidRPr="00176D37">
        <w:rPr>
          <w:i/>
          <w:iCs/>
        </w:rPr>
        <w:t xml:space="preserve">Guidelines for the </w:t>
      </w:r>
      <w:r w:rsidR="00CD18A4" w:rsidRPr="00176D37">
        <w:rPr>
          <w:i/>
          <w:iCs/>
        </w:rPr>
        <w:t>administration of blood products</w:t>
      </w:r>
      <w:r w:rsidR="00CD18A4" w:rsidRPr="00176D37">
        <w:t xml:space="preserve"> </w:t>
      </w:r>
      <w:r w:rsidR="00CD18A4" w:rsidRPr="00176D37">
        <w:rPr>
          <w:noProof/>
        </w:rPr>
        <w:t>(ANZSBT 2019)</w:t>
      </w:r>
      <w:r w:rsidRPr="00176D37">
        <w:t xml:space="preserve">. </w:t>
      </w:r>
    </w:p>
    <w:p w14:paraId="6FD3915C" w14:textId="7A2B96FB" w:rsidR="00E9700E" w:rsidRPr="00176D37" w:rsidRDefault="00E9700E" w:rsidP="00E2470C">
      <w:pPr>
        <w:pStyle w:val="Body"/>
      </w:pPr>
      <w:r w:rsidRPr="00176D37">
        <w:t>We are not aware of any health services using an EMR for single</w:t>
      </w:r>
      <w:r w:rsidR="00B4635A">
        <w:t xml:space="preserve"> </w:t>
      </w:r>
      <w:r w:rsidRPr="00176D37">
        <w:t>operator checking,</w:t>
      </w:r>
      <w:r w:rsidR="00CD18A4">
        <w:t xml:space="preserve"> and</w:t>
      </w:r>
      <w:r w:rsidRPr="00176D37">
        <w:t xml:space="preserve"> specific questions on these topics were not included in the survey.</w:t>
      </w:r>
    </w:p>
    <w:p w14:paraId="227C6ED5" w14:textId="0E1EBE40" w:rsidR="00E9700E" w:rsidRPr="00E93EF1" w:rsidRDefault="00E9700E" w:rsidP="00F62261">
      <w:pPr>
        <w:pStyle w:val="Heading2"/>
        <w:numPr>
          <w:ilvl w:val="0"/>
          <w:numId w:val="39"/>
        </w:numPr>
        <w:ind w:left="426" w:hanging="426"/>
      </w:pPr>
      <w:bookmarkStart w:id="175" w:name="_Toc94713248"/>
      <w:bookmarkStart w:id="176" w:name="_Toc94785338"/>
      <w:bookmarkStart w:id="177" w:name="_Toc94785509"/>
      <w:bookmarkStart w:id="178" w:name="_Toc94785617"/>
      <w:bookmarkStart w:id="179" w:name="_Toc94785731"/>
      <w:bookmarkStart w:id="180" w:name="_Toc94713249"/>
      <w:bookmarkStart w:id="181" w:name="_Toc94785339"/>
      <w:bookmarkStart w:id="182" w:name="_Toc94785510"/>
      <w:bookmarkStart w:id="183" w:name="_Toc94785618"/>
      <w:bookmarkStart w:id="184" w:name="_Toc94785732"/>
      <w:bookmarkStart w:id="185" w:name="_Toc94713250"/>
      <w:bookmarkStart w:id="186" w:name="_Toc94785340"/>
      <w:bookmarkStart w:id="187" w:name="_Toc94785511"/>
      <w:bookmarkStart w:id="188" w:name="_Toc94785619"/>
      <w:bookmarkStart w:id="189" w:name="_Toc94785733"/>
      <w:bookmarkStart w:id="190" w:name="_Toc94713251"/>
      <w:bookmarkStart w:id="191" w:name="_Toc94785341"/>
      <w:bookmarkStart w:id="192" w:name="_Toc94785512"/>
      <w:bookmarkStart w:id="193" w:name="_Toc94785620"/>
      <w:bookmarkStart w:id="194" w:name="_Toc94785734"/>
      <w:bookmarkStart w:id="195" w:name="_Toc94713252"/>
      <w:bookmarkStart w:id="196" w:name="_Toc94785342"/>
      <w:bookmarkStart w:id="197" w:name="_Toc94785513"/>
      <w:bookmarkStart w:id="198" w:name="_Toc94785621"/>
      <w:bookmarkStart w:id="199" w:name="_Toc94785735"/>
      <w:bookmarkStart w:id="200" w:name="_Toc94713253"/>
      <w:bookmarkStart w:id="201" w:name="_Toc94785343"/>
      <w:bookmarkStart w:id="202" w:name="_Toc94785514"/>
      <w:bookmarkStart w:id="203" w:name="_Toc94785622"/>
      <w:bookmarkStart w:id="204" w:name="_Toc94785736"/>
      <w:bookmarkStart w:id="205" w:name="_Toc94713254"/>
      <w:bookmarkStart w:id="206" w:name="_Toc94785344"/>
      <w:bookmarkStart w:id="207" w:name="_Toc94785515"/>
      <w:bookmarkStart w:id="208" w:name="_Toc94785623"/>
      <w:bookmarkStart w:id="209" w:name="_Toc94785737"/>
      <w:bookmarkStart w:id="210" w:name="_Toc94713255"/>
      <w:bookmarkStart w:id="211" w:name="_Toc94785345"/>
      <w:bookmarkStart w:id="212" w:name="_Toc94785516"/>
      <w:bookmarkStart w:id="213" w:name="_Toc94785624"/>
      <w:bookmarkStart w:id="214" w:name="_Toc94785738"/>
      <w:bookmarkStart w:id="215" w:name="_Toc94713256"/>
      <w:bookmarkStart w:id="216" w:name="_Toc94785346"/>
      <w:bookmarkStart w:id="217" w:name="_Toc94785517"/>
      <w:bookmarkStart w:id="218" w:name="_Toc94785625"/>
      <w:bookmarkStart w:id="219" w:name="_Toc94785739"/>
      <w:bookmarkStart w:id="220" w:name="_Toc94713257"/>
      <w:bookmarkStart w:id="221" w:name="_Toc94785347"/>
      <w:bookmarkStart w:id="222" w:name="_Toc94785518"/>
      <w:bookmarkStart w:id="223" w:name="_Toc94785626"/>
      <w:bookmarkStart w:id="224" w:name="_Toc94785740"/>
      <w:bookmarkStart w:id="225" w:name="_Toc94713258"/>
      <w:bookmarkStart w:id="226" w:name="_Toc94785348"/>
      <w:bookmarkStart w:id="227" w:name="_Toc94785519"/>
      <w:bookmarkStart w:id="228" w:name="_Toc94785627"/>
      <w:bookmarkStart w:id="229" w:name="_Toc94785741"/>
      <w:bookmarkStart w:id="230" w:name="_Toc94713259"/>
      <w:bookmarkStart w:id="231" w:name="_Toc94785349"/>
      <w:bookmarkStart w:id="232" w:name="_Toc94785520"/>
      <w:bookmarkStart w:id="233" w:name="_Toc94785628"/>
      <w:bookmarkStart w:id="234" w:name="_Toc94785742"/>
      <w:bookmarkStart w:id="235" w:name="_Toc94713260"/>
      <w:bookmarkStart w:id="236" w:name="_Toc94785350"/>
      <w:bookmarkStart w:id="237" w:name="_Toc94785521"/>
      <w:bookmarkStart w:id="238" w:name="_Toc94785629"/>
      <w:bookmarkStart w:id="239" w:name="_Toc94785743"/>
      <w:bookmarkStart w:id="240" w:name="_Toc94713261"/>
      <w:bookmarkStart w:id="241" w:name="_Toc94785351"/>
      <w:bookmarkStart w:id="242" w:name="_Toc94785522"/>
      <w:bookmarkStart w:id="243" w:name="_Toc94785630"/>
      <w:bookmarkStart w:id="244" w:name="_Toc94785744"/>
      <w:bookmarkStart w:id="245" w:name="_Toc94713262"/>
      <w:bookmarkStart w:id="246" w:name="_Toc94785352"/>
      <w:bookmarkStart w:id="247" w:name="_Toc94785523"/>
      <w:bookmarkStart w:id="248" w:name="_Toc94785631"/>
      <w:bookmarkStart w:id="249" w:name="_Toc94785745"/>
      <w:bookmarkStart w:id="250" w:name="_Toc94713263"/>
      <w:bookmarkStart w:id="251" w:name="_Toc94785353"/>
      <w:bookmarkStart w:id="252" w:name="_Toc94785524"/>
      <w:bookmarkStart w:id="253" w:name="_Toc94785632"/>
      <w:bookmarkStart w:id="254" w:name="_Toc94785746"/>
      <w:bookmarkStart w:id="255" w:name="_Toc94713264"/>
      <w:bookmarkStart w:id="256" w:name="_Toc94785354"/>
      <w:bookmarkStart w:id="257" w:name="_Toc94785525"/>
      <w:bookmarkStart w:id="258" w:name="_Toc94785633"/>
      <w:bookmarkStart w:id="259" w:name="_Toc94785747"/>
      <w:bookmarkStart w:id="260" w:name="_Toc94713265"/>
      <w:bookmarkStart w:id="261" w:name="_Toc94785355"/>
      <w:bookmarkStart w:id="262" w:name="_Toc94785526"/>
      <w:bookmarkStart w:id="263" w:name="_Toc94785634"/>
      <w:bookmarkStart w:id="264" w:name="_Toc94785748"/>
      <w:bookmarkStart w:id="265" w:name="_Toc94713266"/>
      <w:bookmarkStart w:id="266" w:name="_Toc94785356"/>
      <w:bookmarkStart w:id="267" w:name="_Toc94785527"/>
      <w:bookmarkStart w:id="268" w:name="_Toc94785635"/>
      <w:bookmarkStart w:id="269" w:name="_Toc94785749"/>
      <w:bookmarkStart w:id="270" w:name="_Toc94713267"/>
      <w:bookmarkStart w:id="271" w:name="_Toc94785357"/>
      <w:bookmarkStart w:id="272" w:name="_Toc94785528"/>
      <w:bookmarkStart w:id="273" w:name="_Toc94785636"/>
      <w:bookmarkStart w:id="274" w:name="_Toc94785750"/>
      <w:bookmarkStart w:id="275" w:name="_Toc94713268"/>
      <w:bookmarkStart w:id="276" w:name="_Toc94785358"/>
      <w:bookmarkStart w:id="277" w:name="_Toc94785529"/>
      <w:bookmarkStart w:id="278" w:name="_Toc94785637"/>
      <w:bookmarkStart w:id="279" w:name="_Toc94785751"/>
      <w:bookmarkStart w:id="280" w:name="_Toc94713269"/>
      <w:bookmarkStart w:id="281" w:name="_Toc94785359"/>
      <w:bookmarkStart w:id="282" w:name="_Toc94785530"/>
      <w:bookmarkStart w:id="283" w:name="_Toc94785638"/>
      <w:bookmarkStart w:id="284" w:name="_Toc94785752"/>
      <w:bookmarkStart w:id="285" w:name="_Toc94713270"/>
      <w:bookmarkStart w:id="286" w:name="_Toc94785360"/>
      <w:bookmarkStart w:id="287" w:name="_Toc94785531"/>
      <w:bookmarkStart w:id="288" w:name="_Toc94785639"/>
      <w:bookmarkStart w:id="289" w:name="_Toc94785753"/>
      <w:bookmarkStart w:id="290" w:name="_Toc94713271"/>
      <w:bookmarkStart w:id="291" w:name="_Toc94785361"/>
      <w:bookmarkStart w:id="292" w:name="_Toc94785532"/>
      <w:bookmarkStart w:id="293" w:name="_Toc94785640"/>
      <w:bookmarkStart w:id="294" w:name="_Toc94785754"/>
      <w:bookmarkStart w:id="295" w:name="_Toc94713272"/>
      <w:bookmarkStart w:id="296" w:name="_Toc94785362"/>
      <w:bookmarkStart w:id="297" w:name="_Toc94785533"/>
      <w:bookmarkStart w:id="298" w:name="_Toc94785641"/>
      <w:bookmarkStart w:id="299" w:name="_Toc94785755"/>
      <w:bookmarkStart w:id="300" w:name="_Toc94713273"/>
      <w:bookmarkStart w:id="301" w:name="_Toc94785363"/>
      <w:bookmarkStart w:id="302" w:name="_Toc94785534"/>
      <w:bookmarkStart w:id="303" w:name="_Toc94785642"/>
      <w:bookmarkStart w:id="304" w:name="_Toc94785756"/>
      <w:bookmarkStart w:id="305" w:name="_Toc94713274"/>
      <w:bookmarkStart w:id="306" w:name="_Toc94785364"/>
      <w:bookmarkStart w:id="307" w:name="_Toc94785535"/>
      <w:bookmarkStart w:id="308" w:name="_Toc94785643"/>
      <w:bookmarkStart w:id="309" w:name="_Toc94785757"/>
      <w:bookmarkStart w:id="310" w:name="_Toc94713275"/>
      <w:bookmarkStart w:id="311" w:name="_Toc94785365"/>
      <w:bookmarkStart w:id="312" w:name="_Toc94785536"/>
      <w:bookmarkStart w:id="313" w:name="_Toc94785644"/>
      <w:bookmarkStart w:id="314" w:name="_Toc94785758"/>
      <w:bookmarkStart w:id="315" w:name="_Toc94713276"/>
      <w:bookmarkStart w:id="316" w:name="_Toc94785366"/>
      <w:bookmarkStart w:id="317" w:name="_Toc94785537"/>
      <w:bookmarkStart w:id="318" w:name="_Toc94785645"/>
      <w:bookmarkStart w:id="319" w:name="_Toc94785759"/>
      <w:bookmarkStart w:id="320" w:name="_Toc94713277"/>
      <w:bookmarkStart w:id="321" w:name="_Toc94785367"/>
      <w:bookmarkStart w:id="322" w:name="_Toc94785538"/>
      <w:bookmarkStart w:id="323" w:name="_Toc94785646"/>
      <w:bookmarkStart w:id="324" w:name="_Toc94785760"/>
      <w:bookmarkStart w:id="325" w:name="_Toc101285698"/>
      <w:bookmarkStart w:id="326" w:name="_Toc101947720"/>
      <w:bookmarkStart w:id="327" w:name="_Toc104975933"/>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E93EF1">
        <w:t>Adverse reactions</w:t>
      </w:r>
      <w:bookmarkEnd w:id="325"/>
      <w:bookmarkEnd w:id="326"/>
      <w:bookmarkEnd w:id="327"/>
    </w:p>
    <w:p w14:paraId="1AB4B753" w14:textId="0FE61CCF" w:rsidR="00E9700E" w:rsidRPr="00176D37" w:rsidRDefault="00E9700E" w:rsidP="00E93EF1">
      <w:pPr>
        <w:pStyle w:val="Body"/>
      </w:pPr>
      <w:r w:rsidRPr="00176D37">
        <w:t xml:space="preserve">The ANZSBT </w:t>
      </w:r>
      <w:r w:rsidRPr="00176D37">
        <w:rPr>
          <w:i/>
        </w:rPr>
        <w:t xml:space="preserve">Guidelines for </w:t>
      </w:r>
      <w:r w:rsidR="00CD18A4" w:rsidRPr="00176D37">
        <w:rPr>
          <w:i/>
        </w:rPr>
        <w:t>the implementation and use of electronic medical records for transfusion</w:t>
      </w:r>
      <w:r w:rsidRPr="00176D37">
        <w:t xml:space="preserve"> state that the EMR should record any adverse transfusion reactions that occur. If there is a potential risk or requirement to modify future transfusions, appropriate warnings should be recorded in the EMR. </w:t>
      </w:r>
    </w:p>
    <w:p w14:paraId="21E9ABBE" w14:textId="1E3A4CB5" w:rsidR="00E9700E" w:rsidRPr="00176D37" w:rsidRDefault="00E9700E" w:rsidP="00E93EF1">
      <w:pPr>
        <w:pStyle w:val="Body"/>
      </w:pPr>
      <w:r w:rsidRPr="00176D37">
        <w:t xml:space="preserve">If the EMR played a role in an adverse event, including human interactions such as work arounds or overrides, this should be captured to determine if system improvements are required </w:t>
      </w:r>
      <w:r w:rsidR="00CD18A4" w:rsidRPr="00176D37">
        <w:rPr>
          <w:noProof/>
        </w:rPr>
        <w:t>(ANZSBT 2021)</w:t>
      </w:r>
      <w:r w:rsidRPr="00176D37">
        <w:t>. The Victorian Serious Transfusion Incident Reporting (STIR) system includes such a category.</w:t>
      </w:r>
    </w:p>
    <w:p w14:paraId="1C6E6188" w14:textId="1BD9F880" w:rsidR="00E9700E" w:rsidRPr="00176D37" w:rsidRDefault="00E9700E" w:rsidP="00E93EF1">
      <w:pPr>
        <w:pStyle w:val="Body"/>
      </w:pPr>
      <w:r w:rsidRPr="00176D37">
        <w:t>Development of algorithms to aid the diagnosis of transfusion</w:t>
      </w:r>
      <w:r w:rsidR="00B4635A">
        <w:t>-</w:t>
      </w:r>
      <w:r w:rsidRPr="00176D37">
        <w:t xml:space="preserve">related complications is possible when using an EMR </w:t>
      </w:r>
      <w:r w:rsidR="00CD18A4" w:rsidRPr="00176D37">
        <w:rPr>
          <w:noProof/>
        </w:rPr>
        <w:t>(Pendry 2015)</w:t>
      </w:r>
      <w:r w:rsidRPr="00176D37">
        <w:t>.</w:t>
      </w:r>
    </w:p>
    <w:p w14:paraId="51A05926" w14:textId="2136608D" w:rsidR="00E9700E" w:rsidRDefault="00E9700E" w:rsidP="00E93EF1">
      <w:pPr>
        <w:pStyle w:val="Body"/>
      </w:pPr>
      <w:r w:rsidRPr="00176D37">
        <w:t>Twelve of the 20 (60 per cent) health services surveyed use the EMR to document transfusion reactions, although the extent of support the EMR provides was not explored. Two of these health services have EMR integrated with incident reporting systems (</w:t>
      </w:r>
      <w:r w:rsidRPr="00176D37">
        <w:fldChar w:fldCharType="begin"/>
      </w:r>
      <w:r w:rsidRPr="00176D37">
        <w:instrText xml:space="preserve"> REF _Ref100678579 \h </w:instrText>
      </w:r>
      <w:r>
        <w:instrText xml:space="preserve"> \* MERGEFORMAT </w:instrText>
      </w:r>
      <w:r w:rsidRPr="00176D37">
        <w:fldChar w:fldCharType="separate"/>
      </w:r>
      <w:r w:rsidR="00E73E2F" w:rsidRPr="00176D37">
        <w:t xml:space="preserve">Table </w:t>
      </w:r>
      <w:r w:rsidR="00E73E2F">
        <w:rPr>
          <w:noProof/>
        </w:rPr>
        <w:t>6</w:t>
      </w:r>
      <w:r w:rsidRPr="00176D37">
        <w:fldChar w:fldCharType="end"/>
      </w:r>
      <w:r w:rsidRPr="00176D37">
        <w:t xml:space="preserve">). </w:t>
      </w:r>
    </w:p>
    <w:tbl>
      <w:tblPr>
        <w:tblStyle w:val="TableGrid"/>
        <w:tblW w:w="0" w:type="auto"/>
        <w:tblLook w:val="04A0" w:firstRow="1" w:lastRow="0" w:firstColumn="1" w:lastColumn="0" w:noHBand="0" w:noVBand="1"/>
      </w:tblPr>
      <w:tblGrid>
        <w:gridCol w:w="9288"/>
      </w:tblGrid>
      <w:tr w:rsidR="00CA0B39" w14:paraId="4E6E6B00" w14:textId="77777777" w:rsidTr="009742AB">
        <w:tc>
          <w:tcPr>
            <w:tcW w:w="9288" w:type="dxa"/>
            <w:tcBorders>
              <w:left w:val="nil"/>
              <w:right w:val="nil"/>
            </w:tcBorders>
          </w:tcPr>
          <w:p w14:paraId="0E182DF1" w14:textId="7D6ABB7C" w:rsidR="00CA0B39" w:rsidRPr="00CF46E9" w:rsidRDefault="00CA0B39" w:rsidP="009742AB">
            <w:pPr>
              <w:pStyle w:val="Quotetext"/>
            </w:pPr>
            <w:r w:rsidRPr="00CF46E9">
              <w:t xml:space="preserve">Crispin et al. (2022) </w:t>
            </w:r>
            <w:r w:rsidR="00846158" w:rsidRPr="00CF46E9">
              <w:t>state</w:t>
            </w:r>
            <w:r w:rsidRPr="00CF46E9">
              <w:t xml:space="preserve"> that adverse events are recorded in the </w:t>
            </w:r>
            <w:proofErr w:type="gramStart"/>
            <w:r w:rsidRPr="00CF46E9">
              <w:t>EMR</w:t>
            </w:r>
            <w:proofErr w:type="gramEnd"/>
            <w:r w:rsidRPr="00CF46E9">
              <w:t xml:space="preserve"> and warnings provided to clinicians where a patient has special transfusion risks.</w:t>
            </w:r>
          </w:p>
          <w:p w14:paraId="62BED7EC" w14:textId="77777777" w:rsidR="00CA0B39" w:rsidRDefault="00CA0B39" w:rsidP="00E93EF1">
            <w:pPr>
              <w:pStyle w:val="Body"/>
            </w:pPr>
          </w:p>
        </w:tc>
      </w:tr>
    </w:tbl>
    <w:p w14:paraId="1374D0B7" w14:textId="02A78A66" w:rsidR="00E9700E" w:rsidRPr="00E93EF1" w:rsidRDefault="00E9700E" w:rsidP="00E93EF1">
      <w:pPr>
        <w:pStyle w:val="Heading2"/>
      </w:pPr>
      <w:bookmarkStart w:id="328" w:name="_Toc101285699"/>
      <w:bookmarkStart w:id="329" w:name="_Toc101947721"/>
      <w:bookmarkStart w:id="330" w:name="_Toc104975934"/>
      <w:r w:rsidRPr="00E93EF1">
        <w:lastRenderedPageBreak/>
        <w:t xml:space="preserve">Blood </w:t>
      </w:r>
      <w:bookmarkEnd w:id="328"/>
      <w:bookmarkEnd w:id="329"/>
      <w:r w:rsidR="00CF46E9">
        <w:t>m</w:t>
      </w:r>
      <w:r w:rsidR="00CF46E9" w:rsidRPr="00E93EF1">
        <w:t>anagement</w:t>
      </w:r>
      <w:bookmarkEnd w:id="330"/>
    </w:p>
    <w:p w14:paraId="0377C8B0" w14:textId="77777777" w:rsidR="00E9700E" w:rsidRPr="00E93EF1" w:rsidRDefault="00E9700E" w:rsidP="009742AB">
      <w:pPr>
        <w:pStyle w:val="Heading3"/>
      </w:pPr>
      <w:bookmarkStart w:id="331" w:name="_Toc101285700"/>
      <w:bookmarkStart w:id="332" w:name="_Toc101947722"/>
      <w:r w:rsidRPr="00E93EF1">
        <w:t>Decision support functionality for patient blood management (PBM) alerts or guidance</w:t>
      </w:r>
      <w:bookmarkEnd w:id="331"/>
      <w:bookmarkEnd w:id="332"/>
    </w:p>
    <w:p w14:paraId="255AB100" w14:textId="0A464473" w:rsidR="00E9700E" w:rsidRPr="00176D37" w:rsidRDefault="00E9700E" w:rsidP="00E93EF1">
      <w:pPr>
        <w:pStyle w:val="Body"/>
      </w:pPr>
      <w:r w:rsidRPr="00176D37">
        <w:t>Decision support needs to be carefully designed as a guide to aid appropriate care</w:t>
      </w:r>
      <w:r w:rsidR="009316C1">
        <w:t>. It</w:t>
      </w:r>
      <w:r w:rsidR="009316C1" w:rsidRPr="00176D37">
        <w:t xml:space="preserve"> </w:t>
      </w:r>
      <w:r w:rsidRPr="00176D37">
        <w:t xml:space="preserve">should not allow dangerous practices, nor prohibit practices that may be appropriate under some circumstances, such as during critical bleeding </w:t>
      </w:r>
      <w:r w:rsidR="00CF46E9" w:rsidRPr="00176D37">
        <w:rPr>
          <w:noProof/>
        </w:rPr>
        <w:t>(Crispin 2022)</w:t>
      </w:r>
      <w:r w:rsidRPr="00176D37">
        <w:t>.</w:t>
      </w:r>
    </w:p>
    <w:p w14:paraId="23451528" w14:textId="57A88419" w:rsidR="00E9700E" w:rsidRPr="00176D37" w:rsidRDefault="00E9700E" w:rsidP="00E93EF1">
      <w:pPr>
        <w:pStyle w:val="Body"/>
      </w:pPr>
      <w:r w:rsidRPr="00176D37">
        <w:t>Questions relating to the availability of decision support were asked to respondents (n</w:t>
      </w:r>
      <w:r w:rsidR="00CF46E9">
        <w:t xml:space="preserve"> </w:t>
      </w:r>
      <w:r w:rsidRPr="00176D37">
        <w:t>=</w:t>
      </w:r>
      <w:r w:rsidR="00CF46E9">
        <w:t xml:space="preserve"> </w:t>
      </w:r>
      <w:r w:rsidRPr="00176D37">
        <w:t>26, from 16 health services) with clinical and blood management quality roles (</w:t>
      </w:r>
      <w:r w:rsidRPr="00176D37">
        <w:fldChar w:fldCharType="begin"/>
      </w:r>
      <w:r w:rsidRPr="00176D37">
        <w:instrText xml:space="preserve"> REF _Ref100679022 \h  \* MERGEFORMAT </w:instrText>
      </w:r>
      <w:r w:rsidRPr="00176D37">
        <w:fldChar w:fldCharType="separate"/>
      </w:r>
      <w:r w:rsidR="00E73E2F" w:rsidRPr="00176D37">
        <w:t xml:space="preserve">Table </w:t>
      </w:r>
      <w:r w:rsidR="00E73E2F">
        <w:rPr>
          <w:noProof/>
        </w:rPr>
        <w:t>34</w:t>
      </w:r>
      <w:r w:rsidRPr="00176D37">
        <w:fldChar w:fldCharType="end"/>
      </w:r>
      <w:r w:rsidRPr="00176D37">
        <w:t xml:space="preserve">). </w:t>
      </w:r>
    </w:p>
    <w:p w14:paraId="2C49764D" w14:textId="55F998A4" w:rsidR="00E9700E" w:rsidRPr="00176D37" w:rsidRDefault="00E9700E" w:rsidP="00E93EF1">
      <w:pPr>
        <w:pStyle w:val="Tablecaption"/>
      </w:pPr>
      <w:bookmarkStart w:id="333" w:name="_Ref100679022"/>
      <w:r w:rsidRPr="00176D37">
        <w:t xml:space="preserve">Table </w:t>
      </w:r>
      <w:r w:rsidR="00F751A0">
        <w:fldChar w:fldCharType="begin"/>
      </w:r>
      <w:r w:rsidR="00F751A0">
        <w:instrText xml:space="preserve"> SEQ Table \* ARABIC </w:instrText>
      </w:r>
      <w:r w:rsidR="00F751A0">
        <w:fldChar w:fldCharType="separate"/>
      </w:r>
      <w:r w:rsidR="00E73E2F">
        <w:rPr>
          <w:noProof/>
        </w:rPr>
        <w:t>34</w:t>
      </w:r>
      <w:r w:rsidR="00F751A0">
        <w:rPr>
          <w:noProof/>
        </w:rPr>
        <w:fldChar w:fldCharType="end"/>
      </w:r>
      <w:bookmarkEnd w:id="333"/>
      <w:r w:rsidRPr="00176D37">
        <w:t>: Availability and use of decision support tools</w:t>
      </w:r>
      <w:r w:rsidR="00273BD8">
        <w:rPr>
          <w:rStyle w:val="FootnoteReference"/>
          <w:rFonts w:cs="Arial"/>
          <w:sz w:val="22"/>
          <w:szCs w:val="22"/>
        </w:rPr>
        <w:footnoteReference w:id="28"/>
      </w:r>
    </w:p>
    <w:tbl>
      <w:tblPr>
        <w:tblStyle w:val="TableGrid"/>
        <w:tblW w:w="0" w:type="auto"/>
        <w:tblLook w:val="04A0" w:firstRow="1" w:lastRow="0" w:firstColumn="1" w:lastColumn="0" w:noHBand="0" w:noVBand="1"/>
      </w:tblPr>
      <w:tblGrid>
        <w:gridCol w:w="4957"/>
        <w:gridCol w:w="3260"/>
      </w:tblGrid>
      <w:tr w:rsidR="00E9700E" w:rsidRPr="00176D37" w14:paraId="1082FA25" w14:textId="77777777" w:rsidTr="00A173F8">
        <w:trPr>
          <w:trHeight w:val="763"/>
        </w:trPr>
        <w:tc>
          <w:tcPr>
            <w:tcW w:w="4957" w:type="dxa"/>
          </w:tcPr>
          <w:p w14:paraId="194C287D" w14:textId="77777777" w:rsidR="00E9700E" w:rsidRPr="00176D37" w:rsidRDefault="00E9700E" w:rsidP="00E93EF1">
            <w:pPr>
              <w:pStyle w:val="Tablecolhead"/>
            </w:pPr>
            <w:r w:rsidRPr="00176D37">
              <w:t>Decision support tool available</w:t>
            </w:r>
          </w:p>
        </w:tc>
        <w:tc>
          <w:tcPr>
            <w:tcW w:w="3260" w:type="dxa"/>
          </w:tcPr>
          <w:p w14:paraId="19BA05F3" w14:textId="27B62CEE" w:rsidR="00E9700E" w:rsidRPr="00176D37" w:rsidRDefault="00E9700E" w:rsidP="00E93EF1">
            <w:pPr>
              <w:pStyle w:val="Tablecolhead"/>
            </w:pPr>
            <w:r w:rsidRPr="00176D37">
              <w:t>Health service has included n</w:t>
            </w:r>
            <w:r w:rsidR="00CF46E9">
              <w:t> </w:t>
            </w:r>
            <w:r w:rsidRPr="00176D37">
              <w:t>=</w:t>
            </w:r>
            <w:r w:rsidR="00CF46E9">
              <w:t xml:space="preserve"> </w:t>
            </w:r>
            <w:r w:rsidRPr="00176D37">
              <w:t>16, (%)</w:t>
            </w:r>
          </w:p>
        </w:tc>
      </w:tr>
      <w:tr w:rsidR="00E9700E" w:rsidRPr="00176D37" w14:paraId="3DA54C31" w14:textId="77777777" w:rsidTr="00A173F8">
        <w:tc>
          <w:tcPr>
            <w:tcW w:w="4957" w:type="dxa"/>
          </w:tcPr>
          <w:p w14:paraId="0BC32022" w14:textId="5BA43FFF" w:rsidR="00E9700E" w:rsidRPr="00176D37" w:rsidRDefault="00E9700E" w:rsidP="00E93EF1">
            <w:pPr>
              <w:pStyle w:val="Tabletext"/>
            </w:pPr>
            <w:r w:rsidRPr="00176D37">
              <w:t>Patient blood management</w:t>
            </w:r>
          </w:p>
        </w:tc>
        <w:tc>
          <w:tcPr>
            <w:tcW w:w="3260" w:type="dxa"/>
          </w:tcPr>
          <w:p w14:paraId="57B45ECA" w14:textId="77777777" w:rsidR="00E9700E" w:rsidRPr="00176D37" w:rsidRDefault="00E9700E" w:rsidP="009742AB">
            <w:pPr>
              <w:pStyle w:val="Tabletext"/>
              <w:jc w:val="right"/>
            </w:pPr>
            <w:r w:rsidRPr="00176D37">
              <w:t>6 (38%)</w:t>
            </w:r>
          </w:p>
        </w:tc>
      </w:tr>
      <w:tr w:rsidR="00E9700E" w:rsidRPr="00176D37" w14:paraId="15304093" w14:textId="77777777" w:rsidTr="00A173F8">
        <w:tc>
          <w:tcPr>
            <w:tcW w:w="4957" w:type="dxa"/>
          </w:tcPr>
          <w:p w14:paraId="0968C15B" w14:textId="766A008E" w:rsidR="00E9700E" w:rsidRPr="00176D37" w:rsidRDefault="00E9700E" w:rsidP="00E93EF1">
            <w:pPr>
              <w:pStyle w:val="Tabletext"/>
            </w:pPr>
            <w:r w:rsidRPr="00176D37">
              <w:t>Special conditions/products</w:t>
            </w:r>
          </w:p>
        </w:tc>
        <w:tc>
          <w:tcPr>
            <w:tcW w:w="3260" w:type="dxa"/>
          </w:tcPr>
          <w:p w14:paraId="12CE7376" w14:textId="77777777" w:rsidR="00E9700E" w:rsidRPr="00176D37" w:rsidRDefault="00E9700E" w:rsidP="009742AB">
            <w:pPr>
              <w:pStyle w:val="Tabletext"/>
              <w:jc w:val="right"/>
            </w:pPr>
            <w:r w:rsidRPr="00176D37">
              <w:t>4 (25%)</w:t>
            </w:r>
          </w:p>
        </w:tc>
      </w:tr>
      <w:tr w:rsidR="00E9700E" w:rsidRPr="00176D37" w14:paraId="125BE941" w14:textId="77777777" w:rsidTr="00A173F8">
        <w:tc>
          <w:tcPr>
            <w:tcW w:w="4957" w:type="dxa"/>
          </w:tcPr>
          <w:p w14:paraId="7729FE8C" w14:textId="73C8B8E4" w:rsidR="00E9700E" w:rsidRPr="00176D37" w:rsidRDefault="00E9700E" w:rsidP="00E93EF1">
            <w:pPr>
              <w:pStyle w:val="Tabletext"/>
            </w:pPr>
            <w:r w:rsidRPr="00176D37">
              <w:t>Single unit transfusion</w:t>
            </w:r>
          </w:p>
        </w:tc>
        <w:tc>
          <w:tcPr>
            <w:tcW w:w="3260" w:type="dxa"/>
          </w:tcPr>
          <w:p w14:paraId="21173513" w14:textId="77777777" w:rsidR="00E9700E" w:rsidRPr="00176D37" w:rsidRDefault="00E9700E" w:rsidP="009742AB">
            <w:pPr>
              <w:pStyle w:val="Tabletext"/>
              <w:jc w:val="right"/>
            </w:pPr>
            <w:r w:rsidRPr="00176D37">
              <w:t>3 (19%)</w:t>
            </w:r>
          </w:p>
        </w:tc>
      </w:tr>
      <w:tr w:rsidR="00E9700E" w:rsidRPr="00176D37" w14:paraId="08439201" w14:textId="77777777" w:rsidTr="00A173F8">
        <w:tc>
          <w:tcPr>
            <w:tcW w:w="4957" w:type="dxa"/>
          </w:tcPr>
          <w:p w14:paraId="6B1023CC" w14:textId="211D1559" w:rsidR="00E9700E" w:rsidRPr="00176D37" w:rsidRDefault="00E9700E" w:rsidP="00E93EF1">
            <w:pPr>
              <w:pStyle w:val="Tabletext"/>
            </w:pPr>
            <w:r w:rsidRPr="00176D37">
              <w:t>Transfusion triggers</w:t>
            </w:r>
          </w:p>
        </w:tc>
        <w:tc>
          <w:tcPr>
            <w:tcW w:w="3260" w:type="dxa"/>
          </w:tcPr>
          <w:p w14:paraId="653A4A5C" w14:textId="77777777" w:rsidR="00E9700E" w:rsidRPr="00176D37" w:rsidRDefault="00E9700E" w:rsidP="009742AB">
            <w:pPr>
              <w:pStyle w:val="Tabletext"/>
              <w:jc w:val="right"/>
            </w:pPr>
            <w:r w:rsidRPr="00176D37">
              <w:t>5 (31%)</w:t>
            </w:r>
          </w:p>
        </w:tc>
      </w:tr>
      <w:tr w:rsidR="00E9700E" w:rsidRPr="00176D37" w14:paraId="6A817060" w14:textId="77777777" w:rsidTr="00A173F8">
        <w:tc>
          <w:tcPr>
            <w:tcW w:w="4957" w:type="dxa"/>
          </w:tcPr>
          <w:p w14:paraId="2344D707" w14:textId="77777777" w:rsidR="00E9700E" w:rsidRPr="00176D37" w:rsidRDefault="00E9700E" w:rsidP="00E93EF1">
            <w:pPr>
              <w:pStyle w:val="Tabletext"/>
            </w:pPr>
            <w:r w:rsidRPr="00176D37">
              <w:t>No decision support tools available</w:t>
            </w:r>
          </w:p>
        </w:tc>
        <w:tc>
          <w:tcPr>
            <w:tcW w:w="3260" w:type="dxa"/>
          </w:tcPr>
          <w:p w14:paraId="22F9F6E5" w14:textId="77777777" w:rsidR="00E9700E" w:rsidRPr="00176D37" w:rsidRDefault="00E9700E" w:rsidP="009742AB">
            <w:pPr>
              <w:pStyle w:val="Tabletext"/>
              <w:jc w:val="right"/>
            </w:pPr>
            <w:r w:rsidRPr="00176D37">
              <w:t>8 (50%)</w:t>
            </w:r>
          </w:p>
        </w:tc>
      </w:tr>
      <w:tr w:rsidR="00E9700E" w:rsidRPr="00176D37" w14:paraId="3248160D" w14:textId="77777777" w:rsidTr="00A173F8">
        <w:tc>
          <w:tcPr>
            <w:tcW w:w="4957" w:type="dxa"/>
          </w:tcPr>
          <w:p w14:paraId="02C11421" w14:textId="77777777" w:rsidR="00E9700E" w:rsidRPr="00176D37" w:rsidRDefault="00E9700E" w:rsidP="00E93EF1">
            <w:pPr>
              <w:pStyle w:val="Tabletext"/>
            </w:pPr>
            <w:r w:rsidRPr="00176D37">
              <w:t>Decision support tools available, but not used</w:t>
            </w:r>
          </w:p>
        </w:tc>
        <w:tc>
          <w:tcPr>
            <w:tcW w:w="3260" w:type="dxa"/>
          </w:tcPr>
          <w:p w14:paraId="442DF621" w14:textId="77777777" w:rsidR="00E9700E" w:rsidRPr="00176D37" w:rsidRDefault="00E9700E" w:rsidP="009742AB">
            <w:pPr>
              <w:pStyle w:val="Tabletext"/>
              <w:jc w:val="right"/>
            </w:pPr>
            <w:r w:rsidRPr="00176D37">
              <w:t>2 (13%)</w:t>
            </w:r>
          </w:p>
        </w:tc>
      </w:tr>
    </w:tbl>
    <w:p w14:paraId="1282B4D6" w14:textId="77777777" w:rsidR="00E9700E" w:rsidRPr="00176D37" w:rsidRDefault="00E9700E" w:rsidP="009742AB">
      <w:pPr>
        <w:pStyle w:val="Bodyaftertablefigure"/>
      </w:pPr>
      <w:r w:rsidRPr="00176D37">
        <w:t xml:space="preserve">Six (38 per cent) include </w:t>
      </w:r>
      <w:r w:rsidRPr="00CF46E9">
        <w:t>patient</w:t>
      </w:r>
      <w:r w:rsidRPr="00176D37">
        <w:t xml:space="preserve"> blood management (PBM) alerts or guidance, while the requirements for special products, single unit transfusion practice including transfusion triggers were less common. Two health services (13 per cent) reported while decision support tools are available within their EMR, they are not used. Decision support tools are not available at eight (50 per cent) health services.</w:t>
      </w:r>
    </w:p>
    <w:p w14:paraId="3B602D7D" w14:textId="2FBF6C99" w:rsidR="00E9700E" w:rsidRPr="00176D37" w:rsidRDefault="00E9700E" w:rsidP="00E93EF1">
      <w:pPr>
        <w:pStyle w:val="Body"/>
      </w:pPr>
      <w:r w:rsidRPr="00176D37">
        <w:t>Dunbar (2014) describe</w:t>
      </w:r>
      <w:r w:rsidR="006A55E6">
        <w:t>s</w:t>
      </w:r>
      <w:r w:rsidRPr="00176D37">
        <w:t xml:space="preserve"> a significant decrease in the percentage of two-unit transfusions by removing the ability to order more than one unit with a ‘single click’. Clinicians must first reassess the patient and obtain a post-transfusion haemoglobin before ordering additional RBC units </w:t>
      </w:r>
      <w:r w:rsidR="006A55E6" w:rsidRPr="00176D37">
        <w:rPr>
          <w:noProof/>
        </w:rPr>
        <w:t>(Dunba</w:t>
      </w:r>
      <w:r w:rsidR="006A55E6">
        <w:rPr>
          <w:noProof/>
        </w:rPr>
        <w:t>r</w:t>
      </w:r>
      <w:r w:rsidR="006A55E6" w:rsidRPr="00176D37">
        <w:rPr>
          <w:noProof/>
        </w:rPr>
        <w:t xml:space="preserve"> 2014)</w:t>
      </w:r>
      <w:r w:rsidRPr="00176D37">
        <w:t xml:space="preserve">. Single unit transfusion is recommended by the PBM guidelines (2012) </w:t>
      </w:r>
      <w:r w:rsidR="00660A30" w:rsidRPr="00660A30">
        <w:t xml:space="preserve">based on the need to relieve clinical signs and symptoms of anaemia and the patient’s response to previous transfusion </w:t>
      </w:r>
      <w:r w:rsidRPr="00176D37">
        <w:t xml:space="preserve">and implementation should align with the local policy. With </w:t>
      </w:r>
      <w:proofErr w:type="gramStart"/>
      <w:r w:rsidRPr="00176D37">
        <w:t>the majority of</w:t>
      </w:r>
      <w:proofErr w:type="gramEnd"/>
      <w:r w:rsidRPr="00176D37">
        <w:t xml:space="preserve"> health services not employing single unit transfusion decision support</w:t>
      </w:r>
      <w:r w:rsidR="009316C1">
        <w:t>,</w:t>
      </w:r>
      <w:r w:rsidRPr="00176D37">
        <w:t xml:space="preserve"> there appears to be a lost opportunity for better patient outcomes and reduction in unnecessary transfusions.</w:t>
      </w:r>
    </w:p>
    <w:p w14:paraId="73BDF3A4" w14:textId="77777777" w:rsidR="00E9700E" w:rsidRPr="00176D37" w:rsidRDefault="00E9700E" w:rsidP="00E93EF1">
      <w:pPr>
        <w:pStyle w:val="Body"/>
      </w:pPr>
      <w:r w:rsidRPr="00176D37">
        <w:t>Different questions were asked to the quality and executive respondents (24 from 18 health services) regarding inclusion of decision support functionality for PBM. Five health services (28 per cent) use PBM decision support tools and 13 (72 per cent) reported no decision support tools are included.</w:t>
      </w:r>
    </w:p>
    <w:p w14:paraId="5938D59C" w14:textId="22EC447B" w:rsidR="00E9700E" w:rsidRPr="00176D37" w:rsidRDefault="00E9700E" w:rsidP="00E93EF1">
      <w:pPr>
        <w:pStyle w:val="Body"/>
      </w:pPr>
      <w:r w:rsidRPr="00176D37">
        <w:t>The blood management quality and executive respondents at the health services who do not use PBM alerts or guidance were asked why these were not included (</w:t>
      </w:r>
      <w:r w:rsidRPr="00176D37">
        <w:fldChar w:fldCharType="begin"/>
      </w:r>
      <w:r w:rsidRPr="00176D37">
        <w:instrText xml:space="preserve"> REF _Ref100679034 \h  \* MERGEFORMAT </w:instrText>
      </w:r>
      <w:r w:rsidRPr="00176D37">
        <w:fldChar w:fldCharType="separate"/>
      </w:r>
      <w:r w:rsidR="00E73E2F" w:rsidRPr="00176D37">
        <w:t xml:space="preserve">Table </w:t>
      </w:r>
      <w:r w:rsidR="00E73E2F">
        <w:rPr>
          <w:noProof/>
        </w:rPr>
        <w:t>35</w:t>
      </w:r>
      <w:r w:rsidRPr="00176D37">
        <w:fldChar w:fldCharType="end"/>
      </w:r>
      <w:r w:rsidRPr="00176D37">
        <w:t>).</w:t>
      </w:r>
    </w:p>
    <w:p w14:paraId="7467A566" w14:textId="2E1D277D" w:rsidR="00E9700E" w:rsidRPr="00176D37" w:rsidRDefault="00E9700E" w:rsidP="00E93EF1">
      <w:pPr>
        <w:pStyle w:val="Tablecaption"/>
      </w:pPr>
      <w:bookmarkStart w:id="334" w:name="_Ref100679034"/>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35</w:t>
      </w:r>
      <w:r w:rsidR="00F751A0">
        <w:rPr>
          <w:noProof/>
        </w:rPr>
        <w:fldChar w:fldCharType="end"/>
      </w:r>
      <w:bookmarkEnd w:id="334"/>
      <w:r w:rsidRPr="00176D37">
        <w:t>: Reasons given for not implementing an alert/guidance system</w:t>
      </w:r>
    </w:p>
    <w:tbl>
      <w:tblPr>
        <w:tblStyle w:val="TableGrid"/>
        <w:tblW w:w="9129" w:type="dxa"/>
        <w:tblLook w:val="04A0" w:firstRow="1" w:lastRow="0" w:firstColumn="1" w:lastColumn="0" w:noHBand="0" w:noVBand="1"/>
      </w:tblPr>
      <w:tblGrid>
        <w:gridCol w:w="5018"/>
        <w:gridCol w:w="4111"/>
      </w:tblGrid>
      <w:tr w:rsidR="00E9700E" w:rsidRPr="00176D37" w14:paraId="1209B7AB" w14:textId="77777777" w:rsidTr="009742AB">
        <w:trPr>
          <w:tblHeader/>
        </w:trPr>
        <w:tc>
          <w:tcPr>
            <w:tcW w:w="5018" w:type="dxa"/>
          </w:tcPr>
          <w:p w14:paraId="47413131" w14:textId="77777777" w:rsidR="00E9700E" w:rsidRPr="00176D37" w:rsidRDefault="00E9700E" w:rsidP="00E93EF1">
            <w:pPr>
              <w:pStyle w:val="Tablecolhead"/>
            </w:pPr>
            <w:r w:rsidRPr="00176D37">
              <w:t>Reason for no alert system</w:t>
            </w:r>
            <w:r w:rsidRPr="00176D37">
              <w:rPr>
                <w:rStyle w:val="FootnoteReference"/>
                <w:rFonts w:cs="Arial"/>
              </w:rPr>
              <w:footnoteReference w:id="29"/>
            </w:r>
          </w:p>
        </w:tc>
        <w:tc>
          <w:tcPr>
            <w:tcW w:w="4111" w:type="dxa"/>
          </w:tcPr>
          <w:p w14:paraId="2B08F773" w14:textId="255E837B" w:rsidR="00E9700E" w:rsidRPr="00176D37" w:rsidRDefault="00E9700E" w:rsidP="00E93EF1">
            <w:pPr>
              <w:pStyle w:val="Tablecolhead"/>
            </w:pPr>
            <w:r w:rsidRPr="00176D37">
              <w:t>Health service count n</w:t>
            </w:r>
            <w:r w:rsidR="006A55E6">
              <w:t xml:space="preserve"> </w:t>
            </w:r>
            <w:r w:rsidRPr="00176D37">
              <w:t>=</w:t>
            </w:r>
            <w:r w:rsidR="006A55E6">
              <w:t xml:space="preserve"> </w:t>
            </w:r>
            <w:r w:rsidRPr="00176D37">
              <w:t>10, (%)</w:t>
            </w:r>
          </w:p>
        </w:tc>
      </w:tr>
      <w:tr w:rsidR="00E9700E" w:rsidRPr="00176D37" w14:paraId="6B4F6B2A" w14:textId="77777777" w:rsidTr="00A173F8">
        <w:tc>
          <w:tcPr>
            <w:tcW w:w="5018" w:type="dxa"/>
          </w:tcPr>
          <w:p w14:paraId="19D7DA23" w14:textId="77777777" w:rsidR="00E9700E" w:rsidRPr="00176D37" w:rsidRDefault="00E9700E" w:rsidP="00E93EF1">
            <w:pPr>
              <w:pStyle w:val="Tabletext"/>
            </w:pPr>
            <w:r w:rsidRPr="00176D37">
              <w:t>EMR does not include blood management</w:t>
            </w:r>
          </w:p>
        </w:tc>
        <w:tc>
          <w:tcPr>
            <w:tcW w:w="4111" w:type="dxa"/>
          </w:tcPr>
          <w:p w14:paraId="08D84157" w14:textId="77777777" w:rsidR="00E9700E" w:rsidRPr="00176D37" w:rsidRDefault="00E9700E" w:rsidP="009742AB">
            <w:pPr>
              <w:pStyle w:val="Tabletext"/>
              <w:jc w:val="right"/>
            </w:pPr>
            <w:r w:rsidRPr="00176D37">
              <w:t>5 (50%)</w:t>
            </w:r>
          </w:p>
        </w:tc>
      </w:tr>
      <w:tr w:rsidR="00E9700E" w:rsidRPr="00176D37" w14:paraId="186693FC" w14:textId="77777777" w:rsidTr="00A173F8">
        <w:tc>
          <w:tcPr>
            <w:tcW w:w="5018" w:type="dxa"/>
          </w:tcPr>
          <w:p w14:paraId="60CF0BD0" w14:textId="77777777" w:rsidR="00E9700E" w:rsidRPr="00176D37" w:rsidRDefault="00E9700E" w:rsidP="00E93EF1">
            <w:pPr>
              <w:pStyle w:val="Tabletext"/>
            </w:pPr>
            <w:r w:rsidRPr="00176D37">
              <w:t>Considered but not actioned due to cost</w:t>
            </w:r>
          </w:p>
        </w:tc>
        <w:tc>
          <w:tcPr>
            <w:tcW w:w="4111" w:type="dxa"/>
          </w:tcPr>
          <w:p w14:paraId="02051796" w14:textId="77777777" w:rsidR="00E9700E" w:rsidRPr="00176D37" w:rsidRDefault="00E9700E" w:rsidP="009742AB">
            <w:pPr>
              <w:pStyle w:val="Tabletext"/>
              <w:jc w:val="right"/>
            </w:pPr>
            <w:r w:rsidRPr="00176D37">
              <w:t>2 (20%)</w:t>
            </w:r>
          </w:p>
        </w:tc>
      </w:tr>
      <w:tr w:rsidR="00E9700E" w:rsidRPr="00176D37" w14:paraId="57DC2E8C" w14:textId="77777777" w:rsidTr="00A173F8">
        <w:tc>
          <w:tcPr>
            <w:tcW w:w="5018" w:type="dxa"/>
          </w:tcPr>
          <w:p w14:paraId="3247F0C2" w14:textId="77777777" w:rsidR="00E9700E" w:rsidRPr="00176D37" w:rsidRDefault="00E9700E" w:rsidP="00E93EF1">
            <w:pPr>
              <w:pStyle w:val="Tabletext"/>
            </w:pPr>
            <w:r w:rsidRPr="00176D37">
              <w:t>Considered but not actioned due to no support from clinical staff</w:t>
            </w:r>
          </w:p>
        </w:tc>
        <w:tc>
          <w:tcPr>
            <w:tcW w:w="4111" w:type="dxa"/>
          </w:tcPr>
          <w:p w14:paraId="0CEC1487" w14:textId="77777777" w:rsidR="00E9700E" w:rsidRPr="00176D37" w:rsidRDefault="00E9700E" w:rsidP="009742AB">
            <w:pPr>
              <w:pStyle w:val="Tabletext"/>
              <w:jc w:val="right"/>
            </w:pPr>
            <w:r w:rsidRPr="00176D37">
              <w:t>1 (10%)</w:t>
            </w:r>
          </w:p>
        </w:tc>
      </w:tr>
      <w:tr w:rsidR="00E9700E" w:rsidRPr="00176D37" w14:paraId="45C48573" w14:textId="77777777" w:rsidTr="00A173F8">
        <w:tc>
          <w:tcPr>
            <w:tcW w:w="5018" w:type="dxa"/>
          </w:tcPr>
          <w:p w14:paraId="34F290D8" w14:textId="77777777" w:rsidR="00E9700E" w:rsidRPr="00176D37" w:rsidRDefault="00E9700E" w:rsidP="00E93EF1">
            <w:pPr>
              <w:pStyle w:val="Tabletext"/>
            </w:pPr>
            <w:r w:rsidRPr="00176D37">
              <w:t>Considered but not actioned due to not available in the system</w:t>
            </w:r>
          </w:p>
        </w:tc>
        <w:tc>
          <w:tcPr>
            <w:tcW w:w="4111" w:type="dxa"/>
          </w:tcPr>
          <w:p w14:paraId="58AB7C18" w14:textId="77777777" w:rsidR="00E9700E" w:rsidRPr="00176D37" w:rsidRDefault="00E9700E" w:rsidP="009742AB">
            <w:pPr>
              <w:pStyle w:val="Tabletext"/>
              <w:jc w:val="right"/>
            </w:pPr>
            <w:r w:rsidRPr="00176D37">
              <w:t>3 (30%)</w:t>
            </w:r>
          </w:p>
        </w:tc>
      </w:tr>
      <w:tr w:rsidR="00E9700E" w:rsidRPr="00176D37" w14:paraId="692D3F0C" w14:textId="77777777" w:rsidTr="00A173F8">
        <w:tc>
          <w:tcPr>
            <w:tcW w:w="5018" w:type="dxa"/>
          </w:tcPr>
          <w:p w14:paraId="1F4079BA" w14:textId="77777777" w:rsidR="00E9700E" w:rsidRPr="00176D37" w:rsidRDefault="00E9700E" w:rsidP="00E93EF1">
            <w:pPr>
              <w:pStyle w:val="Tabletext"/>
            </w:pPr>
            <w:r w:rsidRPr="00176D37">
              <w:t>Considered but not actioned due to blood management a mix of paper and EMR</w:t>
            </w:r>
          </w:p>
        </w:tc>
        <w:tc>
          <w:tcPr>
            <w:tcW w:w="4111" w:type="dxa"/>
          </w:tcPr>
          <w:p w14:paraId="078A8C19" w14:textId="77777777" w:rsidR="00E9700E" w:rsidRPr="00176D37" w:rsidRDefault="00E9700E" w:rsidP="009742AB">
            <w:pPr>
              <w:pStyle w:val="Tabletext"/>
              <w:jc w:val="right"/>
            </w:pPr>
            <w:r w:rsidRPr="00176D37">
              <w:t>2 (20%)</w:t>
            </w:r>
          </w:p>
        </w:tc>
      </w:tr>
      <w:tr w:rsidR="00E9700E" w:rsidRPr="00176D37" w14:paraId="1297A26C" w14:textId="77777777" w:rsidTr="00A173F8">
        <w:tc>
          <w:tcPr>
            <w:tcW w:w="5018" w:type="dxa"/>
          </w:tcPr>
          <w:p w14:paraId="07D89065" w14:textId="77777777" w:rsidR="00E9700E" w:rsidRPr="00176D37" w:rsidRDefault="00E9700E" w:rsidP="00E93EF1">
            <w:pPr>
              <w:pStyle w:val="Tabletext"/>
            </w:pPr>
            <w:r w:rsidRPr="00176D37">
              <w:t>Unsure</w:t>
            </w:r>
          </w:p>
        </w:tc>
        <w:tc>
          <w:tcPr>
            <w:tcW w:w="4111" w:type="dxa"/>
          </w:tcPr>
          <w:p w14:paraId="1A282EC9" w14:textId="77777777" w:rsidR="00E9700E" w:rsidRPr="00176D37" w:rsidRDefault="00E9700E" w:rsidP="009742AB">
            <w:pPr>
              <w:pStyle w:val="Tabletext"/>
              <w:jc w:val="right"/>
            </w:pPr>
            <w:r w:rsidRPr="00176D37">
              <w:t>2 (20%)</w:t>
            </w:r>
          </w:p>
        </w:tc>
      </w:tr>
    </w:tbl>
    <w:p w14:paraId="5E3ED50F" w14:textId="77777777" w:rsidR="00E9700E" w:rsidRPr="00176D37" w:rsidRDefault="00E9700E" w:rsidP="00E93EF1">
      <w:pPr>
        <w:pStyle w:val="Body"/>
        <w:spacing w:before="240"/>
      </w:pPr>
      <w:r w:rsidRPr="00176D37">
        <w:t>Five of the 10 health services which include blood management in their EMR, considered PBM alerts or guidance, however this was not actioned as it was not available in the platform. Other reasons included cost, and the use of a hybrid system for blood management (paper and EMR). Respondents at two health services were unsure why they were not actioned.</w:t>
      </w:r>
    </w:p>
    <w:p w14:paraId="2B8099C2" w14:textId="2BE8FA59" w:rsidR="00E9700E" w:rsidRPr="00176D37" w:rsidRDefault="00E9700E" w:rsidP="00E93EF1">
      <w:pPr>
        <w:pStyle w:val="Body"/>
        <w:rPr>
          <w:rFonts w:cs="Arial"/>
        </w:rPr>
      </w:pPr>
      <w:r w:rsidRPr="00E93EF1">
        <w:rPr>
          <w:rStyle w:val="BodyChar"/>
        </w:rPr>
        <w:t xml:space="preserve">Decision support tools can take a variety of forms and needs to be regularly reviewed, maintained, and updated by SMEs to accommodate new products, </w:t>
      </w:r>
      <w:proofErr w:type="gramStart"/>
      <w:r w:rsidRPr="00E93EF1">
        <w:rPr>
          <w:rStyle w:val="BodyChar"/>
        </w:rPr>
        <w:t>evidence</w:t>
      </w:r>
      <w:proofErr w:type="gramEnd"/>
      <w:r w:rsidRPr="00E93EF1">
        <w:rPr>
          <w:rStyle w:val="BodyChar"/>
        </w:rPr>
        <w:t xml:space="preserve"> and guidelines. While decision</w:t>
      </w:r>
      <w:r w:rsidRPr="00176D37">
        <w:rPr>
          <w:rFonts w:cs="Arial"/>
        </w:rPr>
        <w:t xml:space="preserve"> support should not be easily bypassed, implementation needs to be balanced against individual patient requirements and urgent care events</w:t>
      </w:r>
      <w:r w:rsidR="00BE1BE8">
        <w:rPr>
          <w:rFonts w:cs="Arial"/>
        </w:rPr>
        <w:t xml:space="preserve"> (ANZSBT 2021)</w:t>
      </w:r>
      <w:r w:rsidRPr="00176D37">
        <w:rPr>
          <w:rFonts w:cs="Arial"/>
        </w:rPr>
        <w:t>.</w:t>
      </w:r>
    </w:p>
    <w:p w14:paraId="7F97843C" w14:textId="00D0B9DC" w:rsidR="00E9700E" w:rsidRPr="00176D37" w:rsidRDefault="00E9700E" w:rsidP="00E93EF1">
      <w:pPr>
        <w:pStyle w:val="Body"/>
        <w:rPr>
          <w:rFonts w:cs="Arial"/>
        </w:rPr>
      </w:pPr>
      <w:r w:rsidRPr="00176D37">
        <w:rPr>
          <w:rFonts w:cs="Arial"/>
        </w:rPr>
        <w:t xml:space="preserve">There is good evidence that implementation of decision support tools with computerised physician order entry (CPOE) supports increased compliance with transfusion guidelines, decreased blood product/component usage, transfusion-related </w:t>
      </w:r>
      <w:proofErr w:type="gramStart"/>
      <w:r w:rsidRPr="00176D37">
        <w:rPr>
          <w:rFonts w:cs="Arial"/>
        </w:rPr>
        <w:t>complications</w:t>
      </w:r>
      <w:proofErr w:type="gramEnd"/>
      <w:r w:rsidRPr="00176D37">
        <w:rPr>
          <w:rFonts w:cs="Arial"/>
        </w:rPr>
        <w:t xml:space="preserve"> and associated costs </w:t>
      </w:r>
      <w:r w:rsidR="009316C1" w:rsidRPr="00176D37">
        <w:rPr>
          <w:rFonts w:cs="Arial"/>
          <w:noProof/>
        </w:rPr>
        <w:t>(Dunbar 2014</w:t>
      </w:r>
      <w:r w:rsidR="009316C1">
        <w:rPr>
          <w:rFonts w:cs="Arial"/>
          <w:noProof/>
        </w:rPr>
        <w:t>;</w:t>
      </w:r>
      <w:r w:rsidR="009316C1" w:rsidRPr="00176D37">
        <w:rPr>
          <w:rFonts w:cs="Arial"/>
          <w:noProof/>
        </w:rPr>
        <w:t xml:space="preserve"> Smith 2014</w:t>
      </w:r>
      <w:r w:rsidR="009316C1">
        <w:rPr>
          <w:rFonts w:cs="Arial"/>
          <w:noProof/>
        </w:rPr>
        <w:t>,</w:t>
      </w:r>
      <w:r w:rsidRPr="00176D37">
        <w:rPr>
          <w:rFonts w:cs="Arial"/>
        </w:rPr>
        <w:t xml:space="preserve"> </w:t>
      </w:r>
      <w:r w:rsidR="009316C1" w:rsidRPr="00176D37">
        <w:rPr>
          <w:rFonts w:cs="Arial"/>
          <w:noProof/>
        </w:rPr>
        <w:t>Swart 2020</w:t>
      </w:r>
      <w:r w:rsidR="009316C1">
        <w:rPr>
          <w:rFonts w:cs="Arial"/>
          <w:noProof/>
        </w:rPr>
        <w:t>;</w:t>
      </w:r>
      <w:r w:rsidRPr="00176D37">
        <w:rPr>
          <w:rFonts w:cs="Arial"/>
        </w:rPr>
        <w:t xml:space="preserve"> </w:t>
      </w:r>
      <w:r w:rsidR="009316C1" w:rsidRPr="00176D37">
        <w:rPr>
          <w:rFonts w:cs="Arial"/>
          <w:noProof/>
        </w:rPr>
        <w:t>Murphy 2012</w:t>
      </w:r>
      <w:r w:rsidR="009316C1">
        <w:rPr>
          <w:rFonts w:cs="Arial"/>
          <w:noProof/>
        </w:rPr>
        <w:t>;</w:t>
      </w:r>
      <w:r w:rsidRPr="00176D37">
        <w:rPr>
          <w:rFonts w:cs="Arial"/>
        </w:rPr>
        <w:t xml:space="preserve"> </w:t>
      </w:r>
      <w:r w:rsidR="009316C1" w:rsidRPr="00176D37">
        <w:rPr>
          <w:rFonts w:cs="Arial"/>
          <w:noProof/>
        </w:rPr>
        <w:t>Jenkins 2017</w:t>
      </w:r>
      <w:r w:rsidR="009316C1">
        <w:rPr>
          <w:rFonts w:cs="Arial"/>
          <w:noProof/>
        </w:rPr>
        <w:t>;</w:t>
      </w:r>
      <w:r w:rsidRPr="00176D37">
        <w:rPr>
          <w:rFonts w:cs="Arial"/>
        </w:rPr>
        <w:t xml:space="preserve"> </w:t>
      </w:r>
      <w:r w:rsidR="009316C1" w:rsidRPr="00176D37">
        <w:rPr>
          <w:rFonts w:cs="Arial"/>
          <w:noProof/>
        </w:rPr>
        <w:t>Pendry 2015</w:t>
      </w:r>
      <w:r w:rsidR="009316C1">
        <w:rPr>
          <w:rFonts w:cs="Arial"/>
          <w:noProof/>
        </w:rPr>
        <w:t>;</w:t>
      </w:r>
      <w:r w:rsidRPr="00176D37">
        <w:rPr>
          <w:rFonts w:cs="Arial"/>
        </w:rPr>
        <w:t xml:space="preserve"> </w:t>
      </w:r>
      <w:r w:rsidR="009316C1" w:rsidRPr="00176D37">
        <w:rPr>
          <w:rFonts w:cs="Arial"/>
          <w:noProof/>
        </w:rPr>
        <w:t>Sadana 2018</w:t>
      </w:r>
      <w:r w:rsidR="009316C1">
        <w:rPr>
          <w:rFonts w:cs="Arial"/>
          <w:noProof/>
        </w:rPr>
        <w:t>;</w:t>
      </w:r>
      <w:r w:rsidR="009316C1">
        <w:rPr>
          <w:rFonts w:cs="Arial"/>
        </w:rPr>
        <w:t xml:space="preserve"> </w:t>
      </w:r>
      <w:r w:rsidR="009316C1" w:rsidRPr="00176D37">
        <w:rPr>
          <w:rFonts w:cs="Arial"/>
          <w:noProof/>
        </w:rPr>
        <w:t>Staples 2020</w:t>
      </w:r>
      <w:r w:rsidR="009316C1">
        <w:rPr>
          <w:rFonts w:cs="Arial"/>
          <w:noProof/>
        </w:rPr>
        <w:t>;</w:t>
      </w:r>
      <w:r w:rsidRPr="00176D37">
        <w:rPr>
          <w:rFonts w:cs="Arial"/>
        </w:rPr>
        <w:t xml:space="preserve"> </w:t>
      </w:r>
      <w:r w:rsidR="009316C1" w:rsidRPr="00176D37">
        <w:rPr>
          <w:rFonts w:cs="Arial"/>
          <w:noProof/>
        </w:rPr>
        <w:t>Shaw 2018</w:t>
      </w:r>
      <w:r w:rsidR="009316C1">
        <w:rPr>
          <w:rFonts w:cs="Arial"/>
          <w:noProof/>
        </w:rPr>
        <w:t>;</w:t>
      </w:r>
      <w:r w:rsidR="009316C1" w:rsidRPr="00176D37">
        <w:rPr>
          <w:rFonts w:cs="Arial"/>
          <w:noProof/>
        </w:rPr>
        <w:t xml:space="preserve"> Sroujieh 2016</w:t>
      </w:r>
      <w:r w:rsidR="009316C1">
        <w:rPr>
          <w:rFonts w:cs="Arial"/>
          <w:noProof/>
        </w:rPr>
        <w:t>;</w:t>
      </w:r>
      <w:r w:rsidRPr="00176D37">
        <w:rPr>
          <w:rFonts w:cs="Arial"/>
        </w:rPr>
        <w:t xml:space="preserve"> </w:t>
      </w:r>
      <w:r w:rsidR="009316C1" w:rsidRPr="00176D37">
        <w:rPr>
          <w:rFonts w:cs="Arial"/>
          <w:noProof/>
        </w:rPr>
        <w:t>Sardar 2018)</w:t>
      </w:r>
      <w:r w:rsidRPr="00176D37">
        <w:rPr>
          <w:rFonts w:cs="Arial"/>
        </w:rPr>
        <w:t xml:space="preserve">. </w:t>
      </w:r>
    </w:p>
    <w:p w14:paraId="72B8ED0D" w14:textId="69797F3E" w:rsidR="00E9700E" w:rsidRPr="00176D37" w:rsidRDefault="00E9700E" w:rsidP="00E93EF1">
      <w:pPr>
        <w:pStyle w:val="Body"/>
        <w:rPr>
          <w:rFonts w:cs="Arial"/>
        </w:rPr>
      </w:pPr>
      <w:r w:rsidRPr="00176D37">
        <w:rPr>
          <w:rFonts w:cs="Arial"/>
        </w:rPr>
        <w:t>Adaptive alerts, which are decision support tools that combine individual patient information and local guidelines</w:t>
      </w:r>
      <w:r w:rsidR="009316C1">
        <w:rPr>
          <w:rFonts w:cs="Arial"/>
        </w:rPr>
        <w:t>,</w:t>
      </w:r>
      <w:r w:rsidRPr="00176D37">
        <w:rPr>
          <w:rFonts w:cs="Arial"/>
        </w:rPr>
        <w:t xml:space="preserve"> provide the most assistance. By using data within the LIS, alerts are triggered in the CPOE system at the time of ordering. Individualised recommendations are based on clinical (</w:t>
      </w:r>
      <w:r w:rsidR="009316C1">
        <w:rPr>
          <w:rFonts w:cs="Arial"/>
        </w:rPr>
        <w:t>for example,</w:t>
      </w:r>
      <w:r w:rsidRPr="00176D37">
        <w:rPr>
          <w:rFonts w:cs="Arial"/>
        </w:rPr>
        <w:t xml:space="preserve"> patient vital signs) and/or laboratory parameters. The alert can also display a link the clinician could follow to obtain more information about the evidence supporting the local transfusion guidelines. This results in the EMR supporting appropriate transfusion practice to improve the quality and value of healthcare </w:t>
      </w:r>
      <w:r w:rsidR="009316C1" w:rsidRPr="00176D37">
        <w:rPr>
          <w:rFonts w:cs="Arial"/>
          <w:noProof/>
        </w:rPr>
        <w:t>(Dunbar 2014</w:t>
      </w:r>
      <w:r w:rsidR="009316C1">
        <w:rPr>
          <w:rFonts w:cs="Arial"/>
          <w:noProof/>
        </w:rPr>
        <w:t>;</w:t>
      </w:r>
      <w:r w:rsidRPr="00176D37">
        <w:rPr>
          <w:rFonts w:cs="Arial"/>
        </w:rPr>
        <w:t xml:space="preserve"> </w:t>
      </w:r>
      <w:r w:rsidR="009316C1" w:rsidRPr="00176D37">
        <w:rPr>
          <w:rFonts w:cs="Arial"/>
          <w:noProof/>
        </w:rPr>
        <w:t>Sadana 2018)</w:t>
      </w:r>
      <w:r w:rsidRPr="00176D37">
        <w:rPr>
          <w:rFonts w:cs="Arial"/>
        </w:rPr>
        <w:t xml:space="preserve">. </w:t>
      </w:r>
    </w:p>
    <w:p w14:paraId="3B6B0448" w14:textId="0DA3573A" w:rsidR="00E9700E" w:rsidRPr="00176D37" w:rsidRDefault="00E9700E" w:rsidP="00E93EF1">
      <w:pPr>
        <w:pStyle w:val="Body"/>
        <w:rPr>
          <w:rFonts w:cs="Arial"/>
        </w:rPr>
      </w:pPr>
      <w:r w:rsidRPr="00176D37">
        <w:rPr>
          <w:rFonts w:cs="Arial"/>
        </w:rPr>
        <w:t>Successful decision support tools included as part of the clinician workflow at the time and location of decision</w:t>
      </w:r>
      <w:r w:rsidR="00B4635A">
        <w:rPr>
          <w:rFonts w:cs="Arial"/>
        </w:rPr>
        <w:t>-</w:t>
      </w:r>
      <w:r w:rsidRPr="00176D37">
        <w:rPr>
          <w:rFonts w:cs="Arial"/>
        </w:rPr>
        <w:t xml:space="preserve">making, reduce the need for additional clinician data entry. As they allow for the opportunity to cancel the order based on the adaptive alert, they also provide a recommendation, not just an assessment </w:t>
      </w:r>
      <w:r w:rsidR="005C6769" w:rsidRPr="00176D37">
        <w:rPr>
          <w:rFonts w:cs="Arial"/>
          <w:noProof/>
        </w:rPr>
        <w:t>(Dunbar 2014)</w:t>
      </w:r>
      <w:r w:rsidRPr="00176D37">
        <w:rPr>
          <w:rFonts w:cs="Arial"/>
        </w:rPr>
        <w:t xml:space="preserve">. </w:t>
      </w:r>
    </w:p>
    <w:p w14:paraId="1390220A" w14:textId="4E5600BF" w:rsidR="00E9700E" w:rsidRDefault="00E9700E" w:rsidP="00E93EF1">
      <w:pPr>
        <w:pStyle w:val="Body"/>
        <w:rPr>
          <w:rFonts w:cs="Arial"/>
        </w:rPr>
      </w:pPr>
      <w:bookmarkStart w:id="335" w:name="_Hlk100569334"/>
      <w:r w:rsidRPr="00176D37">
        <w:rPr>
          <w:rFonts w:cs="Arial"/>
        </w:rPr>
        <w:t>The audit results show decision support for blood management and transfusion practice has gained little traction. There is good evidence of its value and therefore remains an opportunity for improvements within most health services.</w:t>
      </w:r>
    </w:p>
    <w:p w14:paraId="54676D76" w14:textId="77777777" w:rsidR="00BE575C" w:rsidRDefault="00BE575C" w:rsidP="00E93EF1">
      <w:pPr>
        <w:pStyle w:val="Body"/>
        <w:rPr>
          <w:rFonts w:cs="Arial"/>
        </w:rPr>
      </w:pPr>
    </w:p>
    <w:tbl>
      <w:tblPr>
        <w:tblStyle w:val="TableGrid"/>
        <w:tblW w:w="0" w:type="auto"/>
        <w:tblLook w:val="04A0" w:firstRow="1" w:lastRow="0" w:firstColumn="1" w:lastColumn="0" w:noHBand="0" w:noVBand="1"/>
      </w:tblPr>
      <w:tblGrid>
        <w:gridCol w:w="9288"/>
      </w:tblGrid>
      <w:tr w:rsidR="005C6769" w14:paraId="4EF988D1" w14:textId="77777777" w:rsidTr="009742AB">
        <w:tc>
          <w:tcPr>
            <w:tcW w:w="9288" w:type="dxa"/>
            <w:tcBorders>
              <w:left w:val="nil"/>
              <w:right w:val="nil"/>
            </w:tcBorders>
          </w:tcPr>
          <w:p w14:paraId="6C5226FD" w14:textId="19CD8D06" w:rsidR="005C6769" w:rsidRPr="005C6769" w:rsidRDefault="005C6769" w:rsidP="009742AB">
            <w:pPr>
              <w:pStyle w:val="Quotetext"/>
            </w:pPr>
            <w:r w:rsidRPr="005C6769">
              <w:lastRenderedPageBreak/>
              <w:t xml:space="preserve">Crispin et al. (2022) </w:t>
            </w:r>
            <w:r>
              <w:t>state</w:t>
            </w:r>
            <w:r w:rsidRPr="005C6769">
              <w:t xml:space="preserve">: </w:t>
            </w:r>
          </w:p>
          <w:p w14:paraId="26AE9785" w14:textId="7DA7CBE9" w:rsidR="005C6769" w:rsidRPr="005C6769" w:rsidRDefault="005C6769" w:rsidP="009742AB">
            <w:pPr>
              <w:pStyle w:val="Quotebullet2"/>
            </w:pPr>
            <w:r w:rsidRPr="005C6769">
              <w:t>Prescription of blood products through an EMR is an opportunity to offer decision support.</w:t>
            </w:r>
          </w:p>
          <w:p w14:paraId="12F79A78" w14:textId="29469458" w:rsidR="005C6769" w:rsidRPr="005C6769" w:rsidRDefault="005C6769" w:rsidP="009742AB">
            <w:pPr>
              <w:pStyle w:val="Quotebullet2"/>
            </w:pPr>
            <w:r w:rsidRPr="005C6769">
              <w:t>Decision support, standardised prescription protocols and product information need to be regularly reviewed and updated by transfusion professionals.</w:t>
            </w:r>
          </w:p>
          <w:p w14:paraId="256C8365" w14:textId="77777777" w:rsidR="005C6769" w:rsidRDefault="005C6769" w:rsidP="00E93EF1">
            <w:pPr>
              <w:pStyle w:val="Body"/>
              <w:rPr>
                <w:rFonts w:cs="Arial"/>
              </w:rPr>
            </w:pPr>
          </w:p>
        </w:tc>
      </w:tr>
    </w:tbl>
    <w:p w14:paraId="72303A53" w14:textId="77777777" w:rsidR="00E9700E" w:rsidRPr="00E93EF1" w:rsidRDefault="00E9700E" w:rsidP="00E93EF1">
      <w:pPr>
        <w:pStyle w:val="Heading3"/>
      </w:pPr>
      <w:bookmarkStart w:id="336" w:name="_Toc101285701"/>
      <w:bookmarkStart w:id="337" w:name="_Toc101947723"/>
      <w:bookmarkEnd w:id="335"/>
      <w:r w:rsidRPr="00E93EF1">
        <w:t>Education and feedback</w:t>
      </w:r>
      <w:bookmarkEnd w:id="336"/>
      <w:bookmarkEnd w:id="337"/>
    </w:p>
    <w:p w14:paraId="3F3A758B" w14:textId="6B9C20C1" w:rsidR="00E9700E" w:rsidRPr="00176D37" w:rsidRDefault="00E9700E" w:rsidP="00E93EF1">
      <w:pPr>
        <w:pStyle w:val="Body"/>
      </w:pPr>
      <w:r w:rsidRPr="00176D37">
        <w:t xml:space="preserve">EMRs provide the unique opportunity to analyse readily available transfusion data to ensure that transfusion practice is consistent with evidence-based recommendations. Education or regular feedback can then be targeted to specific clinicians or units if practice is outside of guidelines </w:t>
      </w:r>
      <w:r w:rsidR="005C6769" w:rsidRPr="00176D37">
        <w:rPr>
          <w:noProof/>
        </w:rPr>
        <w:t>(Dunbar 2014</w:t>
      </w:r>
      <w:r w:rsidR="005C6769">
        <w:rPr>
          <w:noProof/>
        </w:rPr>
        <w:t>;</w:t>
      </w:r>
      <w:r w:rsidRPr="00176D37">
        <w:t xml:space="preserve"> </w:t>
      </w:r>
      <w:r w:rsidR="005C6769" w:rsidRPr="00176D37">
        <w:rPr>
          <w:noProof/>
        </w:rPr>
        <w:t>Swart 2020</w:t>
      </w:r>
      <w:r w:rsidR="005C6769">
        <w:rPr>
          <w:noProof/>
        </w:rPr>
        <w:t>;</w:t>
      </w:r>
      <w:r w:rsidRPr="00176D37">
        <w:t xml:space="preserve"> </w:t>
      </w:r>
      <w:r w:rsidR="005C6769" w:rsidRPr="00176D37">
        <w:rPr>
          <w:noProof/>
        </w:rPr>
        <w:t>Staples 2020</w:t>
      </w:r>
      <w:r w:rsidR="005C6769">
        <w:rPr>
          <w:noProof/>
        </w:rPr>
        <w:t>;</w:t>
      </w:r>
      <w:r w:rsidRPr="00176D37">
        <w:t xml:space="preserve"> </w:t>
      </w:r>
      <w:r w:rsidR="005C6769" w:rsidRPr="00176D37">
        <w:rPr>
          <w:noProof/>
        </w:rPr>
        <w:t>Sadana 2018)</w:t>
      </w:r>
      <w:r w:rsidRPr="00176D37">
        <w:t xml:space="preserve">. The role of targeted education is to educate those who might be unaware of the evidence supporting restrictive transfusion, and to create buy-in for adherence to the guidelines </w:t>
      </w:r>
      <w:r w:rsidR="00DC7A6B" w:rsidRPr="00176D37">
        <w:rPr>
          <w:noProof/>
        </w:rPr>
        <w:t>(Sadana 2018)</w:t>
      </w:r>
      <w:r w:rsidR="00DC7A6B">
        <w:t>.</w:t>
      </w:r>
    </w:p>
    <w:p w14:paraId="40BC24D8" w14:textId="77777777" w:rsidR="00E9700E" w:rsidRPr="00E93EF1" w:rsidRDefault="00E9700E" w:rsidP="00E93EF1">
      <w:pPr>
        <w:pStyle w:val="Heading3"/>
      </w:pPr>
      <w:bookmarkStart w:id="338" w:name="_Toc101285702"/>
      <w:bookmarkStart w:id="339" w:name="_Toc101947724"/>
      <w:r w:rsidRPr="00E93EF1">
        <w:t>Potential errors</w:t>
      </w:r>
      <w:bookmarkEnd w:id="338"/>
      <w:bookmarkEnd w:id="339"/>
    </w:p>
    <w:p w14:paraId="0CDE5A06" w14:textId="04FA5A2D" w:rsidR="00E9700E" w:rsidRPr="00176D37" w:rsidRDefault="00E9700E" w:rsidP="00E93EF1">
      <w:pPr>
        <w:pStyle w:val="Body"/>
      </w:pPr>
      <w:r w:rsidRPr="00176D37">
        <w:t xml:space="preserve">Decision support tools may lead to errors of omission (individuals miss important data because the system does not prompt them to notice the information) or errors of commission – automation bias (individuals do what the system tells or allows them to do, even when it contradicts their training and other available information) </w:t>
      </w:r>
      <w:r w:rsidR="00185B9F" w:rsidRPr="00176D37">
        <w:rPr>
          <w:noProof/>
        </w:rPr>
        <w:t>(Bowman</w:t>
      </w:r>
      <w:r w:rsidR="00185B9F">
        <w:rPr>
          <w:noProof/>
        </w:rPr>
        <w:t xml:space="preserve"> </w:t>
      </w:r>
      <w:r w:rsidR="00185B9F" w:rsidRPr="00176D37">
        <w:rPr>
          <w:noProof/>
        </w:rPr>
        <w:t>2013)</w:t>
      </w:r>
      <w:r w:rsidRPr="00176D37">
        <w:t>.</w:t>
      </w:r>
    </w:p>
    <w:p w14:paraId="49304CB4" w14:textId="7E311268" w:rsidR="00E9700E" w:rsidRPr="00176D37" w:rsidRDefault="00E9700E" w:rsidP="00E93EF1">
      <w:pPr>
        <w:pStyle w:val="Body"/>
      </w:pPr>
      <w:r w:rsidRPr="00176D37">
        <w:t xml:space="preserve">Automation bias can be reduced when individuals understand they </w:t>
      </w:r>
      <w:r w:rsidR="00185B9F">
        <w:t>are</w:t>
      </w:r>
      <w:r w:rsidRPr="00176D37">
        <w:t xml:space="preserve"> personally accountable for their clinical decisions. Decision support tools provide recommendations, and clinicians need to know when it is appropriate to follow the advice and when it should be overridden </w:t>
      </w:r>
      <w:r w:rsidR="00185B9F" w:rsidRPr="00176D37">
        <w:rPr>
          <w:noProof/>
        </w:rPr>
        <w:t>(Bowman 2013)</w:t>
      </w:r>
      <w:r w:rsidRPr="00176D37">
        <w:t>.</w:t>
      </w:r>
      <w:r w:rsidR="00660A30" w:rsidRPr="00660A30">
        <w:t xml:space="preserve"> This</w:t>
      </w:r>
      <w:r w:rsidR="00660A30">
        <w:t>,</w:t>
      </w:r>
      <w:r w:rsidR="00660A30" w:rsidRPr="00660A30">
        <w:t xml:space="preserve"> however</w:t>
      </w:r>
      <w:r w:rsidR="00660A30">
        <w:t>,</w:t>
      </w:r>
      <w:r w:rsidR="00660A30" w:rsidRPr="00660A30">
        <w:t xml:space="preserve"> may be difficult for junior staff that may be time and knowledge pressured.</w:t>
      </w:r>
    </w:p>
    <w:p w14:paraId="5CFB7BE4" w14:textId="77777777" w:rsidR="00E9700E" w:rsidRPr="00E93EF1" w:rsidRDefault="00E9700E" w:rsidP="00E93EF1">
      <w:pPr>
        <w:pStyle w:val="Heading3"/>
      </w:pPr>
      <w:bookmarkStart w:id="340" w:name="_Toc101285703"/>
      <w:bookmarkStart w:id="341" w:name="_Toc101947725"/>
      <w:r w:rsidRPr="00E93EF1">
        <w:t>Alert fatigue</w:t>
      </w:r>
      <w:bookmarkEnd w:id="340"/>
      <w:bookmarkEnd w:id="341"/>
    </w:p>
    <w:p w14:paraId="36CCC640" w14:textId="7F8B791C" w:rsidR="00E9700E" w:rsidRPr="00176D37" w:rsidRDefault="00E9700E" w:rsidP="00E93EF1">
      <w:pPr>
        <w:pStyle w:val="Body"/>
      </w:pPr>
      <w:r w:rsidRPr="00176D37">
        <w:t xml:space="preserve">Decision support tools must be designed to maximise the impact of alerts on the user. Users need to be aware of clinically significant errors or potential adverse events without being overwhelmed with insignificant alerts, which result in alert fatigue </w:t>
      </w:r>
      <w:r w:rsidR="005F5EA5" w:rsidRPr="00176D37">
        <w:rPr>
          <w:noProof/>
        </w:rPr>
        <w:t>(Bowman 2013)</w:t>
      </w:r>
      <w:r w:rsidRPr="00176D37">
        <w:t xml:space="preserve">. End user input into decision support tools and monitoring the incidence of overrides can assist with maximising their impact. Healthcare professionals who have been affected by alert fatigue or practitioner bias have suggested that critical processes should stop progression until serious errors are corrected </w:t>
      </w:r>
      <w:r w:rsidR="005F5EA5" w:rsidRPr="00176D37">
        <w:rPr>
          <w:noProof/>
        </w:rPr>
        <w:t>(Crispin 2022)</w:t>
      </w:r>
      <w:r w:rsidRPr="00176D37">
        <w:t>.</w:t>
      </w:r>
    </w:p>
    <w:p w14:paraId="68DE58B8" w14:textId="77777777" w:rsidR="00E9700E" w:rsidRPr="00E93EF1" w:rsidRDefault="00E9700E" w:rsidP="00E93EF1">
      <w:pPr>
        <w:pStyle w:val="Heading2"/>
      </w:pPr>
      <w:bookmarkStart w:id="342" w:name="_Toc101285704"/>
      <w:bookmarkStart w:id="343" w:name="_Toc101947726"/>
      <w:bookmarkStart w:id="344" w:name="_Toc104975935"/>
      <w:r w:rsidRPr="00E93EF1">
        <w:t>EMR effect on aspects of transfusion</w:t>
      </w:r>
      <w:bookmarkEnd w:id="342"/>
      <w:bookmarkEnd w:id="343"/>
      <w:bookmarkEnd w:id="344"/>
      <w:r w:rsidRPr="00E93EF1">
        <w:t xml:space="preserve"> </w:t>
      </w:r>
    </w:p>
    <w:p w14:paraId="34FE7205" w14:textId="2FF8786A" w:rsidR="00E9700E" w:rsidRPr="00176D37" w:rsidRDefault="00E9700E" w:rsidP="00E93EF1">
      <w:pPr>
        <w:pStyle w:val="Body"/>
      </w:pPr>
      <w:r w:rsidRPr="00176D37">
        <w:t>A well</w:t>
      </w:r>
      <w:r w:rsidR="005F5EA5">
        <w:t>-</w:t>
      </w:r>
      <w:r w:rsidRPr="00176D37">
        <w:t>designed EMR has the potential to improve patient blood management and safety, although the literature on this is sparce.</w:t>
      </w:r>
    </w:p>
    <w:p w14:paraId="2069083A" w14:textId="16F9C375" w:rsidR="00E9700E" w:rsidRPr="00176D37" w:rsidRDefault="00E9700E" w:rsidP="00E93EF1">
      <w:pPr>
        <w:pStyle w:val="Body"/>
      </w:pPr>
      <w:r w:rsidRPr="00176D37">
        <w:t>Respondents from all craft groups at health services with an EMR</w:t>
      </w:r>
      <w:r w:rsidR="00BE1BE8">
        <w:t xml:space="preserve"> (</w:t>
      </w:r>
      <w:r w:rsidR="00F751A0">
        <w:t xml:space="preserve">n = </w:t>
      </w:r>
      <w:r w:rsidR="00BE1BE8">
        <w:t>17)</w:t>
      </w:r>
      <w:r w:rsidRPr="00176D37">
        <w:t xml:space="preserve"> were asked how the EMR has affected blood management/transfusion practices (</w:t>
      </w:r>
      <w:r w:rsidRPr="00176D37">
        <w:fldChar w:fldCharType="begin"/>
      </w:r>
      <w:r w:rsidRPr="00176D37">
        <w:instrText xml:space="preserve"> REF _Ref100675630 \h  \* MERGEFORMAT </w:instrText>
      </w:r>
      <w:r w:rsidRPr="00176D37">
        <w:fldChar w:fldCharType="separate"/>
      </w:r>
      <w:r w:rsidR="00E73E2F" w:rsidRPr="00176D37">
        <w:t xml:space="preserve">Table </w:t>
      </w:r>
      <w:r w:rsidR="00E73E2F">
        <w:rPr>
          <w:noProof/>
        </w:rPr>
        <w:t>36</w:t>
      </w:r>
      <w:r w:rsidRPr="00176D37">
        <w:fldChar w:fldCharType="end"/>
      </w:r>
      <w:r w:rsidRPr="00176D37">
        <w:t>).</w:t>
      </w:r>
    </w:p>
    <w:p w14:paraId="786D6DD0" w14:textId="71776E3F" w:rsidR="00E9700E" w:rsidRPr="00176D37" w:rsidRDefault="00E9700E" w:rsidP="00E93EF1">
      <w:pPr>
        <w:pStyle w:val="Tablecaption"/>
      </w:pPr>
      <w:bookmarkStart w:id="345" w:name="_Ref100675630"/>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36</w:t>
      </w:r>
      <w:r w:rsidR="00F751A0">
        <w:rPr>
          <w:noProof/>
        </w:rPr>
        <w:fldChar w:fldCharType="end"/>
      </w:r>
      <w:bookmarkEnd w:id="345"/>
      <w:r w:rsidRPr="00176D37">
        <w:t>: EMR effect on various aspects of transfusion</w:t>
      </w:r>
      <w:r w:rsidRPr="00176D37">
        <w:rPr>
          <w:rStyle w:val="FootnoteReference"/>
          <w:rFonts w:cs="Arial"/>
          <w:sz w:val="22"/>
          <w:szCs w:val="22"/>
        </w:rPr>
        <w:footnoteReference w:id="30"/>
      </w:r>
      <w:r w:rsidRPr="00176D37">
        <w:t xml:space="preserve"> </w:t>
      </w:r>
    </w:p>
    <w:tbl>
      <w:tblPr>
        <w:tblStyle w:val="TableGrid"/>
        <w:tblW w:w="0" w:type="auto"/>
        <w:tblLook w:val="04A0" w:firstRow="1" w:lastRow="0" w:firstColumn="1" w:lastColumn="0" w:noHBand="0" w:noVBand="1"/>
      </w:tblPr>
      <w:tblGrid>
        <w:gridCol w:w="2141"/>
        <w:gridCol w:w="1850"/>
        <w:gridCol w:w="1816"/>
        <w:gridCol w:w="1730"/>
        <w:gridCol w:w="1479"/>
      </w:tblGrid>
      <w:tr w:rsidR="00E9700E" w:rsidRPr="00176D37" w14:paraId="7E6F017C" w14:textId="77777777" w:rsidTr="009742AB">
        <w:trPr>
          <w:tblHeader/>
        </w:trPr>
        <w:tc>
          <w:tcPr>
            <w:tcW w:w="2141" w:type="dxa"/>
          </w:tcPr>
          <w:p w14:paraId="191AAF1D" w14:textId="3E2E4BFF" w:rsidR="00E9700E" w:rsidRPr="00176D37" w:rsidRDefault="005F5EA5" w:rsidP="00E93EF1">
            <w:pPr>
              <w:pStyle w:val="Tablecolhead"/>
            </w:pPr>
            <w:r>
              <w:t>Aspect of transfusion</w:t>
            </w:r>
          </w:p>
        </w:tc>
        <w:tc>
          <w:tcPr>
            <w:tcW w:w="1850" w:type="dxa"/>
          </w:tcPr>
          <w:p w14:paraId="2FBCAA67" w14:textId="77777777" w:rsidR="00E9700E" w:rsidRPr="00176D37" w:rsidRDefault="00E9700E" w:rsidP="00E93EF1">
            <w:pPr>
              <w:pStyle w:val="Tablecolhead"/>
            </w:pPr>
            <w:r w:rsidRPr="00176D37">
              <w:t>Decreased</w:t>
            </w:r>
          </w:p>
          <w:p w14:paraId="73E1F41A" w14:textId="77777777" w:rsidR="00E9700E" w:rsidRPr="00176D37" w:rsidRDefault="00E9700E" w:rsidP="00E93EF1">
            <w:pPr>
              <w:pStyle w:val="Tablecolhead"/>
              <w:rPr>
                <w:bCs/>
              </w:rPr>
            </w:pPr>
            <w:r w:rsidRPr="00176D37">
              <w:rPr>
                <w:bCs/>
              </w:rPr>
              <w:t>n (%)</w:t>
            </w:r>
          </w:p>
        </w:tc>
        <w:tc>
          <w:tcPr>
            <w:tcW w:w="1816" w:type="dxa"/>
          </w:tcPr>
          <w:p w14:paraId="3E5E7C9C" w14:textId="77777777" w:rsidR="00E9700E" w:rsidRPr="00176D37" w:rsidRDefault="00E9700E" w:rsidP="00E93EF1">
            <w:pPr>
              <w:pStyle w:val="Tablecolhead"/>
            </w:pPr>
            <w:r w:rsidRPr="00176D37">
              <w:t>Increased</w:t>
            </w:r>
          </w:p>
          <w:p w14:paraId="49DF4D8E" w14:textId="77777777" w:rsidR="00E9700E" w:rsidRPr="00176D37" w:rsidRDefault="00E9700E" w:rsidP="00E93EF1">
            <w:pPr>
              <w:pStyle w:val="Tablecolhead"/>
            </w:pPr>
            <w:r w:rsidRPr="00176D37">
              <w:rPr>
                <w:bCs/>
              </w:rPr>
              <w:t>n (%)</w:t>
            </w:r>
          </w:p>
        </w:tc>
        <w:tc>
          <w:tcPr>
            <w:tcW w:w="1730" w:type="dxa"/>
          </w:tcPr>
          <w:p w14:paraId="16AF151C" w14:textId="77777777" w:rsidR="00E9700E" w:rsidRPr="00176D37" w:rsidRDefault="00E9700E" w:rsidP="00E93EF1">
            <w:pPr>
              <w:pStyle w:val="Tablecolhead"/>
            </w:pPr>
            <w:r w:rsidRPr="00176D37">
              <w:t>No change</w:t>
            </w:r>
          </w:p>
          <w:p w14:paraId="55C98273" w14:textId="77777777" w:rsidR="00E9700E" w:rsidRPr="00176D37" w:rsidRDefault="00E9700E" w:rsidP="00E93EF1">
            <w:pPr>
              <w:pStyle w:val="Tablecolhead"/>
            </w:pPr>
            <w:r w:rsidRPr="00176D37">
              <w:rPr>
                <w:bCs/>
              </w:rPr>
              <w:t>n (%)</w:t>
            </w:r>
          </w:p>
        </w:tc>
        <w:tc>
          <w:tcPr>
            <w:tcW w:w="1479" w:type="dxa"/>
          </w:tcPr>
          <w:p w14:paraId="2E9E6738" w14:textId="77777777" w:rsidR="00E9700E" w:rsidRPr="00176D37" w:rsidRDefault="00E9700E" w:rsidP="00E93EF1">
            <w:pPr>
              <w:pStyle w:val="Tablecolhead"/>
            </w:pPr>
            <w:r w:rsidRPr="00176D37">
              <w:t>Unsure/ N/A</w:t>
            </w:r>
          </w:p>
          <w:p w14:paraId="0DEAA956" w14:textId="77777777" w:rsidR="00E9700E" w:rsidRPr="00176D37" w:rsidRDefault="00E9700E" w:rsidP="00E93EF1">
            <w:pPr>
              <w:pStyle w:val="Tablecolhead"/>
            </w:pPr>
            <w:r w:rsidRPr="00176D37">
              <w:rPr>
                <w:bCs/>
              </w:rPr>
              <w:t>n (%)</w:t>
            </w:r>
          </w:p>
        </w:tc>
      </w:tr>
      <w:tr w:rsidR="00E9700E" w:rsidRPr="00176D37" w14:paraId="23A5C07B" w14:textId="77777777" w:rsidTr="00A173F8">
        <w:tc>
          <w:tcPr>
            <w:tcW w:w="2141" w:type="dxa"/>
          </w:tcPr>
          <w:p w14:paraId="0398E990" w14:textId="77777777" w:rsidR="00E9700E" w:rsidRPr="00176D37" w:rsidRDefault="00E9700E" w:rsidP="00E93EF1">
            <w:pPr>
              <w:pStyle w:val="Tabletext"/>
            </w:pPr>
            <w:r w:rsidRPr="00176D37">
              <w:t>Number of RBC transfusions</w:t>
            </w:r>
          </w:p>
        </w:tc>
        <w:tc>
          <w:tcPr>
            <w:tcW w:w="1850" w:type="dxa"/>
          </w:tcPr>
          <w:p w14:paraId="1C44E200" w14:textId="77777777" w:rsidR="00E9700E" w:rsidRPr="00176D37" w:rsidRDefault="00E9700E" w:rsidP="009742AB">
            <w:pPr>
              <w:pStyle w:val="Tabletext"/>
              <w:jc w:val="right"/>
            </w:pPr>
            <w:r w:rsidRPr="00176D37">
              <w:t>-</w:t>
            </w:r>
          </w:p>
        </w:tc>
        <w:tc>
          <w:tcPr>
            <w:tcW w:w="1816" w:type="dxa"/>
          </w:tcPr>
          <w:p w14:paraId="199EE5AE" w14:textId="77777777" w:rsidR="00E9700E" w:rsidRPr="00176D37" w:rsidRDefault="00E9700E" w:rsidP="009742AB">
            <w:pPr>
              <w:pStyle w:val="Tabletext"/>
              <w:jc w:val="right"/>
            </w:pPr>
            <w:r w:rsidRPr="00176D37">
              <w:t>1 (6%)</w:t>
            </w:r>
          </w:p>
        </w:tc>
        <w:tc>
          <w:tcPr>
            <w:tcW w:w="1730" w:type="dxa"/>
          </w:tcPr>
          <w:p w14:paraId="7FDE0937" w14:textId="77777777" w:rsidR="00E9700E" w:rsidRPr="00176D37" w:rsidRDefault="00E9700E" w:rsidP="009742AB">
            <w:pPr>
              <w:pStyle w:val="Tabletext"/>
              <w:jc w:val="right"/>
            </w:pPr>
            <w:r w:rsidRPr="00176D37">
              <w:t>13 (76%)</w:t>
            </w:r>
          </w:p>
        </w:tc>
        <w:tc>
          <w:tcPr>
            <w:tcW w:w="1479" w:type="dxa"/>
          </w:tcPr>
          <w:p w14:paraId="04148E5A" w14:textId="77777777" w:rsidR="00E9700E" w:rsidRPr="00176D37" w:rsidRDefault="00E9700E" w:rsidP="009742AB">
            <w:pPr>
              <w:pStyle w:val="Tabletext"/>
              <w:jc w:val="right"/>
            </w:pPr>
            <w:r w:rsidRPr="00176D37">
              <w:t>3 (18%)</w:t>
            </w:r>
          </w:p>
        </w:tc>
      </w:tr>
      <w:tr w:rsidR="00E9700E" w:rsidRPr="00176D37" w14:paraId="52BCF6C0" w14:textId="77777777" w:rsidTr="00A173F8">
        <w:tc>
          <w:tcPr>
            <w:tcW w:w="2141" w:type="dxa"/>
          </w:tcPr>
          <w:p w14:paraId="28D5E17D" w14:textId="77777777" w:rsidR="00E9700E" w:rsidRPr="00176D37" w:rsidRDefault="00E9700E" w:rsidP="00E93EF1">
            <w:pPr>
              <w:pStyle w:val="Tabletext"/>
            </w:pPr>
            <w:r w:rsidRPr="00176D37">
              <w:t>Single unit transfusions</w:t>
            </w:r>
          </w:p>
        </w:tc>
        <w:tc>
          <w:tcPr>
            <w:tcW w:w="1850" w:type="dxa"/>
          </w:tcPr>
          <w:p w14:paraId="303831BB" w14:textId="77777777" w:rsidR="00E9700E" w:rsidRPr="00176D37" w:rsidRDefault="00E9700E" w:rsidP="009742AB">
            <w:pPr>
              <w:pStyle w:val="Tabletext"/>
              <w:jc w:val="right"/>
            </w:pPr>
            <w:r w:rsidRPr="00176D37">
              <w:t>1 (6%)</w:t>
            </w:r>
          </w:p>
        </w:tc>
        <w:tc>
          <w:tcPr>
            <w:tcW w:w="1816" w:type="dxa"/>
          </w:tcPr>
          <w:p w14:paraId="76D8AB0C" w14:textId="77777777" w:rsidR="00E9700E" w:rsidRPr="00176D37" w:rsidRDefault="00E9700E" w:rsidP="009742AB">
            <w:pPr>
              <w:pStyle w:val="Tabletext"/>
              <w:jc w:val="right"/>
            </w:pPr>
            <w:r w:rsidRPr="00176D37">
              <w:t>2 (12%)</w:t>
            </w:r>
          </w:p>
        </w:tc>
        <w:tc>
          <w:tcPr>
            <w:tcW w:w="1730" w:type="dxa"/>
          </w:tcPr>
          <w:p w14:paraId="7126DC93" w14:textId="77777777" w:rsidR="00E9700E" w:rsidRPr="00176D37" w:rsidRDefault="00E9700E" w:rsidP="009742AB">
            <w:pPr>
              <w:pStyle w:val="Tabletext"/>
              <w:jc w:val="right"/>
            </w:pPr>
            <w:r w:rsidRPr="00176D37">
              <w:t>10 (59%)</w:t>
            </w:r>
          </w:p>
        </w:tc>
        <w:tc>
          <w:tcPr>
            <w:tcW w:w="1479" w:type="dxa"/>
          </w:tcPr>
          <w:p w14:paraId="7AE8DEEC" w14:textId="77777777" w:rsidR="00E9700E" w:rsidRPr="00176D37" w:rsidRDefault="00E9700E" w:rsidP="009742AB">
            <w:pPr>
              <w:pStyle w:val="Tabletext"/>
              <w:jc w:val="right"/>
            </w:pPr>
            <w:r w:rsidRPr="00176D37">
              <w:t>4 (24%)</w:t>
            </w:r>
          </w:p>
        </w:tc>
      </w:tr>
      <w:tr w:rsidR="00E9700E" w:rsidRPr="00176D37" w14:paraId="494D9268" w14:textId="77777777" w:rsidTr="00A173F8">
        <w:tc>
          <w:tcPr>
            <w:tcW w:w="2141" w:type="dxa"/>
          </w:tcPr>
          <w:p w14:paraId="3652F6B2" w14:textId="77777777" w:rsidR="00E9700E" w:rsidRPr="00176D37" w:rsidRDefault="00E9700E" w:rsidP="00E93EF1">
            <w:pPr>
              <w:pStyle w:val="Tabletext"/>
            </w:pPr>
            <w:r w:rsidRPr="00176D37">
              <w:t>Transfusion consent rate</w:t>
            </w:r>
          </w:p>
        </w:tc>
        <w:tc>
          <w:tcPr>
            <w:tcW w:w="1850" w:type="dxa"/>
          </w:tcPr>
          <w:p w14:paraId="27CEE76D" w14:textId="77777777" w:rsidR="00E9700E" w:rsidRPr="00176D37" w:rsidRDefault="00E9700E" w:rsidP="009742AB">
            <w:pPr>
              <w:pStyle w:val="Tabletext"/>
              <w:jc w:val="right"/>
            </w:pPr>
            <w:r w:rsidRPr="00176D37">
              <w:t>-</w:t>
            </w:r>
          </w:p>
        </w:tc>
        <w:tc>
          <w:tcPr>
            <w:tcW w:w="1816" w:type="dxa"/>
          </w:tcPr>
          <w:p w14:paraId="4791157E" w14:textId="77777777" w:rsidR="00E9700E" w:rsidRPr="00176D37" w:rsidRDefault="00E9700E" w:rsidP="009742AB">
            <w:pPr>
              <w:pStyle w:val="Tabletext"/>
              <w:jc w:val="right"/>
            </w:pPr>
            <w:r w:rsidRPr="00176D37">
              <w:t>3 (18%)</w:t>
            </w:r>
          </w:p>
        </w:tc>
        <w:tc>
          <w:tcPr>
            <w:tcW w:w="1730" w:type="dxa"/>
          </w:tcPr>
          <w:p w14:paraId="23F254E6" w14:textId="77777777" w:rsidR="00E9700E" w:rsidRPr="00176D37" w:rsidRDefault="00E9700E" w:rsidP="009742AB">
            <w:pPr>
              <w:pStyle w:val="Tabletext"/>
              <w:jc w:val="right"/>
            </w:pPr>
            <w:r w:rsidRPr="00176D37">
              <w:t>11 (65%)</w:t>
            </w:r>
          </w:p>
        </w:tc>
        <w:tc>
          <w:tcPr>
            <w:tcW w:w="1479" w:type="dxa"/>
          </w:tcPr>
          <w:p w14:paraId="22AFB208" w14:textId="77777777" w:rsidR="00E9700E" w:rsidRPr="00176D37" w:rsidRDefault="00E9700E" w:rsidP="009742AB">
            <w:pPr>
              <w:pStyle w:val="Tabletext"/>
              <w:jc w:val="right"/>
            </w:pPr>
            <w:r w:rsidRPr="00176D37">
              <w:t>3 (18%)</w:t>
            </w:r>
          </w:p>
        </w:tc>
      </w:tr>
      <w:tr w:rsidR="00E9700E" w:rsidRPr="00176D37" w14:paraId="5E166FE0" w14:textId="77777777" w:rsidTr="00A173F8">
        <w:tc>
          <w:tcPr>
            <w:tcW w:w="2141" w:type="dxa"/>
          </w:tcPr>
          <w:p w14:paraId="3FF66DC8" w14:textId="77777777" w:rsidR="00E9700E" w:rsidRPr="00176D37" w:rsidRDefault="00E9700E" w:rsidP="00E93EF1">
            <w:pPr>
              <w:pStyle w:val="Tabletext"/>
            </w:pPr>
            <w:r w:rsidRPr="00176D37">
              <w:t>Documented indication for transfusion</w:t>
            </w:r>
          </w:p>
        </w:tc>
        <w:tc>
          <w:tcPr>
            <w:tcW w:w="1850" w:type="dxa"/>
          </w:tcPr>
          <w:p w14:paraId="6BDE6EDD" w14:textId="77777777" w:rsidR="00E9700E" w:rsidRPr="00176D37" w:rsidRDefault="00E9700E" w:rsidP="009742AB">
            <w:pPr>
              <w:pStyle w:val="Tabletext"/>
              <w:jc w:val="right"/>
            </w:pPr>
            <w:r w:rsidRPr="00176D37">
              <w:t>-</w:t>
            </w:r>
          </w:p>
        </w:tc>
        <w:tc>
          <w:tcPr>
            <w:tcW w:w="1816" w:type="dxa"/>
          </w:tcPr>
          <w:p w14:paraId="4F5012FD" w14:textId="77777777" w:rsidR="00E9700E" w:rsidRPr="00176D37" w:rsidRDefault="00E9700E" w:rsidP="009742AB">
            <w:pPr>
              <w:pStyle w:val="Tabletext"/>
              <w:jc w:val="right"/>
            </w:pPr>
            <w:r w:rsidRPr="00176D37">
              <w:t>5 (29%)</w:t>
            </w:r>
          </w:p>
        </w:tc>
        <w:tc>
          <w:tcPr>
            <w:tcW w:w="1730" w:type="dxa"/>
          </w:tcPr>
          <w:p w14:paraId="4DF553BE" w14:textId="77777777" w:rsidR="00E9700E" w:rsidRPr="00176D37" w:rsidRDefault="00E9700E" w:rsidP="009742AB">
            <w:pPr>
              <w:pStyle w:val="Tabletext"/>
              <w:jc w:val="right"/>
            </w:pPr>
            <w:r w:rsidRPr="00176D37">
              <w:t>8 (47%)</w:t>
            </w:r>
          </w:p>
        </w:tc>
        <w:tc>
          <w:tcPr>
            <w:tcW w:w="1479" w:type="dxa"/>
          </w:tcPr>
          <w:p w14:paraId="579A8613" w14:textId="77777777" w:rsidR="00E9700E" w:rsidRPr="00176D37" w:rsidRDefault="00E9700E" w:rsidP="009742AB">
            <w:pPr>
              <w:pStyle w:val="Tabletext"/>
              <w:jc w:val="right"/>
            </w:pPr>
            <w:r w:rsidRPr="00176D37">
              <w:t>4 (24%)</w:t>
            </w:r>
          </w:p>
        </w:tc>
      </w:tr>
      <w:tr w:rsidR="00E9700E" w:rsidRPr="00176D37" w14:paraId="53B27A00" w14:textId="77777777" w:rsidTr="00A173F8">
        <w:tc>
          <w:tcPr>
            <w:tcW w:w="2141" w:type="dxa"/>
          </w:tcPr>
          <w:p w14:paraId="1DCED093" w14:textId="77777777" w:rsidR="00E9700E" w:rsidRPr="00176D37" w:rsidRDefault="00E9700E" w:rsidP="00E93EF1">
            <w:pPr>
              <w:pStyle w:val="Tabletext"/>
            </w:pPr>
            <w:r w:rsidRPr="00176D37">
              <w:t>Documentation of transfusion history</w:t>
            </w:r>
          </w:p>
        </w:tc>
        <w:tc>
          <w:tcPr>
            <w:tcW w:w="1850" w:type="dxa"/>
          </w:tcPr>
          <w:p w14:paraId="222455F8" w14:textId="77777777" w:rsidR="00E9700E" w:rsidRPr="00176D37" w:rsidRDefault="00E9700E" w:rsidP="009742AB">
            <w:pPr>
              <w:pStyle w:val="Tabletext"/>
              <w:jc w:val="right"/>
            </w:pPr>
            <w:r w:rsidRPr="00176D37">
              <w:t>-</w:t>
            </w:r>
          </w:p>
        </w:tc>
        <w:tc>
          <w:tcPr>
            <w:tcW w:w="1816" w:type="dxa"/>
          </w:tcPr>
          <w:p w14:paraId="6702D845" w14:textId="77777777" w:rsidR="00E9700E" w:rsidRPr="00176D37" w:rsidRDefault="00E9700E" w:rsidP="009742AB">
            <w:pPr>
              <w:pStyle w:val="Tabletext"/>
              <w:jc w:val="right"/>
            </w:pPr>
            <w:r w:rsidRPr="00176D37">
              <w:t>6 (35%)</w:t>
            </w:r>
          </w:p>
        </w:tc>
        <w:tc>
          <w:tcPr>
            <w:tcW w:w="1730" w:type="dxa"/>
          </w:tcPr>
          <w:p w14:paraId="732FAC59" w14:textId="77777777" w:rsidR="00E9700E" w:rsidRPr="00176D37" w:rsidRDefault="00E9700E" w:rsidP="009742AB">
            <w:pPr>
              <w:pStyle w:val="Tabletext"/>
              <w:jc w:val="right"/>
            </w:pPr>
            <w:r w:rsidRPr="00176D37">
              <w:t>7 (41%)</w:t>
            </w:r>
          </w:p>
        </w:tc>
        <w:tc>
          <w:tcPr>
            <w:tcW w:w="1479" w:type="dxa"/>
          </w:tcPr>
          <w:p w14:paraId="06F3D802" w14:textId="77777777" w:rsidR="00E9700E" w:rsidRPr="00176D37" w:rsidRDefault="00E9700E" w:rsidP="009742AB">
            <w:pPr>
              <w:pStyle w:val="Tabletext"/>
              <w:jc w:val="right"/>
            </w:pPr>
            <w:r w:rsidRPr="00176D37">
              <w:t>4 (24%)</w:t>
            </w:r>
          </w:p>
        </w:tc>
      </w:tr>
      <w:tr w:rsidR="00E9700E" w:rsidRPr="00176D37" w14:paraId="2EF6524E" w14:textId="77777777" w:rsidTr="00A173F8">
        <w:tc>
          <w:tcPr>
            <w:tcW w:w="2141" w:type="dxa"/>
          </w:tcPr>
          <w:p w14:paraId="00FF3176" w14:textId="77777777" w:rsidR="00E9700E" w:rsidRPr="00176D37" w:rsidRDefault="00E9700E" w:rsidP="00E93EF1">
            <w:pPr>
              <w:pStyle w:val="Tabletext"/>
            </w:pPr>
            <w:r w:rsidRPr="00176D37">
              <w:t>Rate of WBIT</w:t>
            </w:r>
          </w:p>
        </w:tc>
        <w:tc>
          <w:tcPr>
            <w:tcW w:w="1850" w:type="dxa"/>
          </w:tcPr>
          <w:p w14:paraId="59193F14" w14:textId="77777777" w:rsidR="00E9700E" w:rsidRPr="00176D37" w:rsidRDefault="00E9700E" w:rsidP="009742AB">
            <w:pPr>
              <w:pStyle w:val="Tabletext"/>
              <w:jc w:val="right"/>
            </w:pPr>
            <w:r w:rsidRPr="00176D37">
              <w:t>3 (18%)</w:t>
            </w:r>
          </w:p>
        </w:tc>
        <w:tc>
          <w:tcPr>
            <w:tcW w:w="1816" w:type="dxa"/>
          </w:tcPr>
          <w:p w14:paraId="3895B97C" w14:textId="77777777" w:rsidR="00E9700E" w:rsidRPr="00176D37" w:rsidRDefault="00E9700E" w:rsidP="009742AB">
            <w:pPr>
              <w:pStyle w:val="Tabletext"/>
              <w:jc w:val="right"/>
            </w:pPr>
            <w:r w:rsidRPr="00176D37">
              <w:t>2 (12%)</w:t>
            </w:r>
          </w:p>
        </w:tc>
        <w:tc>
          <w:tcPr>
            <w:tcW w:w="1730" w:type="dxa"/>
          </w:tcPr>
          <w:p w14:paraId="62F99978" w14:textId="77777777" w:rsidR="00E9700E" w:rsidRPr="00176D37" w:rsidRDefault="00E9700E" w:rsidP="009742AB">
            <w:pPr>
              <w:pStyle w:val="Tabletext"/>
              <w:jc w:val="right"/>
            </w:pPr>
            <w:r w:rsidRPr="00176D37">
              <w:t>9 (53%)</w:t>
            </w:r>
          </w:p>
        </w:tc>
        <w:tc>
          <w:tcPr>
            <w:tcW w:w="1479" w:type="dxa"/>
          </w:tcPr>
          <w:p w14:paraId="1C817F1E" w14:textId="77777777" w:rsidR="00E9700E" w:rsidRPr="00176D37" w:rsidRDefault="00E9700E" w:rsidP="009742AB">
            <w:pPr>
              <w:pStyle w:val="Tabletext"/>
              <w:jc w:val="right"/>
            </w:pPr>
            <w:r w:rsidRPr="00176D37">
              <w:t>3 (18%)</w:t>
            </w:r>
          </w:p>
        </w:tc>
      </w:tr>
      <w:tr w:rsidR="00E9700E" w:rsidRPr="00176D37" w14:paraId="7A13022D" w14:textId="77777777" w:rsidTr="00A173F8">
        <w:tc>
          <w:tcPr>
            <w:tcW w:w="2141" w:type="dxa"/>
          </w:tcPr>
          <w:p w14:paraId="3AC03ADA" w14:textId="77777777" w:rsidR="00E9700E" w:rsidRPr="00176D37" w:rsidRDefault="00E9700E" w:rsidP="00E93EF1">
            <w:pPr>
              <w:pStyle w:val="Tabletext"/>
            </w:pPr>
            <w:r w:rsidRPr="00176D37">
              <w:t>Rate of sample errors</w:t>
            </w:r>
          </w:p>
        </w:tc>
        <w:tc>
          <w:tcPr>
            <w:tcW w:w="1850" w:type="dxa"/>
          </w:tcPr>
          <w:p w14:paraId="7B9E7FBA" w14:textId="77777777" w:rsidR="00E9700E" w:rsidRPr="00176D37" w:rsidRDefault="00E9700E" w:rsidP="009742AB">
            <w:pPr>
              <w:pStyle w:val="Tabletext"/>
              <w:jc w:val="right"/>
            </w:pPr>
            <w:r w:rsidRPr="00176D37">
              <w:t>3 (18%)</w:t>
            </w:r>
          </w:p>
        </w:tc>
        <w:tc>
          <w:tcPr>
            <w:tcW w:w="1816" w:type="dxa"/>
          </w:tcPr>
          <w:p w14:paraId="0A970E2A" w14:textId="77777777" w:rsidR="00E9700E" w:rsidRPr="00176D37" w:rsidRDefault="00E9700E" w:rsidP="009742AB">
            <w:pPr>
              <w:pStyle w:val="Tabletext"/>
              <w:jc w:val="right"/>
            </w:pPr>
            <w:r w:rsidRPr="00176D37">
              <w:t>2 (12%)</w:t>
            </w:r>
          </w:p>
        </w:tc>
        <w:tc>
          <w:tcPr>
            <w:tcW w:w="1730" w:type="dxa"/>
          </w:tcPr>
          <w:p w14:paraId="60072404" w14:textId="77777777" w:rsidR="00E9700E" w:rsidRPr="00176D37" w:rsidRDefault="00E9700E" w:rsidP="009742AB">
            <w:pPr>
              <w:pStyle w:val="Tabletext"/>
              <w:jc w:val="right"/>
            </w:pPr>
            <w:r w:rsidRPr="00176D37">
              <w:t>8 (47%)</w:t>
            </w:r>
          </w:p>
        </w:tc>
        <w:tc>
          <w:tcPr>
            <w:tcW w:w="1479" w:type="dxa"/>
          </w:tcPr>
          <w:p w14:paraId="0CFDA797" w14:textId="77777777" w:rsidR="00E9700E" w:rsidRPr="00176D37" w:rsidRDefault="00E9700E" w:rsidP="009742AB">
            <w:pPr>
              <w:pStyle w:val="Tabletext"/>
              <w:jc w:val="right"/>
            </w:pPr>
            <w:r w:rsidRPr="00176D37">
              <w:t>4 (24%)</w:t>
            </w:r>
          </w:p>
        </w:tc>
      </w:tr>
    </w:tbl>
    <w:p w14:paraId="46476CA3" w14:textId="77777777" w:rsidR="00E9700E" w:rsidRPr="00176D37" w:rsidRDefault="00E9700E" w:rsidP="009742AB">
      <w:pPr>
        <w:pStyle w:val="Bodyaftertablefigure"/>
      </w:pPr>
      <w:r w:rsidRPr="00176D37">
        <w:t>Most respondents reported no change in blood management/transfusion practices after EMR implementation. The most positive changes observed are an increase in documented indication for transfusion and documentation of transfusion history. Transfusion consent rate was also noted as improved at three health services.</w:t>
      </w:r>
    </w:p>
    <w:p w14:paraId="3D1F7F75" w14:textId="77777777" w:rsidR="00E9700E" w:rsidRPr="00176D37" w:rsidRDefault="00E9700E" w:rsidP="00E93EF1">
      <w:pPr>
        <w:pStyle w:val="Body"/>
      </w:pPr>
      <w:r w:rsidRPr="00176D37">
        <w:t>One health service noticed an increase in the number of RBC transfusions, with the same health service reporting a decrease in single unit transfusions. No additional information was provided.</w:t>
      </w:r>
    </w:p>
    <w:p w14:paraId="7C6987F6" w14:textId="6A30444F" w:rsidR="00E9700E" w:rsidRPr="00176D37" w:rsidRDefault="00E9700E" w:rsidP="00E93EF1">
      <w:pPr>
        <w:pStyle w:val="Body"/>
      </w:pPr>
      <w:r w:rsidRPr="00176D37">
        <w:t>The results show a variable change in the rate of wrong blood in tube (WBIT) and other sample errors. Three health services reported a decrease in WBIT and sample errors while two reported an increase for each of these events. These results conflict with Kaufman (2019)</w:t>
      </w:r>
      <w:r w:rsidR="005F5EA5">
        <w:t xml:space="preserve">, </w:t>
      </w:r>
      <w:r w:rsidRPr="00176D37">
        <w:t>who found that using electronic patient ID at the time of pretransfusion sample collection was associated with approximately fivefold fewer WBIT errors compared with using manual patient ID.</w:t>
      </w:r>
    </w:p>
    <w:p w14:paraId="7791EE1C" w14:textId="77777777" w:rsidR="00E9700E" w:rsidRPr="00176D37" w:rsidRDefault="00E9700E" w:rsidP="00E93EF1">
      <w:pPr>
        <w:pStyle w:val="Body"/>
      </w:pPr>
      <w:r w:rsidRPr="00176D37">
        <w:t>Where a change was noted to have taken place (either decreased or increased) respondents were asked to indicate when the stated changes took effect, and whether any of these stated changes have been sustained. Most health services reported the changes to have occurred immediately or within a short time frame from EMR implementation and that the changes have been sustained.</w:t>
      </w:r>
    </w:p>
    <w:p w14:paraId="3468B137" w14:textId="77777777" w:rsidR="00E9700E" w:rsidRPr="00E93EF1" w:rsidRDefault="00E9700E" w:rsidP="00E93EF1">
      <w:pPr>
        <w:pStyle w:val="Heading3"/>
      </w:pPr>
      <w:bookmarkStart w:id="346" w:name="_Toc101285705"/>
      <w:bookmarkStart w:id="347" w:name="_Toc101947727"/>
      <w:r w:rsidRPr="00E93EF1">
        <w:t>Wrong blood in tube (WBIT) with electronic patient ID systems</w:t>
      </w:r>
      <w:bookmarkEnd w:id="346"/>
      <w:bookmarkEnd w:id="347"/>
    </w:p>
    <w:p w14:paraId="2F636D5D" w14:textId="66165412" w:rsidR="00E9700E" w:rsidRPr="00176D37" w:rsidRDefault="00E9700E" w:rsidP="00E93EF1">
      <w:pPr>
        <w:pStyle w:val="Body"/>
      </w:pPr>
      <w:r w:rsidRPr="00176D37">
        <w:t xml:space="preserve">Wrong blood in tube (WBIT) errors are a preventable cause of ABO-mismatched RBC transfusions which are often a result of human error </w:t>
      </w:r>
      <w:r w:rsidR="005F5EA5" w:rsidRPr="00176D37">
        <w:rPr>
          <w:noProof/>
        </w:rPr>
        <w:t>(Kaufman 2019</w:t>
      </w:r>
      <w:r w:rsidR="005F5EA5">
        <w:rPr>
          <w:noProof/>
        </w:rPr>
        <w:t>;</w:t>
      </w:r>
      <w:r w:rsidRPr="00176D37">
        <w:t xml:space="preserve"> </w:t>
      </w:r>
      <w:r w:rsidR="005F5EA5" w:rsidRPr="00176D37">
        <w:rPr>
          <w:noProof/>
        </w:rPr>
        <w:t>Crispin 2022)</w:t>
      </w:r>
      <w:r w:rsidRPr="00176D37">
        <w:t>. The effectiveness of electronic patient ID systems (</w:t>
      </w:r>
      <w:r w:rsidR="005F5EA5">
        <w:t>for example,</w:t>
      </w:r>
      <w:r w:rsidRPr="00176D37">
        <w:t xml:space="preserve"> scanning a patient’s wristband barcode before sample collection) is unclear. </w:t>
      </w:r>
    </w:p>
    <w:p w14:paraId="14674F39" w14:textId="6FA681BC" w:rsidR="00E9700E" w:rsidRPr="00176D37" w:rsidRDefault="00E9700E" w:rsidP="00E93EF1">
      <w:pPr>
        <w:pStyle w:val="Body"/>
      </w:pPr>
      <w:r w:rsidRPr="00176D37">
        <w:lastRenderedPageBreak/>
        <w:t xml:space="preserve">WBIT rates were high among mislabelled (rejected) samples, confirming that rejecting samples with even minor labelling errors helps mitigate the risk of ABO-incompatible transfusions </w:t>
      </w:r>
      <w:r w:rsidR="005F5EA5" w:rsidRPr="00176D37">
        <w:rPr>
          <w:noProof/>
        </w:rPr>
        <w:t>(Kaufman 2019)</w:t>
      </w:r>
      <w:r w:rsidRPr="00176D37">
        <w:t xml:space="preserve">. </w:t>
      </w:r>
    </w:p>
    <w:p w14:paraId="27EF479F" w14:textId="4EE9BC2D" w:rsidR="005F6CBF" w:rsidRDefault="00E9700E" w:rsidP="009742AB">
      <w:pPr>
        <w:pStyle w:val="Body"/>
        <w:rPr>
          <w:rFonts w:eastAsia="MS Gothic" w:cs="Arial"/>
          <w:bCs/>
          <w:color w:val="AF272F"/>
          <w:kern w:val="32"/>
          <w:sz w:val="44"/>
          <w:szCs w:val="44"/>
        </w:rPr>
      </w:pPr>
      <w:r w:rsidRPr="00176D37">
        <w:t xml:space="preserve">Electronic ID using patient-specific barcodes or RFID may minimise errors both at the point of specimen collection and the point of transfusion </w:t>
      </w:r>
      <w:r w:rsidR="005F5EA5" w:rsidRPr="00176D37">
        <w:rPr>
          <w:noProof/>
        </w:rPr>
        <w:t>(Crispin 2022)</w:t>
      </w:r>
      <w:r w:rsidRPr="00176D37">
        <w:t>.</w:t>
      </w:r>
      <w:bookmarkStart w:id="348" w:name="_Toc101285706"/>
      <w:bookmarkStart w:id="349" w:name="_Toc101947728"/>
    </w:p>
    <w:p w14:paraId="2903E34F" w14:textId="77777777" w:rsidR="00B73AB7" w:rsidRDefault="00B73AB7">
      <w:pPr>
        <w:spacing w:after="0" w:line="240" w:lineRule="auto"/>
        <w:rPr>
          <w:rFonts w:eastAsia="MS Gothic" w:cs="Arial"/>
          <w:bCs/>
          <w:color w:val="AF272F"/>
          <w:kern w:val="32"/>
          <w:sz w:val="44"/>
          <w:szCs w:val="44"/>
        </w:rPr>
      </w:pPr>
      <w:r>
        <w:br w:type="page"/>
      </w:r>
    </w:p>
    <w:p w14:paraId="52F3FAD1" w14:textId="2A2A04B8" w:rsidR="00E9700E" w:rsidRPr="006E734B" w:rsidRDefault="00E9700E" w:rsidP="006E734B">
      <w:pPr>
        <w:pStyle w:val="Heading1"/>
      </w:pPr>
      <w:bookmarkStart w:id="350" w:name="_Toc104975936"/>
      <w:r w:rsidRPr="006E734B">
        <w:lastRenderedPageBreak/>
        <w:t>Quality, performance, and patient safety</w:t>
      </w:r>
      <w:bookmarkEnd w:id="348"/>
      <w:bookmarkEnd w:id="349"/>
      <w:bookmarkEnd w:id="350"/>
    </w:p>
    <w:p w14:paraId="74EA0435" w14:textId="224D4633" w:rsidR="00E9700E" w:rsidRPr="00176D37" w:rsidRDefault="00E9700E" w:rsidP="006E734B">
      <w:pPr>
        <w:pStyle w:val="Body"/>
      </w:pPr>
      <w:r w:rsidRPr="00176D37">
        <w:t>A true return on the significant investment in EMR will be delivered when the data collected can be used to improve the quality and efficiency of health care for patients</w:t>
      </w:r>
      <w:r w:rsidRPr="00176D37">
        <w:rPr>
          <w:color w:val="0070C0"/>
        </w:rPr>
        <w:t xml:space="preserve"> </w:t>
      </w:r>
      <w:r w:rsidR="005F5EA5" w:rsidRPr="00176D37">
        <w:rPr>
          <w:noProof/>
        </w:rPr>
        <w:t>(Sullivan 2016)</w:t>
      </w:r>
      <w:r w:rsidRPr="00176D37">
        <w:t xml:space="preserve">. Policy makers, EMR vendors and healthcare providers must work together to ensure EMR systems prevent, rather than cause, </w:t>
      </w:r>
      <w:proofErr w:type="gramStart"/>
      <w:r w:rsidRPr="00176D37">
        <w:t>errors</w:t>
      </w:r>
      <w:proofErr w:type="gramEnd"/>
      <w:r w:rsidRPr="00176D37">
        <w:t xml:space="preserve"> and lead to improved patient care </w:t>
      </w:r>
      <w:r w:rsidR="005F5EA5" w:rsidRPr="00176D37">
        <w:rPr>
          <w:noProof/>
        </w:rPr>
        <w:t>(Bowman 2013)</w:t>
      </w:r>
      <w:r w:rsidRPr="00176D37">
        <w:t>.</w:t>
      </w:r>
    </w:p>
    <w:p w14:paraId="50B04EC1" w14:textId="77777777" w:rsidR="00E9700E" w:rsidRPr="00176D37" w:rsidRDefault="00E9700E" w:rsidP="006E734B">
      <w:pPr>
        <w:pStyle w:val="Body"/>
      </w:pPr>
      <w:r w:rsidRPr="00176D37">
        <w:t>Questions relating to quality, performance and patient safety were directed to respondents with quality or executive roles in the health service.</w:t>
      </w:r>
    </w:p>
    <w:p w14:paraId="16CA125D" w14:textId="77777777" w:rsidR="00E9700E" w:rsidRPr="00176D37" w:rsidRDefault="00E9700E" w:rsidP="006E734B">
      <w:pPr>
        <w:pStyle w:val="Body"/>
      </w:pPr>
      <w:r w:rsidRPr="00176D37">
        <w:t>There were 25 respondents (20 from quality and five executive) from 19 health services.</w:t>
      </w:r>
    </w:p>
    <w:p w14:paraId="612F41DD" w14:textId="77777777" w:rsidR="00E9700E" w:rsidRPr="006E734B" w:rsidRDefault="00E9700E" w:rsidP="006E734B">
      <w:pPr>
        <w:pStyle w:val="Heading2"/>
      </w:pPr>
      <w:bookmarkStart w:id="351" w:name="_Toc101285707"/>
      <w:bookmarkStart w:id="352" w:name="_Toc101947729"/>
      <w:bookmarkStart w:id="353" w:name="_Toc104975937"/>
      <w:r w:rsidRPr="006E734B">
        <w:t>Key performance indicators</w:t>
      </w:r>
      <w:bookmarkEnd w:id="351"/>
      <w:bookmarkEnd w:id="352"/>
      <w:bookmarkEnd w:id="353"/>
    </w:p>
    <w:p w14:paraId="6CFEB172" w14:textId="2AACB688" w:rsidR="00E9700E" w:rsidRPr="00176D37" w:rsidRDefault="00E9700E" w:rsidP="006E734B">
      <w:pPr>
        <w:pStyle w:val="Body"/>
      </w:pPr>
      <w:r w:rsidRPr="00176D37">
        <w:t>Respondents were asked which, if any, key performance indictors (KPIs) are used to assess or evaluate EMR performance of blood management/transfusion practice (</w:t>
      </w:r>
      <w:r w:rsidRPr="00176D37">
        <w:fldChar w:fldCharType="begin"/>
      </w:r>
      <w:r w:rsidRPr="00176D37">
        <w:instrText xml:space="preserve"> REF _Ref100679087 \h  \* MERGEFORMAT </w:instrText>
      </w:r>
      <w:r w:rsidRPr="00176D37">
        <w:fldChar w:fldCharType="separate"/>
      </w:r>
      <w:r w:rsidR="00E73E2F" w:rsidRPr="00176D37">
        <w:t xml:space="preserve">Table </w:t>
      </w:r>
      <w:r w:rsidR="00E73E2F">
        <w:rPr>
          <w:noProof/>
        </w:rPr>
        <w:t>37</w:t>
      </w:r>
      <w:r w:rsidRPr="00176D37">
        <w:fldChar w:fldCharType="end"/>
      </w:r>
      <w:r w:rsidRPr="00176D37">
        <w:t xml:space="preserve">). </w:t>
      </w:r>
    </w:p>
    <w:p w14:paraId="01EA4D6A" w14:textId="1B29E6B3" w:rsidR="00E9700E" w:rsidRPr="00176D37" w:rsidRDefault="00E9700E" w:rsidP="006E734B">
      <w:pPr>
        <w:pStyle w:val="Tablecaption"/>
      </w:pPr>
      <w:bookmarkStart w:id="354" w:name="_Ref100679087"/>
      <w:r w:rsidRPr="00176D37">
        <w:t xml:space="preserve">Table </w:t>
      </w:r>
      <w:r w:rsidR="00F751A0">
        <w:fldChar w:fldCharType="begin"/>
      </w:r>
      <w:r w:rsidR="00F751A0">
        <w:instrText xml:space="preserve"> SEQ Table \* ARABIC </w:instrText>
      </w:r>
      <w:r w:rsidR="00F751A0">
        <w:fldChar w:fldCharType="separate"/>
      </w:r>
      <w:r w:rsidR="00E73E2F">
        <w:rPr>
          <w:noProof/>
        </w:rPr>
        <w:t>37</w:t>
      </w:r>
      <w:r w:rsidR="00F751A0">
        <w:rPr>
          <w:noProof/>
        </w:rPr>
        <w:fldChar w:fldCharType="end"/>
      </w:r>
      <w:bookmarkEnd w:id="354"/>
      <w:r w:rsidRPr="00176D37">
        <w:t>: KPIs used for assessment/evaluation</w:t>
      </w:r>
      <w:r w:rsidRPr="00176D37">
        <w:rPr>
          <w:rStyle w:val="FootnoteReference"/>
          <w:rFonts w:cs="Arial"/>
          <w:bCs/>
          <w:sz w:val="22"/>
          <w:szCs w:val="22"/>
        </w:rPr>
        <w:footnoteReference w:id="31"/>
      </w:r>
    </w:p>
    <w:tbl>
      <w:tblPr>
        <w:tblStyle w:val="TableGrid"/>
        <w:tblW w:w="9209" w:type="dxa"/>
        <w:tblLook w:val="04A0" w:firstRow="1" w:lastRow="0" w:firstColumn="1" w:lastColumn="0" w:noHBand="0" w:noVBand="1"/>
      </w:tblPr>
      <w:tblGrid>
        <w:gridCol w:w="5807"/>
        <w:gridCol w:w="3402"/>
      </w:tblGrid>
      <w:tr w:rsidR="00E9700E" w:rsidRPr="00176D37" w14:paraId="07AA064F" w14:textId="77777777" w:rsidTr="00E73E2F">
        <w:trPr>
          <w:trHeight w:val="500"/>
        </w:trPr>
        <w:tc>
          <w:tcPr>
            <w:tcW w:w="5807" w:type="dxa"/>
          </w:tcPr>
          <w:p w14:paraId="14A89DAC" w14:textId="77777777" w:rsidR="00E9700E" w:rsidRPr="00176D37" w:rsidRDefault="00E9700E" w:rsidP="006E734B">
            <w:pPr>
              <w:pStyle w:val="Tablecolhead"/>
            </w:pPr>
            <w:r w:rsidRPr="00176D37">
              <w:t>KPI</w:t>
            </w:r>
          </w:p>
        </w:tc>
        <w:tc>
          <w:tcPr>
            <w:tcW w:w="3402" w:type="dxa"/>
          </w:tcPr>
          <w:p w14:paraId="23B591E0" w14:textId="4EEAD03D" w:rsidR="00E9700E" w:rsidRPr="00176D37" w:rsidRDefault="00E9700E" w:rsidP="006E734B">
            <w:pPr>
              <w:pStyle w:val="Tablecolhead"/>
            </w:pPr>
            <w:r w:rsidRPr="00176D37">
              <w:t>Health service count n</w:t>
            </w:r>
            <w:r w:rsidR="005F5EA5">
              <w:t xml:space="preserve"> </w:t>
            </w:r>
            <w:r w:rsidRPr="00176D37">
              <w:t>=</w:t>
            </w:r>
            <w:r w:rsidR="005F5EA5">
              <w:t xml:space="preserve"> </w:t>
            </w:r>
            <w:r w:rsidRPr="00176D37">
              <w:t>19, (%)</w:t>
            </w:r>
          </w:p>
        </w:tc>
      </w:tr>
      <w:tr w:rsidR="00E9700E" w:rsidRPr="00176D37" w14:paraId="5480CC36" w14:textId="77777777" w:rsidTr="00E73E2F">
        <w:trPr>
          <w:trHeight w:val="284"/>
        </w:trPr>
        <w:tc>
          <w:tcPr>
            <w:tcW w:w="5807" w:type="dxa"/>
          </w:tcPr>
          <w:p w14:paraId="20C0C690" w14:textId="77777777" w:rsidR="00E9700E" w:rsidRPr="00176D37" w:rsidRDefault="00E9700E" w:rsidP="006E734B">
            <w:pPr>
              <w:pStyle w:val="Tabletext"/>
            </w:pPr>
            <w:r w:rsidRPr="00176D37">
              <w:t>P</w:t>
            </w:r>
            <w:r w:rsidRPr="00176D37">
              <w:rPr>
                <w:shd w:val="clear" w:color="auto" w:fill="FFFFFF"/>
              </w:rPr>
              <w:t xml:space="preserve">erformance indicators specific to EMR functionality </w:t>
            </w:r>
          </w:p>
        </w:tc>
        <w:tc>
          <w:tcPr>
            <w:tcW w:w="3402" w:type="dxa"/>
          </w:tcPr>
          <w:p w14:paraId="1E8E4F31" w14:textId="77777777" w:rsidR="00E9700E" w:rsidRPr="00176D37" w:rsidRDefault="00E9700E" w:rsidP="009742AB">
            <w:pPr>
              <w:pStyle w:val="Tabletext"/>
              <w:jc w:val="right"/>
            </w:pPr>
            <w:r w:rsidRPr="00176D37">
              <w:t>6 (32%)</w:t>
            </w:r>
          </w:p>
        </w:tc>
      </w:tr>
      <w:tr w:rsidR="00E9700E" w:rsidRPr="00176D37" w14:paraId="1F4FB0C7" w14:textId="77777777" w:rsidTr="00E73E2F">
        <w:trPr>
          <w:trHeight w:val="500"/>
        </w:trPr>
        <w:tc>
          <w:tcPr>
            <w:tcW w:w="5807" w:type="dxa"/>
          </w:tcPr>
          <w:p w14:paraId="6C272368" w14:textId="77777777" w:rsidR="00E9700E" w:rsidRPr="00176D37" w:rsidRDefault="00E9700E" w:rsidP="006E734B">
            <w:pPr>
              <w:pStyle w:val="Tabletext"/>
            </w:pPr>
            <w:r w:rsidRPr="00176D37">
              <w:rPr>
                <w:shd w:val="clear" w:color="auto" w:fill="FFFFFF"/>
              </w:rPr>
              <w:t>Patient safety indicators</w:t>
            </w:r>
          </w:p>
        </w:tc>
        <w:tc>
          <w:tcPr>
            <w:tcW w:w="3402" w:type="dxa"/>
          </w:tcPr>
          <w:p w14:paraId="34864D49" w14:textId="77777777" w:rsidR="00E9700E" w:rsidRPr="00176D37" w:rsidRDefault="00E9700E" w:rsidP="009742AB">
            <w:pPr>
              <w:pStyle w:val="Tabletext"/>
              <w:jc w:val="right"/>
            </w:pPr>
            <w:r w:rsidRPr="00176D37">
              <w:t>6 (32%)</w:t>
            </w:r>
          </w:p>
        </w:tc>
      </w:tr>
      <w:tr w:rsidR="00E9700E" w:rsidRPr="00176D37" w14:paraId="66423A1C" w14:textId="77777777" w:rsidTr="00E73E2F">
        <w:trPr>
          <w:trHeight w:val="500"/>
        </w:trPr>
        <w:tc>
          <w:tcPr>
            <w:tcW w:w="5807" w:type="dxa"/>
          </w:tcPr>
          <w:p w14:paraId="4F3D922A" w14:textId="77777777" w:rsidR="00E9700E" w:rsidRPr="00176D37" w:rsidRDefault="00E9700E" w:rsidP="006E734B">
            <w:pPr>
              <w:pStyle w:val="Tabletext"/>
            </w:pPr>
            <w:r w:rsidRPr="00176D37">
              <w:rPr>
                <w:shd w:val="clear" w:color="auto" w:fill="FFFFFF"/>
              </w:rPr>
              <w:t>Product usability surveys</w:t>
            </w:r>
          </w:p>
        </w:tc>
        <w:tc>
          <w:tcPr>
            <w:tcW w:w="3402" w:type="dxa"/>
          </w:tcPr>
          <w:p w14:paraId="081D473A" w14:textId="77777777" w:rsidR="00E9700E" w:rsidRPr="00176D37" w:rsidRDefault="00E9700E" w:rsidP="009742AB">
            <w:pPr>
              <w:pStyle w:val="Tabletext"/>
              <w:jc w:val="right"/>
            </w:pPr>
            <w:r w:rsidRPr="00176D37">
              <w:t>2 (11%)</w:t>
            </w:r>
          </w:p>
        </w:tc>
      </w:tr>
      <w:tr w:rsidR="00E9700E" w:rsidRPr="00176D37" w14:paraId="1C09B5ED" w14:textId="77777777" w:rsidTr="00E73E2F">
        <w:trPr>
          <w:trHeight w:val="500"/>
        </w:trPr>
        <w:tc>
          <w:tcPr>
            <w:tcW w:w="5807" w:type="dxa"/>
          </w:tcPr>
          <w:p w14:paraId="15BC2D4D" w14:textId="77777777" w:rsidR="00E9700E" w:rsidRPr="00176D37" w:rsidRDefault="00E9700E" w:rsidP="006E734B">
            <w:pPr>
              <w:pStyle w:val="Tabletext"/>
            </w:pPr>
            <w:r w:rsidRPr="00176D37">
              <w:rPr>
                <w:shd w:val="clear" w:color="auto" w:fill="FFFFFF"/>
              </w:rPr>
              <w:t>Adverse event reports</w:t>
            </w:r>
          </w:p>
        </w:tc>
        <w:tc>
          <w:tcPr>
            <w:tcW w:w="3402" w:type="dxa"/>
          </w:tcPr>
          <w:p w14:paraId="6F229060" w14:textId="77777777" w:rsidR="00E9700E" w:rsidRPr="00176D37" w:rsidRDefault="00E9700E" w:rsidP="009742AB">
            <w:pPr>
              <w:pStyle w:val="Tabletext"/>
              <w:jc w:val="right"/>
            </w:pPr>
            <w:r w:rsidRPr="00176D37">
              <w:t>9 (47%)</w:t>
            </w:r>
          </w:p>
        </w:tc>
      </w:tr>
      <w:tr w:rsidR="00E9700E" w:rsidRPr="00176D37" w14:paraId="6B5BAC96" w14:textId="77777777" w:rsidTr="00E73E2F">
        <w:trPr>
          <w:trHeight w:val="370"/>
        </w:trPr>
        <w:tc>
          <w:tcPr>
            <w:tcW w:w="5807" w:type="dxa"/>
          </w:tcPr>
          <w:p w14:paraId="3B951319" w14:textId="77777777" w:rsidR="00E9700E" w:rsidRPr="00176D37" w:rsidRDefault="00E9700E" w:rsidP="006E734B">
            <w:pPr>
              <w:pStyle w:val="Tabletext"/>
              <w:rPr>
                <w:shd w:val="clear" w:color="auto" w:fill="FFFFFF"/>
              </w:rPr>
            </w:pPr>
            <w:r w:rsidRPr="00176D37">
              <w:rPr>
                <w:shd w:val="clear" w:color="auto" w:fill="FFFFFF"/>
              </w:rPr>
              <w:t>No KPIs are measured for blood/blood management</w:t>
            </w:r>
          </w:p>
        </w:tc>
        <w:tc>
          <w:tcPr>
            <w:tcW w:w="3402" w:type="dxa"/>
          </w:tcPr>
          <w:p w14:paraId="610A834B" w14:textId="77777777" w:rsidR="00E9700E" w:rsidRPr="00176D37" w:rsidRDefault="00E9700E" w:rsidP="009742AB">
            <w:pPr>
              <w:pStyle w:val="Tabletext"/>
              <w:jc w:val="right"/>
            </w:pPr>
            <w:r w:rsidRPr="00176D37">
              <w:t>3 (16%)</w:t>
            </w:r>
          </w:p>
        </w:tc>
      </w:tr>
      <w:tr w:rsidR="00E9700E" w:rsidRPr="00176D37" w14:paraId="512A4DB7" w14:textId="77777777" w:rsidTr="00E73E2F">
        <w:trPr>
          <w:trHeight w:val="500"/>
        </w:trPr>
        <w:tc>
          <w:tcPr>
            <w:tcW w:w="5807" w:type="dxa"/>
          </w:tcPr>
          <w:p w14:paraId="36F8D640" w14:textId="77777777" w:rsidR="00E9700E" w:rsidRPr="00176D37" w:rsidRDefault="00E9700E" w:rsidP="006E734B">
            <w:pPr>
              <w:pStyle w:val="Tabletext"/>
              <w:rPr>
                <w:shd w:val="clear" w:color="auto" w:fill="FFFFFF"/>
              </w:rPr>
            </w:pPr>
            <w:r w:rsidRPr="00176D37">
              <w:rPr>
                <w:shd w:val="clear" w:color="auto" w:fill="FFFFFF"/>
              </w:rPr>
              <w:t>Unsure</w:t>
            </w:r>
          </w:p>
        </w:tc>
        <w:tc>
          <w:tcPr>
            <w:tcW w:w="3402" w:type="dxa"/>
          </w:tcPr>
          <w:p w14:paraId="0340347D" w14:textId="77777777" w:rsidR="00E9700E" w:rsidRPr="00176D37" w:rsidRDefault="00E9700E" w:rsidP="009742AB">
            <w:pPr>
              <w:pStyle w:val="Tabletext"/>
              <w:jc w:val="right"/>
            </w:pPr>
            <w:r w:rsidRPr="00176D37">
              <w:t>3 (16%)</w:t>
            </w:r>
          </w:p>
        </w:tc>
      </w:tr>
    </w:tbl>
    <w:p w14:paraId="5CA3C4A6" w14:textId="77777777" w:rsidR="00E9700E" w:rsidRPr="006E734B" w:rsidRDefault="00E9700E" w:rsidP="006E734B">
      <w:pPr>
        <w:pStyle w:val="Heading3"/>
      </w:pPr>
      <w:bookmarkStart w:id="355" w:name="_Toc101285708"/>
      <w:bookmarkStart w:id="356" w:name="_Toc101947730"/>
      <w:r w:rsidRPr="006E734B">
        <w:t>EMR functionality</w:t>
      </w:r>
      <w:bookmarkEnd w:id="355"/>
      <w:bookmarkEnd w:id="356"/>
    </w:p>
    <w:p w14:paraId="11BC0C58" w14:textId="77777777" w:rsidR="00E9700E" w:rsidRPr="00176D37" w:rsidRDefault="00E9700E" w:rsidP="006E734B">
      <w:pPr>
        <w:pStyle w:val="Body"/>
      </w:pPr>
      <w:r w:rsidRPr="00176D37">
        <w:t xml:space="preserve">The six health services using KPIs specific to EMR functionality were all related to compliance/overrides: </w:t>
      </w:r>
    </w:p>
    <w:p w14:paraId="76323EFE" w14:textId="1116F36F" w:rsidR="00E9700E" w:rsidRPr="009742AB" w:rsidRDefault="005F5EA5" w:rsidP="005F5EA5">
      <w:pPr>
        <w:pStyle w:val="Bullet1"/>
      </w:pPr>
      <w:r>
        <w:t>c</w:t>
      </w:r>
      <w:r w:rsidRPr="009742AB">
        <w:t>ompliance</w:t>
      </w:r>
      <w:r w:rsidR="00E9700E" w:rsidRPr="009742AB">
        <w:t>/override of patient ID band scanning (n</w:t>
      </w:r>
      <w:r w:rsidRPr="009742AB">
        <w:t xml:space="preserve"> </w:t>
      </w:r>
      <w:r w:rsidR="00E9700E" w:rsidRPr="009742AB">
        <w:t>=</w:t>
      </w:r>
      <w:r w:rsidRPr="009742AB">
        <w:t xml:space="preserve"> </w:t>
      </w:r>
      <w:r w:rsidR="00E9700E" w:rsidRPr="009742AB">
        <w:t>5)</w:t>
      </w:r>
    </w:p>
    <w:p w14:paraId="00A78ADE" w14:textId="38859934" w:rsidR="00E9700E" w:rsidRPr="009742AB" w:rsidRDefault="005F5EA5" w:rsidP="005F5EA5">
      <w:pPr>
        <w:pStyle w:val="Bullet1"/>
      </w:pPr>
      <w:r>
        <w:t>c</w:t>
      </w:r>
      <w:r w:rsidRPr="009742AB">
        <w:t>ompliance</w:t>
      </w:r>
      <w:r w:rsidR="00E9700E" w:rsidRPr="009742AB">
        <w:t>/override of blood product barcode scanning (n</w:t>
      </w:r>
      <w:r w:rsidRPr="009742AB">
        <w:t xml:space="preserve"> </w:t>
      </w:r>
      <w:r w:rsidR="00E9700E" w:rsidRPr="009742AB">
        <w:t>=</w:t>
      </w:r>
      <w:r w:rsidRPr="009742AB">
        <w:t xml:space="preserve"> </w:t>
      </w:r>
      <w:r w:rsidR="00E9700E" w:rsidRPr="009742AB">
        <w:t>4)</w:t>
      </w:r>
    </w:p>
    <w:p w14:paraId="36870C0A" w14:textId="78533C59" w:rsidR="00E9700E" w:rsidRPr="009742AB" w:rsidRDefault="005F5EA5" w:rsidP="005F5EA5">
      <w:pPr>
        <w:pStyle w:val="Bullet1"/>
      </w:pPr>
      <w:r>
        <w:t>c</w:t>
      </w:r>
      <w:r w:rsidRPr="009742AB">
        <w:t>ompliance</w:t>
      </w:r>
      <w:r w:rsidR="00E9700E" w:rsidRPr="009742AB">
        <w:t>/override of blood management or transfusion alerts (if available) (n</w:t>
      </w:r>
      <w:r w:rsidRPr="009742AB">
        <w:t xml:space="preserve"> </w:t>
      </w:r>
      <w:r w:rsidR="00E9700E" w:rsidRPr="009742AB">
        <w:t>=</w:t>
      </w:r>
      <w:r w:rsidRPr="009742AB">
        <w:t xml:space="preserve"> </w:t>
      </w:r>
      <w:r w:rsidR="00E9700E" w:rsidRPr="009742AB">
        <w:t>1)</w:t>
      </w:r>
      <w:r w:rsidRPr="009742AB">
        <w:t>.</w:t>
      </w:r>
    </w:p>
    <w:p w14:paraId="75E5A79C" w14:textId="77777777" w:rsidR="00E9700E" w:rsidRPr="00176D37" w:rsidRDefault="00E9700E" w:rsidP="006E734B">
      <w:pPr>
        <w:pStyle w:val="Body"/>
        <w:spacing w:before="120"/>
      </w:pPr>
      <w:r w:rsidRPr="00176D37">
        <w:t>One health service noted that their available report does not correlate with the number of blood products issued from the transfusion laboratory, and because of this it is not used as a KPI.</w:t>
      </w:r>
    </w:p>
    <w:p w14:paraId="2DE938C2" w14:textId="1F1016A3" w:rsidR="005F5EA5" w:rsidRDefault="00E9700E" w:rsidP="006E734B">
      <w:pPr>
        <w:pStyle w:val="Body"/>
      </w:pPr>
      <w:r w:rsidRPr="00176D37">
        <w:t xml:space="preserve">O’Brien (2021) found that 34 per cent of platelet transfusion prescriptions at one institution resulted from overriding organisational guidelines. This suggests feedback of such data could be used to improve clinical practice; </w:t>
      </w:r>
      <w:proofErr w:type="gramStart"/>
      <w:r w:rsidRPr="00176D37">
        <w:t>however</w:t>
      </w:r>
      <w:proofErr w:type="gramEnd"/>
      <w:r w:rsidRPr="00176D37">
        <w:t xml:space="preserve"> our survey has shown only one organisation collects similar types of data. This is an opportunity for health services to identify areas of clinical practice improvement or refinement of alerts through information inherently collected by the system.</w:t>
      </w:r>
    </w:p>
    <w:tbl>
      <w:tblPr>
        <w:tblStyle w:val="TableGrid"/>
        <w:tblW w:w="0" w:type="auto"/>
        <w:tblLook w:val="04A0" w:firstRow="1" w:lastRow="0" w:firstColumn="1" w:lastColumn="0" w:noHBand="0" w:noVBand="1"/>
      </w:tblPr>
      <w:tblGrid>
        <w:gridCol w:w="9288"/>
      </w:tblGrid>
      <w:tr w:rsidR="005F5EA5" w14:paraId="308F564F" w14:textId="77777777" w:rsidTr="009742AB">
        <w:tc>
          <w:tcPr>
            <w:tcW w:w="9288" w:type="dxa"/>
            <w:tcBorders>
              <w:left w:val="nil"/>
              <w:right w:val="nil"/>
            </w:tcBorders>
          </w:tcPr>
          <w:p w14:paraId="54C9E5E1" w14:textId="36CCB2F0" w:rsidR="005F5EA5" w:rsidRPr="005F5EA5" w:rsidRDefault="005F5EA5" w:rsidP="009742AB">
            <w:pPr>
              <w:pStyle w:val="Quotetext"/>
            </w:pPr>
            <w:r w:rsidRPr="005F5EA5">
              <w:lastRenderedPageBreak/>
              <w:t xml:space="preserve">Crispin et al. (2022) </w:t>
            </w:r>
            <w:r>
              <w:t>state</w:t>
            </w:r>
            <w:r w:rsidRPr="005F5EA5">
              <w:t>:</w:t>
            </w:r>
          </w:p>
          <w:p w14:paraId="6084D502" w14:textId="77777777" w:rsidR="005F5EA5" w:rsidRPr="005F5EA5" w:rsidRDefault="005F5EA5" w:rsidP="009742AB">
            <w:pPr>
              <w:pStyle w:val="Quotebullet2"/>
            </w:pPr>
            <w:r w:rsidRPr="005F5EA5">
              <w:t>Overrides should be recorded when they are needed.</w:t>
            </w:r>
          </w:p>
          <w:p w14:paraId="62EC999F" w14:textId="77777777" w:rsidR="005F5EA5" w:rsidRPr="005F5EA5" w:rsidRDefault="005F5EA5" w:rsidP="009742AB">
            <w:pPr>
              <w:pStyle w:val="Quotebullet2"/>
            </w:pPr>
            <w:r w:rsidRPr="005F5EA5">
              <w:t>All overrides should be evaluated to determine whether systemic improvements are required.</w:t>
            </w:r>
          </w:p>
          <w:p w14:paraId="29CE582F" w14:textId="77777777" w:rsidR="005F5EA5" w:rsidRPr="005F5EA5" w:rsidRDefault="005F5EA5" w:rsidP="009742AB">
            <w:pPr>
              <w:pStyle w:val="Quotebullet2"/>
            </w:pPr>
            <w:r w:rsidRPr="005F5EA5">
              <w:t>Wherever possible, overrides should not create a process that is easier for the electronic process to avoid shortcuts that may affect safety.</w:t>
            </w:r>
          </w:p>
          <w:p w14:paraId="0FC26AFE" w14:textId="77777777" w:rsidR="005F5EA5" w:rsidRDefault="005F5EA5" w:rsidP="006E734B">
            <w:pPr>
              <w:pStyle w:val="Body"/>
            </w:pPr>
          </w:p>
        </w:tc>
      </w:tr>
    </w:tbl>
    <w:p w14:paraId="66F1DFE9" w14:textId="77777777" w:rsidR="00E9700E" w:rsidRPr="006E734B" w:rsidRDefault="00E9700E" w:rsidP="006E734B">
      <w:pPr>
        <w:pStyle w:val="Heading3"/>
      </w:pPr>
      <w:bookmarkStart w:id="357" w:name="_Toc101285709"/>
      <w:bookmarkStart w:id="358" w:name="_Toc101947731"/>
      <w:r w:rsidRPr="006E734B">
        <w:t>Patient safety indicators</w:t>
      </w:r>
      <w:bookmarkEnd w:id="357"/>
      <w:bookmarkEnd w:id="358"/>
      <w:r w:rsidRPr="006E734B">
        <w:t xml:space="preserve"> </w:t>
      </w:r>
    </w:p>
    <w:p w14:paraId="6827CE13" w14:textId="31AD2587" w:rsidR="00E9700E" w:rsidRPr="00176D37" w:rsidRDefault="00E9700E" w:rsidP="006E734B">
      <w:pPr>
        <w:pStyle w:val="Body"/>
      </w:pPr>
      <w:r w:rsidRPr="00176D37">
        <w:fldChar w:fldCharType="begin"/>
      </w:r>
      <w:r w:rsidRPr="00176D37">
        <w:instrText xml:space="preserve"> REF _Ref100679129 \h  \* MERGEFORMAT </w:instrText>
      </w:r>
      <w:r w:rsidRPr="00176D37">
        <w:fldChar w:fldCharType="separate"/>
      </w:r>
      <w:r w:rsidR="00E73E2F" w:rsidRPr="00176D37">
        <w:t xml:space="preserve">Table </w:t>
      </w:r>
      <w:r w:rsidR="00E73E2F">
        <w:rPr>
          <w:noProof/>
        </w:rPr>
        <w:t>38</w:t>
      </w:r>
      <w:r w:rsidRPr="00176D37">
        <w:fldChar w:fldCharType="end"/>
      </w:r>
      <w:r w:rsidRPr="00176D37">
        <w:t xml:space="preserve"> shows which patient safety indicators are included at the six health services who use them for assessment or evaluation of the EMR.</w:t>
      </w:r>
    </w:p>
    <w:p w14:paraId="5A19A656" w14:textId="16028CE9" w:rsidR="00E9700E" w:rsidRPr="00176D37" w:rsidRDefault="00E9700E" w:rsidP="006E734B">
      <w:pPr>
        <w:pStyle w:val="Tablecaption"/>
      </w:pPr>
      <w:bookmarkStart w:id="359" w:name="_Ref100679129"/>
      <w:r w:rsidRPr="00176D37">
        <w:t xml:space="preserve">Table </w:t>
      </w:r>
      <w:r w:rsidR="00F751A0">
        <w:fldChar w:fldCharType="begin"/>
      </w:r>
      <w:r w:rsidR="00F751A0">
        <w:instrText xml:space="preserve"> SEQ Table \* ARABIC </w:instrText>
      </w:r>
      <w:r w:rsidR="00F751A0">
        <w:fldChar w:fldCharType="separate"/>
      </w:r>
      <w:r w:rsidR="00E73E2F">
        <w:rPr>
          <w:noProof/>
        </w:rPr>
        <w:t>38</w:t>
      </w:r>
      <w:r w:rsidR="00F751A0">
        <w:rPr>
          <w:noProof/>
        </w:rPr>
        <w:fldChar w:fldCharType="end"/>
      </w:r>
      <w:bookmarkEnd w:id="359"/>
      <w:r w:rsidRPr="00176D37">
        <w:t>: Patient safety KPIs used for assessment/evaluation of the EMR</w:t>
      </w:r>
      <w:r w:rsidRPr="00176D37">
        <w:rPr>
          <w:rStyle w:val="FootnoteReference"/>
          <w:rFonts w:cs="Arial"/>
          <w:sz w:val="22"/>
          <w:szCs w:val="22"/>
        </w:rPr>
        <w:footnoteReference w:id="32"/>
      </w:r>
    </w:p>
    <w:tbl>
      <w:tblPr>
        <w:tblStyle w:val="TableGrid"/>
        <w:tblW w:w="0" w:type="auto"/>
        <w:tblLook w:val="04A0" w:firstRow="1" w:lastRow="0" w:firstColumn="1" w:lastColumn="0" w:noHBand="0" w:noVBand="1"/>
      </w:tblPr>
      <w:tblGrid>
        <w:gridCol w:w="5030"/>
        <w:gridCol w:w="3986"/>
      </w:tblGrid>
      <w:tr w:rsidR="00E9700E" w:rsidRPr="00176D37" w14:paraId="3EDB1767" w14:textId="77777777" w:rsidTr="009742AB">
        <w:trPr>
          <w:tblHeader/>
        </w:trPr>
        <w:tc>
          <w:tcPr>
            <w:tcW w:w="5030" w:type="dxa"/>
          </w:tcPr>
          <w:p w14:paraId="250F1F9D" w14:textId="77777777" w:rsidR="00E9700E" w:rsidRPr="00176D37" w:rsidRDefault="00E9700E" w:rsidP="006E734B">
            <w:pPr>
              <w:pStyle w:val="Tablecolhead"/>
              <w:rPr>
                <w:shd w:val="clear" w:color="auto" w:fill="FFFFFF"/>
              </w:rPr>
            </w:pPr>
            <w:r w:rsidRPr="00176D37">
              <w:rPr>
                <w:lang w:eastAsia="en-AU"/>
              </w:rPr>
              <w:t xml:space="preserve">Patient safety </w:t>
            </w:r>
            <w:r w:rsidRPr="00176D37">
              <w:rPr>
                <w:shd w:val="clear" w:color="auto" w:fill="FFFFFF"/>
              </w:rPr>
              <w:t>KPIs</w:t>
            </w:r>
          </w:p>
        </w:tc>
        <w:tc>
          <w:tcPr>
            <w:tcW w:w="3986" w:type="dxa"/>
          </w:tcPr>
          <w:p w14:paraId="503C92DD" w14:textId="353EC040" w:rsidR="00E9700E" w:rsidRPr="00176D37" w:rsidRDefault="00E9700E" w:rsidP="006E734B">
            <w:pPr>
              <w:pStyle w:val="Tablecolhead"/>
              <w:rPr>
                <w:shd w:val="clear" w:color="auto" w:fill="FFFFFF"/>
              </w:rPr>
            </w:pPr>
            <w:r w:rsidRPr="00176D37">
              <w:t>Health service count n</w:t>
            </w:r>
            <w:r w:rsidR="00B365A2">
              <w:t xml:space="preserve"> </w:t>
            </w:r>
            <w:r w:rsidRPr="00176D37">
              <w:t>=</w:t>
            </w:r>
            <w:r w:rsidR="00B365A2">
              <w:t xml:space="preserve"> </w:t>
            </w:r>
            <w:r w:rsidRPr="00176D37">
              <w:t>6, (%)</w:t>
            </w:r>
          </w:p>
        </w:tc>
      </w:tr>
      <w:tr w:rsidR="00E9700E" w:rsidRPr="00176D37" w14:paraId="13263FE4" w14:textId="77777777" w:rsidTr="00A173F8">
        <w:tc>
          <w:tcPr>
            <w:tcW w:w="5030" w:type="dxa"/>
          </w:tcPr>
          <w:p w14:paraId="761DB291" w14:textId="77777777" w:rsidR="00E9700E" w:rsidRPr="00176D37" w:rsidRDefault="00E9700E" w:rsidP="006E734B">
            <w:pPr>
              <w:pStyle w:val="Tabletext"/>
              <w:rPr>
                <w:shd w:val="clear" w:color="auto" w:fill="FFFFFF"/>
              </w:rPr>
            </w:pPr>
            <w:r w:rsidRPr="00176D37">
              <w:rPr>
                <w:shd w:val="clear" w:color="auto" w:fill="FFFFFF"/>
              </w:rPr>
              <w:t xml:space="preserve">Invalid blood sample – wrong blood in tube (WBIT) </w:t>
            </w:r>
          </w:p>
        </w:tc>
        <w:tc>
          <w:tcPr>
            <w:tcW w:w="3986" w:type="dxa"/>
          </w:tcPr>
          <w:p w14:paraId="6C5850F2" w14:textId="77777777" w:rsidR="00E9700E" w:rsidRPr="00176D37" w:rsidRDefault="00E9700E" w:rsidP="009742AB">
            <w:pPr>
              <w:pStyle w:val="Tabletext"/>
              <w:jc w:val="right"/>
              <w:rPr>
                <w:shd w:val="clear" w:color="auto" w:fill="FFFFFF"/>
              </w:rPr>
            </w:pPr>
            <w:r w:rsidRPr="00176D37">
              <w:rPr>
                <w:shd w:val="clear" w:color="auto" w:fill="FFFFFF"/>
              </w:rPr>
              <w:t>5 (83%)</w:t>
            </w:r>
          </w:p>
        </w:tc>
      </w:tr>
      <w:tr w:rsidR="00E9700E" w:rsidRPr="00176D37" w14:paraId="58282354" w14:textId="77777777" w:rsidTr="00A173F8">
        <w:tc>
          <w:tcPr>
            <w:tcW w:w="5030" w:type="dxa"/>
          </w:tcPr>
          <w:p w14:paraId="3D6DB790" w14:textId="77777777" w:rsidR="00E9700E" w:rsidRPr="00176D37" w:rsidRDefault="00E9700E" w:rsidP="006E734B">
            <w:pPr>
              <w:pStyle w:val="Tabletext"/>
              <w:rPr>
                <w:shd w:val="clear" w:color="auto" w:fill="FFFFFF"/>
              </w:rPr>
            </w:pPr>
            <w:r w:rsidRPr="00176D37">
              <w:rPr>
                <w:shd w:val="clear" w:color="auto" w:fill="FFFFFF"/>
              </w:rPr>
              <w:t>Invalid blood sample – other reasons</w:t>
            </w:r>
          </w:p>
        </w:tc>
        <w:tc>
          <w:tcPr>
            <w:tcW w:w="3986" w:type="dxa"/>
          </w:tcPr>
          <w:p w14:paraId="3527EFD2" w14:textId="77777777" w:rsidR="00E9700E" w:rsidRPr="00176D37" w:rsidRDefault="00E9700E" w:rsidP="009742AB">
            <w:pPr>
              <w:pStyle w:val="Tabletext"/>
              <w:jc w:val="right"/>
              <w:rPr>
                <w:shd w:val="clear" w:color="auto" w:fill="FFFFFF"/>
              </w:rPr>
            </w:pPr>
            <w:r w:rsidRPr="00176D37">
              <w:rPr>
                <w:shd w:val="clear" w:color="auto" w:fill="FFFFFF"/>
              </w:rPr>
              <w:t>5 (83%)</w:t>
            </w:r>
          </w:p>
        </w:tc>
      </w:tr>
      <w:tr w:rsidR="00E9700E" w:rsidRPr="00176D37" w14:paraId="43033861" w14:textId="77777777" w:rsidTr="00A173F8">
        <w:tc>
          <w:tcPr>
            <w:tcW w:w="5030" w:type="dxa"/>
          </w:tcPr>
          <w:p w14:paraId="16E037C4" w14:textId="77777777" w:rsidR="00E9700E" w:rsidRPr="00176D37" w:rsidRDefault="00E9700E" w:rsidP="006E734B">
            <w:pPr>
              <w:pStyle w:val="Tabletext"/>
              <w:rPr>
                <w:shd w:val="clear" w:color="auto" w:fill="FFFFFF"/>
              </w:rPr>
            </w:pPr>
            <w:r w:rsidRPr="00176D37">
              <w:rPr>
                <w:shd w:val="clear" w:color="auto" w:fill="FFFFFF"/>
              </w:rPr>
              <w:t xml:space="preserve">Incorrect blood product transfused </w:t>
            </w:r>
          </w:p>
        </w:tc>
        <w:tc>
          <w:tcPr>
            <w:tcW w:w="3986" w:type="dxa"/>
          </w:tcPr>
          <w:p w14:paraId="32C82369" w14:textId="77777777" w:rsidR="00E9700E" w:rsidRPr="00176D37" w:rsidRDefault="00E9700E" w:rsidP="009742AB">
            <w:pPr>
              <w:pStyle w:val="Tabletext"/>
              <w:jc w:val="right"/>
              <w:rPr>
                <w:shd w:val="clear" w:color="auto" w:fill="FFFFFF"/>
              </w:rPr>
            </w:pPr>
            <w:r w:rsidRPr="00176D37">
              <w:rPr>
                <w:shd w:val="clear" w:color="auto" w:fill="FFFFFF"/>
              </w:rPr>
              <w:t>5 (83%)</w:t>
            </w:r>
          </w:p>
        </w:tc>
      </w:tr>
      <w:tr w:rsidR="00E9700E" w:rsidRPr="00176D37" w14:paraId="721C74E9" w14:textId="77777777" w:rsidTr="00A173F8">
        <w:tc>
          <w:tcPr>
            <w:tcW w:w="5030" w:type="dxa"/>
          </w:tcPr>
          <w:p w14:paraId="6D96B4C8" w14:textId="77777777" w:rsidR="00E9700E" w:rsidRPr="00176D37" w:rsidRDefault="00E9700E" w:rsidP="006E734B">
            <w:pPr>
              <w:pStyle w:val="Tabletext"/>
              <w:rPr>
                <w:shd w:val="clear" w:color="auto" w:fill="FFFFFF"/>
              </w:rPr>
            </w:pPr>
            <w:r w:rsidRPr="00176D37">
              <w:rPr>
                <w:shd w:val="clear" w:color="auto" w:fill="FFFFFF"/>
              </w:rPr>
              <w:t xml:space="preserve">Appropriate blood component/product usage </w:t>
            </w:r>
          </w:p>
        </w:tc>
        <w:tc>
          <w:tcPr>
            <w:tcW w:w="3986" w:type="dxa"/>
          </w:tcPr>
          <w:p w14:paraId="49A24ACD" w14:textId="77777777" w:rsidR="00E9700E" w:rsidRPr="00176D37" w:rsidRDefault="00E9700E" w:rsidP="009742AB">
            <w:pPr>
              <w:pStyle w:val="Tabletext"/>
              <w:jc w:val="right"/>
              <w:rPr>
                <w:shd w:val="clear" w:color="auto" w:fill="FFFFFF"/>
              </w:rPr>
            </w:pPr>
            <w:r w:rsidRPr="00176D37">
              <w:rPr>
                <w:shd w:val="clear" w:color="auto" w:fill="FFFFFF"/>
              </w:rPr>
              <w:t>5 (83%)</w:t>
            </w:r>
          </w:p>
        </w:tc>
      </w:tr>
      <w:tr w:rsidR="00E9700E" w:rsidRPr="00176D37" w14:paraId="03F24288" w14:textId="77777777" w:rsidTr="00A173F8">
        <w:tc>
          <w:tcPr>
            <w:tcW w:w="5030" w:type="dxa"/>
          </w:tcPr>
          <w:p w14:paraId="48BDF1B3" w14:textId="77777777" w:rsidR="00E9700E" w:rsidRPr="00176D37" w:rsidRDefault="00E9700E" w:rsidP="006E734B">
            <w:pPr>
              <w:pStyle w:val="Tabletext"/>
              <w:rPr>
                <w:shd w:val="clear" w:color="auto" w:fill="FFFFFF"/>
              </w:rPr>
            </w:pPr>
            <w:r w:rsidRPr="00176D37">
              <w:rPr>
                <w:shd w:val="clear" w:color="auto" w:fill="FFFFFF"/>
              </w:rPr>
              <w:t xml:space="preserve">Proportion of single unit transfusions </w:t>
            </w:r>
          </w:p>
        </w:tc>
        <w:tc>
          <w:tcPr>
            <w:tcW w:w="3986" w:type="dxa"/>
          </w:tcPr>
          <w:p w14:paraId="39EE3EF6" w14:textId="77777777" w:rsidR="00E9700E" w:rsidRPr="00176D37" w:rsidRDefault="00E9700E" w:rsidP="009742AB">
            <w:pPr>
              <w:pStyle w:val="Tabletext"/>
              <w:jc w:val="right"/>
              <w:rPr>
                <w:shd w:val="clear" w:color="auto" w:fill="FFFFFF"/>
              </w:rPr>
            </w:pPr>
            <w:r w:rsidRPr="00176D37">
              <w:rPr>
                <w:shd w:val="clear" w:color="auto" w:fill="FFFFFF"/>
              </w:rPr>
              <w:t>3 (50%)</w:t>
            </w:r>
          </w:p>
        </w:tc>
      </w:tr>
      <w:tr w:rsidR="00E9700E" w:rsidRPr="00176D37" w14:paraId="02931409" w14:textId="77777777" w:rsidTr="00A173F8">
        <w:tc>
          <w:tcPr>
            <w:tcW w:w="5030" w:type="dxa"/>
          </w:tcPr>
          <w:p w14:paraId="7FEF02BD" w14:textId="77777777" w:rsidR="00E9700E" w:rsidRPr="00176D37" w:rsidRDefault="00E9700E" w:rsidP="006E734B">
            <w:pPr>
              <w:pStyle w:val="Tabletext"/>
              <w:rPr>
                <w:shd w:val="clear" w:color="auto" w:fill="FFFFFF"/>
              </w:rPr>
            </w:pPr>
            <w:r w:rsidRPr="00176D37">
              <w:rPr>
                <w:shd w:val="clear" w:color="auto" w:fill="FFFFFF"/>
              </w:rPr>
              <w:t xml:space="preserve">Transfusion rate in specific elective surgery </w:t>
            </w:r>
          </w:p>
        </w:tc>
        <w:tc>
          <w:tcPr>
            <w:tcW w:w="3986" w:type="dxa"/>
          </w:tcPr>
          <w:p w14:paraId="0F491ABA" w14:textId="77777777" w:rsidR="00E9700E" w:rsidRPr="00176D37" w:rsidRDefault="00E9700E" w:rsidP="009742AB">
            <w:pPr>
              <w:pStyle w:val="Tabletext"/>
              <w:jc w:val="right"/>
              <w:rPr>
                <w:shd w:val="clear" w:color="auto" w:fill="FFFFFF"/>
              </w:rPr>
            </w:pPr>
            <w:r w:rsidRPr="00176D37">
              <w:rPr>
                <w:shd w:val="clear" w:color="auto" w:fill="FFFFFF"/>
              </w:rPr>
              <w:t>2 (33%)</w:t>
            </w:r>
          </w:p>
        </w:tc>
      </w:tr>
    </w:tbl>
    <w:p w14:paraId="5F74552A" w14:textId="77777777" w:rsidR="00E9700E" w:rsidRPr="00176D37" w:rsidRDefault="00E9700E" w:rsidP="009742AB">
      <w:pPr>
        <w:pStyle w:val="Bodyaftertablefigure"/>
      </w:pPr>
      <w:r w:rsidRPr="00176D37">
        <w:t xml:space="preserve">One health service noted that transfusion </w:t>
      </w:r>
      <w:r w:rsidRPr="00B365A2">
        <w:t>thresholds</w:t>
      </w:r>
      <w:r w:rsidRPr="00176D37">
        <w:t xml:space="preserve"> and single unit transfusion KPIs are under development.</w:t>
      </w:r>
    </w:p>
    <w:p w14:paraId="0CF4196F" w14:textId="77777777" w:rsidR="00E9700E" w:rsidRPr="006E734B" w:rsidRDefault="00E9700E" w:rsidP="006E734B">
      <w:pPr>
        <w:pStyle w:val="Heading2"/>
      </w:pPr>
      <w:bookmarkStart w:id="360" w:name="_Toc101285710"/>
      <w:bookmarkStart w:id="361" w:name="_Toc101947732"/>
      <w:bookmarkStart w:id="362" w:name="_Toc104975938"/>
      <w:r w:rsidRPr="006E734B">
        <w:t>Quality markers/changes</w:t>
      </w:r>
      <w:bookmarkEnd w:id="360"/>
      <w:bookmarkEnd w:id="361"/>
      <w:bookmarkEnd w:id="362"/>
      <w:r w:rsidRPr="006E734B">
        <w:t xml:space="preserve"> </w:t>
      </w:r>
    </w:p>
    <w:p w14:paraId="0B807465" w14:textId="4D125BEE" w:rsidR="00E9700E" w:rsidRPr="00176D37" w:rsidRDefault="00E9700E" w:rsidP="006E734B">
      <w:pPr>
        <w:pStyle w:val="Body"/>
      </w:pPr>
      <w:r w:rsidRPr="00176D37">
        <w:t xml:space="preserve">Quality and clinical (nursing) </w:t>
      </w:r>
      <w:r w:rsidR="006E734B" w:rsidRPr="00176D37">
        <w:t>respondents from</w:t>
      </w:r>
      <w:r w:rsidRPr="00176D37">
        <w:t xml:space="preserve"> health services with an EMR were asked if they noted variation to sample collection procedures (</w:t>
      </w:r>
      <w:r w:rsidRPr="00176D37">
        <w:fldChar w:fldCharType="begin"/>
      </w:r>
      <w:r w:rsidRPr="00176D37">
        <w:instrText xml:space="preserve"> REF _Ref100679210 \h  \* MERGEFORMAT </w:instrText>
      </w:r>
      <w:r w:rsidRPr="00176D37">
        <w:fldChar w:fldCharType="separate"/>
      </w:r>
      <w:r w:rsidR="00E73E2F" w:rsidRPr="00176D37">
        <w:t xml:space="preserve">Table </w:t>
      </w:r>
      <w:r w:rsidR="00E73E2F">
        <w:rPr>
          <w:noProof/>
        </w:rPr>
        <w:t>39</w:t>
      </w:r>
      <w:r w:rsidRPr="00176D37">
        <w:fldChar w:fldCharType="end"/>
      </w:r>
      <w:r w:rsidRPr="00176D37">
        <w:t xml:space="preserve">). </w:t>
      </w:r>
    </w:p>
    <w:p w14:paraId="59FDFB97" w14:textId="12DECDEF" w:rsidR="00E9700E" w:rsidRPr="00176D37" w:rsidRDefault="00E9700E" w:rsidP="006E734B">
      <w:pPr>
        <w:pStyle w:val="Body"/>
      </w:pPr>
      <w:r w:rsidRPr="00176D37">
        <w:t xml:space="preserve">There were 24 respondents (20 quality, 4 clinical nursing) from 20 health services. Respondents from </w:t>
      </w:r>
      <w:r w:rsidR="00B365A2">
        <w:t>10</w:t>
      </w:r>
      <w:r w:rsidR="00B365A2" w:rsidRPr="00176D37">
        <w:t xml:space="preserve"> </w:t>
      </w:r>
      <w:r w:rsidRPr="00176D37">
        <w:t xml:space="preserve">(50 per cent) health services reported variations to procedures sometimes and six (30 per cent) never varied. </w:t>
      </w:r>
    </w:p>
    <w:p w14:paraId="7FA9B2D5" w14:textId="4ECA61AF" w:rsidR="00E9700E" w:rsidRPr="00176D37" w:rsidRDefault="00E9700E" w:rsidP="006E734B">
      <w:pPr>
        <w:pStyle w:val="Tablecaption"/>
      </w:pPr>
      <w:bookmarkStart w:id="363" w:name="_Ref100679210"/>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39</w:t>
      </w:r>
      <w:r w:rsidR="00F751A0">
        <w:rPr>
          <w:noProof/>
        </w:rPr>
        <w:fldChar w:fldCharType="end"/>
      </w:r>
      <w:bookmarkEnd w:id="363"/>
      <w:r w:rsidRPr="00176D37">
        <w:t xml:space="preserve">: Variation to procedure </w:t>
      </w:r>
      <w:r w:rsidR="00B365A2">
        <w:t>–</w:t>
      </w:r>
      <w:r w:rsidR="00B365A2" w:rsidRPr="00176D37">
        <w:t xml:space="preserve"> </w:t>
      </w:r>
      <w:r w:rsidRPr="00176D37">
        <w:t>sample collection</w:t>
      </w:r>
      <w:r w:rsidRPr="00176D37">
        <w:rPr>
          <w:vertAlign w:val="superscript"/>
        </w:rPr>
        <w:t>35</w:t>
      </w:r>
    </w:p>
    <w:tbl>
      <w:tblPr>
        <w:tblStyle w:val="TableGrid"/>
        <w:tblW w:w="9521" w:type="dxa"/>
        <w:tblLook w:val="04A0" w:firstRow="1" w:lastRow="0" w:firstColumn="1" w:lastColumn="0" w:noHBand="0" w:noVBand="1"/>
      </w:tblPr>
      <w:tblGrid>
        <w:gridCol w:w="3104"/>
        <w:gridCol w:w="1220"/>
        <w:gridCol w:w="1410"/>
        <w:gridCol w:w="1271"/>
        <w:gridCol w:w="1220"/>
        <w:gridCol w:w="1296"/>
      </w:tblGrid>
      <w:tr w:rsidR="00B365A2" w:rsidRPr="00176D37" w14:paraId="6D123E32" w14:textId="77777777" w:rsidTr="009742AB">
        <w:trPr>
          <w:trHeight w:val="252"/>
          <w:tblHeader/>
        </w:trPr>
        <w:tc>
          <w:tcPr>
            <w:tcW w:w="3104" w:type="dxa"/>
          </w:tcPr>
          <w:p w14:paraId="05051A30" w14:textId="4B990583" w:rsidR="00E9700E" w:rsidRPr="00176D37" w:rsidRDefault="00B365A2" w:rsidP="006E734B">
            <w:pPr>
              <w:pStyle w:val="Tablecolhead"/>
            </w:pPr>
            <w:r>
              <w:t>Variation</w:t>
            </w:r>
          </w:p>
        </w:tc>
        <w:tc>
          <w:tcPr>
            <w:tcW w:w="1220" w:type="dxa"/>
          </w:tcPr>
          <w:p w14:paraId="22B8C100" w14:textId="77777777" w:rsidR="00E9700E" w:rsidRDefault="00B365A2" w:rsidP="00B365A2">
            <w:pPr>
              <w:pStyle w:val="Tablecolhead"/>
              <w:rPr>
                <w:bCs/>
              </w:rPr>
            </w:pPr>
            <w:r w:rsidRPr="00176D37">
              <w:rPr>
                <w:bCs/>
              </w:rPr>
              <w:t>Health service</w:t>
            </w:r>
            <w:r>
              <w:rPr>
                <w:bCs/>
              </w:rPr>
              <w:t xml:space="preserve"> response: </w:t>
            </w:r>
            <w:r w:rsidR="00E9700E" w:rsidRPr="00176D37">
              <w:rPr>
                <w:bCs/>
              </w:rPr>
              <w:t>Always</w:t>
            </w:r>
          </w:p>
          <w:p w14:paraId="2FCA691F" w14:textId="70E9CEE8" w:rsidR="00B365A2" w:rsidRPr="00176D37" w:rsidRDefault="00B365A2" w:rsidP="00B365A2">
            <w:pPr>
              <w:pStyle w:val="Tablecolhead"/>
              <w:rPr>
                <w:bCs/>
              </w:rPr>
            </w:pPr>
            <w:r>
              <w:rPr>
                <w:bCs/>
              </w:rPr>
              <w:t>n = 20 (%)</w:t>
            </w:r>
          </w:p>
        </w:tc>
        <w:tc>
          <w:tcPr>
            <w:tcW w:w="1410" w:type="dxa"/>
          </w:tcPr>
          <w:p w14:paraId="206E2E76" w14:textId="5ABA2CFB" w:rsidR="00B365A2" w:rsidRDefault="00B365A2" w:rsidP="006E734B">
            <w:pPr>
              <w:pStyle w:val="Tablecolhead"/>
              <w:rPr>
                <w:bCs/>
              </w:rPr>
            </w:pPr>
            <w:r w:rsidRPr="00176D37">
              <w:rPr>
                <w:bCs/>
              </w:rPr>
              <w:t>Health service</w:t>
            </w:r>
            <w:r>
              <w:rPr>
                <w:bCs/>
              </w:rPr>
              <w:t xml:space="preserve"> response:</w:t>
            </w:r>
          </w:p>
          <w:p w14:paraId="297B8E84" w14:textId="77777777" w:rsidR="00B365A2" w:rsidRDefault="00E9700E" w:rsidP="00B365A2">
            <w:pPr>
              <w:pStyle w:val="Tablecolhead"/>
              <w:rPr>
                <w:bCs/>
              </w:rPr>
            </w:pPr>
            <w:r w:rsidRPr="00176D37">
              <w:rPr>
                <w:bCs/>
              </w:rPr>
              <w:t>Sometimes</w:t>
            </w:r>
          </w:p>
          <w:p w14:paraId="032FA142" w14:textId="0417249D" w:rsidR="00E9700E" w:rsidRPr="00176D37" w:rsidRDefault="00B365A2" w:rsidP="00B365A2">
            <w:pPr>
              <w:pStyle w:val="Tablecolhead"/>
              <w:rPr>
                <w:bCs/>
              </w:rPr>
            </w:pPr>
            <w:r>
              <w:rPr>
                <w:bCs/>
              </w:rPr>
              <w:t>n = 20 (%)</w:t>
            </w:r>
          </w:p>
        </w:tc>
        <w:tc>
          <w:tcPr>
            <w:tcW w:w="1271" w:type="dxa"/>
          </w:tcPr>
          <w:p w14:paraId="1426542C" w14:textId="77777777" w:rsidR="00B365A2" w:rsidRDefault="00B365A2" w:rsidP="00B365A2">
            <w:pPr>
              <w:pStyle w:val="Tablecolhead"/>
              <w:rPr>
                <w:bCs/>
              </w:rPr>
            </w:pPr>
            <w:r w:rsidRPr="00176D37">
              <w:rPr>
                <w:bCs/>
              </w:rPr>
              <w:t>Health service</w:t>
            </w:r>
            <w:r>
              <w:rPr>
                <w:bCs/>
              </w:rPr>
              <w:t xml:space="preserve"> response:</w:t>
            </w:r>
            <w:r w:rsidRPr="00176D37">
              <w:rPr>
                <w:bCs/>
              </w:rPr>
              <w:t xml:space="preserve"> </w:t>
            </w:r>
            <w:r w:rsidR="00E9700E" w:rsidRPr="00176D37">
              <w:rPr>
                <w:bCs/>
              </w:rPr>
              <w:t>Never</w:t>
            </w:r>
          </w:p>
          <w:p w14:paraId="554A1008" w14:textId="1D77D814" w:rsidR="00E9700E" w:rsidRPr="00176D37" w:rsidRDefault="00B365A2" w:rsidP="00B365A2">
            <w:pPr>
              <w:pStyle w:val="Tablecolhead"/>
              <w:rPr>
                <w:bCs/>
              </w:rPr>
            </w:pPr>
            <w:r>
              <w:rPr>
                <w:bCs/>
              </w:rPr>
              <w:t>n = 20 (%)</w:t>
            </w:r>
          </w:p>
        </w:tc>
        <w:tc>
          <w:tcPr>
            <w:tcW w:w="1220" w:type="dxa"/>
          </w:tcPr>
          <w:p w14:paraId="15ADE165" w14:textId="77777777" w:rsidR="00B365A2" w:rsidRDefault="00B365A2" w:rsidP="00B365A2">
            <w:pPr>
              <w:pStyle w:val="Tablecolhead"/>
              <w:rPr>
                <w:bCs/>
              </w:rPr>
            </w:pPr>
            <w:r w:rsidRPr="00176D37">
              <w:rPr>
                <w:bCs/>
              </w:rPr>
              <w:t>Health service</w:t>
            </w:r>
            <w:r>
              <w:rPr>
                <w:bCs/>
              </w:rPr>
              <w:t xml:space="preserve"> response:</w:t>
            </w:r>
            <w:r w:rsidRPr="00176D37">
              <w:rPr>
                <w:bCs/>
              </w:rPr>
              <w:t xml:space="preserve"> </w:t>
            </w:r>
            <w:r w:rsidR="00E9700E" w:rsidRPr="00176D37">
              <w:rPr>
                <w:bCs/>
              </w:rPr>
              <w:t>Unsure</w:t>
            </w:r>
          </w:p>
          <w:p w14:paraId="1555DF73" w14:textId="4AACAA3F" w:rsidR="00E9700E" w:rsidRPr="00176D37" w:rsidRDefault="00B365A2" w:rsidP="00B365A2">
            <w:pPr>
              <w:pStyle w:val="Tablecolhead"/>
              <w:rPr>
                <w:bCs/>
              </w:rPr>
            </w:pPr>
            <w:r>
              <w:rPr>
                <w:bCs/>
              </w:rPr>
              <w:t>n = 20 (%)</w:t>
            </w:r>
          </w:p>
        </w:tc>
        <w:tc>
          <w:tcPr>
            <w:tcW w:w="1296" w:type="dxa"/>
          </w:tcPr>
          <w:p w14:paraId="67FBF2AD" w14:textId="00A8DF17" w:rsidR="00B365A2" w:rsidRDefault="00B365A2" w:rsidP="006E734B">
            <w:pPr>
              <w:pStyle w:val="Tablecolhead"/>
              <w:rPr>
                <w:bCs/>
              </w:rPr>
            </w:pPr>
            <w:r w:rsidRPr="00176D37">
              <w:rPr>
                <w:bCs/>
              </w:rPr>
              <w:t>Health service</w:t>
            </w:r>
            <w:r>
              <w:rPr>
                <w:bCs/>
              </w:rPr>
              <w:t xml:space="preserve"> response:</w:t>
            </w:r>
          </w:p>
          <w:p w14:paraId="298A2DF5" w14:textId="77777777" w:rsidR="00B365A2" w:rsidRDefault="00E9700E" w:rsidP="00B365A2">
            <w:pPr>
              <w:pStyle w:val="Tablecolhead"/>
              <w:rPr>
                <w:bCs/>
              </w:rPr>
            </w:pPr>
            <w:r w:rsidRPr="00176D37">
              <w:rPr>
                <w:bCs/>
              </w:rPr>
              <w:t>N/A</w:t>
            </w:r>
          </w:p>
          <w:p w14:paraId="1A69EF69" w14:textId="3511E353" w:rsidR="00E9700E" w:rsidRPr="00176D37" w:rsidRDefault="00B365A2" w:rsidP="00B365A2">
            <w:pPr>
              <w:pStyle w:val="Tablecolhead"/>
              <w:rPr>
                <w:bCs/>
              </w:rPr>
            </w:pPr>
            <w:r>
              <w:rPr>
                <w:bCs/>
              </w:rPr>
              <w:t>n = 20 (%)</w:t>
            </w:r>
          </w:p>
        </w:tc>
      </w:tr>
      <w:tr w:rsidR="00B365A2" w:rsidRPr="00176D37" w14:paraId="0874E18C" w14:textId="77777777" w:rsidTr="009742AB">
        <w:trPr>
          <w:trHeight w:val="757"/>
        </w:trPr>
        <w:tc>
          <w:tcPr>
            <w:tcW w:w="3104" w:type="dxa"/>
          </w:tcPr>
          <w:p w14:paraId="6FE90710" w14:textId="735884F5" w:rsidR="00E9700E" w:rsidRPr="00176D37" w:rsidRDefault="00E9700E" w:rsidP="006E734B">
            <w:pPr>
              <w:pStyle w:val="Tabletext"/>
            </w:pPr>
            <w:r w:rsidRPr="00176D37">
              <w:t>Overriding the electronic patient ID declaration for specimens</w:t>
            </w:r>
          </w:p>
        </w:tc>
        <w:tc>
          <w:tcPr>
            <w:tcW w:w="1220" w:type="dxa"/>
          </w:tcPr>
          <w:p w14:paraId="59C0D73D" w14:textId="77777777" w:rsidR="00E9700E" w:rsidRPr="00176D37" w:rsidRDefault="00E9700E" w:rsidP="009742AB">
            <w:pPr>
              <w:pStyle w:val="Tabletext"/>
              <w:jc w:val="right"/>
            </w:pPr>
            <w:r w:rsidRPr="00176D37">
              <w:t>-</w:t>
            </w:r>
          </w:p>
        </w:tc>
        <w:tc>
          <w:tcPr>
            <w:tcW w:w="1410" w:type="dxa"/>
          </w:tcPr>
          <w:p w14:paraId="560E24B0" w14:textId="77777777" w:rsidR="00E9700E" w:rsidRPr="00176D37" w:rsidRDefault="00E9700E" w:rsidP="009742AB">
            <w:pPr>
              <w:pStyle w:val="Tabletext"/>
              <w:jc w:val="right"/>
            </w:pPr>
            <w:r w:rsidRPr="00176D37">
              <w:t>2 (10%)</w:t>
            </w:r>
          </w:p>
        </w:tc>
        <w:tc>
          <w:tcPr>
            <w:tcW w:w="1271" w:type="dxa"/>
            <w:vAlign w:val="center"/>
          </w:tcPr>
          <w:p w14:paraId="77A2527E" w14:textId="77777777" w:rsidR="00E9700E" w:rsidRPr="00176D37" w:rsidRDefault="00E9700E" w:rsidP="009742AB">
            <w:pPr>
              <w:pStyle w:val="Tabletext"/>
              <w:jc w:val="right"/>
            </w:pPr>
            <w:r w:rsidRPr="00176D37">
              <w:t>3 (15%)</w:t>
            </w:r>
          </w:p>
          <w:p w14:paraId="2943B4D2" w14:textId="77777777" w:rsidR="00E9700E" w:rsidRPr="00176D37" w:rsidRDefault="00E9700E" w:rsidP="009742AB">
            <w:pPr>
              <w:pStyle w:val="Tabletext"/>
              <w:jc w:val="right"/>
            </w:pPr>
          </w:p>
        </w:tc>
        <w:tc>
          <w:tcPr>
            <w:tcW w:w="1220" w:type="dxa"/>
          </w:tcPr>
          <w:p w14:paraId="257C984F" w14:textId="77777777" w:rsidR="00E9700E" w:rsidRPr="00176D37" w:rsidRDefault="00E9700E" w:rsidP="009742AB">
            <w:pPr>
              <w:pStyle w:val="Tabletext"/>
              <w:jc w:val="right"/>
            </w:pPr>
            <w:r w:rsidRPr="00176D37">
              <w:t>4 (20%)</w:t>
            </w:r>
          </w:p>
          <w:p w14:paraId="37EBD522" w14:textId="77777777" w:rsidR="00E9700E" w:rsidRPr="00176D37" w:rsidRDefault="00E9700E" w:rsidP="009742AB">
            <w:pPr>
              <w:pStyle w:val="Tabletext"/>
              <w:jc w:val="right"/>
            </w:pPr>
          </w:p>
        </w:tc>
        <w:tc>
          <w:tcPr>
            <w:tcW w:w="1296" w:type="dxa"/>
          </w:tcPr>
          <w:p w14:paraId="6D5C494C" w14:textId="77777777" w:rsidR="00E9700E" w:rsidRPr="00176D37" w:rsidRDefault="00E9700E" w:rsidP="009742AB">
            <w:pPr>
              <w:pStyle w:val="Tabletext"/>
              <w:jc w:val="right"/>
            </w:pPr>
            <w:r w:rsidRPr="00176D37">
              <w:t>9 (45%)</w:t>
            </w:r>
          </w:p>
        </w:tc>
      </w:tr>
      <w:tr w:rsidR="00B365A2" w:rsidRPr="00176D37" w14:paraId="5C98713C" w14:textId="77777777" w:rsidTr="009742AB">
        <w:trPr>
          <w:trHeight w:val="757"/>
        </w:trPr>
        <w:tc>
          <w:tcPr>
            <w:tcW w:w="3104" w:type="dxa"/>
          </w:tcPr>
          <w:p w14:paraId="06FD71EF" w14:textId="77777777" w:rsidR="00E9700E" w:rsidRPr="00176D37" w:rsidRDefault="00E9700E" w:rsidP="006E734B">
            <w:pPr>
              <w:pStyle w:val="Tabletext"/>
            </w:pPr>
            <w:r w:rsidRPr="00176D37">
              <w:t>A staff member asked to sign on or off for someone else taking the specimen</w:t>
            </w:r>
          </w:p>
        </w:tc>
        <w:tc>
          <w:tcPr>
            <w:tcW w:w="1220" w:type="dxa"/>
          </w:tcPr>
          <w:p w14:paraId="44088889" w14:textId="77777777" w:rsidR="00E9700E" w:rsidRPr="00176D37" w:rsidRDefault="00E9700E" w:rsidP="009742AB">
            <w:pPr>
              <w:pStyle w:val="Tabletext"/>
              <w:jc w:val="right"/>
            </w:pPr>
            <w:r w:rsidRPr="00176D37">
              <w:t>1 (5%)</w:t>
            </w:r>
          </w:p>
        </w:tc>
        <w:tc>
          <w:tcPr>
            <w:tcW w:w="1410" w:type="dxa"/>
          </w:tcPr>
          <w:p w14:paraId="166AB7C7" w14:textId="77777777" w:rsidR="00E9700E" w:rsidRPr="00176D37" w:rsidRDefault="00E9700E" w:rsidP="009742AB">
            <w:pPr>
              <w:pStyle w:val="Tabletext"/>
              <w:jc w:val="right"/>
            </w:pPr>
            <w:r w:rsidRPr="00176D37">
              <w:t>4 (20%)</w:t>
            </w:r>
          </w:p>
        </w:tc>
        <w:tc>
          <w:tcPr>
            <w:tcW w:w="1271" w:type="dxa"/>
          </w:tcPr>
          <w:p w14:paraId="17191620" w14:textId="201D78CD" w:rsidR="00E9700E" w:rsidRPr="00176D37" w:rsidRDefault="00E9700E" w:rsidP="009742AB">
            <w:pPr>
              <w:pStyle w:val="Tabletext"/>
              <w:jc w:val="right"/>
            </w:pPr>
            <w:r w:rsidRPr="00176D37">
              <w:t>2 (</w:t>
            </w:r>
            <w:r w:rsidR="00E372B2">
              <w:t>1</w:t>
            </w:r>
            <w:r w:rsidRPr="00176D37">
              <w:t>0%)</w:t>
            </w:r>
          </w:p>
        </w:tc>
        <w:tc>
          <w:tcPr>
            <w:tcW w:w="1220" w:type="dxa"/>
          </w:tcPr>
          <w:p w14:paraId="38729262" w14:textId="77777777" w:rsidR="00E9700E" w:rsidRPr="00176D37" w:rsidRDefault="00E9700E" w:rsidP="009742AB">
            <w:pPr>
              <w:pStyle w:val="Tabletext"/>
              <w:jc w:val="right"/>
            </w:pPr>
            <w:r w:rsidRPr="00176D37">
              <w:t>3 (15%)</w:t>
            </w:r>
          </w:p>
        </w:tc>
        <w:tc>
          <w:tcPr>
            <w:tcW w:w="1296" w:type="dxa"/>
          </w:tcPr>
          <w:p w14:paraId="1E667B64" w14:textId="77777777" w:rsidR="00E9700E" w:rsidRPr="00176D37" w:rsidRDefault="00E9700E" w:rsidP="009742AB">
            <w:pPr>
              <w:pStyle w:val="Tabletext"/>
              <w:jc w:val="right"/>
            </w:pPr>
            <w:r w:rsidRPr="00176D37">
              <w:t>8 (40%)</w:t>
            </w:r>
          </w:p>
        </w:tc>
      </w:tr>
      <w:tr w:rsidR="00B365A2" w:rsidRPr="00176D37" w14:paraId="7DC1B162" w14:textId="77777777" w:rsidTr="009742AB">
        <w:trPr>
          <w:trHeight w:val="757"/>
        </w:trPr>
        <w:tc>
          <w:tcPr>
            <w:tcW w:w="3104" w:type="dxa"/>
          </w:tcPr>
          <w:p w14:paraId="5F3CF6B1" w14:textId="77777777" w:rsidR="00E9700E" w:rsidRPr="00176D37" w:rsidRDefault="00E9700E" w:rsidP="006E734B">
            <w:pPr>
              <w:pStyle w:val="Tabletext"/>
            </w:pPr>
            <w:r w:rsidRPr="00176D37">
              <w:t>EMR documentation problems when there is a delay to sample collection</w:t>
            </w:r>
          </w:p>
        </w:tc>
        <w:tc>
          <w:tcPr>
            <w:tcW w:w="1220" w:type="dxa"/>
          </w:tcPr>
          <w:p w14:paraId="40D0D3B8" w14:textId="77777777" w:rsidR="00E9700E" w:rsidRPr="00176D37" w:rsidRDefault="00E9700E" w:rsidP="009742AB">
            <w:pPr>
              <w:pStyle w:val="Tabletext"/>
              <w:jc w:val="right"/>
            </w:pPr>
            <w:r w:rsidRPr="00176D37">
              <w:t>-</w:t>
            </w:r>
          </w:p>
        </w:tc>
        <w:tc>
          <w:tcPr>
            <w:tcW w:w="1410" w:type="dxa"/>
          </w:tcPr>
          <w:p w14:paraId="26571782" w14:textId="77777777" w:rsidR="00E9700E" w:rsidRPr="00176D37" w:rsidRDefault="00E9700E" w:rsidP="009742AB">
            <w:pPr>
              <w:pStyle w:val="Tabletext"/>
              <w:jc w:val="right"/>
            </w:pPr>
            <w:r w:rsidRPr="00176D37">
              <w:t>4 (20%)</w:t>
            </w:r>
          </w:p>
        </w:tc>
        <w:tc>
          <w:tcPr>
            <w:tcW w:w="1271" w:type="dxa"/>
          </w:tcPr>
          <w:p w14:paraId="762D8BA6" w14:textId="77777777" w:rsidR="00E9700E" w:rsidRPr="00176D37" w:rsidRDefault="00E9700E" w:rsidP="009742AB">
            <w:pPr>
              <w:pStyle w:val="Tabletext"/>
              <w:jc w:val="right"/>
            </w:pPr>
            <w:r w:rsidRPr="00176D37">
              <w:t>1 (5%)</w:t>
            </w:r>
          </w:p>
        </w:tc>
        <w:tc>
          <w:tcPr>
            <w:tcW w:w="1220" w:type="dxa"/>
          </w:tcPr>
          <w:p w14:paraId="4C534CB3" w14:textId="77777777" w:rsidR="00E9700E" w:rsidRPr="00176D37" w:rsidRDefault="00E9700E" w:rsidP="009742AB">
            <w:pPr>
              <w:pStyle w:val="Tabletext"/>
              <w:jc w:val="right"/>
            </w:pPr>
            <w:r w:rsidRPr="00176D37">
              <w:t>5 (25%)</w:t>
            </w:r>
          </w:p>
        </w:tc>
        <w:tc>
          <w:tcPr>
            <w:tcW w:w="1296" w:type="dxa"/>
          </w:tcPr>
          <w:p w14:paraId="32B2505C" w14:textId="77777777" w:rsidR="00E9700E" w:rsidRPr="00176D37" w:rsidRDefault="00E9700E" w:rsidP="009742AB">
            <w:pPr>
              <w:pStyle w:val="Tabletext"/>
              <w:jc w:val="right"/>
            </w:pPr>
            <w:r w:rsidRPr="00176D37">
              <w:t>8 (40%)</w:t>
            </w:r>
          </w:p>
        </w:tc>
      </w:tr>
    </w:tbl>
    <w:p w14:paraId="5D5F6C49" w14:textId="77777777" w:rsidR="00E9700E" w:rsidRPr="006E734B" w:rsidRDefault="00E9700E" w:rsidP="006E734B">
      <w:pPr>
        <w:pStyle w:val="Heading3"/>
      </w:pPr>
      <w:bookmarkStart w:id="364" w:name="_Toc101285711"/>
      <w:bookmarkStart w:id="365" w:name="_Toc101947733"/>
      <w:r w:rsidRPr="006E734B">
        <w:t>Change in incidence of errors</w:t>
      </w:r>
      <w:bookmarkEnd w:id="364"/>
      <w:bookmarkEnd w:id="365"/>
    </w:p>
    <w:p w14:paraId="30CA1EB6" w14:textId="280D9E6F" w:rsidR="00E9700E" w:rsidRPr="00176D37" w:rsidRDefault="00E9700E" w:rsidP="006E734B">
      <w:pPr>
        <w:pStyle w:val="Body"/>
      </w:pPr>
      <w:bookmarkStart w:id="366" w:name="_Hlk95990998"/>
      <w:r w:rsidRPr="00176D37">
        <w:t>Twenty-five quality and executive respondents from health services (n</w:t>
      </w:r>
      <w:r w:rsidR="00B365A2">
        <w:t xml:space="preserve"> </w:t>
      </w:r>
      <w:r w:rsidRPr="00176D37">
        <w:t>=</w:t>
      </w:r>
      <w:r w:rsidR="00B365A2">
        <w:t xml:space="preserve"> </w:t>
      </w:r>
      <w:r w:rsidRPr="00176D37">
        <w:t>19) with an EMR were asked a series of questions related to changes in the incidence of significant patient safety events (</w:t>
      </w:r>
      <w:r w:rsidRPr="00176D37">
        <w:fldChar w:fldCharType="begin"/>
      </w:r>
      <w:r w:rsidRPr="00176D37">
        <w:instrText xml:space="preserve"> REF _Ref100676284 \h  \* MERGEFORMAT </w:instrText>
      </w:r>
      <w:r w:rsidRPr="00176D37">
        <w:fldChar w:fldCharType="separate"/>
      </w:r>
      <w:r w:rsidR="00E73E2F" w:rsidRPr="00176D37">
        <w:t xml:space="preserve">Table </w:t>
      </w:r>
      <w:r w:rsidR="00E73E2F">
        <w:rPr>
          <w:noProof/>
        </w:rPr>
        <w:t>40</w:t>
      </w:r>
      <w:r w:rsidRPr="00176D37">
        <w:fldChar w:fldCharType="end"/>
      </w:r>
      <w:r w:rsidRPr="00176D37">
        <w:t xml:space="preserve">). </w:t>
      </w:r>
    </w:p>
    <w:p w14:paraId="5508FF10" w14:textId="41C90C6A" w:rsidR="00E9700E" w:rsidRPr="00176D37" w:rsidRDefault="00E9700E" w:rsidP="00073A4F">
      <w:pPr>
        <w:pStyle w:val="Tablecaption"/>
      </w:pPr>
      <w:bookmarkStart w:id="367" w:name="_Ref100676284"/>
      <w:bookmarkStart w:id="368" w:name="_Ref100676278"/>
      <w:r w:rsidRPr="00176D37">
        <w:t xml:space="preserve">Table </w:t>
      </w:r>
      <w:r w:rsidR="00F751A0">
        <w:fldChar w:fldCharType="begin"/>
      </w:r>
      <w:r w:rsidR="00F751A0">
        <w:instrText xml:space="preserve"> SEQ Table \* ARABIC </w:instrText>
      </w:r>
      <w:r w:rsidR="00F751A0">
        <w:fldChar w:fldCharType="separate"/>
      </w:r>
      <w:r w:rsidR="00E73E2F">
        <w:rPr>
          <w:noProof/>
        </w:rPr>
        <w:t>40</w:t>
      </w:r>
      <w:r w:rsidR="00F751A0">
        <w:rPr>
          <w:noProof/>
        </w:rPr>
        <w:fldChar w:fldCharType="end"/>
      </w:r>
      <w:bookmarkEnd w:id="367"/>
      <w:r w:rsidRPr="00176D37">
        <w:t>: Change in incidence of error events</w:t>
      </w:r>
      <w:r w:rsidRPr="00176D37">
        <w:rPr>
          <w:rStyle w:val="FootnoteReference"/>
          <w:rFonts w:cs="Arial"/>
          <w:sz w:val="22"/>
          <w:szCs w:val="22"/>
        </w:rPr>
        <w:footnoteReference w:id="33"/>
      </w:r>
      <w:r w:rsidRPr="00176D37">
        <w:rPr>
          <w:sz w:val="28"/>
          <w:szCs w:val="28"/>
        </w:rPr>
        <w:t xml:space="preserve"> </w:t>
      </w:r>
      <w:bookmarkEnd w:id="368"/>
    </w:p>
    <w:tbl>
      <w:tblPr>
        <w:tblStyle w:val="TableGrid"/>
        <w:tblW w:w="9493" w:type="dxa"/>
        <w:tblLayout w:type="fixed"/>
        <w:tblLook w:val="04A0" w:firstRow="1" w:lastRow="0" w:firstColumn="1" w:lastColumn="0" w:noHBand="0" w:noVBand="1"/>
      </w:tblPr>
      <w:tblGrid>
        <w:gridCol w:w="2972"/>
        <w:gridCol w:w="1418"/>
        <w:gridCol w:w="1275"/>
        <w:gridCol w:w="1418"/>
        <w:gridCol w:w="1276"/>
        <w:gridCol w:w="1134"/>
      </w:tblGrid>
      <w:tr w:rsidR="00E9700E" w:rsidRPr="00176D37" w14:paraId="5F337126" w14:textId="77777777" w:rsidTr="005F6CBF">
        <w:trPr>
          <w:tblHeader/>
        </w:trPr>
        <w:tc>
          <w:tcPr>
            <w:tcW w:w="2972" w:type="dxa"/>
          </w:tcPr>
          <w:p w14:paraId="552DE593" w14:textId="232AEF54" w:rsidR="00E9700E" w:rsidRPr="00176D37" w:rsidRDefault="00B365A2" w:rsidP="00073A4F">
            <w:pPr>
              <w:pStyle w:val="Tablecolhead"/>
            </w:pPr>
            <w:r>
              <w:t>Error</w:t>
            </w:r>
          </w:p>
        </w:tc>
        <w:tc>
          <w:tcPr>
            <w:tcW w:w="1418" w:type="dxa"/>
          </w:tcPr>
          <w:p w14:paraId="5CCD0D4B" w14:textId="77777777" w:rsidR="00E9700E" w:rsidRPr="00176D37" w:rsidRDefault="00E9700E" w:rsidP="00073A4F">
            <w:pPr>
              <w:pStyle w:val="Tablecolhead"/>
            </w:pPr>
            <w:r w:rsidRPr="00176D37">
              <w:t>Decreased</w:t>
            </w:r>
          </w:p>
          <w:p w14:paraId="4183EEBB" w14:textId="77777777" w:rsidR="00E9700E" w:rsidRPr="00176D37" w:rsidRDefault="00E9700E" w:rsidP="00073A4F">
            <w:pPr>
              <w:pStyle w:val="Tablecolhead"/>
              <w:rPr>
                <w:bCs/>
              </w:rPr>
            </w:pPr>
            <w:r w:rsidRPr="00176D37">
              <w:rPr>
                <w:bCs/>
              </w:rPr>
              <w:t xml:space="preserve">n (%) </w:t>
            </w:r>
          </w:p>
        </w:tc>
        <w:tc>
          <w:tcPr>
            <w:tcW w:w="1275" w:type="dxa"/>
          </w:tcPr>
          <w:p w14:paraId="7D6A58C4" w14:textId="77777777" w:rsidR="00E9700E" w:rsidRPr="00176D37" w:rsidRDefault="00E9700E" w:rsidP="00073A4F">
            <w:pPr>
              <w:pStyle w:val="Tablecolhead"/>
            </w:pPr>
            <w:r w:rsidRPr="00176D37">
              <w:t>Increased</w:t>
            </w:r>
          </w:p>
          <w:p w14:paraId="73DC596D" w14:textId="77777777" w:rsidR="00E9700E" w:rsidRPr="00176D37" w:rsidRDefault="00E9700E" w:rsidP="00073A4F">
            <w:pPr>
              <w:pStyle w:val="Tablecolhead"/>
            </w:pPr>
            <w:r w:rsidRPr="00176D37">
              <w:rPr>
                <w:bCs/>
              </w:rPr>
              <w:t>n (%)</w:t>
            </w:r>
          </w:p>
        </w:tc>
        <w:tc>
          <w:tcPr>
            <w:tcW w:w="1418" w:type="dxa"/>
          </w:tcPr>
          <w:p w14:paraId="675F9F1C" w14:textId="77777777" w:rsidR="00E9700E" w:rsidRPr="00176D37" w:rsidRDefault="00E9700E" w:rsidP="00073A4F">
            <w:pPr>
              <w:pStyle w:val="Tablecolhead"/>
            </w:pPr>
            <w:r w:rsidRPr="00176D37">
              <w:t>No change</w:t>
            </w:r>
          </w:p>
          <w:p w14:paraId="5A67E065" w14:textId="77777777" w:rsidR="00E9700E" w:rsidRPr="00176D37" w:rsidRDefault="00E9700E" w:rsidP="00073A4F">
            <w:pPr>
              <w:pStyle w:val="Tablecolhead"/>
            </w:pPr>
            <w:r w:rsidRPr="00176D37">
              <w:rPr>
                <w:bCs/>
              </w:rPr>
              <w:t>n (%)</w:t>
            </w:r>
          </w:p>
        </w:tc>
        <w:tc>
          <w:tcPr>
            <w:tcW w:w="1276" w:type="dxa"/>
          </w:tcPr>
          <w:p w14:paraId="5E1859C2" w14:textId="77777777" w:rsidR="00E9700E" w:rsidRPr="00176D37" w:rsidRDefault="00E9700E" w:rsidP="00073A4F">
            <w:pPr>
              <w:pStyle w:val="Tablecolhead"/>
            </w:pPr>
            <w:r w:rsidRPr="00176D37">
              <w:t>Unsure</w:t>
            </w:r>
          </w:p>
          <w:p w14:paraId="673843DC" w14:textId="77777777" w:rsidR="00E9700E" w:rsidRPr="00176D37" w:rsidRDefault="00E9700E" w:rsidP="00073A4F">
            <w:pPr>
              <w:pStyle w:val="Tablecolhead"/>
            </w:pPr>
            <w:r w:rsidRPr="00176D37">
              <w:rPr>
                <w:bCs/>
              </w:rPr>
              <w:t>n (%)</w:t>
            </w:r>
          </w:p>
        </w:tc>
        <w:tc>
          <w:tcPr>
            <w:tcW w:w="1134" w:type="dxa"/>
          </w:tcPr>
          <w:p w14:paraId="74904DB3" w14:textId="77777777" w:rsidR="00E9700E" w:rsidRPr="00176D37" w:rsidRDefault="00E9700E" w:rsidP="00073A4F">
            <w:pPr>
              <w:pStyle w:val="Tablecolhead"/>
            </w:pPr>
            <w:r w:rsidRPr="00176D37">
              <w:t>N/A</w:t>
            </w:r>
          </w:p>
          <w:p w14:paraId="5F01B2C1" w14:textId="77777777" w:rsidR="00E9700E" w:rsidRPr="00176D37" w:rsidRDefault="00E9700E" w:rsidP="00073A4F">
            <w:pPr>
              <w:pStyle w:val="Tablecolhead"/>
            </w:pPr>
            <w:r w:rsidRPr="00176D37">
              <w:rPr>
                <w:bCs/>
              </w:rPr>
              <w:t>n (%)</w:t>
            </w:r>
          </w:p>
        </w:tc>
      </w:tr>
      <w:tr w:rsidR="00E9700E" w:rsidRPr="00176D37" w14:paraId="47AF7731" w14:textId="77777777" w:rsidTr="005F6CBF">
        <w:tc>
          <w:tcPr>
            <w:tcW w:w="2972" w:type="dxa"/>
          </w:tcPr>
          <w:p w14:paraId="5388B33E" w14:textId="77777777" w:rsidR="00E9700E" w:rsidRPr="00176D37" w:rsidRDefault="00E9700E" w:rsidP="00073A4F">
            <w:pPr>
              <w:pStyle w:val="Tabletext"/>
            </w:pPr>
            <w:r w:rsidRPr="00176D37">
              <w:t xml:space="preserve">Positive patient ID (PPI) not followed </w:t>
            </w:r>
          </w:p>
        </w:tc>
        <w:tc>
          <w:tcPr>
            <w:tcW w:w="1418" w:type="dxa"/>
          </w:tcPr>
          <w:p w14:paraId="3E5135B4" w14:textId="77777777" w:rsidR="00E9700E" w:rsidRPr="00176D37" w:rsidRDefault="00E9700E" w:rsidP="009742AB">
            <w:pPr>
              <w:pStyle w:val="Tabletext"/>
              <w:jc w:val="right"/>
            </w:pPr>
            <w:r w:rsidRPr="00176D37">
              <w:t>-</w:t>
            </w:r>
          </w:p>
        </w:tc>
        <w:tc>
          <w:tcPr>
            <w:tcW w:w="1275" w:type="dxa"/>
          </w:tcPr>
          <w:p w14:paraId="4C860E9C" w14:textId="77777777" w:rsidR="00E9700E" w:rsidRPr="00176D37" w:rsidRDefault="00E9700E" w:rsidP="009742AB">
            <w:pPr>
              <w:pStyle w:val="Tabletext"/>
              <w:jc w:val="right"/>
            </w:pPr>
            <w:r w:rsidRPr="00176D37">
              <w:t>3 (16%)</w:t>
            </w:r>
          </w:p>
        </w:tc>
        <w:tc>
          <w:tcPr>
            <w:tcW w:w="1418" w:type="dxa"/>
          </w:tcPr>
          <w:p w14:paraId="4DEB56CE" w14:textId="77777777" w:rsidR="00E9700E" w:rsidRPr="00176D37" w:rsidRDefault="00E9700E" w:rsidP="009742AB">
            <w:pPr>
              <w:pStyle w:val="Tabletext"/>
              <w:jc w:val="right"/>
            </w:pPr>
            <w:r w:rsidRPr="00176D37">
              <w:t>4 (21%)</w:t>
            </w:r>
          </w:p>
        </w:tc>
        <w:tc>
          <w:tcPr>
            <w:tcW w:w="1276" w:type="dxa"/>
          </w:tcPr>
          <w:p w14:paraId="586DF866" w14:textId="77777777" w:rsidR="00E9700E" w:rsidRPr="00176D37" w:rsidRDefault="00E9700E" w:rsidP="009742AB">
            <w:pPr>
              <w:pStyle w:val="Tabletext"/>
              <w:jc w:val="right"/>
            </w:pPr>
            <w:r w:rsidRPr="00176D37">
              <w:t>4 (21%)</w:t>
            </w:r>
          </w:p>
        </w:tc>
        <w:tc>
          <w:tcPr>
            <w:tcW w:w="1134" w:type="dxa"/>
          </w:tcPr>
          <w:p w14:paraId="0DDF398C" w14:textId="77777777" w:rsidR="00E9700E" w:rsidRPr="00176D37" w:rsidRDefault="00E9700E" w:rsidP="009742AB">
            <w:pPr>
              <w:pStyle w:val="Tabletext"/>
              <w:jc w:val="right"/>
            </w:pPr>
            <w:r w:rsidRPr="00176D37">
              <w:t>8 (42%)</w:t>
            </w:r>
          </w:p>
        </w:tc>
      </w:tr>
      <w:tr w:rsidR="00E9700E" w:rsidRPr="00176D37" w14:paraId="7F34DE14" w14:textId="77777777" w:rsidTr="005F6CBF">
        <w:tc>
          <w:tcPr>
            <w:tcW w:w="2972" w:type="dxa"/>
          </w:tcPr>
          <w:p w14:paraId="317C69A5" w14:textId="77777777" w:rsidR="00E9700E" w:rsidRPr="00176D37" w:rsidRDefault="00E9700E" w:rsidP="00073A4F">
            <w:pPr>
              <w:pStyle w:val="Tabletext"/>
            </w:pPr>
            <w:r w:rsidRPr="00176D37">
              <w:t>Unlabelled specimens</w:t>
            </w:r>
          </w:p>
        </w:tc>
        <w:tc>
          <w:tcPr>
            <w:tcW w:w="1418" w:type="dxa"/>
          </w:tcPr>
          <w:p w14:paraId="0CEDA66D" w14:textId="77777777" w:rsidR="00E9700E" w:rsidRPr="00176D37" w:rsidRDefault="00E9700E" w:rsidP="009742AB">
            <w:pPr>
              <w:pStyle w:val="Tabletext"/>
              <w:jc w:val="right"/>
            </w:pPr>
            <w:r w:rsidRPr="00176D37">
              <w:t>3 (16%)</w:t>
            </w:r>
          </w:p>
        </w:tc>
        <w:tc>
          <w:tcPr>
            <w:tcW w:w="1275" w:type="dxa"/>
          </w:tcPr>
          <w:p w14:paraId="14166204" w14:textId="77777777" w:rsidR="00E9700E" w:rsidRPr="00176D37" w:rsidRDefault="00E9700E" w:rsidP="009742AB">
            <w:pPr>
              <w:pStyle w:val="Tabletext"/>
              <w:jc w:val="right"/>
            </w:pPr>
            <w:r w:rsidRPr="00176D37">
              <w:t>-</w:t>
            </w:r>
          </w:p>
        </w:tc>
        <w:tc>
          <w:tcPr>
            <w:tcW w:w="1418" w:type="dxa"/>
          </w:tcPr>
          <w:p w14:paraId="39BAF2B1" w14:textId="77777777" w:rsidR="00E9700E" w:rsidRPr="00176D37" w:rsidRDefault="00E9700E" w:rsidP="009742AB">
            <w:pPr>
              <w:pStyle w:val="Tabletext"/>
              <w:jc w:val="right"/>
            </w:pPr>
            <w:r w:rsidRPr="00176D37">
              <w:t>3 (16%)</w:t>
            </w:r>
          </w:p>
        </w:tc>
        <w:tc>
          <w:tcPr>
            <w:tcW w:w="1276" w:type="dxa"/>
          </w:tcPr>
          <w:p w14:paraId="53FD55D4" w14:textId="77777777" w:rsidR="00E9700E" w:rsidRPr="00176D37" w:rsidRDefault="00E9700E" w:rsidP="009742AB">
            <w:pPr>
              <w:pStyle w:val="Tabletext"/>
              <w:jc w:val="right"/>
            </w:pPr>
            <w:r w:rsidRPr="00176D37">
              <w:t>7 (37%)</w:t>
            </w:r>
          </w:p>
        </w:tc>
        <w:tc>
          <w:tcPr>
            <w:tcW w:w="1134" w:type="dxa"/>
          </w:tcPr>
          <w:p w14:paraId="38D28493" w14:textId="77777777" w:rsidR="00E9700E" w:rsidRPr="00176D37" w:rsidRDefault="00E9700E" w:rsidP="009742AB">
            <w:pPr>
              <w:pStyle w:val="Tabletext"/>
              <w:jc w:val="right"/>
            </w:pPr>
            <w:r w:rsidRPr="00176D37">
              <w:t>6 (32%)</w:t>
            </w:r>
          </w:p>
        </w:tc>
      </w:tr>
      <w:tr w:rsidR="00E9700E" w:rsidRPr="00176D37" w14:paraId="3D4D827E" w14:textId="77777777" w:rsidTr="005F6CBF">
        <w:tc>
          <w:tcPr>
            <w:tcW w:w="2972" w:type="dxa"/>
          </w:tcPr>
          <w:p w14:paraId="2A38ADF0" w14:textId="77777777" w:rsidR="00E9700E" w:rsidRPr="00176D37" w:rsidRDefault="00E9700E" w:rsidP="00073A4F">
            <w:pPr>
              <w:pStyle w:val="Tabletext"/>
            </w:pPr>
            <w:r w:rsidRPr="00176D37">
              <w:t>Labelling of specimens with two different patient’s details</w:t>
            </w:r>
          </w:p>
        </w:tc>
        <w:tc>
          <w:tcPr>
            <w:tcW w:w="1418" w:type="dxa"/>
          </w:tcPr>
          <w:p w14:paraId="5B758FA7" w14:textId="77777777" w:rsidR="00E9700E" w:rsidRPr="00176D37" w:rsidRDefault="00E9700E" w:rsidP="009742AB">
            <w:pPr>
              <w:pStyle w:val="Tabletext"/>
              <w:jc w:val="right"/>
            </w:pPr>
            <w:r w:rsidRPr="00176D37">
              <w:t>3 (16%)</w:t>
            </w:r>
          </w:p>
        </w:tc>
        <w:tc>
          <w:tcPr>
            <w:tcW w:w="1275" w:type="dxa"/>
          </w:tcPr>
          <w:p w14:paraId="4814CDBD" w14:textId="77777777" w:rsidR="00E9700E" w:rsidRPr="00176D37" w:rsidRDefault="00E9700E" w:rsidP="009742AB">
            <w:pPr>
              <w:pStyle w:val="Tabletext"/>
              <w:jc w:val="right"/>
            </w:pPr>
            <w:r w:rsidRPr="00176D37">
              <w:t>1 (5%)</w:t>
            </w:r>
          </w:p>
        </w:tc>
        <w:tc>
          <w:tcPr>
            <w:tcW w:w="1418" w:type="dxa"/>
          </w:tcPr>
          <w:p w14:paraId="61259DDB" w14:textId="77777777" w:rsidR="00E9700E" w:rsidRPr="00176D37" w:rsidRDefault="00E9700E" w:rsidP="009742AB">
            <w:pPr>
              <w:pStyle w:val="Tabletext"/>
              <w:jc w:val="right"/>
            </w:pPr>
            <w:r w:rsidRPr="00176D37">
              <w:t>3 (16%)</w:t>
            </w:r>
          </w:p>
        </w:tc>
        <w:tc>
          <w:tcPr>
            <w:tcW w:w="1276" w:type="dxa"/>
          </w:tcPr>
          <w:p w14:paraId="7B25BE5C" w14:textId="77777777" w:rsidR="00E9700E" w:rsidRPr="00176D37" w:rsidRDefault="00E9700E" w:rsidP="009742AB">
            <w:pPr>
              <w:pStyle w:val="Tabletext"/>
              <w:jc w:val="right"/>
            </w:pPr>
            <w:r w:rsidRPr="00176D37">
              <w:t>6 (32%)</w:t>
            </w:r>
          </w:p>
        </w:tc>
        <w:tc>
          <w:tcPr>
            <w:tcW w:w="1134" w:type="dxa"/>
          </w:tcPr>
          <w:p w14:paraId="7204CD86" w14:textId="77777777" w:rsidR="00E9700E" w:rsidRPr="00176D37" w:rsidRDefault="00E9700E" w:rsidP="009742AB">
            <w:pPr>
              <w:pStyle w:val="Tabletext"/>
              <w:jc w:val="right"/>
            </w:pPr>
            <w:r w:rsidRPr="00176D37">
              <w:t>6 (32%)</w:t>
            </w:r>
          </w:p>
        </w:tc>
      </w:tr>
      <w:tr w:rsidR="00E9700E" w:rsidRPr="00176D37" w14:paraId="5CDBA2F0" w14:textId="77777777" w:rsidTr="005F6CBF">
        <w:tc>
          <w:tcPr>
            <w:tcW w:w="2972" w:type="dxa"/>
          </w:tcPr>
          <w:p w14:paraId="6193FC81" w14:textId="77777777" w:rsidR="00E9700E" w:rsidRPr="00176D37" w:rsidRDefault="00E9700E" w:rsidP="00073A4F">
            <w:pPr>
              <w:pStyle w:val="Tabletext"/>
            </w:pPr>
            <w:r w:rsidRPr="00176D37">
              <w:t>Pretransfusion request form or sample labels generated at a time other than immediately before specimens collected</w:t>
            </w:r>
          </w:p>
        </w:tc>
        <w:tc>
          <w:tcPr>
            <w:tcW w:w="1418" w:type="dxa"/>
          </w:tcPr>
          <w:p w14:paraId="054ACDD0" w14:textId="77777777" w:rsidR="00E9700E" w:rsidRPr="00176D37" w:rsidRDefault="00E9700E" w:rsidP="009742AB">
            <w:pPr>
              <w:pStyle w:val="Tabletext"/>
              <w:jc w:val="right"/>
            </w:pPr>
            <w:r w:rsidRPr="00176D37">
              <w:t>-</w:t>
            </w:r>
          </w:p>
        </w:tc>
        <w:tc>
          <w:tcPr>
            <w:tcW w:w="1275" w:type="dxa"/>
          </w:tcPr>
          <w:p w14:paraId="21C65C16" w14:textId="77777777" w:rsidR="00E9700E" w:rsidRPr="00176D37" w:rsidRDefault="00E9700E" w:rsidP="009742AB">
            <w:pPr>
              <w:pStyle w:val="Tabletext"/>
              <w:jc w:val="right"/>
            </w:pPr>
            <w:r w:rsidRPr="00176D37">
              <w:t>-</w:t>
            </w:r>
          </w:p>
        </w:tc>
        <w:tc>
          <w:tcPr>
            <w:tcW w:w="1418" w:type="dxa"/>
          </w:tcPr>
          <w:p w14:paraId="51C78252" w14:textId="77777777" w:rsidR="00E9700E" w:rsidRPr="00176D37" w:rsidRDefault="00E9700E" w:rsidP="009742AB">
            <w:pPr>
              <w:pStyle w:val="Tabletext"/>
              <w:jc w:val="right"/>
            </w:pPr>
            <w:r w:rsidRPr="00176D37">
              <w:t>3 (16%)</w:t>
            </w:r>
          </w:p>
        </w:tc>
        <w:tc>
          <w:tcPr>
            <w:tcW w:w="1276" w:type="dxa"/>
          </w:tcPr>
          <w:p w14:paraId="6DDF64D2" w14:textId="77777777" w:rsidR="00E9700E" w:rsidRPr="00176D37" w:rsidRDefault="00E9700E" w:rsidP="009742AB">
            <w:pPr>
              <w:pStyle w:val="Tabletext"/>
              <w:jc w:val="right"/>
            </w:pPr>
            <w:r w:rsidRPr="00176D37">
              <w:t>7 (37%)</w:t>
            </w:r>
          </w:p>
        </w:tc>
        <w:tc>
          <w:tcPr>
            <w:tcW w:w="1134" w:type="dxa"/>
          </w:tcPr>
          <w:p w14:paraId="2E2BAEBF" w14:textId="77777777" w:rsidR="00E9700E" w:rsidRPr="00176D37" w:rsidRDefault="00E9700E" w:rsidP="009742AB">
            <w:pPr>
              <w:pStyle w:val="Tabletext"/>
              <w:jc w:val="right"/>
            </w:pPr>
            <w:r w:rsidRPr="00176D37">
              <w:t>9 (47%)</w:t>
            </w:r>
          </w:p>
        </w:tc>
      </w:tr>
      <w:tr w:rsidR="00E9700E" w:rsidRPr="00176D37" w14:paraId="1A9E8325" w14:textId="77777777" w:rsidTr="005F6CBF">
        <w:tc>
          <w:tcPr>
            <w:tcW w:w="2972" w:type="dxa"/>
          </w:tcPr>
          <w:p w14:paraId="7106AAF3" w14:textId="77777777" w:rsidR="00E9700E" w:rsidRPr="00176D37" w:rsidRDefault="00E9700E" w:rsidP="00073A4F">
            <w:pPr>
              <w:pStyle w:val="Tabletext"/>
            </w:pPr>
            <w:r w:rsidRPr="00176D37">
              <w:t>Duplicate samples with the same accession (specimen ID) number</w:t>
            </w:r>
          </w:p>
        </w:tc>
        <w:tc>
          <w:tcPr>
            <w:tcW w:w="1418" w:type="dxa"/>
          </w:tcPr>
          <w:p w14:paraId="27D91D59" w14:textId="77777777" w:rsidR="00E9700E" w:rsidRPr="00176D37" w:rsidRDefault="00E9700E" w:rsidP="009742AB">
            <w:pPr>
              <w:pStyle w:val="Tabletext"/>
              <w:jc w:val="right"/>
            </w:pPr>
            <w:r w:rsidRPr="00176D37">
              <w:t>-</w:t>
            </w:r>
          </w:p>
        </w:tc>
        <w:tc>
          <w:tcPr>
            <w:tcW w:w="1275" w:type="dxa"/>
          </w:tcPr>
          <w:p w14:paraId="4F47968E" w14:textId="77777777" w:rsidR="00E9700E" w:rsidRPr="00176D37" w:rsidRDefault="00E9700E" w:rsidP="009742AB">
            <w:pPr>
              <w:pStyle w:val="Tabletext"/>
              <w:jc w:val="right"/>
            </w:pPr>
            <w:r w:rsidRPr="00176D37">
              <w:t>1 (5%)</w:t>
            </w:r>
          </w:p>
        </w:tc>
        <w:tc>
          <w:tcPr>
            <w:tcW w:w="1418" w:type="dxa"/>
          </w:tcPr>
          <w:p w14:paraId="08679A69" w14:textId="77777777" w:rsidR="00E9700E" w:rsidRPr="00176D37" w:rsidRDefault="00E9700E" w:rsidP="009742AB">
            <w:pPr>
              <w:pStyle w:val="Tabletext"/>
              <w:jc w:val="right"/>
            </w:pPr>
            <w:r w:rsidRPr="00176D37">
              <w:t>2 (11%)</w:t>
            </w:r>
          </w:p>
        </w:tc>
        <w:tc>
          <w:tcPr>
            <w:tcW w:w="1276" w:type="dxa"/>
          </w:tcPr>
          <w:p w14:paraId="099B52F0" w14:textId="77777777" w:rsidR="00E9700E" w:rsidRPr="00176D37" w:rsidRDefault="00E9700E" w:rsidP="009742AB">
            <w:pPr>
              <w:pStyle w:val="Tabletext"/>
              <w:jc w:val="right"/>
            </w:pPr>
            <w:r w:rsidRPr="00176D37">
              <w:t>7 (37%)</w:t>
            </w:r>
          </w:p>
        </w:tc>
        <w:tc>
          <w:tcPr>
            <w:tcW w:w="1134" w:type="dxa"/>
          </w:tcPr>
          <w:p w14:paraId="26C97BC9" w14:textId="77777777" w:rsidR="00E9700E" w:rsidRPr="00176D37" w:rsidRDefault="00E9700E" w:rsidP="009742AB">
            <w:pPr>
              <w:pStyle w:val="Tabletext"/>
              <w:jc w:val="right"/>
            </w:pPr>
            <w:r w:rsidRPr="00176D37">
              <w:t>9 (47%)</w:t>
            </w:r>
          </w:p>
        </w:tc>
      </w:tr>
      <w:tr w:rsidR="00E9700E" w:rsidRPr="00176D37" w14:paraId="7CBFDA21" w14:textId="77777777" w:rsidTr="005F6CBF">
        <w:tc>
          <w:tcPr>
            <w:tcW w:w="2972" w:type="dxa"/>
          </w:tcPr>
          <w:p w14:paraId="4E19F3F6" w14:textId="77777777" w:rsidR="00E9700E" w:rsidRPr="00176D37" w:rsidRDefault="00E9700E" w:rsidP="00073A4F">
            <w:pPr>
              <w:pStyle w:val="Tabletext"/>
            </w:pPr>
            <w:r w:rsidRPr="00176D37">
              <w:t>Extra specimen labels printed</w:t>
            </w:r>
          </w:p>
        </w:tc>
        <w:tc>
          <w:tcPr>
            <w:tcW w:w="1418" w:type="dxa"/>
          </w:tcPr>
          <w:p w14:paraId="54B1162F" w14:textId="77777777" w:rsidR="00E9700E" w:rsidRPr="00176D37" w:rsidRDefault="00E9700E" w:rsidP="009742AB">
            <w:pPr>
              <w:pStyle w:val="Tabletext"/>
              <w:jc w:val="right"/>
            </w:pPr>
            <w:r w:rsidRPr="00176D37">
              <w:t>-</w:t>
            </w:r>
          </w:p>
        </w:tc>
        <w:tc>
          <w:tcPr>
            <w:tcW w:w="1275" w:type="dxa"/>
          </w:tcPr>
          <w:p w14:paraId="28ACDF8B" w14:textId="77777777" w:rsidR="00E9700E" w:rsidRPr="00176D37" w:rsidRDefault="00E9700E" w:rsidP="009742AB">
            <w:pPr>
              <w:pStyle w:val="Tabletext"/>
              <w:jc w:val="right"/>
            </w:pPr>
            <w:r w:rsidRPr="00176D37">
              <w:t>1 (5%)</w:t>
            </w:r>
          </w:p>
        </w:tc>
        <w:tc>
          <w:tcPr>
            <w:tcW w:w="1418" w:type="dxa"/>
          </w:tcPr>
          <w:p w14:paraId="0B08A281" w14:textId="77777777" w:rsidR="00E9700E" w:rsidRPr="00176D37" w:rsidRDefault="00E9700E" w:rsidP="009742AB">
            <w:pPr>
              <w:pStyle w:val="Tabletext"/>
              <w:jc w:val="right"/>
            </w:pPr>
            <w:r w:rsidRPr="00176D37">
              <w:t>3 (16%)</w:t>
            </w:r>
          </w:p>
        </w:tc>
        <w:tc>
          <w:tcPr>
            <w:tcW w:w="1276" w:type="dxa"/>
          </w:tcPr>
          <w:p w14:paraId="654EDB85" w14:textId="77777777" w:rsidR="00E9700E" w:rsidRPr="00176D37" w:rsidRDefault="00E9700E" w:rsidP="009742AB">
            <w:pPr>
              <w:pStyle w:val="Tabletext"/>
              <w:jc w:val="right"/>
            </w:pPr>
            <w:r w:rsidRPr="00176D37">
              <w:t>7 (37%)</w:t>
            </w:r>
          </w:p>
        </w:tc>
        <w:tc>
          <w:tcPr>
            <w:tcW w:w="1134" w:type="dxa"/>
          </w:tcPr>
          <w:p w14:paraId="1D48610C" w14:textId="77777777" w:rsidR="00E9700E" w:rsidRPr="00176D37" w:rsidRDefault="00E9700E" w:rsidP="009742AB">
            <w:pPr>
              <w:pStyle w:val="Tabletext"/>
              <w:jc w:val="right"/>
            </w:pPr>
            <w:r w:rsidRPr="00176D37">
              <w:t>8 (42%)</w:t>
            </w:r>
          </w:p>
        </w:tc>
      </w:tr>
      <w:tr w:rsidR="00E9700E" w:rsidRPr="00176D37" w14:paraId="5F4814E0" w14:textId="77777777" w:rsidTr="005F6CBF">
        <w:trPr>
          <w:trHeight w:val="698"/>
        </w:trPr>
        <w:tc>
          <w:tcPr>
            <w:tcW w:w="2972" w:type="dxa"/>
          </w:tcPr>
          <w:p w14:paraId="67201CD8" w14:textId="77777777" w:rsidR="00E9700E" w:rsidRPr="00176D37" w:rsidRDefault="00E9700E" w:rsidP="00073A4F">
            <w:pPr>
              <w:pStyle w:val="Tabletext"/>
            </w:pPr>
            <w:r w:rsidRPr="00176D37">
              <w:t>Wrong blood in tube (WBIT)</w:t>
            </w:r>
            <w:bookmarkStart w:id="369" w:name="_Ref100237943"/>
            <w:r w:rsidRPr="00176D37">
              <w:rPr>
                <w:rStyle w:val="FootnoteReference"/>
                <w:rFonts w:cs="Arial"/>
              </w:rPr>
              <w:footnoteReference w:id="34"/>
            </w:r>
            <w:bookmarkEnd w:id="369"/>
          </w:p>
        </w:tc>
        <w:tc>
          <w:tcPr>
            <w:tcW w:w="1418" w:type="dxa"/>
          </w:tcPr>
          <w:p w14:paraId="55FF8A38" w14:textId="77777777" w:rsidR="00E9700E" w:rsidRPr="00176D37" w:rsidRDefault="00E9700E" w:rsidP="009742AB">
            <w:pPr>
              <w:pStyle w:val="Tabletext"/>
              <w:jc w:val="right"/>
            </w:pPr>
            <w:r w:rsidRPr="00176D37">
              <w:t>1 (5%)</w:t>
            </w:r>
          </w:p>
        </w:tc>
        <w:tc>
          <w:tcPr>
            <w:tcW w:w="1275" w:type="dxa"/>
          </w:tcPr>
          <w:p w14:paraId="47667AEF" w14:textId="77777777" w:rsidR="00E9700E" w:rsidRPr="00176D37" w:rsidRDefault="00E9700E" w:rsidP="009742AB">
            <w:pPr>
              <w:pStyle w:val="Tabletext"/>
              <w:jc w:val="right"/>
            </w:pPr>
            <w:r w:rsidRPr="00176D37">
              <w:t>1 (5%)</w:t>
            </w:r>
          </w:p>
        </w:tc>
        <w:tc>
          <w:tcPr>
            <w:tcW w:w="1418" w:type="dxa"/>
          </w:tcPr>
          <w:p w14:paraId="4186EE94" w14:textId="77777777" w:rsidR="00E9700E" w:rsidRPr="00176D37" w:rsidRDefault="00E9700E" w:rsidP="009742AB">
            <w:pPr>
              <w:pStyle w:val="Tabletext"/>
              <w:jc w:val="right"/>
            </w:pPr>
            <w:r w:rsidRPr="00176D37">
              <w:t>6 (32%)</w:t>
            </w:r>
          </w:p>
        </w:tc>
        <w:tc>
          <w:tcPr>
            <w:tcW w:w="1276" w:type="dxa"/>
          </w:tcPr>
          <w:p w14:paraId="707B6FBE" w14:textId="77777777" w:rsidR="00E9700E" w:rsidRPr="00176D37" w:rsidRDefault="00E9700E" w:rsidP="009742AB">
            <w:pPr>
              <w:pStyle w:val="Tabletext"/>
              <w:jc w:val="right"/>
            </w:pPr>
            <w:r w:rsidRPr="00176D37">
              <w:t>5 (26%)</w:t>
            </w:r>
          </w:p>
        </w:tc>
        <w:tc>
          <w:tcPr>
            <w:tcW w:w="1134" w:type="dxa"/>
          </w:tcPr>
          <w:p w14:paraId="4A7AACE8" w14:textId="77777777" w:rsidR="00E9700E" w:rsidRPr="00176D37" w:rsidRDefault="00E9700E" w:rsidP="009742AB">
            <w:pPr>
              <w:pStyle w:val="Tabletext"/>
              <w:jc w:val="right"/>
            </w:pPr>
            <w:r w:rsidRPr="00176D37">
              <w:t>6 (32%)</w:t>
            </w:r>
          </w:p>
        </w:tc>
      </w:tr>
      <w:tr w:rsidR="00E9700E" w:rsidRPr="00176D37" w14:paraId="71C171B3" w14:textId="77777777" w:rsidTr="005F6CBF">
        <w:tc>
          <w:tcPr>
            <w:tcW w:w="2972" w:type="dxa"/>
          </w:tcPr>
          <w:p w14:paraId="6B55B1FC" w14:textId="2D83DEB8" w:rsidR="00E9700E" w:rsidRPr="00176D37" w:rsidRDefault="00E9700E" w:rsidP="00073A4F">
            <w:pPr>
              <w:pStyle w:val="Tabletext"/>
            </w:pPr>
            <w:r w:rsidRPr="00176D37">
              <w:lastRenderedPageBreak/>
              <w:t>Incorrectly labelled specimens, including unsigned pre-transfusion specimens (excluding WBITs)</w:t>
            </w:r>
            <w:r w:rsidRPr="00176D37">
              <w:rPr>
                <w:vertAlign w:val="superscript"/>
              </w:rPr>
              <w:fldChar w:fldCharType="begin"/>
            </w:r>
            <w:r w:rsidRPr="00176D37">
              <w:rPr>
                <w:vertAlign w:val="superscript"/>
              </w:rPr>
              <w:instrText xml:space="preserve"> NOTEREF _Ref100237943 \h  \* MERGEFORMAT </w:instrText>
            </w:r>
            <w:r w:rsidRPr="00176D37">
              <w:rPr>
                <w:vertAlign w:val="superscript"/>
              </w:rPr>
            </w:r>
            <w:r w:rsidRPr="00176D37">
              <w:rPr>
                <w:vertAlign w:val="superscript"/>
              </w:rPr>
              <w:fldChar w:fldCharType="separate"/>
            </w:r>
            <w:r w:rsidR="00E73E2F">
              <w:rPr>
                <w:vertAlign w:val="superscript"/>
              </w:rPr>
              <w:t>34</w:t>
            </w:r>
            <w:r w:rsidRPr="00176D37">
              <w:rPr>
                <w:vertAlign w:val="superscript"/>
              </w:rPr>
              <w:fldChar w:fldCharType="end"/>
            </w:r>
          </w:p>
        </w:tc>
        <w:tc>
          <w:tcPr>
            <w:tcW w:w="1418" w:type="dxa"/>
          </w:tcPr>
          <w:p w14:paraId="5199FDDE" w14:textId="77777777" w:rsidR="00E9700E" w:rsidRPr="00176D37" w:rsidRDefault="00E9700E" w:rsidP="009742AB">
            <w:pPr>
              <w:pStyle w:val="Tabletext"/>
              <w:jc w:val="right"/>
            </w:pPr>
            <w:r w:rsidRPr="00176D37">
              <w:t>2 (11%)</w:t>
            </w:r>
          </w:p>
        </w:tc>
        <w:tc>
          <w:tcPr>
            <w:tcW w:w="1275" w:type="dxa"/>
          </w:tcPr>
          <w:p w14:paraId="1BAD0817" w14:textId="77777777" w:rsidR="00E9700E" w:rsidRPr="00176D37" w:rsidRDefault="00E9700E" w:rsidP="009742AB">
            <w:pPr>
              <w:pStyle w:val="Tabletext"/>
              <w:jc w:val="right"/>
            </w:pPr>
            <w:r w:rsidRPr="00176D37">
              <w:t>-</w:t>
            </w:r>
          </w:p>
        </w:tc>
        <w:tc>
          <w:tcPr>
            <w:tcW w:w="1418" w:type="dxa"/>
          </w:tcPr>
          <w:p w14:paraId="581C170C" w14:textId="77777777" w:rsidR="00E9700E" w:rsidRPr="00176D37" w:rsidRDefault="00E9700E" w:rsidP="009742AB">
            <w:pPr>
              <w:pStyle w:val="Tabletext"/>
              <w:jc w:val="right"/>
            </w:pPr>
            <w:r w:rsidRPr="00176D37">
              <w:t>4 (21%)</w:t>
            </w:r>
          </w:p>
        </w:tc>
        <w:tc>
          <w:tcPr>
            <w:tcW w:w="1276" w:type="dxa"/>
          </w:tcPr>
          <w:p w14:paraId="48AD0625" w14:textId="77777777" w:rsidR="00E9700E" w:rsidRPr="00176D37" w:rsidRDefault="00E9700E" w:rsidP="009742AB">
            <w:pPr>
              <w:pStyle w:val="Tabletext"/>
              <w:jc w:val="right"/>
            </w:pPr>
            <w:r w:rsidRPr="00176D37">
              <w:t>7 (37%)</w:t>
            </w:r>
          </w:p>
        </w:tc>
        <w:tc>
          <w:tcPr>
            <w:tcW w:w="1134" w:type="dxa"/>
          </w:tcPr>
          <w:p w14:paraId="30D18AAA" w14:textId="77777777" w:rsidR="00E9700E" w:rsidRPr="00176D37" w:rsidRDefault="00E9700E" w:rsidP="009742AB">
            <w:pPr>
              <w:pStyle w:val="Tabletext"/>
              <w:jc w:val="right"/>
            </w:pPr>
            <w:r w:rsidRPr="00176D37">
              <w:t>6 (32%)</w:t>
            </w:r>
          </w:p>
        </w:tc>
      </w:tr>
      <w:tr w:rsidR="00E9700E" w:rsidRPr="00176D37" w14:paraId="01366FC6" w14:textId="77777777" w:rsidTr="005F6CBF">
        <w:tc>
          <w:tcPr>
            <w:tcW w:w="2972" w:type="dxa"/>
          </w:tcPr>
          <w:p w14:paraId="2533C6FB" w14:textId="77777777" w:rsidR="00E9700E" w:rsidRPr="00176D37" w:rsidRDefault="00E9700E" w:rsidP="00073A4F">
            <w:pPr>
              <w:pStyle w:val="Tabletext"/>
            </w:pPr>
            <w:r w:rsidRPr="00176D37">
              <w:t>Unsigned collector’s declaration on request form</w:t>
            </w:r>
          </w:p>
        </w:tc>
        <w:tc>
          <w:tcPr>
            <w:tcW w:w="1418" w:type="dxa"/>
          </w:tcPr>
          <w:p w14:paraId="4E6554D6" w14:textId="77777777" w:rsidR="00E9700E" w:rsidRPr="00176D37" w:rsidRDefault="00E9700E" w:rsidP="009742AB">
            <w:pPr>
              <w:pStyle w:val="Tabletext"/>
              <w:jc w:val="right"/>
            </w:pPr>
            <w:r w:rsidRPr="00176D37">
              <w:t>-</w:t>
            </w:r>
          </w:p>
        </w:tc>
        <w:tc>
          <w:tcPr>
            <w:tcW w:w="1275" w:type="dxa"/>
          </w:tcPr>
          <w:p w14:paraId="207484CA" w14:textId="77777777" w:rsidR="00E9700E" w:rsidRPr="00176D37" w:rsidRDefault="00E9700E" w:rsidP="009742AB">
            <w:pPr>
              <w:pStyle w:val="Tabletext"/>
              <w:jc w:val="right"/>
            </w:pPr>
            <w:r w:rsidRPr="00176D37">
              <w:t>1 (5%)</w:t>
            </w:r>
          </w:p>
        </w:tc>
        <w:tc>
          <w:tcPr>
            <w:tcW w:w="1418" w:type="dxa"/>
          </w:tcPr>
          <w:p w14:paraId="3116F434" w14:textId="77777777" w:rsidR="00E9700E" w:rsidRPr="00176D37" w:rsidRDefault="00E9700E" w:rsidP="009742AB">
            <w:pPr>
              <w:pStyle w:val="Tabletext"/>
              <w:jc w:val="right"/>
            </w:pPr>
            <w:r w:rsidRPr="00176D37">
              <w:t>5 (26%)</w:t>
            </w:r>
          </w:p>
        </w:tc>
        <w:tc>
          <w:tcPr>
            <w:tcW w:w="1276" w:type="dxa"/>
          </w:tcPr>
          <w:p w14:paraId="58A338EB" w14:textId="77777777" w:rsidR="00E9700E" w:rsidRPr="00176D37" w:rsidRDefault="00E9700E" w:rsidP="009742AB">
            <w:pPr>
              <w:pStyle w:val="Tabletext"/>
              <w:jc w:val="right"/>
            </w:pPr>
            <w:r w:rsidRPr="00176D37">
              <w:t>6 (32%)</w:t>
            </w:r>
          </w:p>
        </w:tc>
        <w:tc>
          <w:tcPr>
            <w:tcW w:w="1134" w:type="dxa"/>
          </w:tcPr>
          <w:p w14:paraId="08CB7AE6" w14:textId="77777777" w:rsidR="00E9700E" w:rsidRPr="00176D37" w:rsidRDefault="00E9700E" w:rsidP="009742AB">
            <w:pPr>
              <w:pStyle w:val="Tabletext"/>
              <w:jc w:val="right"/>
            </w:pPr>
            <w:r w:rsidRPr="00176D37">
              <w:t>7 (37%)</w:t>
            </w:r>
          </w:p>
        </w:tc>
      </w:tr>
      <w:tr w:rsidR="00E9700E" w:rsidRPr="00176D37" w14:paraId="653EA2EA" w14:textId="77777777" w:rsidTr="005F6CBF">
        <w:tc>
          <w:tcPr>
            <w:tcW w:w="2972" w:type="dxa"/>
          </w:tcPr>
          <w:p w14:paraId="206AA479" w14:textId="77777777" w:rsidR="00E9700E" w:rsidRPr="00176D37" w:rsidRDefault="00E9700E" w:rsidP="00073A4F">
            <w:pPr>
              <w:pStyle w:val="Tabletext"/>
            </w:pPr>
            <w:r w:rsidRPr="00176D37">
              <w:t>No request form received with specimen</w:t>
            </w:r>
          </w:p>
        </w:tc>
        <w:tc>
          <w:tcPr>
            <w:tcW w:w="1418" w:type="dxa"/>
          </w:tcPr>
          <w:p w14:paraId="36346983" w14:textId="77777777" w:rsidR="00E9700E" w:rsidRPr="00176D37" w:rsidRDefault="00E9700E" w:rsidP="009742AB">
            <w:pPr>
              <w:pStyle w:val="Tabletext"/>
              <w:jc w:val="right"/>
            </w:pPr>
            <w:r w:rsidRPr="00176D37">
              <w:t>1 (5%)</w:t>
            </w:r>
          </w:p>
        </w:tc>
        <w:tc>
          <w:tcPr>
            <w:tcW w:w="1275" w:type="dxa"/>
          </w:tcPr>
          <w:p w14:paraId="13C0845F" w14:textId="77777777" w:rsidR="00E9700E" w:rsidRPr="00176D37" w:rsidRDefault="00E9700E" w:rsidP="009742AB">
            <w:pPr>
              <w:pStyle w:val="Tabletext"/>
              <w:jc w:val="right"/>
            </w:pPr>
            <w:r w:rsidRPr="00176D37">
              <w:t>2 (11%)</w:t>
            </w:r>
          </w:p>
        </w:tc>
        <w:tc>
          <w:tcPr>
            <w:tcW w:w="1418" w:type="dxa"/>
          </w:tcPr>
          <w:p w14:paraId="5BA2EE1A" w14:textId="77777777" w:rsidR="00E9700E" w:rsidRPr="00176D37" w:rsidRDefault="00E9700E" w:rsidP="009742AB">
            <w:pPr>
              <w:pStyle w:val="Tabletext"/>
              <w:jc w:val="right"/>
            </w:pPr>
            <w:r w:rsidRPr="00176D37">
              <w:t>3 (16%)</w:t>
            </w:r>
          </w:p>
        </w:tc>
        <w:tc>
          <w:tcPr>
            <w:tcW w:w="1276" w:type="dxa"/>
          </w:tcPr>
          <w:p w14:paraId="14954120" w14:textId="77777777" w:rsidR="00E9700E" w:rsidRPr="00176D37" w:rsidRDefault="00E9700E" w:rsidP="009742AB">
            <w:pPr>
              <w:pStyle w:val="Tabletext"/>
              <w:jc w:val="right"/>
            </w:pPr>
            <w:r w:rsidRPr="00176D37">
              <w:t>6 (32%)</w:t>
            </w:r>
          </w:p>
        </w:tc>
        <w:tc>
          <w:tcPr>
            <w:tcW w:w="1134" w:type="dxa"/>
          </w:tcPr>
          <w:p w14:paraId="3CF02EC2" w14:textId="77777777" w:rsidR="00E9700E" w:rsidRPr="00176D37" w:rsidRDefault="00E9700E" w:rsidP="009742AB">
            <w:pPr>
              <w:pStyle w:val="Tabletext"/>
              <w:jc w:val="right"/>
            </w:pPr>
            <w:r w:rsidRPr="00176D37">
              <w:t>7 (37%)</w:t>
            </w:r>
          </w:p>
        </w:tc>
      </w:tr>
      <w:tr w:rsidR="00E9700E" w:rsidRPr="00176D37" w14:paraId="646E4E53" w14:textId="77777777" w:rsidTr="005F6CBF">
        <w:tc>
          <w:tcPr>
            <w:tcW w:w="2972" w:type="dxa"/>
          </w:tcPr>
          <w:p w14:paraId="2EFCCE10" w14:textId="77777777" w:rsidR="00E9700E" w:rsidRPr="00176D37" w:rsidRDefault="00E9700E" w:rsidP="00073A4F">
            <w:pPr>
              <w:pStyle w:val="Tabletext"/>
            </w:pPr>
            <w:r w:rsidRPr="00176D37">
              <w:t>Two patients' specimens in one biohazard bag</w:t>
            </w:r>
          </w:p>
        </w:tc>
        <w:tc>
          <w:tcPr>
            <w:tcW w:w="1418" w:type="dxa"/>
          </w:tcPr>
          <w:p w14:paraId="337A1A99" w14:textId="77777777" w:rsidR="00E9700E" w:rsidRPr="00176D37" w:rsidRDefault="00E9700E" w:rsidP="009742AB">
            <w:pPr>
              <w:pStyle w:val="Tabletext"/>
              <w:jc w:val="right"/>
            </w:pPr>
            <w:r w:rsidRPr="00176D37">
              <w:t>-</w:t>
            </w:r>
          </w:p>
        </w:tc>
        <w:tc>
          <w:tcPr>
            <w:tcW w:w="1275" w:type="dxa"/>
          </w:tcPr>
          <w:p w14:paraId="6E5B30CD" w14:textId="77777777" w:rsidR="00E9700E" w:rsidRPr="00176D37" w:rsidRDefault="00E9700E" w:rsidP="009742AB">
            <w:pPr>
              <w:pStyle w:val="Tabletext"/>
              <w:jc w:val="right"/>
            </w:pPr>
            <w:r w:rsidRPr="00176D37">
              <w:t>-</w:t>
            </w:r>
          </w:p>
        </w:tc>
        <w:tc>
          <w:tcPr>
            <w:tcW w:w="1418" w:type="dxa"/>
          </w:tcPr>
          <w:p w14:paraId="3B6C24C8" w14:textId="77777777" w:rsidR="00E9700E" w:rsidRPr="00176D37" w:rsidRDefault="00E9700E" w:rsidP="009742AB">
            <w:pPr>
              <w:pStyle w:val="Tabletext"/>
              <w:jc w:val="right"/>
            </w:pPr>
            <w:r w:rsidRPr="00176D37">
              <w:t>5 (26%)</w:t>
            </w:r>
          </w:p>
        </w:tc>
        <w:tc>
          <w:tcPr>
            <w:tcW w:w="1276" w:type="dxa"/>
          </w:tcPr>
          <w:p w14:paraId="3ECBCD52" w14:textId="77777777" w:rsidR="00E9700E" w:rsidRPr="00176D37" w:rsidRDefault="00E9700E" w:rsidP="009742AB">
            <w:pPr>
              <w:pStyle w:val="Tabletext"/>
              <w:jc w:val="right"/>
            </w:pPr>
            <w:r w:rsidRPr="00176D37">
              <w:t>7 (37%)</w:t>
            </w:r>
          </w:p>
        </w:tc>
        <w:tc>
          <w:tcPr>
            <w:tcW w:w="1134" w:type="dxa"/>
          </w:tcPr>
          <w:p w14:paraId="2B909343" w14:textId="77777777" w:rsidR="00E9700E" w:rsidRPr="00176D37" w:rsidRDefault="00E9700E" w:rsidP="009742AB">
            <w:pPr>
              <w:pStyle w:val="Tabletext"/>
              <w:jc w:val="right"/>
            </w:pPr>
            <w:r w:rsidRPr="00176D37">
              <w:t>7 (37%)</w:t>
            </w:r>
          </w:p>
        </w:tc>
      </w:tr>
      <w:tr w:rsidR="00E9700E" w:rsidRPr="00176D37" w14:paraId="6C62C051" w14:textId="77777777" w:rsidTr="005F6CBF">
        <w:tc>
          <w:tcPr>
            <w:tcW w:w="2972" w:type="dxa"/>
          </w:tcPr>
          <w:p w14:paraId="76BFAFF3" w14:textId="77777777" w:rsidR="00E9700E" w:rsidRPr="00176D37" w:rsidRDefault="00E9700E" w:rsidP="00073A4F">
            <w:pPr>
              <w:pStyle w:val="Tabletext"/>
            </w:pPr>
            <w:r w:rsidRPr="00176D37">
              <w:t>Rejection of specimens for any reason other than stated above</w:t>
            </w:r>
          </w:p>
        </w:tc>
        <w:tc>
          <w:tcPr>
            <w:tcW w:w="1418" w:type="dxa"/>
          </w:tcPr>
          <w:p w14:paraId="32CDE966" w14:textId="77777777" w:rsidR="00E9700E" w:rsidRPr="00176D37" w:rsidRDefault="00E9700E" w:rsidP="009742AB">
            <w:pPr>
              <w:pStyle w:val="Tabletext"/>
              <w:jc w:val="right"/>
            </w:pPr>
            <w:r w:rsidRPr="00176D37">
              <w:t>-</w:t>
            </w:r>
          </w:p>
        </w:tc>
        <w:tc>
          <w:tcPr>
            <w:tcW w:w="1275" w:type="dxa"/>
          </w:tcPr>
          <w:p w14:paraId="207FCC18" w14:textId="77777777" w:rsidR="00E9700E" w:rsidRPr="00176D37" w:rsidRDefault="00E9700E" w:rsidP="009742AB">
            <w:pPr>
              <w:pStyle w:val="Tabletext"/>
              <w:jc w:val="right"/>
            </w:pPr>
            <w:r w:rsidRPr="00176D37">
              <w:t>-</w:t>
            </w:r>
          </w:p>
        </w:tc>
        <w:tc>
          <w:tcPr>
            <w:tcW w:w="1418" w:type="dxa"/>
          </w:tcPr>
          <w:p w14:paraId="61C5669F" w14:textId="77777777" w:rsidR="00E9700E" w:rsidRPr="00176D37" w:rsidRDefault="00E9700E" w:rsidP="009742AB">
            <w:pPr>
              <w:pStyle w:val="Tabletext"/>
              <w:jc w:val="right"/>
            </w:pPr>
            <w:r w:rsidRPr="00176D37">
              <w:t>4 (21%)</w:t>
            </w:r>
          </w:p>
        </w:tc>
        <w:tc>
          <w:tcPr>
            <w:tcW w:w="1276" w:type="dxa"/>
          </w:tcPr>
          <w:p w14:paraId="6CFEBA8D" w14:textId="77777777" w:rsidR="00E9700E" w:rsidRPr="00176D37" w:rsidRDefault="00E9700E" w:rsidP="009742AB">
            <w:pPr>
              <w:pStyle w:val="Tabletext"/>
              <w:jc w:val="right"/>
            </w:pPr>
            <w:r w:rsidRPr="00176D37">
              <w:t>8 (42%)</w:t>
            </w:r>
          </w:p>
        </w:tc>
        <w:tc>
          <w:tcPr>
            <w:tcW w:w="1134" w:type="dxa"/>
          </w:tcPr>
          <w:p w14:paraId="0347966F" w14:textId="77777777" w:rsidR="00E9700E" w:rsidRPr="00176D37" w:rsidRDefault="00E9700E" w:rsidP="009742AB">
            <w:pPr>
              <w:pStyle w:val="Tabletext"/>
              <w:jc w:val="right"/>
            </w:pPr>
            <w:r w:rsidRPr="00176D37">
              <w:t>7 (37%)</w:t>
            </w:r>
          </w:p>
        </w:tc>
      </w:tr>
      <w:tr w:rsidR="00E9700E" w:rsidRPr="00176D37" w14:paraId="59BC7B9C" w14:textId="77777777" w:rsidTr="005F6CBF">
        <w:tc>
          <w:tcPr>
            <w:tcW w:w="2972" w:type="dxa"/>
          </w:tcPr>
          <w:p w14:paraId="2378D2C6" w14:textId="77777777" w:rsidR="00E9700E" w:rsidRPr="00176D37" w:rsidRDefault="00E9700E" w:rsidP="00073A4F">
            <w:pPr>
              <w:pStyle w:val="Tabletext"/>
            </w:pPr>
            <w:r w:rsidRPr="00176D37">
              <w:t>Difficulty following up who took the specimen if a problem occurs</w:t>
            </w:r>
          </w:p>
        </w:tc>
        <w:tc>
          <w:tcPr>
            <w:tcW w:w="1418" w:type="dxa"/>
          </w:tcPr>
          <w:p w14:paraId="6D3ABD55" w14:textId="77777777" w:rsidR="00E9700E" w:rsidRPr="00176D37" w:rsidRDefault="00E9700E" w:rsidP="009742AB">
            <w:pPr>
              <w:pStyle w:val="Tabletext"/>
              <w:jc w:val="right"/>
            </w:pPr>
            <w:r w:rsidRPr="00176D37">
              <w:t>4 (21%)</w:t>
            </w:r>
          </w:p>
        </w:tc>
        <w:tc>
          <w:tcPr>
            <w:tcW w:w="1275" w:type="dxa"/>
          </w:tcPr>
          <w:p w14:paraId="017E6A0E" w14:textId="77777777" w:rsidR="00E9700E" w:rsidRPr="00176D37" w:rsidRDefault="00E9700E" w:rsidP="009742AB">
            <w:pPr>
              <w:pStyle w:val="Tabletext"/>
              <w:jc w:val="right"/>
            </w:pPr>
            <w:r w:rsidRPr="00176D37">
              <w:t>-</w:t>
            </w:r>
          </w:p>
        </w:tc>
        <w:tc>
          <w:tcPr>
            <w:tcW w:w="1418" w:type="dxa"/>
          </w:tcPr>
          <w:p w14:paraId="69B75E72" w14:textId="77777777" w:rsidR="00E9700E" w:rsidRPr="00176D37" w:rsidRDefault="00E9700E" w:rsidP="009742AB">
            <w:pPr>
              <w:pStyle w:val="Tabletext"/>
              <w:jc w:val="right"/>
            </w:pPr>
            <w:r w:rsidRPr="00176D37">
              <w:t>5 (26%)</w:t>
            </w:r>
          </w:p>
        </w:tc>
        <w:tc>
          <w:tcPr>
            <w:tcW w:w="1276" w:type="dxa"/>
          </w:tcPr>
          <w:p w14:paraId="3AAF2092" w14:textId="77777777" w:rsidR="00E9700E" w:rsidRPr="00176D37" w:rsidRDefault="00E9700E" w:rsidP="009742AB">
            <w:pPr>
              <w:pStyle w:val="Tabletext"/>
              <w:jc w:val="right"/>
            </w:pPr>
            <w:r w:rsidRPr="00176D37">
              <w:t>3 (16%)</w:t>
            </w:r>
          </w:p>
        </w:tc>
        <w:tc>
          <w:tcPr>
            <w:tcW w:w="1134" w:type="dxa"/>
          </w:tcPr>
          <w:p w14:paraId="6B814838" w14:textId="77777777" w:rsidR="00E9700E" w:rsidRPr="00176D37" w:rsidRDefault="00E9700E" w:rsidP="009742AB">
            <w:pPr>
              <w:pStyle w:val="Tabletext"/>
              <w:jc w:val="right"/>
            </w:pPr>
            <w:r w:rsidRPr="00176D37">
              <w:t>7 (37%)</w:t>
            </w:r>
          </w:p>
        </w:tc>
      </w:tr>
      <w:tr w:rsidR="00E9700E" w:rsidRPr="00176D37" w14:paraId="4F05006C" w14:textId="77777777" w:rsidTr="005F6CBF">
        <w:tc>
          <w:tcPr>
            <w:tcW w:w="2972" w:type="dxa"/>
          </w:tcPr>
          <w:p w14:paraId="2EDF05D6" w14:textId="77777777" w:rsidR="00E9700E" w:rsidRPr="00176D37" w:rsidRDefault="00E9700E" w:rsidP="00073A4F">
            <w:pPr>
              <w:pStyle w:val="Tabletext"/>
            </w:pPr>
            <w:r w:rsidRPr="00176D37">
              <w:t>The number of transfusion reactions reported</w:t>
            </w:r>
          </w:p>
        </w:tc>
        <w:tc>
          <w:tcPr>
            <w:tcW w:w="1418" w:type="dxa"/>
          </w:tcPr>
          <w:p w14:paraId="3CEFA761" w14:textId="77777777" w:rsidR="00E9700E" w:rsidRPr="00176D37" w:rsidRDefault="00E9700E" w:rsidP="009742AB">
            <w:pPr>
              <w:pStyle w:val="Tabletext"/>
              <w:jc w:val="right"/>
            </w:pPr>
            <w:r w:rsidRPr="00176D37">
              <w:t>-</w:t>
            </w:r>
          </w:p>
        </w:tc>
        <w:tc>
          <w:tcPr>
            <w:tcW w:w="1275" w:type="dxa"/>
          </w:tcPr>
          <w:p w14:paraId="50F4F666" w14:textId="77777777" w:rsidR="00E9700E" w:rsidRPr="00176D37" w:rsidRDefault="00E9700E" w:rsidP="009742AB">
            <w:pPr>
              <w:pStyle w:val="Tabletext"/>
              <w:jc w:val="right"/>
            </w:pPr>
            <w:r w:rsidRPr="00176D37">
              <w:t>3 (16%)</w:t>
            </w:r>
          </w:p>
        </w:tc>
        <w:tc>
          <w:tcPr>
            <w:tcW w:w="1418" w:type="dxa"/>
          </w:tcPr>
          <w:p w14:paraId="609D8FCE" w14:textId="77777777" w:rsidR="00E9700E" w:rsidRPr="00176D37" w:rsidRDefault="00E9700E" w:rsidP="009742AB">
            <w:pPr>
              <w:pStyle w:val="Tabletext"/>
              <w:jc w:val="right"/>
            </w:pPr>
            <w:r w:rsidRPr="00176D37">
              <w:t>6 (32%)</w:t>
            </w:r>
          </w:p>
        </w:tc>
        <w:tc>
          <w:tcPr>
            <w:tcW w:w="1276" w:type="dxa"/>
          </w:tcPr>
          <w:p w14:paraId="17A2A921" w14:textId="77777777" w:rsidR="00E9700E" w:rsidRPr="00176D37" w:rsidRDefault="00E9700E" w:rsidP="009742AB">
            <w:pPr>
              <w:pStyle w:val="Tabletext"/>
              <w:jc w:val="right"/>
            </w:pPr>
            <w:r w:rsidRPr="00176D37">
              <w:t>3 (16%)</w:t>
            </w:r>
          </w:p>
        </w:tc>
        <w:tc>
          <w:tcPr>
            <w:tcW w:w="1134" w:type="dxa"/>
          </w:tcPr>
          <w:p w14:paraId="563F21EA" w14:textId="77777777" w:rsidR="00E9700E" w:rsidRPr="00176D37" w:rsidRDefault="00E9700E" w:rsidP="009742AB">
            <w:pPr>
              <w:pStyle w:val="Tabletext"/>
              <w:jc w:val="right"/>
            </w:pPr>
            <w:r w:rsidRPr="00176D37">
              <w:t>7 (37%)</w:t>
            </w:r>
          </w:p>
        </w:tc>
      </w:tr>
    </w:tbl>
    <w:p w14:paraId="0DEE1717" w14:textId="72582603" w:rsidR="00E9700E" w:rsidRPr="00176D37" w:rsidRDefault="00E9700E" w:rsidP="009742AB">
      <w:pPr>
        <w:pStyle w:val="Bodyaftertablefigure"/>
      </w:pPr>
      <w:r w:rsidRPr="00176D37">
        <w:t xml:space="preserve">There are conflicting responses relating to increases and decreases in incidence of errors as shown in </w:t>
      </w:r>
      <w:r w:rsidRPr="00176D37">
        <w:fldChar w:fldCharType="begin"/>
      </w:r>
      <w:r w:rsidRPr="00176D37">
        <w:instrText xml:space="preserve"> REF _Ref100676284 \h  \* MERGEFORMAT </w:instrText>
      </w:r>
      <w:r w:rsidRPr="00176D37">
        <w:fldChar w:fldCharType="separate"/>
      </w:r>
      <w:r w:rsidR="00E73E2F" w:rsidRPr="00176D37">
        <w:t xml:space="preserve">Table </w:t>
      </w:r>
      <w:r w:rsidR="00E73E2F">
        <w:rPr>
          <w:noProof/>
        </w:rPr>
        <w:t>40</w:t>
      </w:r>
      <w:r w:rsidRPr="00176D37">
        <w:fldChar w:fldCharType="end"/>
      </w:r>
      <w:r w:rsidRPr="00176D37">
        <w:t xml:space="preserve"> and </w:t>
      </w:r>
      <w:r w:rsidRPr="00176D37">
        <w:fldChar w:fldCharType="begin"/>
      </w:r>
      <w:r w:rsidRPr="00176D37">
        <w:instrText xml:space="preserve"> REF _Ref100676316 \h  \* MERGEFORMAT </w:instrText>
      </w:r>
      <w:r w:rsidRPr="00176D37">
        <w:fldChar w:fldCharType="separate"/>
      </w:r>
      <w:r w:rsidR="00E73E2F" w:rsidRPr="00176D37">
        <w:t xml:space="preserve">Table </w:t>
      </w:r>
      <w:r w:rsidR="00E73E2F">
        <w:rPr>
          <w:noProof/>
        </w:rPr>
        <w:t>41</w:t>
      </w:r>
      <w:r w:rsidRPr="00176D37">
        <w:fldChar w:fldCharType="end"/>
      </w:r>
      <w:r w:rsidRPr="00176D37">
        <w:t xml:space="preserve">. It is </w:t>
      </w:r>
      <w:r w:rsidRPr="004141A8">
        <w:t>hard</w:t>
      </w:r>
      <w:r w:rsidRPr="00176D37">
        <w:t xml:space="preserve"> to draw any conclusions due to the small numbers reported. There were significant numbers of unsure or N/A, which may indicate the people completing the survey were not aware of the actual incidence of this occurring. </w:t>
      </w:r>
    </w:p>
    <w:p w14:paraId="01F87765" w14:textId="1F8DB73F" w:rsidR="00E9700E" w:rsidRPr="00176D37" w:rsidRDefault="00E9700E" w:rsidP="00073A4F">
      <w:pPr>
        <w:pStyle w:val="Body"/>
      </w:pPr>
      <w:bookmarkStart w:id="370" w:name="_Hlk100206935"/>
      <w:r w:rsidRPr="00176D37">
        <w:t xml:space="preserve">A summary of the different responses between quality/executive and laboratory respondents is shown in </w:t>
      </w:r>
      <w:r w:rsidRPr="00176D37">
        <w:fldChar w:fldCharType="begin"/>
      </w:r>
      <w:r w:rsidRPr="00176D37">
        <w:instrText xml:space="preserve"> REF _Ref100676316 \h  \* MERGEFORMAT </w:instrText>
      </w:r>
      <w:r w:rsidRPr="00176D37">
        <w:fldChar w:fldCharType="separate"/>
      </w:r>
      <w:r w:rsidR="00E73E2F" w:rsidRPr="00176D37">
        <w:t xml:space="preserve">Table </w:t>
      </w:r>
      <w:r w:rsidR="00E73E2F">
        <w:rPr>
          <w:noProof/>
        </w:rPr>
        <w:t>41</w:t>
      </w:r>
      <w:r w:rsidRPr="00176D37">
        <w:fldChar w:fldCharType="end"/>
      </w:r>
      <w:r w:rsidRPr="00176D37">
        <w:t>.</w:t>
      </w:r>
    </w:p>
    <w:p w14:paraId="34090D59" w14:textId="1B9E0A40" w:rsidR="00E9700E" w:rsidRDefault="00E9700E" w:rsidP="00073A4F">
      <w:pPr>
        <w:pStyle w:val="Tablecaption"/>
      </w:pPr>
      <w:bookmarkStart w:id="371" w:name="_Ref100676316"/>
      <w:r w:rsidRPr="00176D37">
        <w:t xml:space="preserve">Table </w:t>
      </w:r>
      <w:r w:rsidR="00F751A0">
        <w:fldChar w:fldCharType="begin"/>
      </w:r>
      <w:r w:rsidR="00F751A0">
        <w:instrText xml:space="preserve"> SEQ Table \* ARABIC </w:instrText>
      </w:r>
      <w:r w:rsidR="00F751A0">
        <w:fldChar w:fldCharType="separate"/>
      </w:r>
      <w:r w:rsidR="00E73E2F">
        <w:rPr>
          <w:noProof/>
        </w:rPr>
        <w:t>41</w:t>
      </w:r>
      <w:r w:rsidR="00F751A0">
        <w:rPr>
          <w:noProof/>
        </w:rPr>
        <w:fldChar w:fldCharType="end"/>
      </w:r>
      <w:bookmarkEnd w:id="371"/>
      <w:r w:rsidRPr="00176D37">
        <w:t>: Different responses between quality and laboratory staff about incidence in errors</w:t>
      </w:r>
    </w:p>
    <w:p w14:paraId="68B89109" w14:textId="1EFB4E4B" w:rsidR="004D2DD3" w:rsidRDefault="004D2DD3" w:rsidP="004D2DD3">
      <w:pPr>
        <w:pStyle w:val="Body"/>
      </w:pPr>
      <w:r>
        <w:t>Unlabelled specimens</w:t>
      </w:r>
    </w:p>
    <w:tbl>
      <w:tblPr>
        <w:tblStyle w:val="TableGrid"/>
        <w:tblW w:w="0" w:type="auto"/>
        <w:tblLook w:val="04A0" w:firstRow="1" w:lastRow="0" w:firstColumn="1" w:lastColumn="0" w:noHBand="0" w:noVBand="1"/>
      </w:tblPr>
      <w:tblGrid>
        <w:gridCol w:w="1372"/>
        <w:gridCol w:w="1530"/>
        <w:gridCol w:w="1530"/>
        <w:gridCol w:w="1530"/>
        <w:gridCol w:w="1530"/>
        <w:gridCol w:w="1530"/>
      </w:tblGrid>
      <w:tr w:rsidR="004D2DD3" w:rsidRPr="00176D37" w14:paraId="6847D608" w14:textId="77777777" w:rsidTr="00E73E2F">
        <w:tc>
          <w:tcPr>
            <w:tcW w:w="1372" w:type="dxa"/>
          </w:tcPr>
          <w:p w14:paraId="7A2712D7" w14:textId="3530CEFE" w:rsidR="004D2DD3" w:rsidRPr="00176D37" w:rsidRDefault="004D2DD3" w:rsidP="001053B7">
            <w:pPr>
              <w:pStyle w:val="Tablecolhead"/>
            </w:pPr>
            <w:r>
              <w:t>Quality or laboratory</w:t>
            </w:r>
          </w:p>
        </w:tc>
        <w:tc>
          <w:tcPr>
            <w:tcW w:w="1530" w:type="dxa"/>
          </w:tcPr>
          <w:p w14:paraId="480AC1B5" w14:textId="77777777" w:rsidR="004D2DD3" w:rsidRPr="00176D37" w:rsidRDefault="004D2DD3" w:rsidP="001053B7">
            <w:pPr>
              <w:pStyle w:val="Tablecolhead"/>
              <w:rPr>
                <w:bCs/>
              </w:rPr>
            </w:pPr>
            <w:r w:rsidRPr="00176D37">
              <w:rPr>
                <w:bCs/>
              </w:rPr>
              <w:t>Decreased</w:t>
            </w:r>
          </w:p>
          <w:p w14:paraId="5FB6237B" w14:textId="77777777" w:rsidR="004D2DD3" w:rsidRPr="00176D37" w:rsidRDefault="004D2DD3" w:rsidP="001053B7">
            <w:pPr>
              <w:pStyle w:val="Tablecolhead"/>
            </w:pPr>
            <w:r w:rsidRPr="00176D37">
              <w:t>n (%)</w:t>
            </w:r>
          </w:p>
        </w:tc>
        <w:tc>
          <w:tcPr>
            <w:tcW w:w="1530" w:type="dxa"/>
          </w:tcPr>
          <w:p w14:paraId="697C00A5" w14:textId="77777777" w:rsidR="004D2DD3" w:rsidRPr="00176D37" w:rsidRDefault="004D2DD3" w:rsidP="001053B7">
            <w:pPr>
              <w:pStyle w:val="Tablecolhead"/>
              <w:rPr>
                <w:bCs/>
              </w:rPr>
            </w:pPr>
            <w:r w:rsidRPr="00176D37">
              <w:rPr>
                <w:bCs/>
              </w:rPr>
              <w:t>Increased</w:t>
            </w:r>
          </w:p>
          <w:p w14:paraId="5531A769" w14:textId="77777777" w:rsidR="004D2DD3" w:rsidRPr="00176D37" w:rsidRDefault="004D2DD3" w:rsidP="001053B7">
            <w:pPr>
              <w:pStyle w:val="Tablecolhead"/>
              <w:rPr>
                <w:bCs/>
              </w:rPr>
            </w:pPr>
            <w:r w:rsidRPr="00176D37">
              <w:t>n (%)</w:t>
            </w:r>
          </w:p>
        </w:tc>
        <w:tc>
          <w:tcPr>
            <w:tcW w:w="1530" w:type="dxa"/>
          </w:tcPr>
          <w:p w14:paraId="6CF04F71" w14:textId="77777777" w:rsidR="004D2DD3" w:rsidRPr="00176D37" w:rsidRDefault="004D2DD3" w:rsidP="001053B7">
            <w:pPr>
              <w:pStyle w:val="Tablecolhead"/>
              <w:rPr>
                <w:bCs/>
              </w:rPr>
            </w:pPr>
            <w:r w:rsidRPr="00176D37">
              <w:rPr>
                <w:bCs/>
              </w:rPr>
              <w:t>No change</w:t>
            </w:r>
          </w:p>
          <w:p w14:paraId="5A249C42" w14:textId="77777777" w:rsidR="004D2DD3" w:rsidRPr="00176D37" w:rsidRDefault="004D2DD3" w:rsidP="001053B7">
            <w:pPr>
              <w:pStyle w:val="Tablecolhead"/>
              <w:rPr>
                <w:bCs/>
              </w:rPr>
            </w:pPr>
            <w:r w:rsidRPr="00176D37">
              <w:t>n (%)</w:t>
            </w:r>
          </w:p>
        </w:tc>
        <w:tc>
          <w:tcPr>
            <w:tcW w:w="1530" w:type="dxa"/>
          </w:tcPr>
          <w:p w14:paraId="498B73B5" w14:textId="77777777" w:rsidR="004D2DD3" w:rsidRPr="00176D37" w:rsidRDefault="004D2DD3" w:rsidP="001053B7">
            <w:pPr>
              <w:pStyle w:val="Tablecolhead"/>
              <w:rPr>
                <w:bCs/>
              </w:rPr>
            </w:pPr>
            <w:r w:rsidRPr="00176D37">
              <w:rPr>
                <w:bCs/>
              </w:rPr>
              <w:t>Unsure</w:t>
            </w:r>
          </w:p>
          <w:p w14:paraId="05E2B788" w14:textId="77777777" w:rsidR="004D2DD3" w:rsidRPr="00176D37" w:rsidRDefault="004D2DD3" w:rsidP="001053B7">
            <w:pPr>
              <w:pStyle w:val="Tablecolhead"/>
              <w:rPr>
                <w:bCs/>
              </w:rPr>
            </w:pPr>
            <w:r w:rsidRPr="00176D37">
              <w:t>n (%)</w:t>
            </w:r>
          </w:p>
        </w:tc>
        <w:tc>
          <w:tcPr>
            <w:tcW w:w="1530" w:type="dxa"/>
          </w:tcPr>
          <w:p w14:paraId="65A78889" w14:textId="77777777" w:rsidR="004D2DD3" w:rsidRPr="00176D37" w:rsidRDefault="004D2DD3" w:rsidP="001053B7">
            <w:pPr>
              <w:pStyle w:val="Tablecolhead"/>
              <w:rPr>
                <w:bCs/>
              </w:rPr>
            </w:pPr>
            <w:r w:rsidRPr="00176D37">
              <w:rPr>
                <w:bCs/>
              </w:rPr>
              <w:t>N/A</w:t>
            </w:r>
          </w:p>
          <w:p w14:paraId="672DEF72" w14:textId="77777777" w:rsidR="004D2DD3" w:rsidRPr="00176D37" w:rsidRDefault="004D2DD3" w:rsidP="001053B7">
            <w:pPr>
              <w:pStyle w:val="Tablecolhead"/>
              <w:rPr>
                <w:bCs/>
              </w:rPr>
            </w:pPr>
            <w:r w:rsidRPr="00176D37">
              <w:t>n (%)</w:t>
            </w:r>
          </w:p>
        </w:tc>
      </w:tr>
      <w:tr w:rsidR="004D2DD3" w:rsidRPr="00176D37" w14:paraId="6CB8C932" w14:textId="77777777" w:rsidTr="00E73E2F">
        <w:tc>
          <w:tcPr>
            <w:tcW w:w="1372" w:type="dxa"/>
          </w:tcPr>
          <w:p w14:paraId="26EAE725" w14:textId="77777777" w:rsidR="004D2DD3" w:rsidRPr="00176D37" w:rsidRDefault="004D2DD3" w:rsidP="001053B7">
            <w:pPr>
              <w:pStyle w:val="Tabletext"/>
            </w:pPr>
            <w:r w:rsidRPr="00176D37">
              <w:t>Quality/exec n</w:t>
            </w:r>
            <w:r>
              <w:t> </w:t>
            </w:r>
            <w:r w:rsidRPr="00176D37">
              <w:t>=</w:t>
            </w:r>
            <w:r>
              <w:t xml:space="preserve"> </w:t>
            </w:r>
            <w:r w:rsidRPr="00176D37">
              <w:t>19</w:t>
            </w:r>
          </w:p>
        </w:tc>
        <w:tc>
          <w:tcPr>
            <w:tcW w:w="1530" w:type="dxa"/>
          </w:tcPr>
          <w:p w14:paraId="1CB2420C" w14:textId="77777777" w:rsidR="004D2DD3" w:rsidRPr="00176D37" w:rsidRDefault="004D2DD3" w:rsidP="001053B7">
            <w:pPr>
              <w:pStyle w:val="Tabletext"/>
            </w:pPr>
            <w:r w:rsidRPr="00176D37">
              <w:t>3 (16%)</w:t>
            </w:r>
          </w:p>
        </w:tc>
        <w:tc>
          <w:tcPr>
            <w:tcW w:w="1530" w:type="dxa"/>
          </w:tcPr>
          <w:p w14:paraId="7D9C8466" w14:textId="77777777" w:rsidR="004D2DD3" w:rsidRPr="00176D37" w:rsidRDefault="004D2DD3" w:rsidP="001053B7">
            <w:pPr>
              <w:pStyle w:val="Tabletext"/>
            </w:pPr>
            <w:r w:rsidRPr="00176D37">
              <w:t>-</w:t>
            </w:r>
          </w:p>
        </w:tc>
        <w:tc>
          <w:tcPr>
            <w:tcW w:w="1530" w:type="dxa"/>
          </w:tcPr>
          <w:p w14:paraId="7890262D" w14:textId="77777777" w:rsidR="004D2DD3" w:rsidRPr="00176D37" w:rsidRDefault="004D2DD3" w:rsidP="001053B7">
            <w:pPr>
              <w:pStyle w:val="Tabletext"/>
            </w:pPr>
            <w:r w:rsidRPr="00176D37">
              <w:t>3 (16%)</w:t>
            </w:r>
          </w:p>
        </w:tc>
        <w:tc>
          <w:tcPr>
            <w:tcW w:w="1530" w:type="dxa"/>
          </w:tcPr>
          <w:p w14:paraId="4D15868E" w14:textId="77777777" w:rsidR="004D2DD3" w:rsidRPr="00176D37" w:rsidRDefault="004D2DD3" w:rsidP="001053B7">
            <w:pPr>
              <w:pStyle w:val="Tabletext"/>
            </w:pPr>
            <w:r w:rsidRPr="00176D37">
              <w:t>7 (37%)</w:t>
            </w:r>
          </w:p>
        </w:tc>
        <w:tc>
          <w:tcPr>
            <w:tcW w:w="1530" w:type="dxa"/>
          </w:tcPr>
          <w:p w14:paraId="4DD7D951" w14:textId="77777777" w:rsidR="004D2DD3" w:rsidRPr="00176D37" w:rsidRDefault="004D2DD3" w:rsidP="001053B7">
            <w:pPr>
              <w:pStyle w:val="Tabletext"/>
            </w:pPr>
            <w:r w:rsidRPr="00176D37">
              <w:t>6 (32%)</w:t>
            </w:r>
          </w:p>
        </w:tc>
      </w:tr>
      <w:tr w:rsidR="004D2DD3" w:rsidRPr="00176D37" w14:paraId="21F9F032" w14:textId="77777777" w:rsidTr="00E73E2F">
        <w:tc>
          <w:tcPr>
            <w:tcW w:w="1372" w:type="dxa"/>
          </w:tcPr>
          <w:p w14:paraId="080B7C07" w14:textId="59B6A285" w:rsidR="004D2DD3" w:rsidRPr="00176D37" w:rsidRDefault="004D2DD3" w:rsidP="001053B7">
            <w:pPr>
              <w:pStyle w:val="Tabletext"/>
            </w:pPr>
            <w:r w:rsidRPr="00176D37">
              <w:t>Laboratory n</w:t>
            </w:r>
            <w:r>
              <w:t xml:space="preserve"> </w:t>
            </w:r>
            <w:r w:rsidRPr="00176D37">
              <w:t>=</w:t>
            </w:r>
            <w:r>
              <w:t xml:space="preserve"> </w:t>
            </w:r>
            <w:r w:rsidRPr="00176D37">
              <w:t>7</w:t>
            </w:r>
          </w:p>
        </w:tc>
        <w:tc>
          <w:tcPr>
            <w:tcW w:w="1530" w:type="dxa"/>
          </w:tcPr>
          <w:p w14:paraId="3BA1CB92" w14:textId="77777777" w:rsidR="004D2DD3" w:rsidRPr="00176D37" w:rsidRDefault="004D2DD3" w:rsidP="001053B7">
            <w:pPr>
              <w:pStyle w:val="Tabletext"/>
            </w:pPr>
            <w:r w:rsidRPr="00176D37">
              <w:t>2 (29%)</w:t>
            </w:r>
          </w:p>
        </w:tc>
        <w:tc>
          <w:tcPr>
            <w:tcW w:w="1530" w:type="dxa"/>
          </w:tcPr>
          <w:p w14:paraId="490B6E44" w14:textId="77777777" w:rsidR="004D2DD3" w:rsidRPr="00176D37" w:rsidRDefault="004D2DD3" w:rsidP="001053B7">
            <w:pPr>
              <w:pStyle w:val="Tabletext"/>
            </w:pPr>
            <w:r w:rsidRPr="00176D37">
              <w:t>1 (14%)</w:t>
            </w:r>
          </w:p>
        </w:tc>
        <w:tc>
          <w:tcPr>
            <w:tcW w:w="1530" w:type="dxa"/>
          </w:tcPr>
          <w:p w14:paraId="5691F274" w14:textId="77777777" w:rsidR="004D2DD3" w:rsidRPr="00176D37" w:rsidRDefault="004D2DD3" w:rsidP="001053B7">
            <w:pPr>
              <w:pStyle w:val="Tabletext"/>
            </w:pPr>
            <w:r w:rsidRPr="00176D37">
              <w:t>3 (43%)</w:t>
            </w:r>
          </w:p>
        </w:tc>
        <w:tc>
          <w:tcPr>
            <w:tcW w:w="1530" w:type="dxa"/>
          </w:tcPr>
          <w:p w14:paraId="380F3E7B" w14:textId="77777777" w:rsidR="004D2DD3" w:rsidRPr="00176D37" w:rsidRDefault="004D2DD3" w:rsidP="001053B7">
            <w:pPr>
              <w:pStyle w:val="Tabletext"/>
            </w:pPr>
            <w:r w:rsidRPr="00176D37">
              <w:t>-</w:t>
            </w:r>
          </w:p>
        </w:tc>
        <w:tc>
          <w:tcPr>
            <w:tcW w:w="1530" w:type="dxa"/>
          </w:tcPr>
          <w:p w14:paraId="3BDCD591" w14:textId="77777777" w:rsidR="004D2DD3" w:rsidRPr="00176D37" w:rsidRDefault="004D2DD3" w:rsidP="001053B7">
            <w:pPr>
              <w:pStyle w:val="Tabletext"/>
            </w:pPr>
            <w:r w:rsidRPr="00176D37">
              <w:t>1 (14%)</w:t>
            </w:r>
          </w:p>
        </w:tc>
      </w:tr>
    </w:tbl>
    <w:p w14:paraId="7F21C8AD" w14:textId="4E673893" w:rsidR="004D2DD3" w:rsidRPr="004D2DD3" w:rsidRDefault="004D2DD3" w:rsidP="009742AB">
      <w:pPr>
        <w:pStyle w:val="Bodyaftertablefigure"/>
      </w:pPr>
      <w:r w:rsidRPr="00176D37">
        <w:t>Labelling of specimens with two different patien</w:t>
      </w:r>
      <w:r>
        <w:t>t</w:t>
      </w:r>
      <w:r w:rsidRPr="00176D37">
        <w:t>s</w:t>
      </w:r>
      <w:r>
        <w:t>’</w:t>
      </w:r>
      <w:r w:rsidRPr="00176D37">
        <w:t xml:space="preserve"> details</w:t>
      </w:r>
    </w:p>
    <w:tbl>
      <w:tblPr>
        <w:tblStyle w:val="TableGrid"/>
        <w:tblW w:w="0" w:type="auto"/>
        <w:tblLook w:val="04A0" w:firstRow="1" w:lastRow="0" w:firstColumn="1" w:lastColumn="0" w:noHBand="0" w:noVBand="1"/>
      </w:tblPr>
      <w:tblGrid>
        <w:gridCol w:w="1372"/>
        <w:gridCol w:w="1531"/>
        <w:gridCol w:w="1531"/>
        <w:gridCol w:w="1531"/>
        <w:gridCol w:w="1531"/>
        <w:gridCol w:w="1531"/>
      </w:tblGrid>
      <w:tr w:rsidR="004D2DD3" w:rsidRPr="00176D37" w14:paraId="5FE8E18A" w14:textId="77777777" w:rsidTr="003529D2">
        <w:tc>
          <w:tcPr>
            <w:tcW w:w="1372" w:type="dxa"/>
          </w:tcPr>
          <w:p w14:paraId="65C7E0DD" w14:textId="5747BC5C" w:rsidR="004D2DD3" w:rsidRPr="00176D37" w:rsidRDefault="004D2DD3" w:rsidP="001053B7">
            <w:pPr>
              <w:pStyle w:val="Tablecolhead"/>
            </w:pPr>
            <w:r>
              <w:t>Quality or laboratory</w:t>
            </w:r>
          </w:p>
        </w:tc>
        <w:tc>
          <w:tcPr>
            <w:tcW w:w="1531" w:type="dxa"/>
          </w:tcPr>
          <w:p w14:paraId="400A7978" w14:textId="77777777" w:rsidR="004D2DD3" w:rsidRPr="00176D37" w:rsidRDefault="004D2DD3" w:rsidP="001053B7">
            <w:pPr>
              <w:pStyle w:val="Tablecolhead"/>
              <w:rPr>
                <w:bCs/>
              </w:rPr>
            </w:pPr>
            <w:r w:rsidRPr="00176D37">
              <w:rPr>
                <w:bCs/>
              </w:rPr>
              <w:t>Decreased</w:t>
            </w:r>
          </w:p>
          <w:p w14:paraId="6CE2BBBF" w14:textId="77777777" w:rsidR="004D2DD3" w:rsidRPr="00176D37" w:rsidRDefault="004D2DD3" w:rsidP="001053B7">
            <w:pPr>
              <w:pStyle w:val="Tablecolhead"/>
            </w:pPr>
            <w:r w:rsidRPr="00176D37">
              <w:t>n (%)</w:t>
            </w:r>
          </w:p>
        </w:tc>
        <w:tc>
          <w:tcPr>
            <w:tcW w:w="1531" w:type="dxa"/>
          </w:tcPr>
          <w:p w14:paraId="51496F58" w14:textId="77777777" w:rsidR="004D2DD3" w:rsidRPr="00176D37" w:rsidRDefault="004D2DD3" w:rsidP="001053B7">
            <w:pPr>
              <w:pStyle w:val="Tablecolhead"/>
              <w:rPr>
                <w:bCs/>
              </w:rPr>
            </w:pPr>
            <w:r w:rsidRPr="00176D37">
              <w:rPr>
                <w:bCs/>
              </w:rPr>
              <w:t>Increased</w:t>
            </w:r>
          </w:p>
          <w:p w14:paraId="09415E9C" w14:textId="77777777" w:rsidR="004D2DD3" w:rsidRPr="00176D37" w:rsidRDefault="004D2DD3" w:rsidP="001053B7">
            <w:pPr>
              <w:pStyle w:val="Tablecolhead"/>
              <w:rPr>
                <w:bCs/>
              </w:rPr>
            </w:pPr>
            <w:r w:rsidRPr="00176D37">
              <w:t>n (%)</w:t>
            </w:r>
          </w:p>
        </w:tc>
        <w:tc>
          <w:tcPr>
            <w:tcW w:w="1531" w:type="dxa"/>
          </w:tcPr>
          <w:p w14:paraId="2BD73FC5" w14:textId="77777777" w:rsidR="004D2DD3" w:rsidRPr="00176D37" w:rsidRDefault="004D2DD3" w:rsidP="001053B7">
            <w:pPr>
              <w:pStyle w:val="Tablecolhead"/>
              <w:rPr>
                <w:bCs/>
              </w:rPr>
            </w:pPr>
            <w:r w:rsidRPr="00176D37">
              <w:rPr>
                <w:bCs/>
              </w:rPr>
              <w:t>No change</w:t>
            </w:r>
          </w:p>
          <w:p w14:paraId="7BB62BC6" w14:textId="77777777" w:rsidR="004D2DD3" w:rsidRPr="00176D37" w:rsidRDefault="004D2DD3" w:rsidP="001053B7">
            <w:pPr>
              <w:pStyle w:val="Tablecolhead"/>
              <w:rPr>
                <w:bCs/>
              </w:rPr>
            </w:pPr>
            <w:r w:rsidRPr="00176D37">
              <w:t>n (%)</w:t>
            </w:r>
          </w:p>
        </w:tc>
        <w:tc>
          <w:tcPr>
            <w:tcW w:w="1531" w:type="dxa"/>
          </w:tcPr>
          <w:p w14:paraId="16BA4883" w14:textId="77777777" w:rsidR="004D2DD3" w:rsidRPr="00176D37" w:rsidRDefault="004D2DD3" w:rsidP="001053B7">
            <w:pPr>
              <w:pStyle w:val="Tablecolhead"/>
              <w:rPr>
                <w:bCs/>
              </w:rPr>
            </w:pPr>
            <w:r w:rsidRPr="00176D37">
              <w:rPr>
                <w:bCs/>
              </w:rPr>
              <w:t>Unsure</w:t>
            </w:r>
          </w:p>
          <w:p w14:paraId="037C8D8E" w14:textId="77777777" w:rsidR="004D2DD3" w:rsidRPr="00176D37" w:rsidRDefault="004D2DD3" w:rsidP="001053B7">
            <w:pPr>
              <w:pStyle w:val="Tablecolhead"/>
              <w:rPr>
                <w:bCs/>
              </w:rPr>
            </w:pPr>
            <w:r w:rsidRPr="00176D37">
              <w:t>n (%)</w:t>
            </w:r>
          </w:p>
        </w:tc>
        <w:tc>
          <w:tcPr>
            <w:tcW w:w="1531" w:type="dxa"/>
          </w:tcPr>
          <w:p w14:paraId="5C4F2A65" w14:textId="77777777" w:rsidR="004D2DD3" w:rsidRPr="00176D37" w:rsidRDefault="004D2DD3" w:rsidP="001053B7">
            <w:pPr>
              <w:pStyle w:val="Tablecolhead"/>
              <w:rPr>
                <w:bCs/>
              </w:rPr>
            </w:pPr>
            <w:r w:rsidRPr="00176D37">
              <w:rPr>
                <w:bCs/>
              </w:rPr>
              <w:t>N/A</w:t>
            </w:r>
          </w:p>
          <w:p w14:paraId="641A4C2A" w14:textId="77777777" w:rsidR="004D2DD3" w:rsidRPr="00176D37" w:rsidRDefault="004D2DD3" w:rsidP="001053B7">
            <w:pPr>
              <w:pStyle w:val="Tablecolhead"/>
              <w:rPr>
                <w:bCs/>
              </w:rPr>
            </w:pPr>
            <w:r w:rsidRPr="00176D37">
              <w:t>n (%)</w:t>
            </w:r>
          </w:p>
        </w:tc>
      </w:tr>
      <w:tr w:rsidR="004D2DD3" w:rsidRPr="00176D37" w14:paraId="0EA2372A" w14:textId="77777777" w:rsidTr="003529D2">
        <w:tc>
          <w:tcPr>
            <w:tcW w:w="1372" w:type="dxa"/>
          </w:tcPr>
          <w:p w14:paraId="042155C2" w14:textId="77777777" w:rsidR="004D2DD3" w:rsidRPr="00176D37" w:rsidRDefault="004D2DD3" w:rsidP="001053B7">
            <w:pPr>
              <w:pStyle w:val="Tabletext"/>
            </w:pPr>
            <w:r w:rsidRPr="00176D37">
              <w:t>Quality/exec n</w:t>
            </w:r>
            <w:r>
              <w:t xml:space="preserve"> </w:t>
            </w:r>
            <w:r w:rsidRPr="00176D37">
              <w:t>=</w:t>
            </w:r>
            <w:r>
              <w:t xml:space="preserve"> 1</w:t>
            </w:r>
            <w:r w:rsidRPr="00176D37">
              <w:t>9</w:t>
            </w:r>
          </w:p>
        </w:tc>
        <w:tc>
          <w:tcPr>
            <w:tcW w:w="1531" w:type="dxa"/>
          </w:tcPr>
          <w:p w14:paraId="0DE3B92A" w14:textId="77777777" w:rsidR="004D2DD3" w:rsidRPr="00176D37" w:rsidRDefault="004D2DD3" w:rsidP="001053B7">
            <w:pPr>
              <w:pStyle w:val="Tabletext"/>
            </w:pPr>
            <w:r w:rsidRPr="00176D37">
              <w:t>3 (16%)</w:t>
            </w:r>
          </w:p>
        </w:tc>
        <w:tc>
          <w:tcPr>
            <w:tcW w:w="1531" w:type="dxa"/>
          </w:tcPr>
          <w:p w14:paraId="744330E2" w14:textId="77777777" w:rsidR="004D2DD3" w:rsidRPr="00176D37" w:rsidRDefault="004D2DD3" w:rsidP="001053B7">
            <w:pPr>
              <w:pStyle w:val="Tabletext"/>
            </w:pPr>
            <w:r w:rsidRPr="00176D37">
              <w:t>1 (5%)</w:t>
            </w:r>
          </w:p>
        </w:tc>
        <w:tc>
          <w:tcPr>
            <w:tcW w:w="1531" w:type="dxa"/>
          </w:tcPr>
          <w:p w14:paraId="50B749E2" w14:textId="77777777" w:rsidR="004D2DD3" w:rsidRPr="00176D37" w:rsidRDefault="004D2DD3" w:rsidP="001053B7">
            <w:pPr>
              <w:pStyle w:val="Tabletext"/>
            </w:pPr>
            <w:r w:rsidRPr="00176D37">
              <w:t>3 (16%)</w:t>
            </w:r>
          </w:p>
        </w:tc>
        <w:tc>
          <w:tcPr>
            <w:tcW w:w="1531" w:type="dxa"/>
          </w:tcPr>
          <w:p w14:paraId="229A3FA4" w14:textId="77777777" w:rsidR="004D2DD3" w:rsidRPr="00176D37" w:rsidRDefault="004D2DD3" w:rsidP="001053B7">
            <w:pPr>
              <w:pStyle w:val="Tabletext"/>
            </w:pPr>
            <w:r w:rsidRPr="00176D37">
              <w:t>6 (32%)</w:t>
            </w:r>
          </w:p>
        </w:tc>
        <w:tc>
          <w:tcPr>
            <w:tcW w:w="1531" w:type="dxa"/>
          </w:tcPr>
          <w:p w14:paraId="12883692" w14:textId="77777777" w:rsidR="004D2DD3" w:rsidRPr="00176D37" w:rsidRDefault="004D2DD3" w:rsidP="001053B7">
            <w:pPr>
              <w:pStyle w:val="Tabletext"/>
            </w:pPr>
            <w:r w:rsidRPr="00176D37">
              <w:t>6 (32%)</w:t>
            </w:r>
          </w:p>
        </w:tc>
      </w:tr>
      <w:tr w:rsidR="004D2DD3" w:rsidRPr="00176D37" w14:paraId="1C5F8E8E" w14:textId="77777777" w:rsidTr="003529D2">
        <w:tc>
          <w:tcPr>
            <w:tcW w:w="1372" w:type="dxa"/>
          </w:tcPr>
          <w:p w14:paraId="002AFB9C" w14:textId="77777777" w:rsidR="004D2DD3" w:rsidRPr="00176D37" w:rsidRDefault="004D2DD3" w:rsidP="001053B7">
            <w:pPr>
              <w:pStyle w:val="Tabletext"/>
            </w:pPr>
            <w:r w:rsidRPr="00176D37">
              <w:t>Laboratory n</w:t>
            </w:r>
            <w:r>
              <w:t xml:space="preserve"> </w:t>
            </w:r>
            <w:r w:rsidRPr="00176D37">
              <w:t>=</w:t>
            </w:r>
            <w:r>
              <w:t xml:space="preserve"> </w:t>
            </w:r>
            <w:r w:rsidRPr="00176D37">
              <w:t>7</w:t>
            </w:r>
          </w:p>
        </w:tc>
        <w:tc>
          <w:tcPr>
            <w:tcW w:w="1531" w:type="dxa"/>
          </w:tcPr>
          <w:p w14:paraId="0C034FBD" w14:textId="77777777" w:rsidR="004D2DD3" w:rsidRPr="00176D37" w:rsidRDefault="004D2DD3" w:rsidP="001053B7">
            <w:pPr>
              <w:pStyle w:val="Tabletext"/>
            </w:pPr>
            <w:r w:rsidRPr="00176D37">
              <w:t>-</w:t>
            </w:r>
          </w:p>
        </w:tc>
        <w:tc>
          <w:tcPr>
            <w:tcW w:w="1531" w:type="dxa"/>
          </w:tcPr>
          <w:p w14:paraId="7616C4C0" w14:textId="77777777" w:rsidR="004D2DD3" w:rsidRPr="00176D37" w:rsidRDefault="004D2DD3" w:rsidP="001053B7">
            <w:pPr>
              <w:pStyle w:val="Tabletext"/>
            </w:pPr>
            <w:r w:rsidRPr="00176D37">
              <w:t>-</w:t>
            </w:r>
          </w:p>
        </w:tc>
        <w:tc>
          <w:tcPr>
            <w:tcW w:w="1531" w:type="dxa"/>
          </w:tcPr>
          <w:p w14:paraId="6286DFB7" w14:textId="77777777" w:rsidR="004D2DD3" w:rsidRPr="00176D37" w:rsidRDefault="004D2DD3" w:rsidP="001053B7">
            <w:pPr>
              <w:pStyle w:val="Tabletext"/>
            </w:pPr>
            <w:r w:rsidRPr="00176D37">
              <w:t>4 (57%)</w:t>
            </w:r>
          </w:p>
        </w:tc>
        <w:tc>
          <w:tcPr>
            <w:tcW w:w="1531" w:type="dxa"/>
          </w:tcPr>
          <w:p w14:paraId="6B4168A3" w14:textId="77777777" w:rsidR="004D2DD3" w:rsidRPr="00176D37" w:rsidRDefault="004D2DD3" w:rsidP="001053B7">
            <w:pPr>
              <w:pStyle w:val="Tabletext"/>
            </w:pPr>
            <w:r w:rsidRPr="00176D37">
              <w:t>2 (29%)</w:t>
            </w:r>
          </w:p>
        </w:tc>
        <w:tc>
          <w:tcPr>
            <w:tcW w:w="1531" w:type="dxa"/>
          </w:tcPr>
          <w:p w14:paraId="47582A67" w14:textId="77777777" w:rsidR="004D2DD3" w:rsidRPr="00176D37" w:rsidRDefault="004D2DD3" w:rsidP="001053B7">
            <w:pPr>
              <w:pStyle w:val="Tabletext"/>
            </w:pPr>
            <w:r w:rsidRPr="00176D37">
              <w:t>1 (14%)</w:t>
            </w:r>
          </w:p>
        </w:tc>
      </w:tr>
    </w:tbl>
    <w:p w14:paraId="70186600" w14:textId="0BA2AC3E" w:rsidR="004D2DD3" w:rsidRDefault="004D2DD3" w:rsidP="009742AB">
      <w:pPr>
        <w:pStyle w:val="Bodyaftertablefigure"/>
      </w:pPr>
      <w:r w:rsidRPr="004D2DD3">
        <w:lastRenderedPageBreak/>
        <w:t>Pretransfusion</w:t>
      </w:r>
      <w:r w:rsidRPr="00176D37">
        <w:t xml:space="preserve"> request form or sample labels generated at a time other than immediately before specimens collected</w:t>
      </w:r>
    </w:p>
    <w:tbl>
      <w:tblPr>
        <w:tblStyle w:val="TableGrid"/>
        <w:tblW w:w="0" w:type="auto"/>
        <w:tblLook w:val="04A0" w:firstRow="1" w:lastRow="0" w:firstColumn="1" w:lastColumn="0" w:noHBand="0" w:noVBand="1"/>
      </w:tblPr>
      <w:tblGrid>
        <w:gridCol w:w="1372"/>
        <w:gridCol w:w="1531"/>
        <w:gridCol w:w="1531"/>
        <w:gridCol w:w="1531"/>
        <w:gridCol w:w="1531"/>
        <w:gridCol w:w="1531"/>
      </w:tblGrid>
      <w:tr w:rsidR="004D2DD3" w:rsidRPr="00176D37" w14:paraId="78B57BD2" w14:textId="77777777" w:rsidTr="003529D2">
        <w:tc>
          <w:tcPr>
            <w:tcW w:w="1372" w:type="dxa"/>
          </w:tcPr>
          <w:p w14:paraId="5228EFAF" w14:textId="77777777" w:rsidR="004D2DD3" w:rsidRPr="00176D37" w:rsidRDefault="004D2DD3" w:rsidP="001053B7">
            <w:pPr>
              <w:pStyle w:val="Tablecolhead"/>
            </w:pPr>
            <w:r>
              <w:t>Quality or laboratory</w:t>
            </w:r>
          </w:p>
        </w:tc>
        <w:tc>
          <w:tcPr>
            <w:tcW w:w="1531" w:type="dxa"/>
          </w:tcPr>
          <w:p w14:paraId="077FF5B4" w14:textId="77777777" w:rsidR="004D2DD3" w:rsidRPr="00176D37" w:rsidRDefault="004D2DD3" w:rsidP="001053B7">
            <w:pPr>
              <w:pStyle w:val="Tablecolhead"/>
              <w:rPr>
                <w:bCs/>
              </w:rPr>
            </w:pPr>
            <w:r w:rsidRPr="00176D37">
              <w:rPr>
                <w:bCs/>
              </w:rPr>
              <w:t>Decreased</w:t>
            </w:r>
          </w:p>
          <w:p w14:paraId="5301A7CC" w14:textId="77777777" w:rsidR="004D2DD3" w:rsidRPr="00176D37" w:rsidRDefault="004D2DD3" w:rsidP="001053B7">
            <w:pPr>
              <w:pStyle w:val="Tablecolhead"/>
            </w:pPr>
            <w:r w:rsidRPr="00176D37">
              <w:t>n (%)</w:t>
            </w:r>
          </w:p>
        </w:tc>
        <w:tc>
          <w:tcPr>
            <w:tcW w:w="1531" w:type="dxa"/>
          </w:tcPr>
          <w:p w14:paraId="018F19CD" w14:textId="77777777" w:rsidR="004D2DD3" w:rsidRPr="00176D37" w:rsidRDefault="004D2DD3" w:rsidP="001053B7">
            <w:pPr>
              <w:pStyle w:val="Tablecolhead"/>
              <w:rPr>
                <w:bCs/>
              </w:rPr>
            </w:pPr>
            <w:r w:rsidRPr="00176D37">
              <w:rPr>
                <w:bCs/>
              </w:rPr>
              <w:t>Increased</w:t>
            </w:r>
          </w:p>
          <w:p w14:paraId="69DD7508" w14:textId="77777777" w:rsidR="004D2DD3" w:rsidRPr="00176D37" w:rsidRDefault="004D2DD3" w:rsidP="001053B7">
            <w:pPr>
              <w:pStyle w:val="Tablecolhead"/>
              <w:rPr>
                <w:bCs/>
              </w:rPr>
            </w:pPr>
            <w:r w:rsidRPr="00176D37">
              <w:t>n (%)</w:t>
            </w:r>
          </w:p>
        </w:tc>
        <w:tc>
          <w:tcPr>
            <w:tcW w:w="1531" w:type="dxa"/>
          </w:tcPr>
          <w:p w14:paraId="6FDFB083" w14:textId="77777777" w:rsidR="004D2DD3" w:rsidRPr="00176D37" w:rsidRDefault="004D2DD3" w:rsidP="001053B7">
            <w:pPr>
              <w:pStyle w:val="Tablecolhead"/>
              <w:rPr>
                <w:bCs/>
              </w:rPr>
            </w:pPr>
            <w:r w:rsidRPr="00176D37">
              <w:rPr>
                <w:bCs/>
              </w:rPr>
              <w:t>No change</w:t>
            </w:r>
          </w:p>
          <w:p w14:paraId="73837983" w14:textId="77777777" w:rsidR="004D2DD3" w:rsidRPr="00176D37" w:rsidRDefault="004D2DD3" w:rsidP="001053B7">
            <w:pPr>
              <w:pStyle w:val="Tablecolhead"/>
              <w:rPr>
                <w:bCs/>
              </w:rPr>
            </w:pPr>
            <w:r w:rsidRPr="00176D37">
              <w:t>n (%)</w:t>
            </w:r>
          </w:p>
        </w:tc>
        <w:tc>
          <w:tcPr>
            <w:tcW w:w="1531" w:type="dxa"/>
          </w:tcPr>
          <w:p w14:paraId="15D99466" w14:textId="77777777" w:rsidR="004D2DD3" w:rsidRPr="00176D37" w:rsidRDefault="004D2DD3" w:rsidP="001053B7">
            <w:pPr>
              <w:pStyle w:val="Tablecolhead"/>
              <w:rPr>
                <w:bCs/>
              </w:rPr>
            </w:pPr>
            <w:r w:rsidRPr="00176D37">
              <w:rPr>
                <w:bCs/>
              </w:rPr>
              <w:t>Unsure</w:t>
            </w:r>
          </w:p>
          <w:p w14:paraId="571EBFA1" w14:textId="77777777" w:rsidR="004D2DD3" w:rsidRPr="00176D37" w:rsidRDefault="004D2DD3" w:rsidP="001053B7">
            <w:pPr>
              <w:pStyle w:val="Tablecolhead"/>
              <w:rPr>
                <w:bCs/>
              </w:rPr>
            </w:pPr>
            <w:r w:rsidRPr="00176D37">
              <w:t>n (%)</w:t>
            </w:r>
          </w:p>
        </w:tc>
        <w:tc>
          <w:tcPr>
            <w:tcW w:w="1531" w:type="dxa"/>
          </w:tcPr>
          <w:p w14:paraId="51AA74A1" w14:textId="77777777" w:rsidR="004D2DD3" w:rsidRPr="00176D37" w:rsidRDefault="004D2DD3" w:rsidP="001053B7">
            <w:pPr>
              <w:pStyle w:val="Tablecolhead"/>
              <w:rPr>
                <w:bCs/>
              </w:rPr>
            </w:pPr>
            <w:r w:rsidRPr="00176D37">
              <w:rPr>
                <w:bCs/>
              </w:rPr>
              <w:t>N/A</w:t>
            </w:r>
          </w:p>
          <w:p w14:paraId="134928F8" w14:textId="77777777" w:rsidR="004D2DD3" w:rsidRPr="00176D37" w:rsidRDefault="004D2DD3" w:rsidP="001053B7">
            <w:pPr>
              <w:pStyle w:val="Tablecolhead"/>
              <w:rPr>
                <w:bCs/>
              </w:rPr>
            </w:pPr>
            <w:r w:rsidRPr="00176D37">
              <w:t>n (%)</w:t>
            </w:r>
          </w:p>
        </w:tc>
      </w:tr>
      <w:tr w:rsidR="004D2DD3" w:rsidRPr="00176D37" w14:paraId="43BF7187" w14:textId="77777777" w:rsidTr="003529D2">
        <w:tc>
          <w:tcPr>
            <w:tcW w:w="1372" w:type="dxa"/>
          </w:tcPr>
          <w:p w14:paraId="655C1D4D" w14:textId="77777777" w:rsidR="004D2DD3" w:rsidRPr="00176D37" w:rsidRDefault="004D2DD3" w:rsidP="004D2DD3">
            <w:pPr>
              <w:pStyle w:val="Tabletext"/>
            </w:pPr>
            <w:r w:rsidRPr="00176D37">
              <w:t>Quality/exec n</w:t>
            </w:r>
            <w:r>
              <w:t xml:space="preserve"> </w:t>
            </w:r>
            <w:r w:rsidRPr="00176D37">
              <w:t>=</w:t>
            </w:r>
            <w:r>
              <w:t xml:space="preserve"> 1</w:t>
            </w:r>
            <w:r w:rsidRPr="00176D37">
              <w:t>9</w:t>
            </w:r>
          </w:p>
        </w:tc>
        <w:tc>
          <w:tcPr>
            <w:tcW w:w="1531" w:type="dxa"/>
          </w:tcPr>
          <w:p w14:paraId="19DCF01C" w14:textId="46FE2266" w:rsidR="004D2DD3" w:rsidRPr="00176D37" w:rsidRDefault="004D2DD3" w:rsidP="009742AB">
            <w:pPr>
              <w:pStyle w:val="Tabletext"/>
              <w:jc w:val="right"/>
            </w:pPr>
            <w:r w:rsidRPr="00176D37">
              <w:t>-</w:t>
            </w:r>
          </w:p>
        </w:tc>
        <w:tc>
          <w:tcPr>
            <w:tcW w:w="1531" w:type="dxa"/>
          </w:tcPr>
          <w:p w14:paraId="4BF4338B" w14:textId="5C07CF82" w:rsidR="004D2DD3" w:rsidRPr="00176D37" w:rsidRDefault="004D2DD3" w:rsidP="009742AB">
            <w:pPr>
              <w:pStyle w:val="Tabletext"/>
              <w:jc w:val="right"/>
            </w:pPr>
            <w:r w:rsidRPr="00176D37">
              <w:t>-</w:t>
            </w:r>
          </w:p>
        </w:tc>
        <w:tc>
          <w:tcPr>
            <w:tcW w:w="1531" w:type="dxa"/>
          </w:tcPr>
          <w:p w14:paraId="726A3F5F" w14:textId="3C66030F" w:rsidR="004D2DD3" w:rsidRPr="00176D37" w:rsidRDefault="004D2DD3" w:rsidP="009742AB">
            <w:pPr>
              <w:pStyle w:val="Tabletext"/>
              <w:jc w:val="right"/>
            </w:pPr>
            <w:r w:rsidRPr="00176D37">
              <w:t>3 (16%)</w:t>
            </w:r>
          </w:p>
        </w:tc>
        <w:tc>
          <w:tcPr>
            <w:tcW w:w="1531" w:type="dxa"/>
          </w:tcPr>
          <w:p w14:paraId="710E2495" w14:textId="2720727A" w:rsidR="004D2DD3" w:rsidRPr="00176D37" w:rsidRDefault="004D2DD3" w:rsidP="009742AB">
            <w:pPr>
              <w:pStyle w:val="Tabletext"/>
              <w:jc w:val="right"/>
            </w:pPr>
            <w:r w:rsidRPr="00176D37">
              <w:t>7 (37%)</w:t>
            </w:r>
          </w:p>
        </w:tc>
        <w:tc>
          <w:tcPr>
            <w:tcW w:w="1531" w:type="dxa"/>
          </w:tcPr>
          <w:p w14:paraId="469E58BF" w14:textId="4EB8B693" w:rsidR="004D2DD3" w:rsidRPr="00176D37" w:rsidRDefault="004D2DD3" w:rsidP="009742AB">
            <w:pPr>
              <w:pStyle w:val="Tabletext"/>
              <w:jc w:val="right"/>
            </w:pPr>
            <w:r w:rsidRPr="00176D37">
              <w:t>9 (47%)</w:t>
            </w:r>
          </w:p>
        </w:tc>
      </w:tr>
      <w:tr w:rsidR="004D2DD3" w:rsidRPr="00176D37" w14:paraId="0FD410EF" w14:textId="77777777" w:rsidTr="003529D2">
        <w:tc>
          <w:tcPr>
            <w:tcW w:w="1372" w:type="dxa"/>
          </w:tcPr>
          <w:p w14:paraId="22730F3A" w14:textId="77777777" w:rsidR="004D2DD3" w:rsidRPr="00176D37" w:rsidRDefault="004D2DD3" w:rsidP="004D2DD3">
            <w:pPr>
              <w:pStyle w:val="Tabletext"/>
            </w:pPr>
            <w:r w:rsidRPr="00176D37">
              <w:t>Laboratory n</w:t>
            </w:r>
            <w:r>
              <w:t xml:space="preserve"> </w:t>
            </w:r>
            <w:r w:rsidRPr="00176D37">
              <w:t>=</w:t>
            </w:r>
            <w:r>
              <w:t xml:space="preserve"> </w:t>
            </w:r>
            <w:r w:rsidRPr="00176D37">
              <w:t>7</w:t>
            </w:r>
          </w:p>
        </w:tc>
        <w:tc>
          <w:tcPr>
            <w:tcW w:w="1531" w:type="dxa"/>
          </w:tcPr>
          <w:p w14:paraId="331BECFA" w14:textId="1D614A1E" w:rsidR="004D2DD3" w:rsidRPr="00176D37" w:rsidRDefault="004D2DD3" w:rsidP="009742AB">
            <w:pPr>
              <w:pStyle w:val="Tabletext"/>
              <w:jc w:val="right"/>
            </w:pPr>
            <w:r w:rsidRPr="00176D37">
              <w:t>1 (14%)</w:t>
            </w:r>
          </w:p>
        </w:tc>
        <w:tc>
          <w:tcPr>
            <w:tcW w:w="1531" w:type="dxa"/>
          </w:tcPr>
          <w:p w14:paraId="515F028B" w14:textId="1B8BB8DD" w:rsidR="004D2DD3" w:rsidRPr="00176D37" w:rsidRDefault="004D2DD3" w:rsidP="009742AB">
            <w:pPr>
              <w:pStyle w:val="Tabletext"/>
              <w:jc w:val="right"/>
            </w:pPr>
            <w:r w:rsidRPr="00176D37">
              <w:t>2 (29%)</w:t>
            </w:r>
          </w:p>
        </w:tc>
        <w:tc>
          <w:tcPr>
            <w:tcW w:w="1531" w:type="dxa"/>
          </w:tcPr>
          <w:p w14:paraId="44F17286" w14:textId="5B3A6327" w:rsidR="004D2DD3" w:rsidRPr="00176D37" w:rsidRDefault="004D2DD3" w:rsidP="009742AB">
            <w:pPr>
              <w:pStyle w:val="Tabletext"/>
              <w:jc w:val="right"/>
            </w:pPr>
            <w:r w:rsidRPr="00176D37">
              <w:t>2 (29%)</w:t>
            </w:r>
          </w:p>
        </w:tc>
        <w:tc>
          <w:tcPr>
            <w:tcW w:w="1531" w:type="dxa"/>
          </w:tcPr>
          <w:p w14:paraId="7DC36B52" w14:textId="510459F5" w:rsidR="004D2DD3" w:rsidRPr="00176D37" w:rsidRDefault="004D2DD3" w:rsidP="009742AB">
            <w:pPr>
              <w:pStyle w:val="Tabletext"/>
              <w:jc w:val="right"/>
            </w:pPr>
            <w:r w:rsidRPr="00176D37">
              <w:t>1 (14%)</w:t>
            </w:r>
          </w:p>
        </w:tc>
        <w:tc>
          <w:tcPr>
            <w:tcW w:w="1531" w:type="dxa"/>
          </w:tcPr>
          <w:p w14:paraId="4CF93787" w14:textId="1184F772" w:rsidR="004D2DD3" w:rsidRPr="00176D37" w:rsidRDefault="004D2DD3" w:rsidP="009742AB">
            <w:pPr>
              <w:pStyle w:val="Tabletext"/>
              <w:jc w:val="right"/>
            </w:pPr>
            <w:r w:rsidRPr="00176D37">
              <w:t>1 (14%)</w:t>
            </w:r>
          </w:p>
        </w:tc>
      </w:tr>
    </w:tbl>
    <w:p w14:paraId="0DE60415" w14:textId="340ABD8F" w:rsidR="004D2DD3" w:rsidRDefault="004D2DD3" w:rsidP="009742AB">
      <w:pPr>
        <w:pStyle w:val="Bodyaftertablefigure"/>
      </w:pPr>
      <w:r w:rsidRPr="00176D37">
        <w:t xml:space="preserve">Duplicate </w:t>
      </w:r>
      <w:r w:rsidRPr="004D2DD3">
        <w:t>samples</w:t>
      </w:r>
      <w:r w:rsidRPr="00176D37">
        <w:t xml:space="preserve"> with the same accession (specimen ID) number</w:t>
      </w:r>
    </w:p>
    <w:tbl>
      <w:tblPr>
        <w:tblStyle w:val="TableGrid"/>
        <w:tblW w:w="0" w:type="auto"/>
        <w:tblLook w:val="04A0" w:firstRow="1" w:lastRow="0" w:firstColumn="1" w:lastColumn="0" w:noHBand="0" w:noVBand="1"/>
      </w:tblPr>
      <w:tblGrid>
        <w:gridCol w:w="1372"/>
        <w:gridCol w:w="1531"/>
        <w:gridCol w:w="1531"/>
        <w:gridCol w:w="1531"/>
        <w:gridCol w:w="1531"/>
        <w:gridCol w:w="1531"/>
      </w:tblGrid>
      <w:tr w:rsidR="004D2DD3" w:rsidRPr="00176D37" w14:paraId="22B10356" w14:textId="77777777" w:rsidTr="003529D2">
        <w:tc>
          <w:tcPr>
            <w:tcW w:w="1372" w:type="dxa"/>
          </w:tcPr>
          <w:p w14:paraId="7C22F662" w14:textId="77777777" w:rsidR="004D2DD3" w:rsidRPr="00176D37" w:rsidRDefault="004D2DD3" w:rsidP="001053B7">
            <w:pPr>
              <w:pStyle w:val="Tablecolhead"/>
            </w:pPr>
            <w:r>
              <w:t>Quality or laboratory</w:t>
            </w:r>
          </w:p>
        </w:tc>
        <w:tc>
          <w:tcPr>
            <w:tcW w:w="1531" w:type="dxa"/>
          </w:tcPr>
          <w:p w14:paraId="6453026A" w14:textId="77777777" w:rsidR="004D2DD3" w:rsidRPr="00176D37" w:rsidRDefault="004D2DD3" w:rsidP="001053B7">
            <w:pPr>
              <w:pStyle w:val="Tablecolhead"/>
              <w:rPr>
                <w:bCs/>
              </w:rPr>
            </w:pPr>
            <w:r w:rsidRPr="00176D37">
              <w:rPr>
                <w:bCs/>
              </w:rPr>
              <w:t>Decreased</w:t>
            </w:r>
          </w:p>
          <w:p w14:paraId="5F907D3D" w14:textId="77777777" w:rsidR="004D2DD3" w:rsidRPr="00176D37" w:rsidRDefault="004D2DD3" w:rsidP="001053B7">
            <w:pPr>
              <w:pStyle w:val="Tablecolhead"/>
            </w:pPr>
            <w:r w:rsidRPr="00176D37">
              <w:t>n (%)</w:t>
            </w:r>
          </w:p>
        </w:tc>
        <w:tc>
          <w:tcPr>
            <w:tcW w:w="1531" w:type="dxa"/>
          </w:tcPr>
          <w:p w14:paraId="45217A1B" w14:textId="77777777" w:rsidR="004D2DD3" w:rsidRPr="00176D37" w:rsidRDefault="004D2DD3" w:rsidP="001053B7">
            <w:pPr>
              <w:pStyle w:val="Tablecolhead"/>
              <w:rPr>
                <w:bCs/>
              </w:rPr>
            </w:pPr>
            <w:r w:rsidRPr="00176D37">
              <w:rPr>
                <w:bCs/>
              </w:rPr>
              <w:t>Increased</w:t>
            </w:r>
          </w:p>
          <w:p w14:paraId="30563BB2" w14:textId="77777777" w:rsidR="004D2DD3" w:rsidRPr="00176D37" w:rsidRDefault="004D2DD3" w:rsidP="001053B7">
            <w:pPr>
              <w:pStyle w:val="Tablecolhead"/>
              <w:rPr>
                <w:bCs/>
              </w:rPr>
            </w:pPr>
            <w:r w:rsidRPr="00176D37">
              <w:t>n (%)</w:t>
            </w:r>
          </w:p>
        </w:tc>
        <w:tc>
          <w:tcPr>
            <w:tcW w:w="1531" w:type="dxa"/>
          </w:tcPr>
          <w:p w14:paraId="773CE5FD" w14:textId="77777777" w:rsidR="004D2DD3" w:rsidRPr="00176D37" w:rsidRDefault="004D2DD3" w:rsidP="001053B7">
            <w:pPr>
              <w:pStyle w:val="Tablecolhead"/>
              <w:rPr>
                <w:bCs/>
              </w:rPr>
            </w:pPr>
            <w:r w:rsidRPr="00176D37">
              <w:rPr>
                <w:bCs/>
              </w:rPr>
              <w:t>No change</w:t>
            </w:r>
          </w:p>
          <w:p w14:paraId="7650224D" w14:textId="77777777" w:rsidR="004D2DD3" w:rsidRPr="00176D37" w:rsidRDefault="004D2DD3" w:rsidP="001053B7">
            <w:pPr>
              <w:pStyle w:val="Tablecolhead"/>
              <w:rPr>
                <w:bCs/>
              </w:rPr>
            </w:pPr>
            <w:r w:rsidRPr="00176D37">
              <w:t>n (%)</w:t>
            </w:r>
          </w:p>
        </w:tc>
        <w:tc>
          <w:tcPr>
            <w:tcW w:w="1531" w:type="dxa"/>
          </w:tcPr>
          <w:p w14:paraId="7B40ECDD" w14:textId="77777777" w:rsidR="004D2DD3" w:rsidRPr="00176D37" w:rsidRDefault="004D2DD3" w:rsidP="001053B7">
            <w:pPr>
              <w:pStyle w:val="Tablecolhead"/>
              <w:rPr>
                <w:bCs/>
              </w:rPr>
            </w:pPr>
            <w:r w:rsidRPr="00176D37">
              <w:rPr>
                <w:bCs/>
              </w:rPr>
              <w:t>Unsure</w:t>
            </w:r>
          </w:p>
          <w:p w14:paraId="04CBD519" w14:textId="77777777" w:rsidR="004D2DD3" w:rsidRPr="00176D37" w:rsidRDefault="004D2DD3" w:rsidP="001053B7">
            <w:pPr>
              <w:pStyle w:val="Tablecolhead"/>
              <w:rPr>
                <w:bCs/>
              </w:rPr>
            </w:pPr>
            <w:r w:rsidRPr="00176D37">
              <w:t>n (%)</w:t>
            </w:r>
          </w:p>
        </w:tc>
        <w:tc>
          <w:tcPr>
            <w:tcW w:w="1531" w:type="dxa"/>
          </w:tcPr>
          <w:p w14:paraId="1ABAC879" w14:textId="77777777" w:rsidR="004D2DD3" w:rsidRPr="00176D37" w:rsidRDefault="004D2DD3" w:rsidP="001053B7">
            <w:pPr>
              <w:pStyle w:val="Tablecolhead"/>
              <w:rPr>
                <w:bCs/>
              </w:rPr>
            </w:pPr>
            <w:r w:rsidRPr="00176D37">
              <w:rPr>
                <w:bCs/>
              </w:rPr>
              <w:t>N/A</w:t>
            </w:r>
          </w:p>
          <w:p w14:paraId="0AA979C4" w14:textId="77777777" w:rsidR="004D2DD3" w:rsidRPr="00176D37" w:rsidRDefault="004D2DD3" w:rsidP="001053B7">
            <w:pPr>
              <w:pStyle w:val="Tablecolhead"/>
              <w:rPr>
                <w:bCs/>
              </w:rPr>
            </w:pPr>
            <w:r w:rsidRPr="00176D37">
              <w:t>n (%)</w:t>
            </w:r>
          </w:p>
        </w:tc>
      </w:tr>
      <w:tr w:rsidR="004D2DD3" w:rsidRPr="00176D37" w14:paraId="0DE82A83" w14:textId="77777777" w:rsidTr="003529D2">
        <w:tc>
          <w:tcPr>
            <w:tcW w:w="1372" w:type="dxa"/>
          </w:tcPr>
          <w:p w14:paraId="7BD9B761" w14:textId="77777777" w:rsidR="004D2DD3" w:rsidRPr="00176D37" w:rsidRDefault="004D2DD3" w:rsidP="004D2DD3">
            <w:pPr>
              <w:pStyle w:val="Tabletext"/>
            </w:pPr>
            <w:r w:rsidRPr="00176D37">
              <w:t>Quality/exec n</w:t>
            </w:r>
            <w:r>
              <w:t xml:space="preserve"> </w:t>
            </w:r>
            <w:r w:rsidRPr="00176D37">
              <w:t>=</w:t>
            </w:r>
            <w:r>
              <w:t xml:space="preserve"> 1</w:t>
            </w:r>
            <w:r w:rsidRPr="00176D37">
              <w:t>9</w:t>
            </w:r>
          </w:p>
        </w:tc>
        <w:tc>
          <w:tcPr>
            <w:tcW w:w="1531" w:type="dxa"/>
          </w:tcPr>
          <w:p w14:paraId="6A5D0CD5" w14:textId="5752EB61" w:rsidR="004D2DD3" w:rsidRPr="00176D37" w:rsidRDefault="004D2DD3" w:rsidP="004D2DD3">
            <w:pPr>
              <w:pStyle w:val="Tabletext"/>
              <w:jc w:val="right"/>
            </w:pPr>
            <w:r w:rsidRPr="00176D37">
              <w:t>-</w:t>
            </w:r>
          </w:p>
        </w:tc>
        <w:tc>
          <w:tcPr>
            <w:tcW w:w="1531" w:type="dxa"/>
          </w:tcPr>
          <w:p w14:paraId="0EC22651" w14:textId="2284BCF9" w:rsidR="004D2DD3" w:rsidRPr="00176D37" w:rsidRDefault="004D2DD3" w:rsidP="004D2DD3">
            <w:pPr>
              <w:pStyle w:val="Tabletext"/>
              <w:jc w:val="right"/>
            </w:pPr>
            <w:r w:rsidRPr="00176D37">
              <w:t>1 (5%)</w:t>
            </w:r>
          </w:p>
        </w:tc>
        <w:tc>
          <w:tcPr>
            <w:tcW w:w="1531" w:type="dxa"/>
          </w:tcPr>
          <w:p w14:paraId="4944AA39" w14:textId="480A7BE4" w:rsidR="004D2DD3" w:rsidRPr="00176D37" w:rsidRDefault="004D2DD3" w:rsidP="004D2DD3">
            <w:pPr>
              <w:pStyle w:val="Tabletext"/>
              <w:jc w:val="right"/>
            </w:pPr>
            <w:r w:rsidRPr="00176D37">
              <w:t>2 (11%)</w:t>
            </w:r>
          </w:p>
        </w:tc>
        <w:tc>
          <w:tcPr>
            <w:tcW w:w="1531" w:type="dxa"/>
          </w:tcPr>
          <w:p w14:paraId="6A431A68" w14:textId="063E8B6B" w:rsidR="004D2DD3" w:rsidRPr="00176D37" w:rsidRDefault="004D2DD3" w:rsidP="004D2DD3">
            <w:pPr>
              <w:pStyle w:val="Tabletext"/>
              <w:jc w:val="right"/>
            </w:pPr>
            <w:r w:rsidRPr="00176D37">
              <w:t>7 (37%)</w:t>
            </w:r>
          </w:p>
        </w:tc>
        <w:tc>
          <w:tcPr>
            <w:tcW w:w="1531" w:type="dxa"/>
          </w:tcPr>
          <w:p w14:paraId="2B58EF7C" w14:textId="03CD38BF" w:rsidR="004D2DD3" w:rsidRPr="00176D37" w:rsidRDefault="004D2DD3" w:rsidP="004D2DD3">
            <w:pPr>
              <w:pStyle w:val="Tabletext"/>
              <w:jc w:val="right"/>
            </w:pPr>
            <w:r w:rsidRPr="00176D37">
              <w:t>9 (47%)</w:t>
            </w:r>
          </w:p>
        </w:tc>
      </w:tr>
      <w:tr w:rsidR="004D2DD3" w:rsidRPr="00176D37" w14:paraId="69FE4C0F" w14:textId="77777777" w:rsidTr="003529D2">
        <w:tc>
          <w:tcPr>
            <w:tcW w:w="1372" w:type="dxa"/>
          </w:tcPr>
          <w:p w14:paraId="1EB39B7D" w14:textId="77777777" w:rsidR="004D2DD3" w:rsidRPr="00176D37" w:rsidRDefault="004D2DD3" w:rsidP="004D2DD3">
            <w:pPr>
              <w:pStyle w:val="Tabletext"/>
            </w:pPr>
            <w:r w:rsidRPr="00176D37">
              <w:t>Laboratory n</w:t>
            </w:r>
            <w:r>
              <w:t xml:space="preserve"> </w:t>
            </w:r>
            <w:r w:rsidRPr="00176D37">
              <w:t>=</w:t>
            </w:r>
            <w:r>
              <w:t xml:space="preserve"> </w:t>
            </w:r>
            <w:r w:rsidRPr="00176D37">
              <w:t>7</w:t>
            </w:r>
          </w:p>
        </w:tc>
        <w:tc>
          <w:tcPr>
            <w:tcW w:w="1531" w:type="dxa"/>
          </w:tcPr>
          <w:p w14:paraId="6B60D137" w14:textId="60FB3BC9" w:rsidR="004D2DD3" w:rsidRPr="00176D37" w:rsidRDefault="004D2DD3" w:rsidP="004D2DD3">
            <w:pPr>
              <w:pStyle w:val="Tabletext"/>
              <w:jc w:val="right"/>
            </w:pPr>
            <w:r w:rsidRPr="00176D37">
              <w:t>-</w:t>
            </w:r>
          </w:p>
        </w:tc>
        <w:tc>
          <w:tcPr>
            <w:tcW w:w="1531" w:type="dxa"/>
          </w:tcPr>
          <w:p w14:paraId="7C471DC4" w14:textId="00502A40" w:rsidR="004D2DD3" w:rsidRPr="00176D37" w:rsidRDefault="004D2DD3" w:rsidP="004D2DD3">
            <w:pPr>
              <w:pStyle w:val="Tabletext"/>
              <w:jc w:val="right"/>
            </w:pPr>
            <w:r w:rsidRPr="00176D37">
              <w:t>1 (14%)</w:t>
            </w:r>
          </w:p>
        </w:tc>
        <w:tc>
          <w:tcPr>
            <w:tcW w:w="1531" w:type="dxa"/>
          </w:tcPr>
          <w:p w14:paraId="4F4DF2E5" w14:textId="07753320" w:rsidR="004D2DD3" w:rsidRPr="00176D37" w:rsidRDefault="004D2DD3" w:rsidP="004D2DD3">
            <w:pPr>
              <w:pStyle w:val="Tabletext"/>
              <w:jc w:val="right"/>
            </w:pPr>
            <w:r w:rsidRPr="00176D37">
              <w:t>4 (57%)</w:t>
            </w:r>
          </w:p>
        </w:tc>
        <w:tc>
          <w:tcPr>
            <w:tcW w:w="1531" w:type="dxa"/>
          </w:tcPr>
          <w:p w14:paraId="7C6C1D6B" w14:textId="76037B5C" w:rsidR="004D2DD3" w:rsidRPr="00176D37" w:rsidRDefault="004D2DD3" w:rsidP="004D2DD3">
            <w:pPr>
              <w:pStyle w:val="Tabletext"/>
              <w:jc w:val="right"/>
            </w:pPr>
            <w:r w:rsidRPr="00176D37">
              <w:t>1 (14%)</w:t>
            </w:r>
          </w:p>
        </w:tc>
        <w:tc>
          <w:tcPr>
            <w:tcW w:w="1531" w:type="dxa"/>
          </w:tcPr>
          <w:p w14:paraId="5AB19718" w14:textId="6A2CC74E" w:rsidR="004D2DD3" w:rsidRPr="00176D37" w:rsidRDefault="004D2DD3" w:rsidP="004D2DD3">
            <w:pPr>
              <w:pStyle w:val="Tabletext"/>
              <w:jc w:val="right"/>
            </w:pPr>
            <w:r w:rsidRPr="00176D37">
              <w:t>1 (14%)</w:t>
            </w:r>
          </w:p>
        </w:tc>
      </w:tr>
    </w:tbl>
    <w:p w14:paraId="175FFE91" w14:textId="27C55806" w:rsidR="004D2DD3" w:rsidRDefault="004D2DD3" w:rsidP="009742AB">
      <w:pPr>
        <w:pStyle w:val="Bodyaftertablefigure"/>
      </w:pPr>
      <w:r>
        <w:t>Wrong blood in tube (WBIT)</w:t>
      </w:r>
    </w:p>
    <w:tbl>
      <w:tblPr>
        <w:tblStyle w:val="TableGrid"/>
        <w:tblW w:w="0" w:type="auto"/>
        <w:tblLook w:val="04A0" w:firstRow="1" w:lastRow="0" w:firstColumn="1" w:lastColumn="0" w:noHBand="0" w:noVBand="1"/>
      </w:tblPr>
      <w:tblGrid>
        <w:gridCol w:w="1372"/>
        <w:gridCol w:w="1531"/>
        <w:gridCol w:w="1531"/>
        <w:gridCol w:w="1531"/>
        <w:gridCol w:w="1531"/>
        <w:gridCol w:w="1531"/>
      </w:tblGrid>
      <w:tr w:rsidR="004D2DD3" w:rsidRPr="00176D37" w14:paraId="20D5A339" w14:textId="77777777" w:rsidTr="003529D2">
        <w:tc>
          <w:tcPr>
            <w:tcW w:w="1372" w:type="dxa"/>
          </w:tcPr>
          <w:p w14:paraId="69852A56" w14:textId="77777777" w:rsidR="004D2DD3" w:rsidRPr="00176D37" w:rsidRDefault="004D2DD3" w:rsidP="001053B7">
            <w:pPr>
              <w:pStyle w:val="Tablecolhead"/>
            </w:pPr>
            <w:r>
              <w:t>Quality or laboratory</w:t>
            </w:r>
          </w:p>
        </w:tc>
        <w:tc>
          <w:tcPr>
            <w:tcW w:w="1531" w:type="dxa"/>
          </w:tcPr>
          <w:p w14:paraId="34B612DD" w14:textId="77777777" w:rsidR="004D2DD3" w:rsidRPr="00176D37" w:rsidRDefault="004D2DD3" w:rsidP="001053B7">
            <w:pPr>
              <w:pStyle w:val="Tablecolhead"/>
              <w:rPr>
                <w:bCs/>
              </w:rPr>
            </w:pPr>
            <w:r w:rsidRPr="00176D37">
              <w:rPr>
                <w:bCs/>
              </w:rPr>
              <w:t>Decreased</w:t>
            </w:r>
          </w:p>
          <w:p w14:paraId="47FE7829" w14:textId="77777777" w:rsidR="004D2DD3" w:rsidRPr="00176D37" w:rsidRDefault="004D2DD3" w:rsidP="001053B7">
            <w:pPr>
              <w:pStyle w:val="Tablecolhead"/>
            </w:pPr>
            <w:r w:rsidRPr="00176D37">
              <w:t>n (%)</w:t>
            </w:r>
          </w:p>
        </w:tc>
        <w:tc>
          <w:tcPr>
            <w:tcW w:w="1531" w:type="dxa"/>
          </w:tcPr>
          <w:p w14:paraId="08548880" w14:textId="77777777" w:rsidR="004D2DD3" w:rsidRPr="00176D37" w:rsidRDefault="004D2DD3" w:rsidP="001053B7">
            <w:pPr>
              <w:pStyle w:val="Tablecolhead"/>
              <w:rPr>
                <w:bCs/>
              </w:rPr>
            </w:pPr>
            <w:r w:rsidRPr="00176D37">
              <w:rPr>
                <w:bCs/>
              </w:rPr>
              <w:t>Increased</w:t>
            </w:r>
          </w:p>
          <w:p w14:paraId="2E05548B" w14:textId="77777777" w:rsidR="004D2DD3" w:rsidRPr="00176D37" w:rsidRDefault="004D2DD3" w:rsidP="001053B7">
            <w:pPr>
              <w:pStyle w:val="Tablecolhead"/>
              <w:rPr>
                <w:bCs/>
              </w:rPr>
            </w:pPr>
            <w:r w:rsidRPr="00176D37">
              <w:t>n (%)</w:t>
            </w:r>
          </w:p>
        </w:tc>
        <w:tc>
          <w:tcPr>
            <w:tcW w:w="1531" w:type="dxa"/>
          </w:tcPr>
          <w:p w14:paraId="1D891B42" w14:textId="77777777" w:rsidR="004D2DD3" w:rsidRPr="00176D37" w:rsidRDefault="004D2DD3" w:rsidP="001053B7">
            <w:pPr>
              <w:pStyle w:val="Tablecolhead"/>
              <w:rPr>
                <w:bCs/>
              </w:rPr>
            </w:pPr>
            <w:r w:rsidRPr="00176D37">
              <w:rPr>
                <w:bCs/>
              </w:rPr>
              <w:t>No change</w:t>
            </w:r>
          </w:p>
          <w:p w14:paraId="2FE786BF" w14:textId="77777777" w:rsidR="004D2DD3" w:rsidRPr="00176D37" w:rsidRDefault="004D2DD3" w:rsidP="001053B7">
            <w:pPr>
              <w:pStyle w:val="Tablecolhead"/>
              <w:rPr>
                <w:bCs/>
              </w:rPr>
            </w:pPr>
            <w:r w:rsidRPr="00176D37">
              <w:t>n (%)</w:t>
            </w:r>
          </w:p>
        </w:tc>
        <w:tc>
          <w:tcPr>
            <w:tcW w:w="1531" w:type="dxa"/>
          </w:tcPr>
          <w:p w14:paraId="60292A12" w14:textId="77777777" w:rsidR="004D2DD3" w:rsidRPr="00176D37" w:rsidRDefault="004D2DD3" w:rsidP="001053B7">
            <w:pPr>
              <w:pStyle w:val="Tablecolhead"/>
              <w:rPr>
                <w:bCs/>
              </w:rPr>
            </w:pPr>
            <w:r w:rsidRPr="00176D37">
              <w:rPr>
                <w:bCs/>
              </w:rPr>
              <w:t>Unsure</w:t>
            </w:r>
          </w:p>
          <w:p w14:paraId="263FE8D4" w14:textId="77777777" w:rsidR="004D2DD3" w:rsidRPr="00176D37" w:rsidRDefault="004D2DD3" w:rsidP="001053B7">
            <w:pPr>
              <w:pStyle w:val="Tablecolhead"/>
              <w:rPr>
                <w:bCs/>
              </w:rPr>
            </w:pPr>
            <w:r w:rsidRPr="00176D37">
              <w:t>n (%)</w:t>
            </w:r>
          </w:p>
        </w:tc>
        <w:tc>
          <w:tcPr>
            <w:tcW w:w="1531" w:type="dxa"/>
          </w:tcPr>
          <w:p w14:paraId="7CD3E341" w14:textId="77777777" w:rsidR="004D2DD3" w:rsidRPr="00176D37" w:rsidRDefault="004D2DD3" w:rsidP="001053B7">
            <w:pPr>
              <w:pStyle w:val="Tablecolhead"/>
              <w:rPr>
                <w:bCs/>
              </w:rPr>
            </w:pPr>
            <w:r w:rsidRPr="00176D37">
              <w:rPr>
                <w:bCs/>
              </w:rPr>
              <w:t>N/A</w:t>
            </w:r>
          </w:p>
          <w:p w14:paraId="67C23770" w14:textId="77777777" w:rsidR="004D2DD3" w:rsidRPr="00176D37" w:rsidRDefault="004D2DD3" w:rsidP="001053B7">
            <w:pPr>
              <w:pStyle w:val="Tablecolhead"/>
              <w:rPr>
                <w:bCs/>
              </w:rPr>
            </w:pPr>
            <w:r w:rsidRPr="00176D37">
              <w:t>n (%)</w:t>
            </w:r>
          </w:p>
        </w:tc>
      </w:tr>
      <w:tr w:rsidR="004D2DD3" w:rsidRPr="00176D37" w14:paraId="25AF70E1" w14:textId="77777777" w:rsidTr="003529D2">
        <w:tc>
          <w:tcPr>
            <w:tcW w:w="1372" w:type="dxa"/>
          </w:tcPr>
          <w:p w14:paraId="3EE38BE3" w14:textId="77777777" w:rsidR="004D2DD3" w:rsidRPr="00176D37" w:rsidRDefault="004D2DD3" w:rsidP="004D2DD3">
            <w:pPr>
              <w:pStyle w:val="Tabletext"/>
            </w:pPr>
            <w:r w:rsidRPr="00176D37">
              <w:t>Quality/exec n</w:t>
            </w:r>
            <w:r>
              <w:t xml:space="preserve"> </w:t>
            </w:r>
            <w:r w:rsidRPr="00176D37">
              <w:t>=</w:t>
            </w:r>
            <w:r>
              <w:t xml:space="preserve"> 1</w:t>
            </w:r>
            <w:r w:rsidRPr="00176D37">
              <w:t>9</w:t>
            </w:r>
          </w:p>
        </w:tc>
        <w:tc>
          <w:tcPr>
            <w:tcW w:w="1531" w:type="dxa"/>
          </w:tcPr>
          <w:p w14:paraId="3A7A5690" w14:textId="3ECF1D37" w:rsidR="004D2DD3" w:rsidRPr="00176D37" w:rsidRDefault="004D2DD3" w:rsidP="004D2DD3">
            <w:pPr>
              <w:pStyle w:val="Tabletext"/>
              <w:jc w:val="right"/>
            </w:pPr>
            <w:r w:rsidRPr="00176D37">
              <w:t>1 (5%)</w:t>
            </w:r>
          </w:p>
        </w:tc>
        <w:tc>
          <w:tcPr>
            <w:tcW w:w="1531" w:type="dxa"/>
          </w:tcPr>
          <w:p w14:paraId="025796A7" w14:textId="6C18EE8F" w:rsidR="004D2DD3" w:rsidRPr="00176D37" w:rsidRDefault="004D2DD3" w:rsidP="004D2DD3">
            <w:pPr>
              <w:pStyle w:val="Tabletext"/>
              <w:jc w:val="right"/>
            </w:pPr>
            <w:r w:rsidRPr="00176D37">
              <w:t>1 (5%)</w:t>
            </w:r>
          </w:p>
        </w:tc>
        <w:tc>
          <w:tcPr>
            <w:tcW w:w="1531" w:type="dxa"/>
          </w:tcPr>
          <w:p w14:paraId="753B2AF4" w14:textId="68ADC677" w:rsidR="004D2DD3" w:rsidRPr="00176D37" w:rsidRDefault="004D2DD3" w:rsidP="004D2DD3">
            <w:pPr>
              <w:pStyle w:val="Tabletext"/>
              <w:jc w:val="right"/>
            </w:pPr>
            <w:r w:rsidRPr="00176D37">
              <w:t>6 (32%)</w:t>
            </w:r>
          </w:p>
        </w:tc>
        <w:tc>
          <w:tcPr>
            <w:tcW w:w="1531" w:type="dxa"/>
          </w:tcPr>
          <w:p w14:paraId="79EBCBE0" w14:textId="3E67ECAD" w:rsidR="004D2DD3" w:rsidRPr="00176D37" w:rsidRDefault="004D2DD3" w:rsidP="004D2DD3">
            <w:pPr>
              <w:pStyle w:val="Tabletext"/>
              <w:jc w:val="right"/>
            </w:pPr>
            <w:r w:rsidRPr="00176D37">
              <w:t>5 (26%)</w:t>
            </w:r>
          </w:p>
        </w:tc>
        <w:tc>
          <w:tcPr>
            <w:tcW w:w="1531" w:type="dxa"/>
          </w:tcPr>
          <w:p w14:paraId="65F93D3E" w14:textId="08AE9202" w:rsidR="004D2DD3" w:rsidRPr="00176D37" w:rsidRDefault="004D2DD3" w:rsidP="004D2DD3">
            <w:pPr>
              <w:pStyle w:val="Tabletext"/>
              <w:jc w:val="right"/>
            </w:pPr>
            <w:r w:rsidRPr="00176D37">
              <w:t>7 (37%)</w:t>
            </w:r>
          </w:p>
        </w:tc>
      </w:tr>
      <w:tr w:rsidR="004D2DD3" w:rsidRPr="00176D37" w14:paraId="18B76697" w14:textId="77777777" w:rsidTr="003529D2">
        <w:tc>
          <w:tcPr>
            <w:tcW w:w="1372" w:type="dxa"/>
          </w:tcPr>
          <w:p w14:paraId="568A3D28" w14:textId="77777777" w:rsidR="004D2DD3" w:rsidRPr="00176D37" w:rsidRDefault="004D2DD3" w:rsidP="004D2DD3">
            <w:pPr>
              <w:pStyle w:val="Tabletext"/>
            </w:pPr>
            <w:r w:rsidRPr="00176D37">
              <w:t>Laboratory n</w:t>
            </w:r>
            <w:r>
              <w:t xml:space="preserve"> </w:t>
            </w:r>
            <w:r w:rsidRPr="00176D37">
              <w:t>=</w:t>
            </w:r>
            <w:r>
              <w:t xml:space="preserve"> </w:t>
            </w:r>
            <w:r w:rsidRPr="00176D37">
              <w:t>7</w:t>
            </w:r>
          </w:p>
        </w:tc>
        <w:tc>
          <w:tcPr>
            <w:tcW w:w="1531" w:type="dxa"/>
          </w:tcPr>
          <w:p w14:paraId="10590412" w14:textId="7C0A512F" w:rsidR="004D2DD3" w:rsidRPr="00176D37" w:rsidRDefault="004D2DD3" w:rsidP="004D2DD3">
            <w:pPr>
              <w:pStyle w:val="Tabletext"/>
              <w:jc w:val="right"/>
            </w:pPr>
            <w:r w:rsidRPr="00176D37">
              <w:t>-</w:t>
            </w:r>
          </w:p>
        </w:tc>
        <w:tc>
          <w:tcPr>
            <w:tcW w:w="1531" w:type="dxa"/>
          </w:tcPr>
          <w:p w14:paraId="41FDE687" w14:textId="58C8F17E" w:rsidR="004D2DD3" w:rsidRPr="00176D37" w:rsidRDefault="004D2DD3" w:rsidP="004D2DD3">
            <w:pPr>
              <w:pStyle w:val="Tabletext"/>
              <w:jc w:val="right"/>
            </w:pPr>
            <w:r w:rsidRPr="00176D37">
              <w:t>2 (29%)</w:t>
            </w:r>
          </w:p>
        </w:tc>
        <w:tc>
          <w:tcPr>
            <w:tcW w:w="1531" w:type="dxa"/>
          </w:tcPr>
          <w:p w14:paraId="4481A787" w14:textId="0A505E83" w:rsidR="004D2DD3" w:rsidRPr="00176D37" w:rsidRDefault="004D2DD3" w:rsidP="004D2DD3">
            <w:pPr>
              <w:pStyle w:val="Tabletext"/>
              <w:jc w:val="right"/>
            </w:pPr>
            <w:r w:rsidRPr="00176D37">
              <w:t>3 (43%)</w:t>
            </w:r>
          </w:p>
        </w:tc>
        <w:tc>
          <w:tcPr>
            <w:tcW w:w="1531" w:type="dxa"/>
          </w:tcPr>
          <w:p w14:paraId="3D04C1C1" w14:textId="53DAA21D" w:rsidR="004D2DD3" w:rsidRPr="00176D37" w:rsidRDefault="004D2DD3" w:rsidP="004D2DD3">
            <w:pPr>
              <w:pStyle w:val="Tabletext"/>
              <w:jc w:val="right"/>
            </w:pPr>
            <w:r w:rsidRPr="00176D37">
              <w:t>1 (14%)</w:t>
            </w:r>
          </w:p>
        </w:tc>
        <w:tc>
          <w:tcPr>
            <w:tcW w:w="1531" w:type="dxa"/>
          </w:tcPr>
          <w:p w14:paraId="7A89EF89" w14:textId="1C73EBC4" w:rsidR="004D2DD3" w:rsidRPr="00176D37" w:rsidRDefault="004D2DD3" w:rsidP="004D2DD3">
            <w:pPr>
              <w:pStyle w:val="Tabletext"/>
              <w:jc w:val="right"/>
            </w:pPr>
            <w:r w:rsidRPr="00176D37">
              <w:t>1 (14%)</w:t>
            </w:r>
          </w:p>
        </w:tc>
      </w:tr>
    </w:tbl>
    <w:p w14:paraId="2301F0C7" w14:textId="0B907C16" w:rsidR="004D2DD3" w:rsidRDefault="004D2DD3" w:rsidP="004D2DD3">
      <w:pPr>
        <w:pStyle w:val="Bodyaftertablefigure"/>
      </w:pPr>
      <w:r w:rsidRPr="00176D37">
        <w:t>Incorrectly labelled specimens, including unsigned pre-transfusion specimens (excluding WBITs)</w:t>
      </w:r>
    </w:p>
    <w:tbl>
      <w:tblPr>
        <w:tblStyle w:val="TableGrid"/>
        <w:tblW w:w="0" w:type="auto"/>
        <w:tblLook w:val="04A0" w:firstRow="1" w:lastRow="0" w:firstColumn="1" w:lastColumn="0" w:noHBand="0" w:noVBand="1"/>
      </w:tblPr>
      <w:tblGrid>
        <w:gridCol w:w="1372"/>
        <w:gridCol w:w="1531"/>
        <w:gridCol w:w="1531"/>
        <w:gridCol w:w="1531"/>
        <w:gridCol w:w="1531"/>
        <w:gridCol w:w="1531"/>
      </w:tblGrid>
      <w:tr w:rsidR="004D2DD3" w:rsidRPr="00176D37" w14:paraId="0775E24D" w14:textId="77777777" w:rsidTr="003529D2">
        <w:tc>
          <w:tcPr>
            <w:tcW w:w="1372" w:type="dxa"/>
          </w:tcPr>
          <w:p w14:paraId="1C7EB579" w14:textId="77777777" w:rsidR="004D2DD3" w:rsidRPr="00176D37" w:rsidRDefault="004D2DD3" w:rsidP="001053B7">
            <w:pPr>
              <w:pStyle w:val="Tablecolhead"/>
            </w:pPr>
            <w:r>
              <w:t>Quality or laboratory</w:t>
            </w:r>
          </w:p>
        </w:tc>
        <w:tc>
          <w:tcPr>
            <w:tcW w:w="1531" w:type="dxa"/>
          </w:tcPr>
          <w:p w14:paraId="440498C1" w14:textId="77777777" w:rsidR="004D2DD3" w:rsidRPr="00176D37" w:rsidRDefault="004D2DD3" w:rsidP="001053B7">
            <w:pPr>
              <w:pStyle w:val="Tablecolhead"/>
              <w:rPr>
                <w:bCs/>
              </w:rPr>
            </w:pPr>
            <w:r w:rsidRPr="00176D37">
              <w:rPr>
                <w:bCs/>
              </w:rPr>
              <w:t>Decreased</w:t>
            </w:r>
          </w:p>
          <w:p w14:paraId="7F650DFC" w14:textId="77777777" w:rsidR="004D2DD3" w:rsidRPr="00176D37" w:rsidRDefault="004D2DD3" w:rsidP="001053B7">
            <w:pPr>
              <w:pStyle w:val="Tablecolhead"/>
            </w:pPr>
            <w:r w:rsidRPr="00176D37">
              <w:t>n (%)</w:t>
            </w:r>
          </w:p>
        </w:tc>
        <w:tc>
          <w:tcPr>
            <w:tcW w:w="1531" w:type="dxa"/>
          </w:tcPr>
          <w:p w14:paraId="62D66FA3" w14:textId="77777777" w:rsidR="004D2DD3" w:rsidRPr="00176D37" w:rsidRDefault="004D2DD3" w:rsidP="001053B7">
            <w:pPr>
              <w:pStyle w:val="Tablecolhead"/>
              <w:rPr>
                <w:bCs/>
              </w:rPr>
            </w:pPr>
            <w:r w:rsidRPr="00176D37">
              <w:rPr>
                <w:bCs/>
              </w:rPr>
              <w:t>Increased</w:t>
            </w:r>
          </w:p>
          <w:p w14:paraId="57859A0E" w14:textId="77777777" w:rsidR="004D2DD3" w:rsidRPr="00176D37" w:rsidRDefault="004D2DD3" w:rsidP="001053B7">
            <w:pPr>
              <w:pStyle w:val="Tablecolhead"/>
              <w:rPr>
                <w:bCs/>
              </w:rPr>
            </w:pPr>
            <w:r w:rsidRPr="00176D37">
              <w:t>n (%)</w:t>
            </w:r>
          </w:p>
        </w:tc>
        <w:tc>
          <w:tcPr>
            <w:tcW w:w="1531" w:type="dxa"/>
          </w:tcPr>
          <w:p w14:paraId="3B73DCC2" w14:textId="77777777" w:rsidR="004D2DD3" w:rsidRPr="00176D37" w:rsidRDefault="004D2DD3" w:rsidP="001053B7">
            <w:pPr>
              <w:pStyle w:val="Tablecolhead"/>
              <w:rPr>
                <w:bCs/>
              </w:rPr>
            </w:pPr>
            <w:r w:rsidRPr="00176D37">
              <w:rPr>
                <w:bCs/>
              </w:rPr>
              <w:t>No change</w:t>
            </w:r>
          </w:p>
          <w:p w14:paraId="66E8D7DD" w14:textId="77777777" w:rsidR="004D2DD3" w:rsidRPr="00176D37" w:rsidRDefault="004D2DD3" w:rsidP="001053B7">
            <w:pPr>
              <w:pStyle w:val="Tablecolhead"/>
              <w:rPr>
                <w:bCs/>
              </w:rPr>
            </w:pPr>
            <w:r w:rsidRPr="00176D37">
              <w:t>n (%)</w:t>
            </w:r>
          </w:p>
        </w:tc>
        <w:tc>
          <w:tcPr>
            <w:tcW w:w="1531" w:type="dxa"/>
          </w:tcPr>
          <w:p w14:paraId="0DAE2DE1" w14:textId="77777777" w:rsidR="004D2DD3" w:rsidRPr="00176D37" w:rsidRDefault="004D2DD3" w:rsidP="001053B7">
            <w:pPr>
              <w:pStyle w:val="Tablecolhead"/>
              <w:rPr>
                <w:bCs/>
              </w:rPr>
            </w:pPr>
            <w:r w:rsidRPr="00176D37">
              <w:rPr>
                <w:bCs/>
              </w:rPr>
              <w:t>Unsure</w:t>
            </w:r>
          </w:p>
          <w:p w14:paraId="6E22B620" w14:textId="77777777" w:rsidR="004D2DD3" w:rsidRPr="00176D37" w:rsidRDefault="004D2DD3" w:rsidP="001053B7">
            <w:pPr>
              <w:pStyle w:val="Tablecolhead"/>
              <w:rPr>
                <w:bCs/>
              </w:rPr>
            </w:pPr>
            <w:r w:rsidRPr="00176D37">
              <w:t>n (%)</w:t>
            </w:r>
          </w:p>
        </w:tc>
        <w:tc>
          <w:tcPr>
            <w:tcW w:w="1531" w:type="dxa"/>
          </w:tcPr>
          <w:p w14:paraId="44B1DBF7" w14:textId="77777777" w:rsidR="004D2DD3" w:rsidRPr="00176D37" w:rsidRDefault="004D2DD3" w:rsidP="001053B7">
            <w:pPr>
              <w:pStyle w:val="Tablecolhead"/>
              <w:rPr>
                <w:bCs/>
              </w:rPr>
            </w:pPr>
            <w:r w:rsidRPr="00176D37">
              <w:rPr>
                <w:bCs/>
              </w:rPr>
              <w:t>N/A</w:t>
            </w:r>
          </w:p>
          <w:p w14:paraId="765073C2" w14:textId="77777777" w:rsidR="004D2DD3" w:rsidRPr="00176D37" w:rsidRDefault="004D2DD3" w:rsidP="001053B7">
            <w:pPr>
              <w:pStyle w:val="Tablecolhead"/>
              <w:rPr>
                <w:bCs/>
              </w:rPr>
            </w:pPr>
            <w:r w:rsidRPr="00176D37">
              <w:t>n (%)</w:t>
            </w:r>
          </w:p>
        </w:tc>
      </w:tr>
      <w:tr w:rsidR="004D2DD3" w:rsidRPr="00176D37" w14:paraId="37FEC904" w14:textId="77777777" w:rsidTr="003529D2">
        <w:tc>
          <w:tcPr>
            <w:tcW w:w="1372" w:type="dxa"/>
          </w:tcPr>
          <w:p w14:paraId="50774B29" w14:textId="77777777" w:rsidR="004D2DD3" w:rsidRPr="00176D37" w:rsidRDefault="004D2DD3" w:rsidP="004D2DD3">
            <w:pPr>
              <w:pStyle w:val="Tabletext"/>
            </w:pPr>
            <w:r w:rsidRPr="00176D37">
              <w:t>Quality/exec n</w:t>
            </w:r>
            <w:r>
              <w:t xml:space="preserve"> </w:t>
            </w:r>
            <w:r w:rsidRPr="00176D37">
              <w:t>=</w:t>
            </w:r>
            <w:r>
              <w:t xml:space="preserve"> 1</w:t>
            </w:r>
            <w:r w:rsidRPr="00176D37">
              <w:t>9</w:t>
            </w:r>
          </w:p>
        </w:tc>
        <w:tc>
          <w:tcPr>
            <w:tcW w:w="1531" w:type="dxa"/>
          </w:tcPr>
          <w:p w14:paraId="0B8B3DAA" w14:textId="78FDE7C4" w:rsidR="004D2DD3" w:rsidRPr="00176D37" w:rsidRDefault="004D2DD3" w:rsidP="004D2DD3">
            <w:pPr>
              <w:pStyle w:val="Tabletext"/>
              <w:jc w:val="right"/>
            </w:pPr>
            <w:r w:rsidRPr="00176D37">
              <w:t>2 (11%)</w:t>
            </w:r>
          </w:p>
        </w:tc>
        <w:tc>
          <w:tcPr>
            <w:tcW w:w="1531" w:type="dxa"/>
          </w:tcPr>
          <w:p w14:paraId="77C94718" w14:textId="0E01FACF" w:rsidR="004D2DD3" w:rsidRPr="00176D37" w:rsidRDefault="004D2DD3" w:rsidP="004D2DD3">
            <w:pPr>
              <w:pStyle w:val="Tabletext"/>
              <w:jc w:val="right"/>
            </w:pPr>
            <w:r w:rsidRPr="00176D37">
              <w:t>-</w:t>
            </w:r>
          </w:p>
        </w:tc>
        <w:tc>
          <w:tcPr>
            <w:tcW w:w="1531" w:type="dxa"/>
          </w:tcPr>
          <w:p w14:paraId="7FB96797" w14:textId="70641871" w:rsidR="004D2DD3" w:rsidRPr="00176D37" w:rsidRDefault="004D2DD3" w:rsidP="004D2DD3">
            <w:pPr>
              <w:pStyle w:val="Tabletext"/>
              <w:jc w:val="right"/>
            </w:pPr>
            <w:r w:rsidRPr="00176D37">
              <w:t>4 (21%)</w:t>
            </w:r>
          </w:p>
        </w:tc>
        <w:tc>
          <w:tcPr>
            <w:tcW w:w="1531" w:type="dxa"/>
          </w:tcPr>
          <w:p w14:paraId="06C80013" w14:textId="71F60369" w:rsidR="004D2DD3" w:rsidRPr="00176D37" w:rsidRDefault="004D2DD3" w:rsidP="004D2DD3">
            <w:pPr>
              <w:pStyle w:val="Tabletext"/>
              <w:jc w:val="right"/>
            </w:pPr>
            <w:r w:rsidRPr="00176D37">
              <w:t>7 (37%)</w:t>
            </w:r>
          </w:p>
        </w:tc>
        <w:tc>
          <w:tcPr>
            <w:tcW w:w="1531" w:type="dxa"/>
          </w:tcPr>
          <w:p w14:paraId="41B781E3" w14:textId="0E08C392" w:rsidR="004D2DD3" w:rsidRPr="00176D37" w:rsidRDefault="004D2DD3" w:rsidP="004D2DD3">
            <w:pPr>
              <w:pStyle w:val="Tabletext"/>
              <w:jc w:val="right"/>
            </w:pPr>
            <w:r w:rsidRPr="00176D37">
              <w:t>6 (32%)</w:t>
            </w:r>
          </w:p>
        </w:tc>
      </w:tr>
      <w:tr w:rsidR="004D2DD3" w:rsidRPr="00176D37" w14:paraId="5E2949AD" w14:textId="77777777" w:rsidTr="003529D2">
        <w:tc>
          <w:tcPr>
            <w:tcW w:w="1372" w:type="dxa"/>
          </w:tcPr>
          <w:p w14:paraId="44727957" w14:textId="77777777" w:rsidR="004D2DD3" w:rsidRPr="00176D37" w:rsidRDefault="004D2DD3" w:rsidP="004D2DD3">
            <w:pPr>
              <w:pStyle w:val="Tabletext"/>
            </w:pPr>
            <w:r w:rsidRPr="00176D37">
              <w:t>Laboratory n</w:t>
            </w:r>
            <w:r>
              <w:t xml:space="preserve"> </w:t>
            </w:r>
            <w:r w:rsidRPr="00176D37">
              <w:t>=</w:t>
            </w:r>
            <w:r>
              <w:t xml:space="preserve"> </w:t>
            </w:r>
            <w:r w:rsidRPr="00176D37">
              <w:t>7</w:t>
            </w:r>
          </w:p>
        </w:tc>
        <w:tc>
          <w:tcPr>
            <w:tcW w:w="1531" w:type="dxa"/>
          </w:tcPr>
          <w:p w14:paraId="76A5E51B" w14:textId="12E5141A" w:rsidR="004D2DD3" w:rsidRPr="00176D37" w:rsidRDefault="004D2DD3" w:rsidP="004D2DD3">
            <w:pPr>
              <w:pStyle w:val="Tabletext"/>
              <w:jc w:val="right"/>
            </w:pPr>
            <w:r w:rsidRPr="00176D37">
              <w:t>1 (14%)</w:t>
            </w:r>
          </w:p>
        </w:tc>
        <w:tc>
          <w:tcPr>
            <w:tcW w:w="1531" w:type="dxa"/>
          </w:tcPr>
          <w:p w14:paraId="5553293B" w14:textId="49B877C7" w:rsidR="004D2DD3" w:rsidRPr="00176D37" w:rsidRDefault="004D2DD3" w:rsidP="004D2DD3">
            <w:pPr>
              <w:pStyle w:val="Tabletext"/>
              <w:jc w:val="right"/>
            </w:pPr>
            <w:r w:rsidRPr="00176D37">
              <w:t>2 (29%)</w:t>
            </w:r>
          </w:p>
        </w:tc>
        <w:tc>
          <w:tcPr>
            <w:tcW w:w="1531" w:type="dxa"/>
          </w:tcPr>
          <w:p w14:paraId="72618FFA" w14:textId="28AB61F5" w:rsidR="004D2DD3" w:rsidRPr="00176D37" w:rsidRDefault="004D2DD3" w:rsidP="004D2DD3">
            <w:pPr>
              <w:pStyle w:val="Tabletext"/>
              <w:jc w:val="right"/>
            </w:pPr>
            <w:r w:rsidRPr="00176D37">
              <w:t>2 (29%)</w:t>
            </w:r>
          </w:p>
        </w:tc>
        <w:tc>
          <w:tcPr>
            <w:tcW w:w="1531" w:type="dxa"/>
          </w:tcPr>
          <w:p w14:paraId="23DD57F8" w14:textId="2A2DFAFD" w:rsidR="004D2DD3" w:rsidRPr="00176D37" w:rsidRDefault="004D2DD3" w:rsidP="004D2DD3">
            <w:pPr>
              <w:pStyle w:val="Tabletext"/>
              <w:jc w:val="right"/>
            </w:pPr>
            <w:r w:rsidRPr="00176D37">
              <w:t>1 (14%)</w:t>
            </w:r>
          </w:p>
        </w:tc>
        <w:tc>
          <w:tcPr>
            <w:tcW w:w="1531" w:type="dxa"/>
          </w:tcPr>
          <w:p w14:paraId="7D84792A" w14:textId="1A23C4D7" w:rsidR="004D2DD3" w:rsidRPr="00176D37" w:rsidRDefault="004D2DD3" w:rsidP="004D2DD3">
            <w:pPr>
              <w:pStyle w:val="Tabletext"/>
              <w:jc w:val="right"/>
            </w:pPr>
            <w:r w:rsidRPr="00176D37">
              <w:t>1 (14%)</w:t>
            </w:r>
          </w:p>
        </w:tc>
      </w:tr>
    </w:tbl>
    <w:p w14:paraId="097C3250" w14:textId="64BC33EB" w:rsidR="004D2DD3" w:rsidRDefault="004D2DD3" w:rsidP="009742AB">
      <w:pPr>
        <w:pStyle w:val="Bodyaftertablefigure"/>
      </w:pPr>
      <w:r w:rsidRPr="00176D37">
        <w:t xml:space="preserve">Unsigned collector’s </w:t>
      </w:r>
      <w:r w:rsidRPr="004D2DD3">
        <w:t>declaration</w:t>
      </w:r>
      <w:r w:rsidRPr="00176D37">
        <w:t xml:space="preserve"> on request form</w:t>
      </w:r>
    </w:p>
    <w:tbl>
      <w:tblPr>
        <w:tblStyle w:val="TableGrid"/>
        <w:tblW w:w="0" w:type="auto"/>
        <w:tblLook w:val="04A0" w:firstRow="1" w:lastRow="0" w:firstColumn="1" w:lastColumn="0" w:noHBand="0" w:noVBand="1"/>
      </w:tblPr>
      <w:tblGrid>
        <w:gridCol w:w="1372"/>
        <w:gridCol w:w="1531"/>
        <w:gridCol w:w="1531"/>
        <w:gridCol w:w="1531"/>
        <w:gridCol w:w="1531"/>
        <w:gridCol w:w="1531"/>
      </w:tblGrid>
      <w:tr w:rsidR="004D2DD3" w:rsidRPr="00176D37" w14:paraId="299D9BE2" w14:textId="77777777" w:rsidTr="003529D2">
        <w:tc>
          <w:tcPr>
            <w:tcW w:w="1372" w:type="dxa"/>
          </w:tcPr>
          <w:p w14:paraId="2B7D03F5" w14:textId="77777777" w:rsidR="004D2DD3" w:rsidRPr="00176D37" w:rsidRDefault="004D2DD3" w:rsidP="001053B7">
            <w:pPr>
              <w:pStyle w:val="Tablecolhead"/>
            </w:pPr>
            <w:r>
              <w:t>Quality or laboratory</w:t>
            </w:r>
          </w:p>
        </w:tc>
        <w:tc>
          <w:tcPr>
            <w:tcW w:w="1531" w:type="dxa"/>
          </w:tcPr>
          <w:p w14:paraId="760D9B7A" w14:textId="77777777" w:rsidR="004D2DD3" w:rsidRPr="00176D37" w:rsidRDefault="004D2DD3" w:rsidP="001053B7">
            <w:pPr>
              <w:pStyle w:val="Tablecolhead"/>
              <w:rPr>
                <w:bCs/>
              </w:rPr>
            </w:pPr>
            <w:r w:rsidRPr="00176D37">
              <w:rPr>
                <w:bCs/>
              </w:rPr>
              <w:t>Decreased</w:t>
            </w:r>
          </w:p>
          <w:p w14:paraId="0312907C" w14:textId="77777777" w:rsidR="004D2DD3" w:rsidRPr="00176D37" w:rsidRDefault="004D2DD3" w:rsidP="001053B7">
            <w:pPr>
              <w:pStyle w:val="Tablecolhead"/>
            </w:pPr>
            <w:r w:rsidRPr="00176D37">
              <w:t>n (%)</w:t>
            </w:r>
          </w:p>
        </w:tc>
        <w:tc>
          <w:tcPr>
            <w:tcW w:w="1531" w:type="dxa"/>
          </w:tcPr>
          <w:p w14:paraId="7A3D8D94" w14:textId="77777777" w:rsidR="004D2DD3" w:rsidRPr="00176D37" w:rsidRDefault="004D2DD3" w:rsidP="001053B7">
            <w:pPr>
              <w:pStyle w:val="Tablecolhead"/>
              <w:rPr>
                <w:bCs/>
              </w:rPr>
            </w:pPr>
            <w:r w:rsidRPr="00176D37">
              <w:rPr>
                <w:bCs/>
              </w:rPr>
              <w:t>Increased</w:t>
            </w:r>
          </w:p>
          <w:p w14:paraId="266D713D" w14:textId="77777777" w:rsidR="004D2DD3" w:rsidRPr="00176D37" w:rsidRDefault="004D2DD3" w:rsidP="001053B7">
            <w:pPr>
              <w:pStyle w:val="Tablecolhead"/>
              <w:rPr>
                <w:bCs/>
              </w:rPr>
            </w:pPr>
            <w:r w:rsidRPr="00176D37">
              <w:t>n (%)</w:t>
            </w:r>
          </w:p>
        </w:tc>
        <w:tc>
          <w:tcPr>
            <w:tcW w:w="1531" w:type="dxa"/>
          </w:tcPr>
          <w:p w14:paraId="4F9DEF20" w14:textId="77777777" w:rsidR="004D2DD3" w:rsidRPr="00176D37" w:rsidRDefault="004D2DD3" w:rsidP="001053B7">
            <w:pPr>
              <w:pStyle w:val="Tablecolhead"/>
              <w:rPr>
                <w:bCs/>
              </w:rPr>
            </w:pPr>
            <w:r w:rsidRPr="00176D37">
              <w:rPr>
                <w:bCs/>
              </w:rPr>
              <w:t>No change</w:t>
            </w:r>
          </w:p>
          <w:p w14:paraId="78EB80C7" w14:textId="77777777" w:rsidR="004D2DD3" w:rsidRPr="00176D37" w:rsidRDefault="004D2DD3" w:rsidP="001053B7">
            <w:pPr>
              <w:pStyle w:val="Tablecolhead"/>
              <w:rPr>
                <w:bCs/>
              </w:rPr>
            </w:pPr>
            <w:r w:rsidRPr="00176D37">
              <w:t>n (%)</w:t>
            </w:r>
          </w:p>
        </w:tc>
        <w:tc>
          <w:tcPr>
            <w:tcW w:w="1531" w:type="dxa"/>
          </w:tcPr>
          <w:p w14:paraId="7DB8508B" w14:textId="77777777" w:rsidR="004D2DD3" w:rsidRPr="00176D37" w:rsidRDefault="004D2DD3" w:rsidP="001053B7">
            <w:pPr>
              <w:pStyle w:val="Tablecolhead"/>
              <w:rPr>
                <w:bCs/>
              </w:rPr>
            </w:pPr>
            <w:r w:rsidRPr="00176D37">
              <w:rPr>
                <w:bCs/>
              </w:rPr>
              <w:t>Unsure</w:t>
            </w:r>
          </w:p>
          <w:p w14:paraId="22F6E740" w14:textId="77777777" w:rsidR="004D2DD3" w:rsidRPr="00176D37" w:rsidRDefault="004D2DD3" w:rsidP="001053B7">
            <w:pPr>
              <w:pStyle w:val="Tablecolhead"/>
              <w:rPr>
                <w:bCs/>
              </w:rPr>
            </w:pPr>
            <w:r w:rsidRPr="00176D37">
              <w:t>n (%)</w:t>
            </w:r>
          </w:p>
        </w:tc>
        <w:tc>
          <w:tcPr>
            <w:tcW w:w="1531" w:type="dxa"/>
          </w:tcPr>
          <w:p w14:paraId="75123460" w14:textId="77777777" w:rsidR="004D2DD3" w:rsidRPr="00176D37" w:rsidRDefault="004D2DD3" w:rsidP="001053B7">
            <w:pPr>
              <w:pStyle w:val="Tablecolhead"/>
              <w:rPr>
                <w:bCs/>
              </w:rPr>
            </w:pPr>
            <w:r w:rsidRPr="00176D37">
              <w:rPr>
                <w:bCs/>
              </w:rPr>
              <w:t>N/A</w:t>
            </w:r>
          </w:p>
          <w:p w14:paraId="56703492" w14:textId="77777777" w:rsidR="004D2DD3" w:rsidRPr="00176D37" w:rsidRDefault="004D2DD3" w:rsidP="001053B7">
            <w:pPr>
              <w:pStyle w:val="Tablecolhead"/>
              <w:rPr>
                <w:bCs/>
              </w:rPr>
            </w:pPr>
            <w:r w:rsidRPr="00176D37">
              <w:t>n (%)</w:t>
            </w:r>
          </w:p>
        </w:tc>
      </w:tr>
      <w:tr w:rsidR="004D2DD3" w:rsidRPr="00176D37" w14:paraId="26F2A004" w14:textId="77777777" w:rsidTr="003529D2">
        <w:tc>
          <w:tcPr>
            <w:tcW w:w="1372" w:type="dxa"/>
          </w:tcPr>
          <w:p w14:paraId="1E71F496" w14:textId="77777777" w:rsidR="004D2DD3" w:rsidRPr="00176D37" w:rsidRDefault="004D2DD3" w:rsidP="004D2DD3">
            <w:pPr>
              <w:pStyle w:val="Tabletext"/>
            </w:pPr>
            <w:r w:rsidRPr="00176D37">
              <w:t>Quality/exec n</w:t>
            </w:r>
            <w:r>
              <w:t xml:space="preserve"> </w:t>
            </w:r>
            <w:r w:rsidRPr="00176D37">
              <w:t>=</w:t>
            </w:r>
            <w:r>
              <w:t xml:space="preserve"> 1</w:t>
            </w:r>
            <w:r w:rsidRPr="00176D37">
              <w:t>9</w:t>
            </w:r>
          </w:p>
        </w:tc>
        <w:tc>
          <w:tcPr>
            <w:tcW w:w="1531" w:type="dxa"/>
          </w:tcPr>
          <w:p w14:paraId="14C0DCE9" w14:textId="13B849B3" w:rsidR="004D2DD3" w:rsidRPr="00176D37" w:rsidRDefault="004D2DD3" w:rsidP="004D2DD3">
            <w:pPr>
              <w:pStyle w:val="Tabletext"/>
              <w:jc w:val="right"/>
            </w:pPr>
            <w:r w:rsidRPr="00176D37">
              <w:t>-</w:t>
            </w:r>
          </w:p>
        </w:tc>
        <w:tc>
          <w:tcPr>
            <w:tcW w:w="1531" w:type="dxa"/>
          </w:tcPr>
          <w:p w14:paraId="45E795E2" w14:textId="55D6B277" w:rsidR="004D2DD3" w:rsidRPr="00176D37" w:rsidRDefault="004D2DD3" w:rsidP="004D2DD3">
            <w:pPr>
              <w:pStyle w:val="Tabletext"/>
              <w:jc w:val="right"/>
            </w:pPr>
            <w:r w:rsidRPr="00176D37">
              <w:t>1 (5%)</w:t>
            </w:r>
          </w:p>
        </w:tc>
        <w:tc>
          <w:tcPr>
            <w:tcW w:w="1531" w:type="dxa"/>
          </w:tcPr>
          <w:p w14:paraId="606DE4A1" w14:textId="3C5DE8D8" w:rsidR="004D2DD3" w:rsidRPr="00176D37" w:rsidRDefault="004D2DD3" w:rsidP="004D2DD3">
            <w:pPr>
              <w:pStyle w:val="Tabletext"/>
              <w:jc w:val="right"/>
            </w:pPr>
            <w:r w:rsidRPr="00176D37">
              <w:t>5 (26%)</w:t>
            </w:r>
          </w:p>
        </w:tc>
        <w:tc>
          <w:tcPr>
            <w:tcW w:w="1531" w:type="dxa"/>
          </w:tcPr>
          <w:p w14:paraId="72E8D30C" w14:textId="01C534CA" w:rsidR="004D2DD3" w:rsidRPr="00176D37" w:rsidRDefault="004D2DD3" w:rsidP="004D2DD3">
            <w:pPr>
              <w:pStyle w:val="Tabletext"/>
              <w:jc w:val="right"/>
            </w:pPr>
            <w:r w:rsidRPr="00176D37">
              <w:t>6 (32%)</w:t>
            </w:r>
          </w:p>
        </w:tc>
        <w:tc>
          <w:tcPr>
            <w:tcW w:w="1531" w:type="dxa"/>
          </w:tcPr>
          <w:p w14:paraId="68F5560A" w14:textId="2394216C" w:rsidR="004D2DD3" w:rsidRPr="00176D37" w:rsidRDefault="004D2DD3" w:rsidP="004D2DD3">
            <w:pPr>
              <w:pStyle w:val="Tabletext"/>
              <w:jc w:val="right"/>
            </w:pPr>
            <w:r w:rsidRPr="00176D37">
              <w:t>7 (37%)</w:t>
            </w:r>
          </w:p>
        </w:tc>
      </w:tr>
      <w:tr w:rsidR="004D2DD3" w:rsidRPr="00176D37" w14:paraId="79AE52C9" w14:textId="77777777" w:rsidTr="003529D2">
        <w:tc>
          <w:tcPr>
            <w:tcW w:w="1372" w:type="dxa"/>
          </w:tcPr>
          <w:p w14:paraId="44F17FE3" w14:textId="77777777" w:rsidR="004D2DD3" w:rsidRPr="00176D37" w:rsidRDefault="004D2DD3" w:rsidP="004D2DD3">
            <w:pPr>
              <w:pStyle w:val="Tabletext"/>
            </w:pPr>
            <w:r w:rsidRPr="00176D37">
              <w:t>Laboratory n</w:t>
            </w:r>
            <w:r>
              <w:t xml:space="preserve"> </w:t>
            </w:r>
            <w:r w:rsidRPr="00176D37">
              <w:t>=</w:t>
            </w:r>
            <w:r>
              <w:t xml:space="preserve"> </w:t>
            </w:r>
            <w:r w:rsidRPr="00176D37">
              <w:t>7</w:t>
            </w:r>
          </w:p>
        </w:tc>
        <w:tc>
          <w:tcPr>
            <w:tcW w:w="1531" w:type="dxa"/>
          </w:tcPr>
          <w:p w14:paraId="7FC3F769" w14:textId="2DA267DA" w:rsidR="004D2DD3" w:rsidRPr="00176D37" w:rsidRDefault="004D2DD3" w:rsidP="004D2DD3">
            <w:pPr>
              <w:pStyle w:val="Tabletext"/>
              <w:jc w:val="right"/>
            </w:pPr>
            <w:r w:rsidRPr="00176D37">
              <w:t>-</w:t>
            </w:r>
          </w:p>
        </w:tc>
        <w:tc>
          <w:tcPr>
            <w:tcW w:w="1531" w:type="dxa"/>
          </w:tcPr>
          <w:p w14:paraId="1BF77015" w14:textId="4F24338A" w:rsidR="004D2DD3" w:rsidRPr="00176D37" w:rsidRDefault="004D2DD3" w:rsidP="004D2DD3">
            <w:pPr>
              <w:pStyle w:val="Tabletext"/>
              <w:jc w:val="right"/>
            </w:pPr>
            <w:r w:rsidRPr="00176D37">
              <w:t>3 (43%)</w:t>
            </w:r>
          </w:p>
        </w:tc>
        <w:tc>
          <w:tcPr>
            <w:tcW w:w="1531" w:type="dxa"/>
          </w:tcPr>
          <w:p w14:paraId="7E938FB2" w14:textId="5E1DAE5B" w:rsidR="004D2DD3" w:rsidRPr="00176D37" w:rsidRDefault="004D2DD3" w:rsidP="004D2DD3">
            <w:pPr>
              <w:pStyle w:val="Tabletext"/>
              <w:jc w:val="right"/>
            </w:pPr>
            <w:r w:rsidRPr="00176D37">
              <w:t>2 (29%)</w:t>
            </w:r>
          </w:p>
        </w:tc>
        <w:tc>
          <w:tcPr>
            <w:tcW w:w="1531" w:type="dxa"/>
          </w:tcPr>
          <w:p w14:paraId="7DFC9719" w14:textId="04A63FF6" w:rsidR="004D2DD3" w:rsidRPr="00176D37" w:rsidRDefault="004D2DD3" w:rsidP="004D2DD3">
            <w:pPr>
              <w:pStyle w:val="Tabletext"/>
              <w:jc w:val="right"/>
            </w:pPr>
            <w:r w:rsidRPr="00176D37">
              <w:t>1 (14%)</w:t>
            </w:r>
          </w:p>
        </w:tc>
        <w:tc>
          <w:tcPr>
            <w:tcW w:w="1531" w:type="dxa"/>
          </w:tcPr>
          <w:p w14:paraId="5E3D889A" w14:textId="15D44088" w:rsidR="004D2DD3" w:rsidRPr="00176D37" w:rsidRDefault="004D2DD3" w:rsidP="004D2DD3">
            <w:pPr>
              <w:pStyle w:val="Tabletext"/>
              <w:jc w:val="right"/>
            </w:pPr>
            <w:r w:rsidRPr="00176D37">
              <w:t>1 (14%)</w:t>
            </w:r>
          </w:p>
        </w:tc>
      </w:tr>
    </w:tbl>
    <w:p w14:paraId="07F2A374" w14:textId="77777777" w:rsidR="00B73AB7" w:rsidRDefault="00B73AB7" w:rsidP="004D2DD3">
      <w:pPr>
        <w:pStyle w:val="Bodyaftertablefigure"/>
      </w:pPr>
    </w:p>
    <w:p w14:paraId="23374DAB" w14:textId="153406B9" w:rsidR="004D2DD3" w:rsidRDefault="004D2DD3" w:rsidP="004D2DD3">
      <w:pPr>
        <w:pStyle w:val="Bodyaftertablefigure"/>
      </w:pPr>
      <w:r w:rsidRPr="00176D37">
        <w:lastRenderedPageBreak/>
        <w:t>No request form received with specimen</w:t>
      </w:r>
    </w:p>
    <w:tbl>
      <w:tblPr>
        <w:tblStyle w:val="TableGrid"/>
        <w:tblW w:w="0" w:type="auto"/>
        <w:tblLook w:val="04A0" w:firstRow="1" w:lastRow="0" w:firstColumn="1" w:lastColumn="0" w:noHBand="0" w:noVBand="1"/>
      </w:tblPr>
      <w:tblGrid>
        <w:gridCol w:w="1372"/>
        <w:gridCol w:w="1531"/>
        <w:gridCol w:w="1531"/>
        <w:gridCol w:w="1531"/>
        <w:gridCol w:w="1531"/>
        <w:gridCol w:w="1531"/>
      </w:tblGrid>
      <w:tr w:rsidR="004D2DD3" w:rsidRPr="00176D37" w14:paraId="5F3D4438" w14:textId="77777777" w:rsidTr="003529D2">
        <w:tc>
          <w:tcPr>
            <w:tcW w:w="1372" w:type="dxa"/>
          </w:tcPr>
          <w:p w14:paraId="59E2A1B0" w14:textId="77777777" w:rsidR="004D2DD3" w:rsidRPr="00176D37" w:rsidRDefault="004D2DD3" w:rsidP="001053B7">
            <w:pPr>
              <w:pStyle w:val="Tablecolhead"/>
            </w:pPr>
            <w:r>
              <w:t>Quality or laboratory</w:t>
            </w:r>
          </w:p>
        </w:tc>
        <w:tc>
          <w:tcPr>
            <w:tcW w:w="1531" w:type="dxa"/>
          </w:tcPr>
          <w:p w14:paraId="6661C011" w14:textId="77777777" w:rsidR="004D2DD3" w:rsidRPr="00176D37" w:rsidRDefault="004D2DD3" w:rsidP="001053B7">
            <w:pPr>
              <w:pStyle w:val="Tablecolhead"/>
              <w:rPr>
                <w:bCs/>
              </w:rPr>
            </w:pPr>
            <w:r w:rsidRPr="00176D37">
              <w:rPr>
                <w:bCs/>
              </w:rPr>
              <w:t>Decreased</w:t>
            </w:r>
          </w:p>
          <w:p w14:paraId="4F1231EE" w14:textId="77777777" w:rsidR="004D2DD3" w:rsidRPr="00176D37" w:rsidRDefault="004D2DD3" w:rsidP="001053B7">
            <w:pPr>
              <w:pStyle w:val="Tablecolhead"/>
            </w:pPr>
            <w:r w:rsidRPr="00176D37">
              <w:t>n (%)</w:t>
            </w:r>
          </w:p>
        </w:tc>
        <w:tc>
          <w:tcPr>
            <w:tcW w:w="1531" w:type="dxa"/>
          </w:tcPr>
          <w:p w14:paraId="08124491" w14:textId="77777777" w:rsidR="004D2DD3" w:rsidRPr="00176D37" w:rsidRDefault="004D2DD3" w:rsidP="001053B7">
            <w:pPr>
              <w:pStyle w:val="Tablecolhead"/>
              <w:rPr>
                <w:bCs/>
              </w:rPr>
            </w:pPr>
            <w:r w:rsidRPr="00176D37">
              <w:rPr>
                <w:bCs/>
              </w:rPr>
              <w:t>Increased</w:t>
            </w:r>
          </w:p>
          <w:p w14:paraId="3FDD1EA1" w14:textId="77777777" w:rsidR="004D2DD3" w:rsidRPr="00176D37" w:rsidRDefault="004D2DD3" w:rsidP="001053B7">
            <w:pPr>
              <w:pStyle w:val="Tablecolhead"/>
              <w:rPr>
                <w:bCs/>
              </w:rPr>
            </w:pPr>
            <w:r w:rsidRPr="00176D37">
              <w:t>n (%)</w:t>
            </w:r>
          </w:p>
        </w:tc>
        <w:tc>
          <w:tcPr>
            <w:tcW w:w="1531" w:type="dxa"/>
          </w:tcPr>
          <w:p w14:paraId="20ECE9EC" w14:textId="77777777" w:rsidR="004D2DD3" w:rsidRPr="00176D37" w:rsidRDefault="004D2DD3" w:rsidP="001053B7">
            <w:pPr>
              <w:pStyle w:val="Tablecolhead"/>
              <w:rPr>
                <w:bCs/>
              </w:rPr>
            </w:pPr>
            <w:r w:rsidRPr="00176D37">
              <w:rPr>
                <w:bCs/>
              </w:rPr>
              <w:t>No change</w:t>
            </w:r>
          </w:p>
          <w:p w14:paraId="3BD6B7A2" w14:textId="77777777" w:rsidR="004D2DD3" w:rsidRPr="00176D37" w:rsidRDefault="004D2DD3" w:rsidP="001053B7">
            <w:pPr>
              <w:pStyle w:val="Tablecolhead"/>
              <w:rPr>
                <w:bCs/>
              </w:rPr>
            </w:pPr>
            <w:r w:rsidRPr="00176D37">
              <w:t>n (%)</w:t>
            </w:r>
          </w:p>
        </w:tc>
        <w:tc>
          <w:tcPr>
            <w:tcW w:w="1531" w:type="dxa"/>
          </w:tcPr>
          <w:p w14:paraId="374FA4D5" w14:textId="77777777" w:rsidR="004D2DD3" w:rsidRPr="00176D37" w:rsidRDefault="004D2DD3" w:rsidP="001053B7">
            <w:pPr>
              <w:pStyle w:val="Tablecolhead"/>
              <w:rPr>
                <w:bCs/>
              </w:rPr>
            </w:pPr>
            <w:r w:rsidRPr="00176D37">
              <w:rPr>
                <w:bCs/>
              </w:rPr>
              <w:t>Unsure</w:t>
            </w:r>
          </w:p>
          <w:p w14:paraId="05735733" w14:textId="77777777" w:rsidR="004D2DD3" w:rsidRPr="00176D37" w:rsidRDefault="004D2DD3" w:rsidP="001053B7">
            <w:pPr>
              <w:pStyle w:val="Tablecolhead"/>
              <w:rPr>
                <w:bCs/>
              </w:rPr>
            </w:pPr>
            <w:r w:rsidRPr="00176D37">
              <w:t>n (%)</w:t>
            </w:r>
          </w:p>
        </w:tc>
        <w:tc>
          <w:tcPr>
            <w:tcW w:w="1531" w:type="dxa"/>
          </w:tcPr>
          <w:p w14:paraId="34E4EE82" w14:textId="77777777" w:rsidR="004D2DD3" w:rsidRPr="00176D37" w:rsidRDefault="004D2DD3" w:rsidP="001053B7">
            <w:pPr>
              <w:pStyle w:val="Tablecolhead"/>
              <w:rPr>
                <w:bCs/>
              </w:rPr>
            </w:pPr>
            <w:r w:rsidRPr="00176D37">
              <w:rPr>
                <w:bCs/>
              </w:rPr>
              <w:t>N/A</w:t>
            </w:r>
          </w:p>
          <w:p w14:paraId="4D9EC6CB" w14:textId="77777777" w:rsidR="004D2DD3" w:rsidRPr="00176D37" w:rsidRDefault="004D2DD3" w:rsidP="001053B7">
            <w:pPr>
              <w:pStyle w:val="Tablecolhead"/>
              <w:rPr>
                <w:bCs/>
              </w:rPr>
            </w:pPr>
            <w:r w:rsidRPr="00176D37">
              <w:t>n (%)</w:t>
            </w:r>
          </w:p>
        </w:tc>
      </w:tr>
      <w:tr w:rsidR="004D2DD3" w:rsidRPr="00176D37" w14:paraId="63BF1187" w14:textId="77777777" w:rsidTr="003529D2">
        <w:tc>
          <w:tcPr>
            <w:tcW w:w="1372" w:type="dxa"/>
          </w:tcPr>
          <w:p w14:paraId="4C6EF674" w14:textId="77777777" w:rsidR="004D2DD3" w:rsidRPr="00176D37" w:rsidRDefault="004D2DD3" w:rsidP="004D2DD3">
            <w:pPr>
              <w:pStyle w:val="Tabletext"/>
            </w:pPr>
            <w:r w:rsidRPr="00176D37">
              <w:t>Quality/exec n</w:t>
            </w:r>
            <w:r>
              <w:t xml:space="preserve"> </w:t>
            </w:r>
            <w:r w:rsidRPr="00176D37">
              <w:t>=</w:t>
            </w:r>
            <w:r>
              <w:t xml:space="preserve"> 1</w:t>
            </w:r>
            <w:r w:rsidRPr="00176D37">
              <w:t>9</w:t>
            </w:r>
          </w:p>
        </w:tc>
        <w:tc>
          <w:tcPr>
            <w:tcW w:w="1531" w:type="dxa"/>
          </w:tcPr>
          <w:p w14:paraId="57F19F60" w14:textId="029A6312" w:rsidR="004D2DD3" w:rsidRPr="00176D37" w:rsidRDefault="004D2DD3" w:rsidP="004D2DD3">
            <w:pPr>
              <w:pStyle w:val="Tabletext"/>
              <w:jc w:val="right"/>
            </w:pPr>
            <w:r w:rsidRPr="00176D37">
              <w:t>1 (5%)</w:t>
            </w:r>
          </w:p>
        </w:tc>
        <w:tc>
          <w:tcPr>
            <w:tcW w:w="1531" w:type="dxa"/>
          </w:tcPr>
          <w:p w14:paraId="6B7BFA8B" w14:textId="1B2F5E9B" w:rsidR="004D2DD3" w:rsidRPr="00176D37" w:rsidRDefault="004D2DD3" w:rsidP="004D2DD3">
            <w:pPr>
              <w:pStyle w:val="Tabletext"/>
              <w:jc w:val="right"/>
            </w:pPr>
            <w:r w:rsidRPr="00176D37">
              <w:t>2 (11%)</w:t>
            </w:r>
          </w:p>
        </w:tc>
        <w:tc>
          <w:tcPr>
            <w:tcW w:w="1531" w:type="dxa"/>
          </w:tcPr>
          <w:p w14:paraId="0E478A14" w14:textId="40A6448D" w:rsidR="004D2DD3" w:rsidRPr="00176D37" w:rsidRDefault="004D2DD3" w:rsidP="004D2DD3">
            <w:pPr>
              <w:pStyle w:val="Tabletext"/>
              <w:jc w:val="right"/>
            </w:pPr>
            <w:r w:rsidRPr="00176D37">
              <w:t>3 (16%)</w:t>
            </w:r>
          </w:p>
        </w:tc>
        <w:tc>
          <w:tcPr>
            <w:tcW w:w="1531" w:type="dxa"/>
          </w:tcPr>
          <w:p w14:paraId="6988E42D" w14:textId="40ED1B8A" w:rsidR="004D2DD3" w:rsidRPr="00176D37" w:rsidRDefault="004D2DD3" w:rsidP="004D2DD3">
            <w:pPr>
              <w:pStyle w:val="Tabletext"/>
              <w:jc w:val="right"/>
            </w:pPr>
            <w:r w:rsidRPr="00176D37">
              <w:t>6 (32%)</w:t>
            </w:r>
          </w:p>
        </w:tc>
        <w:tc>
          <w:tcPr>
            <w:tcW w:w="1531" w:type="dxa"/>
          </w:tcPr>
          <w:p w14:paraId="43A6740E" w14:textId="1B6C8CAD" w:rsidR="004D2DD3" w:rsidRPr="00176D37" w:rsidRDefault="004D2DD3" w:rsidP="004D2DD3">
            <w:pPr>
              <w:pStyle w:val="Tabletext"/>
              <w:jc w:val="right"/>
            </w:pPr>
            <w:r w:rsidRPr="00176D37">
              <w:t>7 (37%)</w:t>
            </w:r>
          </w:p>
        </w:tc>
      </w:tr>
      <w:tr w:rsidR="004D2DD3" w:rsidRPr="00176D37" w14:paraId="4FC78F75" w14:textId="77777777" w:rsidTr="003529D2">
        <w:tc>
          <w:tcPr>
            <w:tcW w:w="1372" w:type="dxa"/>
          </w:tcPr>
          <w:p w14:paraId="34105D15" w14:textId="77777777" w:rsidR="004D2DD3" w:rsidRPr="00176D37" w:rsidRDefault="004D2DD3" w:rsidP="004D2DD3">
            <w:pPr>
              <w:pStyle w:val="Tabletext"/>
            </w:pPr>
            <w:r w:rsidRPr="00176D37">
              <w:t>Laboratory n</w:t>
            </w:r>
            <w:r>
              <w:t xml:space="preserve"> </w:t>
            </w:r>
            <w:r w:rsidRPr="00176D37">
              <w:t>=</w:t>
            </w:r>
            <w:r>
              <w:t xml:space="preserve"> </w:t>
            </w:r>
            <w:r w:rsidRPr="00176D37">
              <w:t>7</w:t>
            </w:r>
          </w:p>
        </w:tc>
        <w:tc>
          <w:tcPr>
            <w:tcW w:w="1531" w:type="dxa"/>
          </w:tcPr>
          <w:p w14:paraId="72CFBDD3" w14:textId="55D012CB" w:rsidR="004D2DD3" w:rsidRPr="00176D37" w:rsidRDefault="004D2DD3" w:rsidP="004D2DD3">
            <w:pPr>
              <w:pStyle w:val="Tabletext"/>
              <w:jc w:val="right"/>
            </w:pPr>
            <w:r w:rsidRPr="00176D37">
              <w:t>1 (14%)</w:t>
            </w:r>
          </w:p>
        </w:tc>
        <w:tc>
          <w:tcPr>
            <w:tcW w:w="1531" w:type="dxa"/>
          </w:tcPr>
          <w:p w14:paraId="26B247A2" w14:textId="54D7FB99" w:rsidR="004D2DD3" w:rsidRPr="00176D37" w:rsidRDefault="004D2DD3" w:rsidP="004D2DD3">
            <w:pPr>
              <w:pStyle w:val="Tabletext"/>
              <w:jc w:val="right"/>
            </w:pPr>
            <w:r w:rsidRPr="00176D37">
              <w:t>4 (57%)</w:t>
            </w:r>
          </w:p>
        </w:tc>
        <w:tc>
          <w:tcPr>
            <w:tcW w:w="1531" w:type="dxa"/>
          </w:tcPr>
          <w:p w14:paraId="2072CE9F" w14:textId="201BA14B" w:rsidR="004D2DD3" w:rsidRPr="00176D37" w:rsidRDefault="004D2DD3" w:rsidP="004D2DD3">
            <w:pPr>
              <w:pStyle w:val="Tabletext"/>
              <w:jc w:val="right"/>
            </w:pPr>
            <w:r w:rsidRPr="00176D37">
              <w:t>1 (14%)</w:t>
            </w:r>
          </w:p>
        </w:tc>
        <w:tc>
          <w:tcPr>
            <w:tcW w:w="1531" w:type="dxa"/>
          </w:tcPr>
          <w:p w14:paraId="6F6D6926" w14:textId="3D480A04" w:rsidR="004D2DD3" w:rsidRPr="00176D37" w:rsidRDefault="004D2DD3" w:rsidP="004D2DD3">
            <w:pPr>
              <w:pStyle w:val="Tabletext"/>
              <w:jc w:val="right"/>
            </w:pPr>
            <w:r w:rsidRPr="00176D37">
              <w:t>-</w:t>
            </w:r>
          </w:p>
        </w:tc>
        <w:tc>
          <w:tcPr>
            <w:tcW w:w="1531" w:type="dxa"/>
          </w:tcPr>
          <w:p w14:paraId="5367CA45" w14:textId="2E2490C5" w:rsidR="004D2DD3" w:rsidRPr="00176D37" w:rsidRDefault="004D2DD3" w:rsidP="004D2DD3">
            <w:pPr>
              <w:pStyle w:val="Tabletext"/>
              <w:jc w:val="right"/>
            </w:pPr>
            <w:r w:rsidRPr="00176D37">
              <w:t>1 (14%)</w:t>
            </w:r>
          </w:p>
        </w:tc>
      </w:tr>
    </w:tbl>
    <w:p w14:paraId="1745164C" w14:textId="6FA34CC0" w:rsidR="004D2DD3" w:rsidRPr="004D2DD3" w:rsidRDefault="004D2DD3" w:rsidP="009742AB">
      <w:pPr>
        <w:pStyle w:val="Bodyaftertablefigure"/>
      </w:pPr>
      <w:r w:rsidRPr="00176D37">
        <w:t>Specimens from more than one patient sent in a single biohazard bag</w:t>
      </w:r>
    </w:p>
    <w:tbl>
      <w:tblPr>
        <w:tblStyle w:val="TableGrid"/>
        <w:tblW w:w="0" w:type="auto"/>
        <w:tblLook w:val="04A0" w:firstRow="1" w:lastRow="0" w:firstColumn="1" w:lastColumn="0" w:noHBand="0" w:noVBand="1"/>
      </w:tblPr>
      <w:tblGrid>
        <w:gridCol w:w="1372"/>
        <w:gridCol w:w="1531"/>
        <w:gridCol w:w="1531"/>
        <w:gridCol w:w="1531"/>
        <w:gridCol w:w="1531"/>
        <w:gridCol w:w="1531"/>
      </w:tblGrid>
      <w:tr w:rsidR="004D2DD3" w:rsidRPr="00176D37" w14:paraId="4E6A0D67" w14:textId="77777777" w:rsidTr="003529D2">
        <w:tc>
          <w:tcPr>
            <w:tcW w:w="1372" w:type="dxa"/>
          </w:tcPr>
          <w:p w14:paraId="355B59E5" w14:textId="77777777" w:rsidR="004D2DD3" w:rsidRPr="00176D37" w:rsidRDefault="004D2DD3" w:rsidP="001053B7">
            <w:pPr>
              <w:pStyle w:val="Tablecolhead"/>
            </w:pPr>
            <w:r>
              <w:t>Quality or laboratory</w:t>
            </w:r>
          </w:p>
        </w:tc>
        <w:tc>
          <w:tcPr>
            <w:tcW w:w="1531" w:type="dxa"/>
          </w:tcPr>
          <w:p w14:paraId="0C94746C" w14:textId="77777777" w:rsidR="004D2DD3" w:rsidRPr="00176D37" w:rsidRDefault="004D2DD3" w:rsidP="001053B7">
            <w:pPr>
              <w:pStyle w:val="Tablecolhead"/>
              <w:rPr>
                <w:bCs/>
              </w:rPr>
            </w:pPr>
            <w:r w:rsidRPr="00176D37">
              <w:rPr>
                <w:bCs/>
              </w:rPr>
              <w:t>Decreased</w:t>
            </w:r>
          </w:p>
          <w:p w14:paraId="3642F8A0" w14:textId="77777777" w:rsidR="004D2DD3" w:rsidRPr="00176D37" w:rsidRDefault="004D2DD3" w:rsidP="001053B7">
            <w:pPr>
              <w:pStyle w:val="Tablecolhead"/>
            </w:pPr>
            <w:r w:rsidRPr="00176D37">
              <w:t>n (%)</w:t>
            </w:r>
          </w:p>
        </w:tc>
        <w:tc>
          <w:tcPr>
            <w:tcW w:w="1531" w:type="dxa"/>
          </w:tcPr>
          <w:p w14:paraId="4248DE1A" w14:textId="77777777" w:rsidR="004D2DD3" w:rsidRPr="00176D37" w:rsidRDefault="004D2DD3" w:rsidP="001053B7">
            <w:pPr>
              <w:pStyle w:val="Tablecolhead"/>
              <w:rPr>
                <w:bCs/>
              </w:rPr>
            </w:pPr>
            <w:r w:rsidRPr="00176D37">
              <w:rPr>
                <w:bCs/>
              </w:rPr>
              <w:t>Increased</w:t>
            </w:r>
          </w:p>
          <w:p w14:paraId="007D6C55" w14:textId="77777777" w:rsidR="004D2DD3" w:rsidRPr="00176D37" w:rsidRDefault="004D2DD3" w:rsidP="001053B7">
            <w:pPr>
              <w:pStyle w:val="Tablecolhead"/>
              <w:rPr>
                <w:bCs/>
              </w:rPr>
            </w:pPr>
            <w:r w:rsidRPr="00176D37">
              <w:t>n (%)</w:t>
            </w:r>
          </w:p>
        </w:tc>
        <w:tc>
          <w:tcPr>
            <w:tcW w:w="1531" w:type="dxa"/>
          </w:tcPr>
          <w:p w14:paraId="66B1A708" w14:textId="77777777" w:rsidR="004D2DD3" w:rsidRPr="00176D37" w:rsidRDefault="004D2DD3" w:rsidP="001053B7">
            <w:pPr>
              <w:pStyle w:val="Tablecolhead"/>
              <w:rPr>
                <w:bCs/>
              </w:rPr>
            </w:pPr>
            <w:r w:rsidRPr="00176D37">
              <w:rPr>
                <w:bCs/>
              </w:rPr>
              <w:t>No change</w:t>
            </w:r>
          </w:p>
          <w:p w14:paraId="4861D9EA" w14:textId="77777777" w:rsidR="004D2DD3" w:rsidRPr="00176D37" w:rsidRDefault="004D2DD3" w:rsidP="001053B7">
            <w:pPr>
              <w:pStyle w:val="Tablecolhead"/>
              <w:rPr>
                <w:bCs/>
              </w:rPr>
            </w:pPr>
            <w:r w:rsidRPr="00176D37">
              <w:t>n (%)</w:t>
            </w:r>
          </w:p>
        </w:tc>
        <w:tc>
          <w:tcPr>
            <w:tcW w:w="1531" w:type="dxa"/>
          </w:tcPr>
          <w:p w14:paraId="6CF1BC8C" w14:textId="77777777" w:rsidR="004D2DD3" w:rsidRPr="00176D37" w:rsidRDefault="004D2DD3" w:rsidP="001053B7">
            <w:pPr>
              <w:pStyle w:val="Tablecolhead"/>
              <w:rPr>
                <w:bCs/>
              </w:rPr>
            </w:pPr>
            <w:r w:rsidRPr="00176D37">
              <w:rPr>
                <w:bCs/>
              </w:rPr>
              <w:t>Unsure</w:t>
            </w:r>
          </w:p>
          <w:p w14:paraId="10DB3F33" w14:textId="77777777" w:rsidR="004D2DD3" w:rsidRPr="00176D37" w:rsidRDefault="004D2DD3" w:rsidP="001053B7">
            <w:pPr>
              <w:pStyle w:val="Tablecolhead"/>
              <w:rPr>
                <w:bCs/>
              </w:rPr>
            </w:pPr>
            <w:r w:rsidRPr="00176D37">
              <w:t>n (%)</w:t>
            </w:r>
          </w:p>
        </w:tc>
        <w:tc>
          <w:tcPr>
            <w:tcW w:w="1531" w:type="dxa"/>
          </w:tcPr>
          <w:p w14:paraId="46143037" w14:textId="77777777" w:rsidR="004D2DD3" w:rsidRPr="00176D37" w:rsidRDefault="004D2DD3" w:rsidP="001053B7">
            <w:pPr>
              <w:pStyle w:val="Tablecolhead"/>
              <w:rPr>
                <w:bCs/>
              </w:rPr>
            </w:pPr>
            <w:r w:rsidRPr="00176D37">
              <w:rPr>
                <w:bCs/>
              </w:rPr>
              <w:t>N/A</w:t>
            </w:r>
          </w:p>
          <w:p w14:paraId="0F8A79A9" w14:textId="77777777" w:rsidR="004D2DD3" w:rsidRPr="00176D37" w:rsidRDefault="004D2DD3" w:rsidP="001053B7">
            <w:pPr>
              <w:pStyle w:val="Tablecolhead"/>
              <w:rPr>
                <w:bCs/>
              </w:rPr>
            </w:pPr>
            <w:r w:rsidRPr="00176D37">
              <w:t>n (%)</w:t>
            </w:r>
          </w:p>
        </w:tc>
      </w:tr>
      <w:tr w:rsidR="004D2DD3" w:rsidRPr="00176D37" w14:paraId="402FB7B5" w14:textId="77777777" w:rsidTr="003529D2">
        <w:tc>
          <w:tcPr>
            <w:tcW w:w="1372" w:type="dxa"/>
          </w:tcPr>
          <w:p w14:paraId="55910D6C" w14:textId="77777777" w:rsidR="004D2DD3" w:rsidRPr="00176D37" w:rsidRDefault="004D2DD3" w:rsidP="004D2DD3">
            <w:pPr>
              <w:pStyle w:val="Tabletext"/>
            </w:pPr>
            <w:r w:rsidRPr="00176D37">
              <w:t>Quality/exec n</w:t>
            </w:r>
            <w:r>
              <w:t xml:space="preserve"> </w:t>
            </w:r>
            <w:r w:rsidRPr="00176D37">
              <w:t>=</w:t>
            </w:r>
            <w:r>
              <w:t xml:space="preserve"> 1</w:t>
            </w:r>
            <w:r w:rsidRPr="00176D37">
              <w:t>9</w:t>
            </w:r>
          </w:p>
        </w:tc>
        <w:tc>
          <w:tcPr>
            <w:tcW w:w="1531" w:type="dxa"/>
          </w:tcPr>
          <w:p w14:paraId="38BCBC61" w14:textId="6B165A41" w:rsidR="004D2DD3" w:rsidRPr="00176D37" w:rsidRDefault="004D2DD3" w:rsidP="004D2DD3">
            <w:pPr>
              <w:pStyle w:val="Tabletext"/>
              <w:jc w:val="right"/>
            </w:pPr>
            <w:r w:rsidRPr="00176D37">
              <w:t>-</w:t>
            </w:r>
          </w:p>
        </w:tc>
        <w:tc>
          <w:tcPr>
            <w:tcW w:w="1531" w:type="dxa"/>
          </w:tcPr>
          <w:p w14:paraId="3B93AE67" w14:textId="0C508420" w:rsidR="004D2DD3" w:rsidRPr="00176D37" w:rsidRDefault="004D2DD3" w:rsidP="004D2DD3">
            <w:pPr>
              <w:pStyle w:val="Tabletext"/>
              <w:jc w:val="right"/>
            </w:pPr>
            <w:r w:rsidRPr="00176D37">
              <w:t>-</w:t>
            </w:r>
          </w:p>
        </w:tc>
        <w:tc>
          <w:tcPr>
            <w:tcW w:w="1531" w:type="dxa"/>
          </w:tcPr>
          <w:p w14:paraId="2B96851A" w14:textId="23E8877D" w:rsidR="004D2DD3" w:rsidRPr="00176D37" w:rsidRDefault="004D2DD3" w:rsidP="004D2DD3">
            <w:pPr>
              <w:pStyle w:val="Tabletext"/>
              <w:jc w:val="right"/>
            </w:pPr>
            <w:r w:rsidRPr="00176D37">
              <w:t>5 (26%)</w:t>
            </w:r>
          </w:p>
        </w:tc>
        <w:tc>
          <w:tcPr>
            <w:tcW w:w="1531" w:type="dxa"/>
          </w:tcPr>
          <w:p w14:paraId="487D0E90" w14:textId="37419E98" w:rsidR="004D2DD3" w:rsidRPr="00176D37" w:rsidRDefault="004D2DD3" w:rsidP="004D2DD3">
            <w:pPr>
              <w:pStyle w:val="Tabletext"/>
              <w:jc w:val="right"/>
            </w:pPr>
            <w:r w:rsidRPr="00176D37">
              <w:t>7 (37%)</w:t>
            </w:r>
          </w:p>
        </w:tc>
        <w:tc>
          <w:tcPr>
            <w:tcW w:w="1531" w:type="dxa"/>
          </w:tcPr>
          <w:p w14:paraId="00A4752C" w14:textId="46D5C0E4" w:rsidR="004D2DD3" w:rsidRPr="00176D37" w:rsidRDefault="004D2DD3" w:rsidP="004D2DD3">
            <w:pPr>
              <w:pStyle w:val="Tabletext"/>
              <w:jc w:val="right"/>
            </w:pPr>
            <w:r w:rsidRPr="00176D37">
              <w:t>7 (37%)</w:t>
            </w:r>
          </w:p>
        </w:tc>
      </w:tr>
      <w:tr w:rsidR="004D2DD3" w:rsidRPr="00176D37" w14:paraId="6BC7F42E" w14:textId="77777777" w:rsidTr="003529D2">
        <w:tc>
          <w:tcPr>
            <w:tcW w:w="1372" w:type="dxa"/>
          </w:tcPr>
          <w:p w14:paraId="01A7605E" w14:textId="77777777" w:rsidR="004D2DD3" w:rsidRPr="00176D37" w:rsidRDefault="004D2DD3" w:rsidP="004D2DD3">
            <w:pPr>
              <w:pStyle w:val="Tabletext"/>
            </w:pPr>
            <w:r w:rsidRPr="00176D37">
              <w:t>Laboratory n</w:t>
            </w:r>
            <w:r>
              <w:t xml:space="preserve"> </w:t>
            </w:r>
            <w:r w:rsidRPr="00176D37">
              <w:t>=</w:t>
            </w:r>
            <w:r>
              <w:t xml:space="preserve"> </w:t>
            </w:r>
            <w:r w:rsidRPr="00176D37">
              <w:t>7</w:t>
            </w:r>
          </w:p>
        </w:tc>
        <w:tc>
          <w:tcPr>
            <w:tcW w:w="1531" w:type="dxa"/>
          </w:tcPr>
          <w:p w14:paraId="0D28AB47" w14:textId="20CE7829" w:rsidR="004D2DD3" w:rsidRPr="00176D37" w:rsidRDefault="004D2DD3" w:rsidP="004D2DD3">
            <w:pPr>
              <w:pStyle w:val="Tabletext"/>
              <w:jc w:val="right"/>
            </w:pPr>
            <w:r w:rsidRPr="00176D37">
              <w:t>-</w:t>
            </w:r>
          </w:p>
        </w:tc>
        <w:tc>
          <w:tcPr>
            <w:tcW w:w="1531" w:type="dxa"/>
          </w:tcPr>
          <w:p w14:paraId="6C3F6DF3" w14:textId="771C2E25" w:rsidR="004D2DD3" w:rsidRPr="00176D37" w:rsidRDefault="004D2DD3" w:rsidP="004D2DD3">
            <w:pPr>
              <w:pStyle w:val="Tabletext"/>
              <w:jc w:val="right"/>
            </w:pPr>
            <w:r w:rsidRPr="00176D37">
              <w:t>1 (14%)</w:t>
            </w:r>
          </w:p>
        </w:tc>
        <w:tc>
          <w:tcPr>
            <w:tcW w:w="1531" w:type="dxa"/>
          </w:tcPr>
          <w:p w14:paraId="586A0098" w14:textId="54B17EAC" w:rsidR="004D2DD3" w:rsidRPr="00176D37" w:rsidRDefault="004D2DD3" w:rsidP="004D2DD3">
            <w:pPr>
              <w:pStyle w:val="Tabletext"/>
              <w:jc w:val="right"/>
            </w:pPr>
            <w:r w:rsidRPr="00176D37">
              <w:t>3 (43%)</w:t>
            </w:r>
          </w:p>
        </w:tc>
        <w:tc>
          <w:tcPr>
            <w:tcW w:w="1531" w:type="dxa"/>
          </w:tcPr>
          <w:p w14:paraId="75A5AC72" w14:textId="41BE933E" w:rsidR="004D2DD3" w:rsidRPr="00176D37" w:rsidRDefault="004D2DD3" w:rsidP="004D2DD3">
            <w:pPr>
              <w:pStyle w:val="Tabletext"/>
              <w:jc w:val="right"/>
            </w:pPr>
            <w:r w:rsidRPr="00176D37">
              <w:t>2 (29%)</w:t>
            </w:r>
          </w:p>
        </w:tc>
        <w:tc>
          <w:tcPr>
            <w:tcW w:w="1531" w:type="dxa"/>
          </w:tcPr>
          <w:p w14:paraId="6FD57A76" w14:textId="3B135009" w:rsidR="004D2DD3" w:rsidRPr="00176D37" w:rsidRDefault="004D2DD3" w:rsidP="004D2DD3">
            <w:pPr>
              <w:pStyle w:val="Tabletext"/>
              <w:jc w:val="right"/>
            </w:pPr>
            <w:r w:rsidRPr="00176D37">
              <w:t>1 (14%)</w:t>
            </w:r>
          </w:p>
        </w:tc>
      </w:tr>
    </w:tbl>
    <w:p w14:paraId="507CEC18" w14:textId="77777777" w:rsidR="00E9700E" w:rsidRPr="00073A4F" w:rsidRDefault="00E9700E" w:rsidP="00073A4F">
      <w:pPr>
        <w:pStyle w:val="Heading3"/>
      </w:pPr>
      <w:bookmarkStart w:id="372" w:name="_Toc101285712"/>
      <w:bookmarkStart w:id="373" w:name="_Toc101947734"/>
      <w:r w:rsidRPr="00073A4F">
        <w:t>Changes to pretransfusion patient identification and product safety checks</w:t>
      </w:r>
      <w:bookmarkEnd w:id="372"/>
      <w:bookmarkEnd w:id="373"/>
    </w:p>
    <w:p w14:paraId="637A24D1" w14:textId="5AF4BD8C" w:rsidR="00E9700E" w:rsidRPr="00176D37" w:rsidRDefault="00E9700E" w:rsidP="00073A4F">
      <w:pPr>
        <w:pStyle w:val="Body"/>
      </w:pPr>
      <w:r w:rsidRPr="00176D37">
        <w:t>Quality respondents (n = 20) with an EMR were asked if there has been a change in the pretransfusion patient ID and product safety checks since implementing the EMR, with the majority remaining unchanged (</w:t>
      </w:r>
      <w:r w:rsidRPr="00176D37">
        <w:fldChar w:fldCharType="begin"/>
      </w:r>
      <w:r w:rsidRPr="00176D37">
        <w:instrText xml:space="preserve"> REF _Ref100679445 \h  \* MERGEFORMAT </w:instrText>
      </w:r>
      <w:r w:rsidRPr="00176D37">
        <w:fldChar w:fldCharType="separate"/>
      </w:r>
      <w:r w:rsidR="00E73E2F" w:rsidRPr="00176D37">
        <w:t xml:space="preserve">Table </w:t>
      </w:r>
      <w:r w:rsidR="00E73E2F">
        <w:rPr>
          <w:noProof/>
        </w:rPr>
        <w:t>42</w:t>
      </w:r>
      <w:r w:rsidRPr="00176D37">
        <w:fldChar w:fldCharType="end"/>
      </w:r>
      <w:r w:rsidRPr="00176D37">
        <w:t xml:space="preserve">). </w:t>
      </w:r>
    </w:p>
    <w:p w14:paraId="5FE3466F" w14:textId="40E490DE" w:rsidR="00E9700E" w:rsidRPr="00176D37" w:rsidRDefault="00E9700E" w:rsidP="00073A4F">
      <w:pPr>
        <w:pStyle w:val="Tablecaption"/>
      </w:pPr>
      <w:bookmarkStart w:id="374" w:name="_Ref100679445"/>
      <w:r w:rsidRPr="00176D37">
        <w:t xml:space="preserve">Table </w:t>
      </w:r>
      <w:r w:rsidR="00F751A0">
        <w:fldChar w:fldCharType="begin"/>
      </w:r>
      <w:r w:rsidR="00F751A0">
        <w:instrText xml:space="preserve"> SEQ Table \* ARABIC </w:instrText>
      </w:r>
      <w:r w:rsidR="00F751A0">
        <w:fldChar w:fldCharType="separate"/>
      </w:r>
      <w:r w:rsidR="00E73E2F">
        <w:rPr>
          <w:noProof/>
        </w:rPr>
        <w:t>42</w:t>
      </w:r>
      <w:r w:rsidR="00F751A0">
        <w:rPr>
          <w:noProof/>
        </w:rPr>
        <w:fldChar w:fldCharType="end"/>
      </w:r>
      <w:bookmarkEnd w:id="374"/>
      <w:r w:rsidRPr="00176D37">
        <w:t>: Changes in pretransfusion patient ID and product safety checks</w:t>
      </w:r>
      <w:r w:rsidRPr="00176D37">
        <w:rPr>
          <w:rStyle w:val="FootnoteReference"/>
          <w:rFonts w:cs="Arial"/>
          <w:sz w:val="22"/>
          <w:szCs w:val="22"/>
        </w:rPr>
        <w:footnoteReference w:id="35"/>
      </w:r>
    </w:p>
    <w:tbl>
      <w:tblPr>
        <w:tblStyle w:val="TableGrid"/>
        <w:tblW w:w="0" w:type="auto"/>
        <w:tblLook w:val="04A0" w:firstRow="1" w:lastRow="0" w:firstColumn="1" w:lastColumn="0" w:noHBand="0" w:noVBand="1"/>
      </w:tblPr>
      <w:tblGrid>
        <w:gridCol w:w="5382"/>
        <w:gridCol w:w="3634"/>
      </w:tblGrid>
      <w:tr w:rsidR="00E9700E" w:rsidRPr="00176D37" w14:paraId="23827C7A" w14:textId="77777777" w:rsidTr="003529D2">
        <w:tc>
          <w:tcPr>
            <w:tcW w:w="5382" w:type="dxa"/>
          </w:tcPr>
          <w:p w14:paraId="2D11E85E" w14:textId="35F78375" w:rsidR="00E9700E" w:rsidRPr="00176D37" w:rsidRDefault="00AD64E1" w:rsidP="00073A4F">
            <w:pPr>
              <w:pStyle w:val="Tablecolhead"/>
            </w:pPr>
            <w:r>
              <w:t>Changes to checks</w:t>
            </w:r>
          </w:p>
        </w:tc>
        <w:tc>
          <w:tcPr>
            <w:tcW w:w="3634" w:type="dxa"/>
          </w:tcPr>
          <w:p w14:paraId="230C2209" w14:textId="16FA2B87" w:rsidR="00E9700E" w:rsidRPr="00176D37" w:rsidRDefault="00E9700E" w:rsidP="00073A4F">
            <w:pPr>
              <w:pStyle w:val="Tablecolhead"/>
            </w:pPr>
            <w:r w:rsidRPr="00176D37">
              <w:t>Health service count n</w:t>
            </w:r>
            <w:r w:rsidR="00AD64E1">
              <w:t xml:space="preserve"> </w:t>
            </w:r>
            <w:r w:rsidRPr="00176D37">
              <w:t>=</w:t>
            </w:r>
            <w:r w:rsidR="00AD64E1">
              <w:t xml:space="preserve"> </w:t>
            </w:r>
            <w:r w:rsidRPr="00176D37">
              <w:t xml:space="preserve">19, (%) </w:t>
            </w:r>
          </w:p>
        </w:tc>
      </w:tr>
      <w:tr w:rsidR="00E9700E" w:rsidRPr="00176D37" w14:paraId="47DE5022" w14:textId="77777777" w:rsidTr="003529D2">
        <w:tc>
          <w:tcPr>
            <w:tcW w:w="5382" w:type="dxa"/>
          </w:tcPr>
          <w:p w14:paraId="5FEE198D" w14:textId="77777777" w:rsidR="00E9700E" w:rsidRPr="00176D37" w:rsidRDefault="00E9700E" w:rsidP="00073A4F">
            <w:pPr>
              <w:pStyle w:val="Tabletext"/>
            </w:pPr>
            <w:r w:rsidRPr="00176D37">
              <w:rPr>
                <w:shd w:val="clear" w:color="auto" w:fill="FFFFFF"/>
              </w:rPr>
              <w:t>Yes, Reliance on barcode scanning alone for patient ID</w:t>
            </w:r>
          </w:p>
        </w:tc>
        <w:tc>
          <w:tcPr>
            <w:tcW w:w="3634" w:type="dxa"/>
          </w:tcPr>
          <w:p w14:paraId="4C573021" w14:textId="77777777" w:rsidR="00E9700E" w:rsidRPr="00176D37" w:rsidRDefault="00E9700E" w:rsidP="009742AB">
            <w:pPr>
              <w:pStyle w:val="Tabletext"/>
              <w:jc w:val="right"/>
            </w:pPr>
            <w:r w:rsidRPr="00176D37">
              <w:t>1 (5%)</w:t>
            </w:r>
          </w:p>
        </w:tc>
      </w:tr>
      <w:tr w:rsidR="00E9700E" w:rsidRPr="00176D37" w14:paraId="19C6EDB1" w14:textId="77777777" w:rsidTr="003529D2">
        <w:tc>
          <w:tcPr>
            <w:tcW w:w="5382" w:type="dxa"/>
          </w:tcPr>
          <w:p w14:paraId="36B502A4" w14:textId="77777777" w:rsidR="00E9700E" w:rsidRPr="00176D37" w:rsidRDefault="00E9700E" w:rsidP="00073A4F">
            <w:pPr>
              <w:pStyle w:val="Tabletext"/>
            </w:pPr>
            <w:r w:rsidRPr="00176D37">
              <w:rPr>
                <w:shd w:val="clear" w:color="auto" w:fill="FFFFFF"/>
              </w:rPr>
              <w:t>Yes, Barcode scanning is used for product checking</w:t>
            </w:r>
          </w:p>
        </w:tc>
        <w:tc>
          <w:tcPr>
            <w:tcW w:w="3634" w:type="dxa"/>
          </w:tcPr>
          <w:p w14:paraId="593322B2" w14:textId="77777777" w:rsidR="00E9700E" w:rsidRPr="00176D37" w:rsidRDefault="00E9700E" w:rsidP="009742AB">
            <w:pPr>
              <w:pStyle w:val="Tabletext"/>
              <w:jc w:val="right"/>
            </w:pPr>
            <w:r w:rsidRPr="00176D37">
              <w:t>1 (5%)</w:t>
            </w:r>
          </w:p>
        </w:tc>
      </w:tr>
      <w:tr w:rsidR="00E9700E" w:rsidRPr="00176D37" w14:paraId="113E89E2" w14:textId="77777777" w:rsidTr="003529D2">
        <w:tc>
          <w:tcPr>
            <w:tcW w:w="5382" w:type="dxa"/>
          </w:tcPr>
          <w:p w14:paraId="7F996FC5" w14:textId="77777777" w:rsidR="00E9700E" w:rsidRPr="00176D37" w:rsidRDefault="00E9700E" w:rsidP="00073A4F">
            <w:pPr>
              <w:pStyle w:val="Tabletext"/>
            </w:pPr>
            <w:r w:rsidRPr="00176D37">
              <w:rPr>
                <w:shd w:val="clear" w:color="auto" w:fill="FFFFFF"/>
              </w:rPr>
              <w:t>Yes, Barcode scanning for patients and the product as an adjunct to the positive patient ID and product checking process</w:t>
            </w:r>
          </w:p>
        </w:tc>
        <w:tc>
          <w:tcPr>
            <w:tcW w:w="3634" w:type="dxa"/>
          </w:tcPr>
          <w:p w14:paraId="3C61DBEB" w14:textId="77777777" w:rsidR="00E9700E" w:rsidRPr="00176D37" w:rsidRDefault="00E9700E" w:rsidP="009742AB">
            <w:pPr>
              <w:pStyle w:val="Tabletext"/>
              <w:jc w:val="right"/>
            </w:pPr>
            <w:r w:rsidRPr="00176D37">
              <w:t>4 (21%)</w:t>
            </w:r>
          </w:p>
        </w:tc>
      </w:tr>
      <w:tr w:rsidR="00E9700E" w:rsidRPr="00176D37" w14:paraId="573D303B" w14:textId="77777777" w:rsidTr="003529D2">
        <w:tc>
          <w:tcPr>
            <w:tcW w:w="5382" w:type="dxa"/>
          </w:tcPr>
          <w:p w14:paraId="273C6FD4" w14:textId="77777777" w:rsidR="00E9700E" w:rsidRPr="00176D37" w:rsidRDefault="00E9700E" w:rsidP="00073A4F">
            <w:pPr>
              <w:pStyle w:val="Tabletext"/>
              <w:rPr>
                <w:shd w:val="clear" w:color="auto" w:fill="FFFFFF"/>
              </w:rPr>
            </w:pPr>
            <w:r w:rsidRPr="00176D37">
              <w:rPr>
                <w:shd w:val="clear" w:color="auto" w:fill="FFFFFF"/>
              </w:rPr>
              <w:t>No change, positive patient ID and product checks are performed as usual</w:t>
            </w:r>
          </w:p>
        </w:tc>
        <w:tc>
          <w:tcPr>
            <w:tcW w:w="3634" w:type="dxa"/>
          </w:tcPr>
          <w:p w14:paraId="549AF1DB" w14:textId="77777777" w:rsidR="00E9700E" w:rsidRPr="00176D37" w:rsidRDefault="00E9700E" w:rsidP="009742AB">
            <w:pPr>
              <w:pStyle w:val="Tabletext"/>
              <w:jc w:val="right"/>
            </w:pPr>
            <w:r w:rsidRPr="00176D37">
              <w:t>10 (53%)</w:t>
            </w:r>
          </w:p>
        </w:tc>
      </w:tr>
      <w:tr w:rsidR="00E9700E" w:rsidRPr="00176D37" w14:paraId="3B02DF7E" w14:textId="77777777" w:rsidTr="003529D2">
        <w:tc>
          <w:tcPr>
            <w:tcW w:w="5382" w:type="dxa"/>
          </w:tcPr>
          <w:p w14:paraId="617020D2" w14:textId="77777777" w:rsidR="00E9700E" w:rsidRPr="00176D37" w:rsidRDefault="00E9700E" w:rsidP="00073A4F">
            <w:pPr>
              <w:pStyle w:val="Tabletext"/>
              <w:rPr>
                <w:shd w:val="clear" w:color="auto" w:fill="FFFFFF"/>
              </w:rPr>
            </w:pPr>
            <w:r w:rsidRPr="00176D37">
              <w:rPr>
                <w:shd w:val="clear" w:color="auto" w:fill="FFFFFF"/>
              </w:rPr>
              <w:t>Unsure</w:t>
            </w:r>
          </w:p>
        </w:tc>
        <w:tc>
          <w:tcPr>
            <w:tcW w:w="3634" w:type="dxa"/>
          </w:tcPr>
          <w:p w14:paraId="25A80CE1" w14:textId="77777777" w:rsidR="00E9700E" w:rsidRPr="00176D37" w:rsidRDefault="00E9700E" w:rsidP="009742AB">
            <w:pPr>
              <w:pStyle w:val="Tabletext"/>
              <w:jc w:val="right"/>
            </w:pPr>
            <w:r w:rsidRPr="00176D37">
              <w:t>4 (21%)</w:t>
            </w:r>
          </w:p>
        </w:tc>
      </w:tr>
    </w:tbl>
    <w:p w14:paraId="7844B0BF" w14:textId="77777777" w:rsidR="00E9700E" w:rsidRPr="00073A4F" w:rsidRDefault="00E9700E" w:rsidP="00073A4F">
      <w:pPr>
        <w:pStyle w:val="Heading3"/>
      </w:pPr>
      <w:bookmarkStart w:id="375" w:name="_Toc101285713"/>
      <w:bookmarkStart w:id="376" w:name="_Toc101947735"/>
      <w:r w:rsidRPr="00073A4F">
        <w:t>Historic data transfer</w:t>
      </w:r>
      <w:bookmarkEnd w:id="375"/>
      <w:bookmarkEnd w:id="376"/>
    </w:p>
    <w:p w14:paraId="7E3D96A1" w14:textId="7C7A402B" w:rsidR="00E9700E" w:rsidRPr="00176D37" w:rsidRDefault="00E9700E" w:rsidP="00073A4F">
      <w:pPr>
        <w:pStyle w:val="Body"/>
      </w:pPr>
      <w:r w:rsidRPr="00176D37">
        <w:t>The inclusion of historic data in an EMR varies between health services. Some transferred patient’s medical data prior to EMR implementation and some retained the previous records ‘as is</w:t>
      </w:r>
      <w:r w:rsidR="00AD64E1">
        <w:t xml:space="preserve">’ </w:t>
      </w:r>
      <w:r w:rsidRPr="00176D37">
        <w:t>moving forward with EMR from go-live.</w:t>
      </w:r>
      <w:r w:rsidRPr="00176D37">
        <w:rPr>
          <w:b/>
          <w:color w:val="C00000"/>
        </w:rPr>
        <w:t xml:space="preserve"> </w:t>
      </w:r>
      <w:r w:rsidRPr="00176D37">
        <w:t xml:space="preserve">This is a lengthy process and sometimes data is lost </w:t>
      </w:r>
      <w:r w:rsidR="00AD64E1" w:rsidRPr="00176D37">
        <w:rPr>
          <w:noProof/>
        </w:rPr>
        <w:t>(Verrall 2019)</w:t>
      </w:r>
    </w:p>
    <w:p w14:paraId="1BC89973" w14:textId="1C0AA621" w:rsidR="00E9700E" w:rsidRPr="00176D37" w:rsidRDefault="00E9700E" w:rsidP="00073A4F">
      <w:pPr>
        <w:pStyle w:val="Body"/>
      </w:pPr>
      <w:r w:rsidRPr="00176D37">
        <w:t>Quality and executive respondents (n = 25) from health services with an EMR were asked how patient’s historical records were transferred into the EMR (</w:t>
      </w:r>
      <w:r w:rsidRPr="00176D37">
        <w:fldChar w:fldCharType="begin"/>
      </w:r>
      <w:r w:rsidRPr="00176D37">
        <w:instrText xml:space="preserve"> REF _Ref100679584 \h  \* MERGEFORMAT </w:instrText>
      </w:r>
      <w:r w:rsidRPr="00176D37">
        <w:fldChar w:fldCharType="separate"/>
      </w:r>
      <w:r w:rsidR="00E73E2F" w:rsidRPr="00176D37">
        <w:t xml:space="preserve">Table </w:t>
      </w:r>
      <w:r w:rsidR="00E73E2F">
        <w:rPr>
          <w:noProof/>
        </w:rPr>
        <w:t>43</w:t>
      </w:r>
      <w:r w:rsidRPr="00176D37">
        <w:fldChar w:fldCharType="end"/>
      </w:r>
      <w:r w:rsidRPr="00176D37">
        <w:t>).</w:t>
      </w:r>
    </w:p>
    <w:p w14:paraId="79B38719" w14:textId="0B098B54" w:rsidR="00E9700E" w:rsidRPr="00176D37" w:rsidRDefault="00E9700E" w:rsidP="00073A4F">
      <w:pPr>
        <w:pStyle w:val="Tablecaption"/>
      </w:pPr>
      <w:bookmarkStart w:id="377" w:name="_Ref100679584"/>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43</w:t>
      </w:r>
      <w:r w:rsidR="00F751A0">
        <w:rPr>
          <w:noProof/>
        </w:rPr>
        <w:fldChar w:fldCharType="end"/>
      </w:r>
      <w:bookmarkEnd w:id="377"/>
      <w:r w:rsidRPr="00176D37">
        <w:t>: How patient’s records from prior to go-live were transferred into the EMR</w:t>
      </w:r>
    </w:p>
    <w:tbl>
      <w:tblPr>
        <w:tblStyle w:val="TableGrid"/>
        <w:tblW w:w="0" w:type="auto"/>
        <w:tblLook w:val="04A0" w:firstRow="1" w:lastRow="0" w:firstColumn="1" w:lastColumn="0" w:noHBand="0" w:noVBand="1"/>
      </w:tblPr>
      <w:tblGrid>
        <w:gridCol w:w="5382"/>
        <w:gridCol w:w="3634"/>
      </w:tblGrid>
      <w:tr w:rsidR="00E9700E" w:rsidRPr="00176D37" w14:paraId="00E880A7" w14:textId="77777777" w:rsidTr="003529D2">
        <w:tc>
          <w:tcPr>
            <w:tcW w:w="5382" w:type="dxa"/>
          </w:tcPr>
          <w:p w14:paraId="7752BE5E" w14:textId="5B8C67AC" w:rsidR="00E9700E" w:rsidRPr="00176D37" w:rsidRDefault="00436CFC" w:rsidP="00073A4F">
            <w:pPr>
              <w:pStyle w:val="Tablecolhead"/>
            </w:pPr>
            <w:r>
              <w:t>Method of transfer</w:t>
            </w:r>
          </w:p>
        </w:tc>
        <w:tc>
          <w:tcPr>
            <w:tcW w:w="3634" w:type="dxa"/>
          </w:tcPr>
          <w:p w14:paraId="3C5E18C1" w14:textId="5FA785D8" w:rsidR="00E9700E" w:rsidRPr="00176D37" w:rsidRDefault="00E9700E" w:rsidP="00073A4F">
            <w:pPr>
              <w:pStyle w:val="Tablecolhead"/>
            </w:pPr>
            <w:r w:rsidRPr="00176D37">
              <w:t xml:space="preserve">Health service count </w:t>
            </w:r>
            <w:r w:rsidR="00F751A0">
              <w:t xml:space="preserve">n = </w:t>
            </w:r>
            <w:r w:rsidRPr="00176D37">
              <w:t>19, (%)</w:t>
            </w:r>
          </w:p>
        </w:tc>
      </w:tr>
      <w:tr w:rsidR="00E9700E" w:rsidRPr="00176D37" w14:paraId="33F5A448" w14:textId="77777777" w:rsidTr="003529D2">
        <w:tc>
          <w:tcPr>
            <w:tcW w:w="5382" w:type="dxa"/>
          </w:tcPr>
          <w:p w14:paraId="729C46A7" w14:textId="77777777" w:rsidR="00E9700E" w:rsidRPr="00176D37" w:rsidRDefault="00E9700E" w:rsidP="00073A4F">
            <w:pPr>
              <w:pStyle w:val="Tabletext"/>
            </w:pPr>
            <w:r w:rsidRPr="00176D37">
              <w:rPr>
                <w:shd w:val="clear" w:color="auto" w:fill="FFFFFF"/>
              </w:rPr>
              <w:t>Manual entry the first time the patient presented after go-live</w:t>
            </w:r>
          </w:p>
        </w:tc>
        <w:tc>
          <w:tcPr>
            <w:tcW w:w="3634" w:type="dxa"/>
          </w:tcPr>
          <w:p w14:paraId="704F7984" w14:textId="77777777" w:rsidR="00E9700E" w:rsidRPr="00176D37" w:rsidRDefault="00E9700E" w:rsidP="009742AB">
            <w:pPr>
              <w:pStyle w:val="Tabletext"/>
              <w:jc w:val="right"/>
            </w:pPr>
            <w:r w:rsidRPr="00176D37">
              <w:t>1 (5%)</w:t>
            </w:r>
          </w:p>
        </w:tc>
      </w:tr>
      <w:tr w:rsidR="00E9700E" w:rsidRPr="00176D37" w14:paraId="4507941A" w14:textId="77777777" w:rsidTr="003529D2">
        <w:tc>
          <w:tcPr>
            <w:tcW w:w="5382" w:type="dxa"/>
          </w:tcPr>
          <w:p w14:paraId="71AC2436" w14:textId="77777777" w:rsidR="00E9700E" w:rsidRPr="00176D37" w:rsidRDefault="00E9700E" w:rsidP="00073A4F">
            <w:pPr>
              <w:pStyle w:val="Tabletext"/>
            </w:pPr>
            <w:r w:rsidRPr="00176D37">
              <w:rPr>
                <w:shd w:val="clear" w:color="auto" w:fill="FFFFFF"/>
              </w:rPr>
              <w:t>Manual entry of all historic patient records</w:t>
            </w:r>
          </w:p>
        </w:tc>
        <w:tc>
          <w:tcPr>
            <w:tcW w:w="3634" w:type="dxa"/>
          </w:tcPr>
          <w:p w14:paraId="73F62573" w14:textId="77777777" w:rsidR="00E9700E" w:rsidRPr="00176D37" w:rsidRDefault="00E9700E" w:rsidP="009742AB">
            <w:pPr>
              <w:pStyle w:val="Tabletext"/>
              <w:jc w:val="right"/>
            </w:pPr>
            <w:r w:rsidRPr="00176D37">
              <w:t>2 (11%)</w:t>
            </w:r>
          </w:p>
        </w:tc>
      </w:tr>
      <w:tr w:rsidR="00E9700E" w:rsidRPr="00176D37" w14:paraId="2CA71B14" w14:textId="77777777" w:rsidTr="003529D2">
        <w:tc>
          <w:tcPr>
            <w:tcW w:w="5382" w:type="dxa"/>
          </w:tcPr>
          <w:p w14:paraId="4EC995DE" w14:textId="77777777" w:rsidR="00E9700E" w:rsidRPr="00176D37" w:rsidRDefault="00E9700E" w:rsidP="00073A4F">
            <w:pPr>
              <w:pStyle w:val="Tabletext"/>
            </w:pPr>
            <w:r w:rsidRPr="00176D37">
              <w:rPr>
                <w:shd w:val="clear" w:color="auto" w:fill="FFFFFF"/>
              </w:rPr>
              <w:t>No historic records entered, EMR captures new episodes only</w:t>
            </w:r>
          </w:p>
        </w:tc>
        <w:tc>
          <w:tcPr>
            <w:tcW w:w="3634" w:type="dxa"/>
          </w:tcPr>
          <w:p w14:paraId="2687391F" w14:textId="77777777" w:rsidR="00E9700E" w:rsidRPr="00176D37" w:rsidRDefault="00E9700E" w:rsidP="009742AB">
            <w:pPr>
              <w:pStyle w:val="Tabletext"/>
              <w:jc w:val="right"/>
            </w:pPr>
            <w:r w:rsidRPr="00176D37">
              <w:t>5 (26%)</w:t>
            </w:r>
          </w:p>
        </w:tc>
      </w:tr>
      <w:tr w:rsidR="00E9700E" w:rsidRPr="00176D37" w14:paraId="3202EC63" w14:textId="77777777" w:rsidTr="003529D2">
        <w:tc>
          <w:tcPr>
            <w:tcW w:w="5382" w:type="dxa"/>
          </w:tcPr>
          <w:p w14:paraId="21C68650" w14:textId="77777777" w:rsidR="00E9700E" w:rsidRPr="00176D37" w:rsidRDefault="00E9700E" w:rsidP="00073A4F">
            <w:pPr>
              <w:pStyle w:val="Tabletext"/>
              <w:rPr>
                <w:shd w:val="clear" w:color="auto" w:fill="FFFFFF"/>
              </w:rPr>
            </w:pPr>
            <w:r w:rsidRPr="00176D37">
              <w:rPr>
                <w:shd w:val="clear" w:color="auto" w:fill="FFFFFF"/>
              </w:rPr>
              <w:t>Unsure</w:t>
            </w:r>
          </w:p>
        </w:tc>
        <w:tc>
          <w:tcPr>
            <w:tcW w:w="3634" w:type="dxa"/>
          </w:tcPr>
          <w:p w14:paraId="581B7FCE" w14:textId="77777777" w:rsidR="00E9700E" w:rsidRPr="00176D37" w:rsidRDefault="00E9700E" w:rsidP="009742AB">
            <w:pPr>
              <w:pStyle w:val="Tabletext"/>
              <w:jc w:val="right"/>
            </w:pPr>
            <w:r w:rsidRPr="00176D37">
              <w:t>8 (42%)</w:t>
            </w:r>
          </w:p>
        </w:tc>
      </w:tr>
      <w:tr w:rsidR="00E9700E" w:rsidRPr="00176D37" w14:paraId="16EB8B33" w14:textId="77777777" w:rsidTr="003529D2">
        <w:tc>
          <w:tcPr>
            <w:tcW w:w="5382" w:type="dxa"/>
          </w:tcPr>
          <w:p w14:paraId="353350AE" w14:textId="77777777" w:rsidR="00E9700E" w:rsidRPr="00176D37" w:rsidRDefault="00E9700E" w:rsidP="00073A4F">
            <w:pPr>
              <w:pStyle w:val="Tabletext"/>
              <w:rPr>
                <w:shd w:val="clear" w:color="auto" w:fill="FFFFFF"/>
              </w:rPr>
            </w:pPr>
            <w:r w:rsidRPr="00176D37">
              <w:rPr>
                <w:shd w:val="clear" w:color="auto" w:fill="FFFFFF"/>
              </w:rPr>
              <w:t>Other</w:t>
            </w:r>
          </w:p>
        </w:tc>
        <w:tc>
          <w:tcPr>
            <w:tcW w:w="3634" w:type="dxa"/>
          </w:tcPr>
          <w:p w14:paraId="0CAAFE54" w14:textId="77777777" w:rsidR="00E9700E" w:rsidRPr="00176D37" w:rsidRDefault="00E9700E" w:rsidP="009742AB">
            <w:pPr>
              <w:pStyle w:val="Tabletext"/>
              <w:jc w:val="right"/>
            </w:pPr>
            <w:r w:rsidRPr="00176D37">
              <w:t>3 (16%)</w:t>
            </w:r>
          </w:p>
        </w:tc>
      </w:tr>
    </w:tbl>
    <w:p w14:paraId="6547DD38" w14:textId="77777777" w:rsidR="00E9700E" w:rsidRPr="00176D37" w:rsidRDefault="00E9700E" w:rsidP="009742AB">
      <w:pPr>
        <w:pStyle w:val="Bodyaftertablefigure"/>
      </w:pPr>
      <w:r w:rsidRPr="00176D37">
        <w:t>Other responses included:</w:t>
      </w:r>
    </w:p>
    <w:p w14:paraId="10FEA84E" w14:textId="78FCB3EB" w:rsidR="00E9700E" w:rsidRPr="00176D37" w:rsidRDefault="00436CFC" w:rsidP="00073A4F">
      <w:pPr>
        <w:pStyle w:val="Bullet1"/>
      </w:pPr>
      <w:r>
        <w:t>a</w:t>
      </w:r>
      <w:r w:rsidRPr="00176D37">
        <w:t xml:space="preserve">lready </w:t>
      </w:r>
      <w:r w:rsidR="00E9700E" w:rsidRPr="00176D37">
        <w:t>there, as IT system already in place</w:t>
      </w:r>
    </w:p>
    <w:p w14:paraId="148B6E96" w14:textId="118F482B" w:rsidR="00E9700E" w:rsidRPr="00176D37" w:rsidRDefault="00436CFC" w:rsidP="00073A4F">
      <w:pPr>
        <w:pStyle w:val="Bullet1"/>
      </w:pPr>
      <w:r>
        <w:t>d</w:t>
      </w:r>
      <w:r w:rsidR="00E9700E" w:rsidRPr="00176D37">
        <w:t>igital medical record</w:t>
      </w:r>
    </w:p>
    <w:p w14:paraId="441E3773" w14:textId="40D04E98" w:rsidR="00E9700E" w:rsidRPr="00176D37" w:rsidRDefault="00436CFC" w:rsidP="00073A4F">
      <w:pPr>
        <w:pStyle w:val="Bullet1"/>
      </w:pPr>
      <w:r>
        <w:t>n</w:t>
      </w:r>
      <w:r w:rsidRPr="00176D37">
        <w:t xml:space="preserve">ot </w:t>
      </w:r>
      <w:r w:rsidR="00E9700E" w:rsidRPr="00176D37">
        <w:t>documented</w:t>
      </w:r>
      <w:r>
        <w:t>.</w:t>
      </w:r>
    </w:p>
    <w:p w14:paraId="56421124" w14:textId="4A9C6624" w:rsidR="00E9700E" w:rsidRPr="00176D37" w:rsidRDefault="00E9700E" w:rsidP="00073A4F">
      <w:pPr>
        <w:pStyle w:val="Body"/>
        <w:spacing w:before="120"/>
      </w:pPr>
      <w:r w:rsidRPr="00176D37">
        <w:t>The six health services who indicated historic data was entered were asked if there have been any associated problems with that data (</w:t>
      </w:r>
      <w:r w:rsidRPr="00176D37">
        <w:fldChar w:fldCharType="begin"/>
      </w:r>
      <w:r w:rsidRPr="00176D37">
        <w:instrText xml:space="preserve"> REF _Ref100679699 \h  \* MERGEFORMAT </w:instrText>
      </w:r>
      <w:r w:rsidRPr="00176D37">
        <w:fldChar w:fldCharType="separate"/>
      </w:r>
      <w:r w:rsidR="00E73E2F" w:rsidRPr="00176D37">
        <w:t xml:space="preserve">Table </w:t>
      </w:r>
      <w:r w:rsidR="00E73E2F">
        <w:rPr>
          <w:noProof/>
        </w:rPr>
        <w:t>44</w:t>
      </w:r>
      <w:r w:rsidRPr="00176D37">
        <w:fldChar w:fldCharType="end"/>
      </w:r>
      <w:r w:rsidRPr="00176D37">
        <w:t>).</w:t>
      </w:r>
    </w:p>
    <w:p w14:paraId="3F986E2A" w14:textId="08658F26" w:rsidR="00E9700E" w:rsidRPr="00176D37" w:rsidRDefault="00E9700E" w:rsidP="00073A4F">
      <w:pPr>
        <w:pStyle w:val="Tablecaption"/>
      </w:pPr>
      <w:bookmarkStart w:id="378" w:name="_Ref100679699"/>
      <w:r w:rsidRPr="00176D37">
        <w:t xml:space="preserve">Table </w:t>
      </w:r>
      <w:r w:rsidR="00F751A0">
        <w:fldChar w:fldCharType="begin"/>
      </w:r>
      <w:r w:rsidR="00F751A0">
        <w:instrText xml:space="preserve"> SEQ Table \* ARABIC </w:instrText>
      </w:r>
      <w:r w:rsidR="00F751A0">
        <w:fldChar w:fldCharType="separate"/>
      </w:r>
      <w:r w:rsidR="00E73E2F">
        <w:rPr>
          <w:noProof/>
        </w:rPr>
        <w:t>44</w:t>
      </w:r>
      <w:r w:rsidR="00F751A0">
        <w:rPr>
          <w:noProof/>
        </w:rPr>
        <w:fldChar w:fldCharType="end"/>
      </w:r>
      <w:bookmarkEnd w:id="378"/>
      <w:r w:rsidRPr="00176D37">
        <w:t>: Problems associated with the historic data entered</w:t>
      </w:r>
      <w:r w:rsidRPr="00176D37">
        <w:rPr>
          <w:rStyle w:val="FootnoteReference"/>
          <w:rFonts w:cs="Arial"/>
          <w:sz w:val="22"/>
          <w:szCs w:val="22"/>
        </w:rPr>
        <w:footnoteReference w:id="36"/>
      </w:r>
      <w:r w:rsidRPr="00176D37">
        <w:t xml:space="preserve"> </w:t>
      </w:r>
    </w:p>
    <w:tbl>
      <w:tblPr>
        <w:tblStyle w:val="TableGrid"/>
        <w:tblW w:w="0" w:type="auto"/>
        <w:tblLook w:val="04A0" w:firstRow="1" w:lastRow="0" w:firstColumn="1" w:lastColumn="0" w:noHBand="0" w:noVBand="1"/>
      </w:tblPr>
      <w:tblGrid>
        <w:gridCol w:w="2228"/>
        <w:gridCol w:w="2118"/>
        <w:gridCol w:w="1717"/>
        <w:gridCol w:w="1630"/>
        <w:gridCol w:w="1595"/>
      </w:tblGrid>
      <w:tr w:rsidR="00E9700E" w:rsidRPr="00176D37" w14:paraId="2A4CD496" w14:textId="77777777" w:rsidTr="00A173F8">
        <w:tc>
          <w:tcPr>
            <w:tcW w:w="2501" w:type="dxa"/>
          </w:tcPr>
          <w:p w14:paraId="55C7242A" w14:textId="5C68E599" w:rsidR="00E9700E" w:rsidRPr="00176D37" w:rsidRDefault="00436CFC" w:rsidP="00073A4F">
            <w:pPr>
              <w:pStyle w:val="Tablecolhead"/>
            </w:pPr>
            <w:r>
              <w:t>Problem</w:t>
            </w:r>
          </w:p>
        </w:tc>
        <w:tc>
          <w:tcPr>
            <w:tcW w:w="2486" w:type="dxa"/>
          </w:tcPr>
          <w:p w14:paraId="53C3301B" w14:textId="77777777" w:rsidR="00E9700E" w:rsidRPr="00176D37" w:rsidRDefault="00E9700E" w:rsidP="00073A4F">
            <w:pPr>
              <w:pStyle w:val="Tablecolhead"/>
            </w:pPr>
            <w:r w:rsidRPr="00176D37">
              <w:t>Never an issue</w:t>
            </w:r>
          </w:p>
          <w:p w14:paraId="02195547" w14:textId="77777777" w:rsidR="00E9700E" w:rsidRPr="00176D37" w:rsidRDefault="00E9700E" w:rsidP="00073A4F">
            <w:pPr>
              <w:pStyle w:val="Tablecolhead"/>
            </w:pPr>
            <w:r w:rsidRPr="00176D37">
              <w:t>n (%)</w:t>
            </w:r>
          </w:p>
        </w:tc>
        <w:tc>
          <w:tcPr>
            <w:tcW w:w="1823" w:type="dxa"/>
          </w:tcPr>
          <w:p w14:paraId="20E933A0" w14:textId="77777777" w:rsidR="00E9700E" w:rsidRPr="00176D37" w:rsidRDefault="00E9700E" w:rsidP="00073A4F">
            <w:pPr>
              <w:pStyle w:val="Tablecolhead"/>
            </w:pPr>
            <w:r w:rsidRPr="00176D37">
              <w:t>Sometimes an issue</w:t>
            </w:r>
          </w:p>
          <w:p w14:paraId="2D6E48C3" w14:textId="77777777" w:rsidR="00E9700E" w:rsidRPr="00176D37" w:rsidRDefault="00E9700E" w:rsidP="00073A4F">
            <w:pPr>
              <w:pStyle w:val="Tablecolhead"/>
            </w:pPr>
            <w:r w:rsidRPr="00176D37">
              <w:t>n (%)</w:t>
            </w:r>
          </w:p>
        </w:tc>
        <w:tc>
          <w:tcPr>
            <w:tcW w:w="1823" w:type="dxa"/>
          </w:tcPr>
          <w:p w14:paraId="7AEA1DD4" w14:textId="77777777" w:rsidR="00E9700E" w:rsidRPr="00176D37" w:rsidRDefault="00E9700E" w:rsidP="00073A4F">
            <w:pPr>
              <w:pStyle w:val="Tablecolhead"/>
            </w:pPr>
            <w:r w:rsidRPr="00176D37">
              <w:t>Unsure</w:t>
            </w:r>
          </w:p>
          <w:p w14:paraId="028748AD" w14:textId="77777777" w:rsidR="00E9700E" w:rsidRPr="00176D37" w:rsidRDefault="00E9700E" w:rsidP="00073A4F">
            <w:pPr>
              <w:pStyle w:val="Tablecolhead"/>
            </w:pPr>
            <w:r w:rsidRPr="00176D37">
              <w:t>n (%)</w:t>
            </w:r>
          </w:p>
        </w:tc>
        <w:tc>
          <w:tcPr>
            <w:tcW w:w="1823" w:type="dxa"/>
          </w:tcPr>
          <w:p w14:paraId="1AFBD5AA" w14:textId="77777777" w:rsidR="00E9700E" w:rsidRPr="00176D37" w:rsidRDefault="00E9700E" w:rsidP="00073A4F">
            <w:pPr>
              <w:pStyle w:val="Tablecolhead"/>
            </w:pPr>
            <w:r w:rsidRPr="00176D37">
              <w:t>N/A</w:t>
            </w:r>
          </w:p>
          <w:p w14:paraId="4A4092CE" w14:textId="77777777" w:rsidR="00E9700E" w:rsidRPr="00176D37" w:rsidRDefault="00E9700E" w:rsidP="00073A4F">
            <w:pPr>
              <w:pStyle w:val="Tablecolhead"/>
            </w:pPr>
            <w:r w:rsidRPr="00176D37">
              <w:t>n (%)</w:t>
            </w:r>
          </w:p>
        </w:tc>
      </w:tr>
      <w:tr w:rsidR="00E9700E" w:rsidRPr="00176D37" w14:paraId="13BF000F" w14:textId="77777777" w:rsidTr="00A173F8">
        <w:tc>
          <w:tcPr>
            <w:tcW w:w="2501" w:type="dxa"/>
          </w:tcPr>
          <w:p w14:paraId="6084399C" w14:textId="77777777" w:rsidR="00E9700E" w:rsidRPr="00436CFC" w:rsidRDefault="00E9700E" w:rsidP="00436CFC">
            <w:pPr>
              <w:pStyle w:val="Tabletext"/>
            </w:pPr>
            <w:r w:rsidRPr="009742AB">
              <w:t>Accuracy of information</w:t>
            </w:r>
          </w:p>
        </w:tc>
        <w:tc>
          <w:tcPr>
            <w:tcW w:w="2486" w:type="dxa"/>
          </w:tcPr>
          <w:p w14:paraId="4BA2FB93" w14:textId="77777777" w:rsidR="00E9700E" w:rsidRPr="00176D37" w:rsidRDefault="00E9700E" w:rsidP="009742AB">
            <w:pPr>
              <w:pStyle w:val="Tabletext"/>
              <w:jc w:val="right"/>
            </w:pPr>
            <w:r w:rsidRPr="00176D37">
              <w:t>3 (50%)</w:t>
            </w:r>
          </w:p>
        </w:tc>
        <w:tc>
          <w:tcPr>
            <w:tcW w:w="1823" w:type="dxa"/>
          </w:tcPr>
          <w:p w14:paraId="469A1171" w14:textId="77777777" w:rsidR="00E9700E" w:rsidRPr="00176D37" w:rsidRDefault="00E9700E" w:rsidP="009742AB">
            <w:pPr>
              <w:pStyle w:val="Tabletext"/>
              <w:jc w:val="right"/>
            </w:pPr>
            <w:r w:rsidRPr="00176D37">
              <w:t>1 (17%)</w:t>
            </w:r>
          </w:p>
        </w:tc>
        <w:tc>
          <w:tcPr>
            <w:tcW w:w="1823" w:type="dxa"/>
          </w:tcPr>
          <w:p w14:paraId="1F9BEA21" w14:textId="77777777" w:rsidR="00E9700E" w:rsidRPr="00176D37" w:rsidRDefault="00E9700E" w:rsidP="009742AB">
            <w:pPr>
              <w:pStyle w:val="Tabletext"/>
              <w:jc w:val="right"/>
            </w:pPr>
            <w:r w:rsidRPr="00176D37">
              <w:t>1 (17%)</w:t>
            </w:r>
          </w:p>
        </w:tc>
        <w:tc>
          <w:tcPr>
            <w:tcW w:w="1823" w:type="dxa"/>
          </w:tcPr>
          <w:p w14:paraId="3B71B1CE" w14:textId="77777777" w:rsidR="00E9700E" w:rsidRPr="00176D37" w:rsidRDefault="00E9700E" w:rsidP="009742AB">
            <w:pPr>
              <w:pStyle w:val="Tabletext"/>
              <w:jc w:val="right"/>
            </w:pPr>
            <w:r w:rsidRPr="00176D37">
              <w:t>1 (17%)</w:t>
            </w:r>
          </w:p>
        </w:tc>
      </w:tr>
      <w:tr w:rsidR="00E9700E" w:rsidRPr="00176D37" w14:paraId="0DE3DAA2" w14:textId="77777777" w:rsidTr="00A173F8">
        <w:tc>
          <w:tcPr>
            <w:tcW w:w="2501" w:type="dxa"/>
          </w:tcPr>
          <w:p w14:paraId="2171F939" w14:textId="77777777" w:rsidR="00E9700E" w:rsidRPr="00176D37" w:rsidRDefault="00E9700E" w:rsidP="00073A4F">
            <w:pPr>
              <w:pStyle w:val="Tabletext"/>
            </w:pPr>
            <w:r w:rsidRPr="00176D37">
              <w:rPr>
                <w:shd w:val="clear" w:color="auto" w:fill="FFFFFF"/>
              </w:rPr>
              <w:t>Absence of information</w:t>
            </w:r>
          </w:p>
        </w:tc>
        <w:tc>
          <w:tcPr>
            <w:tcW w:w="2486" w:type="dxa"/>
          </w:tcPr>
          <w:p w14:paraId="2C72B4E8" w14:textId="77777777" w:rsidR="00E9700E" w:rsidRPr="00176D37" w:rsidRDefault="00E9700E" w:rsidP="009742AB">
            <w:pPr>
              <w:pStyle w:val="Tabletext"/>
              <w:jc w:val="right"/>
            </w:pPr>
            <w:r w:rsidRPr="00176D37">
              <w:t>3 (50%)</w:t>
            </w:r>
          </w:p>
        </w:tc>
        <w:tc>
          <w:tcPr>
            <w:tcW w:w="1823" w:type="dxa"/>
          </w:tcPr>
          <w:p w14:paraId="479300C5" w14:textId="77777777" w:rsidR="00E9700E" w:rsidRPr="00176D37" w:rsidRDefault="00E9700E" w:rsidP="009742AB">
            <w:pPr>
              <w:pStyle w:val="Tabletext"/>
              <w:jc w:val="right"/>
            </w:pPr>
            <w:r w:rsidRPr="00176D37">
              <w:t>1 (17%)</w:t>
            </w:r>
          </w:p>
        </w:tc>
        <w:tc>
          <w:tcPr>
            <w:tcW w:w="1823" w:type="dxa"/>
          </w:tcPr>
          <w:p w14:paraId="6D917342" w14:textId="77777777" w:rsidR="00E9700E" w:rsidRPr="00176D37" w:rsidRDefault="00E9700E" w:rsidP="009742AB">
            <w:pPr>
              <w:pStyle w:val="Tabletext"/>
              <w:jc w:val="right"/>
            </w:pPr>
            <w:r w:rsidRPr="00176D37">
              <w:t>1 (17%)</w:t>
            </w:r>
          </w:p>
        </w:tc>
        <w:tc>
          <w:tcPr>
            <w:tcW w:w="1823" w:type="dxa"/>
          </w:tcPr>
          <w:p w14:paraId="7FFFA82E" w14:textId="77777777" w:rsidR="00E9700E" w:rsidRPr="00176D37" w:rsidRDefault="00E9700E" w:rsidP="009742AB">
            <w:pPr>
              <w:pStyle w:val="Tabletext"/>
              <w:jc w:val="right"/>
            </w:pPr>
            <w:r w:rsidRPr="00176D37">
              <w:t>1 (17%)</w:t>
            </w:r>
          </w:p>
        </w:tc>
      </w:tr>
    </w:tbl>
    <w:p w14:paraId="79473E4F" w14:textId="4A84BD95" w:rsidR="00E9700E" w:rsidRPr="00176D37" w:rsidRDefault="00E9700E" w:rsidP="009742AB">
      <w:pPr>
        <w:pStyle w:val="Bodyaftertablefigure"/>
      </w:pPr>
      <w:r w:rsidRPr="00176D37">
        <w:t xml:space="preserve">The accuracy or absence of historic medical data does not appear to be a significant issue. However, only one error is required in this data entry for a patient’s care to be affected. Blood Matters’ STIR program has received </w:t>
      </w:r>
      <w:proofErr w:type="gramStart"/>
      <w:r w:rsidRPr="00176D37">
        <w:t>a number of</w:t>
      </w:r>
      <w:proofErr w:type="gramEnd"/>
      <w:r w:rsidRPr="00176D37">
        <w:t xml:space="preserve"> reports where manual entry of historic details into the EMR has led to incorrect information being entered for the patient. In one instance, migration of data did not occur after EMR implementation and known patient antibodies were not available to the laboratory</w:t>
      </w:r>
      <w:r w:rsidR="00073A4F">
        <w:t>.</w:t>
      </w:r>
    </w:p>
    <w:p w14:paraId="3D2E4526" w14:textId="6863BF44" w:rsidR="00E9700E" w:rsidRPr="00073A4F" w:rsidRDefault="00E9700E" w:rsidP="00073A4F">
      <w:pPr>
        <w:pStyle w:val="Heading2"/>
      </w:pPr>
      <w:bookmarkStart w:id="379" w:name="_Toc101285714"/>
      <w:bookmarkStart w:id="380" w:name="_Toc101947736"/>
      <w:bookmarkStart w:id="381" w:name="_Toc104975939"/>
      <w:r w:rsidRPr="00073A4F">
        <w:t>Set-up/us</w:t>
      </w:r>
      <w:r w:rsidR="00520CA9">
        <w:t>e</w:t>
      </w:r>
      <w:r w:rsidRPr="00073A4F">
        <w:t>ability</w:t>
      </w:r>
      <w:bookmarkEnd w:id="379"/>
      <w:bookmarkEnd w:id="380"/>
      <w:bookmarkEnd w:id="381"/>
    </w:p>
    <w:p w14:paraId="331FA4BD" w14:textId="77777777" w:rsidR="00E9700E" w:rsidRPr="00176D37" w:rsidRDefault="00E9700E" w:rsidP="00073A4F">
      <w:pPr>
        <w:pStyle w:val="Body"/>
      </w:pPr>
      <w:r w:rsidRPr="00176D37">
        <w:t>Clinical (four nursing, six medical) and blood management quality (15) respondents from 17 health services were asked about set-up and useability of the EMR.</w:t>
      </w:r>
    </w:p>
    <w:p w14:paraId="5FFFA9A5" w14:textId="77777777" w:rsidR="00E9700E" w:rsidRPr="00073A4F" w:rsidRDefault="00E9700E" w:rsidP="00073A4F">
      <w:pPr>
        <w:pStyle w:val="Heading3"/>
      </w:pPr>
      <w:bookmarkStart w:id="382" w:name="_Toc101285715"/>
      <w:bookmarkStart w:id="383" w:name="_Toc101947737"/>
      <w:r w:rsidRPr="00073A4F">
        <w:lastRenderedPageBreak/>
        <w:t>Multiple patient records open</w:t>
      </w:r>
      <w:bookmarkEnd w:id="382"/>
      <w:bookmarkEnd w:id="383"/>
    </w:p>
    <w:p w14:paraId="6E1C079D" w14:textId="77777777" w:rsidR="00E9700E" w:rsidRPr="00176D37" w:rsidRDefault="00E9700E" w:rsidP="00073A4F">
      <w:pPr>
        <w:pStyle w:val="Body"/>
      </w:pPr>
      <w:r w:rsidRPr="00176D37">
        <w:t>Having the correct patient record open in the EMR is of paramount importance for patient safety. Allowing for only one patient record to be open at a time minimises the risk of viewing, editing or actioning health records for the wrong patient.</w:t>
      </w:r>
    </w:p>
    <w:p w14:paraId="445D08B9" w14:textId="4F3DC117" w:rsidR="00E9700E" w:rsidRPr="00176D37" w:rsidRDefault="00E9700E" w:rsidP="00073A4F">
      <w:pPr>
        <w:pStyle w:val="Body"/>
      </w:pPr>
      <w:r w:rsidRPr="00176D37">
        <w:t>Respondents were asked if it is possible to have more than one patient’s record open at a time (</w:t>
      </w:r>
      <w:r w:rsidRPr="00176D37">
        <w:fldChar w:fldCharType="begin"/>
      </w:r>
      <w:r w:rsidRPr="00176D37">
        <w:instrText xml:space="preserve"> REF _Ref100680247 \h  \* MERGEFORMAT </w:instrText>
      </w:r>
      <w:r w:rsidRPr="00176D37">
        <w:fldChar w:fldCharType="separate"/>
      </w:r>
      <w:r w:rsidR="00E73E2F" w:rsidRPr="00176D37">
        <w:t xml:space="preserve">Table </w:t>
      </w:r>
      <w:r w:rsidR="00E73E2F">
        <w:rPr>
          <w:noProof/>
        </w:rPr>
        <w:t>45</w:t>
      </w:r>
      <w:r w:rsidRPr="00176D37">
        <w:fldChar w:fldCharType="end"/>
      </w:r>
      <w:r w:rsidRPr="00176D37">
        <w:t>).</w:t>
      </w:r>
    </w:p>
    <w:p w14:paraId="40247042" w14:textId="52EF4267" w:rsidR="00E9700E" w:rsidRPr="00176D37" w:rsidRDefault="00E9700E" w:rsidP="00073A4F">
      <w:pPr>
        <w:pStyle w:val="Tablecaption"/>
      </w:pPr>
      <w:bookmarkStart w:id="384" w:name="_Ref100680247"/>
      <w:r w:rsidRPr="00176D37">
        <w:t xml:space="preserve">Table </w:t>
      </w:r>
      <w:r w:rsidR="00F751A0">
        <w:fldChar w:fldCharType="begin"/>
      </w:r>
      <w:r w:rsidR="00F751A0">
        <w:instrText xml:space="preserve"> SEQ Table \* ARABIC </w:instrText>
      </w:r>
      <w:r w:rsidR="00F751A0">
        <w:fldChar w:fldCharType="separate"/>
      </w:r>
      <w:r w:rsidR="00E73E2F">
        <w:rPr>
          <w:noProof/>
        </w:rPr>
        <w:t>45</w:t>
      </w:r>
      <w:r w:rsidR="00F751A0">
        <w:rPr>
          <w:noProof/>
        </w:rPr>
        <w:fldChar w:fldCharType="end"/>
      </w:r>
      <w:bookmarkEnd w:id="384"/>
      <w:r w:rsidRPr="00176D37">
        <w:t>: Capacity to have multiple patient records open at a time</w:t>
      </w:r>
      <w:r w:rsidRPr="00176D37">
        <w:rPr>
          <w:rStyle w:val="FootnoteReference"/>
          <w:rFonts w:cs="Arial"/>
          <w:sz w:val="22"/>
          <w:szCs w:val="22"/>
        </w:rPr>
        <w:footnoteReference w:id="37"/>
      </w:r>
    </w:p>
    <w:tbl>
      <w:tblPr>
        <w:tblStyle w:val="TableGrid"/>
        <w:tblW w:w="0" w:type="auto"/>
        <w:tblLook w:val="04A0" w:firstRow="1" w:lastRow="0" w:firstColumn="1" w:lastColumn="0" w:noHBand="0" w:noVBand="1"/>
      </w:tblPr>
      <w:tblGrid>
        <w:gridCol w:w="4508"/>
        <w:gridCol w:w="4508"/>
      </w:tblGrid>
      <w:tr w:rsidR="00E9700E" w:rsidRPr="00176D37" w14:paraId="36FBE5A3" w14:textId="77777777" w:rsidTr="009742AB">
        <w:trPr>
          <w:tblHeader/>
        </w:trPr>
        <w:tc>
          <w:tcPr>
            <w:tcW w:w="4508" w:type="dxa"/>
          </w:tcPr>
          <w:p w14:paraId="50F35FA7" w14:textId="77777777" w:rsidR="00E9700E" w:rsidRPr="00176D37" w:rsidRDefault="00E9700E" w:rsidP="00073A4F">
            <w:pPr>
              <w:pStyle w:val="Tablecolhead"/>
            </w:pPr>
            <w:r w:rsidRPr="00176D37">
              <w:t>Multiple records open at a time</w:t>
            </w:r>
          </w:p>
        </w:tc>
        <w:tc>
          <w:tcPr>
            <w:tcW w:w="4508" w:type="dxa"/>
          </w:tcPr>
          <w:p w14:paraId="23A9750B" w14:textId="34B0C04F" w:rsidR="00E9700E" w:rsidRPr="00176D37" w:rsidRDefault="00E9700E" w:rsidP="00073A4F">
            <w:pPr>
              <w:pStyle w:val="Tablecolhead"/>
            </w:pPr>
            <w:r w:rsidRPr="00176D37">
              <w:t xml:space="preserve">Health service count </w:t>
            </w:r>
            <w:r w:rsidR="00F751A0">
              <w:t xml:space="preserve">n = </w:t>
            </w:r>
            <w:r w:rsidRPr="00176D37">
              <w:t>17, (%)</w:t>
            </w:r>
          </w:p>
        </w:tc>
      </w:tr>
      <w:tr w:rsidR="00E9700E" w:rsidRPr="00176D37" w14:paraId="54ECB653" w14:textId="77777777" w:rsidTr="00A173F8">
        <w:tc>
          <w:tcPr>
            <w:tcW w:w="4508" w:type="dxa"/>
          </w:tcPr>
          <w:p w14:paraId="78A5725B" w14:textId="77777777" w:rsidR="00E9700E" w:rsidRPr="00176D37" w:rsidRDefault="00E9700E" w:rsidP="00073A4F">
            <w:pPr>
              <w:pStyle w:val="Tabletext"/>
            </w:pPr>
            <w:r w:rsidRPr="00176D37">
              <w:t>No</w:t>
            </w:r>
          </w:p>
        </w:tc>
        <w:tc>
          <w:tcPr>
            <w:tcW w:w="4508" w:type="dxa"/>
          </w:tcPr>
          <w:p w14:paraId="7E210C95" w14:textId="77777777" w:rsidR="00E9700E" w:rsidRPr="00176D37" w:rsidRDefault="00E9700E" w:rsidP="009742AB">
            <w:pPr>
              <w:pStyle w:val="Tabletext"/>
              <w:jc w:val="right"/>
            </w:pPr>
            <w:r w:rsidRPr="00176D37">
              <w:t>8 (47%)</w:t>
            </w:r>
          </w:p>
        </w:tc>
      </w:tr>
      <w:tr w:rsidR="00E9700E" w:rsidRPr="00176D37" w14:paraId="30BD8F60" w14:textId="77777777" w:rsidTr="00A173F8">
        <w:tc>
          <w:tcPr>
            <w:tcW w:w="4508" w:type="dxa"/>
          </w:tcPr>
          <w:p w14:paraId="181B7448" w14:textId="77777777" w:rsidR="00E9700E" w:rsidRPr="00176D37" w:rsidRDefault="00E9700E" w:rsidP="00073A4F">
            <w:pPr>
              <w:pStyle w:val="Tabletext"/>
            </w:pPr>
            <w:r w:rsidRPr="00176D37">
              <w:t>Yes</w:t>
            </w:r>
          </w:p>
        </w:tc>
        <w:tc>
          <w:tcPr>
            <w:tcW w:w="4508" w:type="dxa"/>
          </w:tcPr>
          <w:p w14:paraId="7048B7BC" w14:textId="77777777" w:rsidR="00E9700E" w:rsidRPr="00176D37" w:rsidRDefault="00E9700E" w:rsidP="009742AB">
            <w:pPr>
              <w:pStyle w:val="Tabletext"/>
              <w:jc w:val="right"/>
            </w:pPr>
            <w:r w:rsidRPr="00176D37">
              <w:t>5 (29%)</w:t>
            </w:r>
          </w:p>
        </w:tc>
      </w:tr>
      <w:tr w:rsidR="00E9700E" w:rsidRPr="00176D37" w14:paraId="4B8709B3" w14:textId="77777777" w:rsidTr="00A173F8">
        <w:tc>
          <w:tcPr>
            <w:tcW w:w="4508" w:type="dxa"/>
          </w:tcPr>
          <w:p w14:paraId="733214E3" w14:textId="77777777" w:rsidR="00E9700E" w:rsidRPr="00176D37" w:rsidRDefault="00E9700E" w:rsidP="00073A4F">
            <w:pPr>
              <w:pStyle w:val="Tabletext"/>
            </w:pPr>
            <w:r w:rsidRPr="00176D37">
              <w:t>Unsure</w:t>
            </w:r>
          </w:p>
        </w:tc>
        <w:tc>
          <w:tcPr>
            <w:tcW w:w="4508" w:type="dxa"/>
          </w:tcPr>
          <w:p w14:paraId="63583F73" w14:textId="77777777" w:rsidR="00E9700E" w:rsidRPr="00176D37" w:rsidRDefault="00E9700E" w:rsidP="009742AB">
            <w:pPr>
              <w:pStyle w:val="Tabletext"/>
              <w:jc w:val="right"/>
            </w:pPr>
            <w:r w:rsidRPr="00176D37">
              <w:t>4 (24%)</w:t>
            </w:r>
          </w:p>
        </w:tc>
      </w:tr>
    </w:tbl>
    <w:p w14:paraId="168BF996" w14:textId="77777777" w:rsidR="00E9700E" w:rsidRPr="00073A4F" w:rsidRDefault="00E9700E" w:rsidP="00073A4F">
      <w:pPr>
        <w:pStyle w:val="Heading3"/>
      </w:pPr>
      <w:bookmarkStart w:id="385" w:name="_Toc101285716"/>
      <w:bookmarkStart w:id="386" w:name="_Toc101947738"/>
      <w:r w:rsidRPr="00073A4F">
        <w:t>Location of computers</w:t>
      </w:r>
      <w:bookmarkEnd w:id="385"/>
      <w:bookmarkEnd w:id="386"/>
    </w:p>
    <w:p w14:paraId="12F2B601" w14:textId="500B8925" w:rsidR="00E9700E" w:rsidRPr="00176D37" w:rsidRDefault="00E9700E" w:rsidP="00073A4F">
      <w:pPr>
        <w:pStyle w:val="Body"/>
      </w:pPr>
      <w:r w:rsidRPr="00176D37">
        <w:t xml:space="preserve">To ensure correct patient ID checks, the computer terminal needs to be located close to the patient bedside. If a computer is not accessible from the patient bedside, positive patient ID and correct blood unit checking processes may not be followed. Staff may also have less interaction with the patient while they are looking at the computer </w:t>
      </w:r>
      <w:r w:rsidR="004A2052" w:rsidRPr="00176D37">
        <w:rPr>
          <w:noProof/>
        </w:rPr>
        <w:t>(Verrall 2019)</w:t>
      </w:r>
      <w:r w:rsidRPr="00176D37">
        <w:t>.</w:t>
      </w:r>
    </w:p>
    <w:p w14:paraId="043CF4EC" w14:textId="29F96C90" w:rsidR="00E9700E" w:rsidRPr="00176D37" w:rsidRDefault="00E9700E" w:rsidP="00073A4F">
      <w:pPr>
        <w:pStyle w:val="Body"/>
      </w:pPr>
      <w:r w:rsidRPr="00176D37">
        <w:t>Respondents were asked where the computers are located (</w:t>
      </w:r>
      <w:r w:rsidRPr="00176D37">
        <w:fldChar w:fldCharType="begin"/>
      </w:r>
      <w:r w:rsidRPr="00176D37">
        <w:instrText xml:space="preserve"> REF _Ref101284735 \h  \* MERGEFORMAT </w:instrText>
      </w:r>
      <w:r w:rsidRPr="00176D37">
        <w:fldChar w:fldCharType="separate"/>
      </w:r>
      <w:r w:rsidR="00E73E2F" w:rsidRPr="00176D37">
        <w:t xml:space="preserve">Table </w:t>
      </w:r>
      <w:r w:rsidR="00E73E2F">
        <w:rPr>
          <w:noProof/>
        </w:rPr>
        <w:t>46</w:t>
      </w:r>
      <w:r w:rsidRPr="00176D37">
        <w:fldChar w:fldCharType="end"/>
      </w:r>
      <w:r w:rsidRPr="00176D37">
        <w:t>).</w:t>
      </w:r>
    </w:p>
    <w:p w14:paraId="318CA9D2" w14:textId="20DD729B" w:rsidR="00E9700E" w:rsidRPr="00176D37" w:rsidRDefault="00E9700E" w:rsidP="00073A4F">
      <w:pPr>
        <w:pStyle w:val="Tablecaption"/>
      </w:pPr>
      <w:bookmarkStart w:id="387" w:name="_Ref101284735"/>
      <w:r w:rsidRPr="00176D37">
        <w:t xml:space="preserve">Table </w:t>
      </w:r>
      <w:r w:rsidR="00F751A0">
        <w:fldChar w:fldCharType="begin"/>
      </w:r>
      <w:r w:rsidR="00F751A0">
        <w:instrText xml:space="preserve"> SEQ Table \* ARABIC </w:instrText>
      </w:r>
      <w:r w:rsidR="00F751A0">
        <w:fldChar w:fldCharType="separate"/>
      </w:r>
      <w:r w:rsidR="00E73E2F">
        <w:rPr>
          <w:noProof/>
        </w:rPr>
        <w:t>46</w:t>
      </w:r>
      <w:r w:rsidR="00F751A0">
        <w:rPr>
          <w:noProof/>
        </w:rPr>
        <w:fldChar w:fldCharType="end"/>
      </w:r>
      <w:bookmarkEnd w:id="387"/>
      <w:r w:rsidRPr="00176D37">
        <w:t>: Location of computers</w:t>
      </w:r>
      <w:r w:rsidRPr="00176D37">
        <w:rPr>
          <w:rStyle w:val="FootnoteReference"/>
          <w:rFonts w:cs="Arial"/>
          <w:sz w:val="22"/>
          <w:szCs w:val="22"/>
        </w:rPr>
        <w:footnoteReference w:id="38"/>
      </w:r>
    </w:p>
    <w:tbl>
      <w:tblPr>
        <w:tblStyle w:val="TableGrid"/>
        <w:tblW w:w="0" w:type="auto"/>
        <w:tblLook w:val="04A0" w:firstRow="1" w:lastRow="0" w:firstColumn="1" w:lastColumn="0" w:noHBand="0" w:noVBand="1"/>
      </w:tblPr>
      <w:tblGrid>
        <w:gridCol w:w="4508"/>
        <w:gridCol w:w="4508"/>
      </w:tblGrid>
      <w:tr w:rsidR="00E9700E" w:rsidRPr="00176D37" w14:paraId="29B156E9" w14:textId="77777777" w:rsidTr="003529D2">
        <w:trPr>
          <w:tblHeader/>
        </w:trPr>
        <w:tc>
          <w:tcPr>
            <w:tcW w:w="4508" w:type="dxa"/>
          </w:tcPr>
          <w:p w14:paraId="7C5BBDF1" w14:textId="77777777" w:rsidR="00E9700E" w:rsidRPr="00176D37" w:rsidRDefault="00E9700E" w:rsidP="00073A4F">
            <w:pPr>
              <w:pStyle w:val="Tablecolhead"/>
            </w:pPr>
            <w:r w:rsidRPr="00176D37">
              <w:t>Location</w:t>
            </w:r>
          </w:p>
        </w:tc>
        <w:tc>
          <w:tcPr>
            <w:tcW w:w="4508" w:type="dxa"/>
          </w:tcPr>
          <w:p w14:paraId="6692D2E4" w14:textId="02B0BC20" w:rsidR="00E9700E" w:rsidRPr="00176D37" w:rsidRDefault="00E9700E" w:rsidP="00073A4F">
            <w:pPr>
              <w:pStyle w:val="Tablecolhead"/>
            </w:pPr>
            <w:r w:rsidRPr="00176D37">
              <w:t xml:space="preserve">Health service count </w:t>
            </w:r>
            <w:r w:rsidRPr="00176D37">
              <w:rPr>
                <w:bCs/>
              </w:rPr>
              <w:t>n</w:t>
            </w:r>
            <w:r w:rsidR="004A2052">
              <w:rPr>
                <w:bCs/>
              </w:rPr>
              <w:t xml:space="preserve"> </w:t>
            </w:r>
            <w:r w:rsidRPr="00176D37">
              <w:rPr>
                <w:bCs/>
              </w:rPr>
              <w:t>=</w:t>
            </w:r>
            <w:r w:rsidR="004A2052">
              <w:rPr>
                <w:bCs/>
              </w:rPr>
              <w:t xml:space="preserve"> </w:t>
            </w:r>
            <w:r w:rsidRPr="00176D37">
              <w:rPr>
                <w:bCs/>
              </w:rPr>
              <w:t>17, (%)</w:t>
            </w:r>
          </w:p>
        </w:tc>
      </w:tr>
      <w:tr w:rsidR="00E9700E" w:rsidRPr="00176D37" w14:paraId="71D4D33E" w14:textId="77777777" w:rsidTr="003529D2">
        <w:tc>
          <w:tcPr>
            <w:tcW w:w="4508" w:type="dxa"/>
          </w:tcPr>
          <w:p w14:paraId="135FF992" w14:textId="77777777" w:rsidR="00E9700E" w:rsidRPr="00176D37" w:rsidRDefault="00E9700E" w:rsidP="00073A4F">
            <w:pPr>
              <w:pStyle w:val="Tabletext"/>
            </w:pPr>
            <w:r w:rsidRPr="00176D37">
              <w:t>Mobile computer on wheels</w:t>
            </w:r>
          </w:p>
        </w:tc>
        <w:tc>
          <w:tcPr>
            <w:tcW w:w="4508" w:type="dxa"/>
          </w:tcPr>
          <w:p w14:paraId="63F6101B" w14:textId="77777777" w:rsidR="00E9700E" w:rsidRPr="00176D37" w:rsidRDefault="00E9700E" w:rsidP="009742AB">
            <w:pPr>
              <w:pStyle w:val="Tabletext"/>
              <w:jc w:val="right"/>
            </w:pPr>
            <w:r w:rsidRPr="00176D37">
              <w:t>15 (88%)</w:t>
            </w:r>
          </w:p>
        </w:tc>
      </w:tr>
      <w:tr w:rsidR="00E9700E" w:rsidRPr="00176D37" w14:paraId="53D317CE" w14:textId="77777777" w:rsidTr="003529D2">
        <w:tc>
          <w:tcPr>
            <w:tcW w:w="4508" w:type="dxa"/>
          </w:tcPr>
          <w:p w14:paraId="0CB8DFE5" w14:textId="77777777" w:rsidR="00E9700E" w:rsidRPr="00176D37" w:rsidRDefault="00E9700E" w:rsidP="00073A4F">
            <w:pPr>
              <w:pStyle w:val="Tabletext"/>
            </w:pPr>
            <w:r w:rsidRPr="00176D37">
              <w:t>Handheld</w:t>
            </w:r>
          </w:p>
        </w:tc>
        <w:tc>
          <w:tcPr>
            <w:tcW w:w="4508" w:type="dxa"/>
          </w:tcPr>
          <w:p w14:paraId="2B721D19" w14:textId="77777777" w:rsidR="00E9700E" w:rsidRPr="00176D37" w:rsidRDefault="00E9700E" w:rsidP="009742AB">
            <w:pPr>
              <w:pStyle w:val="Tabletext"/>
              <w:jc w:val="right"/>
            </w:pPr>
            <w:r w:rsidRPr="00176D37">
              <w:t>5 (29%)</w:t>
            </w:r>
          </w:p>
        </w:tc>
      </w:tr>
      <w:tr w:rsidR="00E9700E" w:rsidRPr="00176D37" w14:paraId="3412F9D6" w14:textId="77777777" w:rsidTr="003529D2">
        <w:tc>
          <w:tcPr>
            <w:tcW w:w="4508" w:type="dxa"/>
          </w:tcPr>
          <w:p w14:paraId="64451DDD" w14:textId="77777777" w:rsidR="00E9700E" w:rsidRPr="00176D37" w:rsidRDefault="00E9700E" w:rsidP="00073A4F">
            <w:pPr>
              <w:pStyle w:val="Tabletext"/>
            </w:pPr>
            <w:r w:rsidRPr="00176D37">
              <w:t>Fixed outside patient rooms</w:t>
            </w:r>
          </w:p>
        </w:tc>
        <w:tc>
          <w:tcPr>
            <w:tcW w:w="4508" w:type="dxa"/>
          </w:tcPr>
          <w:p w14:paraId="4A9793EE" w14:textId="77777777" w:rsidR="00E9700E" w:rsidRPr="00176D37" w:rsidRDefault="00E9700E" w:rsidP="009742AB">
            <w:pPr>
              <w:pStyle w:val="Tabletext"/>
              <w:jc w:val="right"/>
            </w:pPr>
            <w:r w:rsidRPr="00176D37">
              <w:t>3 (18%)</w:t>
            </w:r>
          </w:p>
        </w:tc>
      </w:tr>
      <w:tr w:rsidR="00E9700E" w:rsidRPr="00176D37" w14:paraId="2EABC371" w14:textId="77777777" w:rsidTr="003529D2">
        <w:tc>
          <w:tcPr>
            <w:tcW w:w="4508" w:type="dxa"/>
          </w:tcPr>
          <w:p w14:paraId="5707618E" w14:textId="77777777" w:rsidR="00E9700E" w:rsidRPr="00176D37" w:rsidRDefault="00E9700E" w:rsidP="00073A4F">
            <w:pPr>
              <w:pStyle w:val="Tabletext"/>
            </w:pPr>
            <w:r w:rsidRPr="00176D37">
              <w:t>Fixed inside patient rooms</w:t>
            </w:r>
          </w:p>
        </w:tc>
        <w:tc>
          <w:tcPr>
            <w:tcW w:w="4508" w:type="dxa"/>
          </w:tcPr>
          <w:p w14:paraId="5136641E" w14:textId="77777777" w:rsidR="00E9700E" w:rsidRPr="00176D37" w:rsidRDefault="00E9700E" w:rsidP="009742AB">
            <w:pPr>
              <w:pStyle w:val="Tabletext"/>
              <w:jc w:val="right"/>
            </w:pPr>
            <w:r w:rsidRPr="00176D37">
              <w:t>6 (35%)</w:t>
            </w:r>
          </w:p>
        </w:tc>
      </w:tr>
      <w:tr w:rsidR="00E9700E" w:rsidRPr="00176D37" w14:paraId="019530BC" w14:textId="77777777" w:rsidTr="003529D2">
        <w:tc>
          <w:tcPr>
            <w:tcW w:w="4508" w:type="dxa"/>
          </w:tcPr>
          <w:p w14:paraId="0E759926" w14:textId="77777777" w:rsidR="00E9700E" w:rsidRPr="00176D37" w:rsidRDefault="00E9700E" w:rsidP="00073A4F">
            <w:pPr>
              <w:pStyle w:val="Tabletext"/>
            </w:pPr>
            <w:r w:rsidRPr="00176D37">
              <w:t>Fixed at central station</w:t>
            </w:r>
          </w:p>
        </w:tc>
        <w:tc>
          <w:tcPr>
            <w:tcW w:w="4508" w:type="dxa"/>
          </w:tcPr>
          <w:p w14:paraId="50810B23" w14:textId="77777777" w:rsidR="00E9700E" w:rsidRPr="00176D37" w:rsidRDefault="00E9700E" w:rsidP="009742AB">
            <w:pPr>
              <w:pStyle w:val="Tabletext"/>
              <w:jc w:val="right"/>
            </w:pPr>
            <w:r w:rsidRPr="00176D37">
              <w:t>12 (71%)</w:t>
            </w:r>
          </w:p>
        </w:tc>
      </w:tr>
      <w:tr w:rsidR="00E9700E" w:rsidRPr="00176D37" w14:paraId="3EB0F0F8" w14:textId="77777777" w:rsidTr="003529D2">
        <w:tc>
          <w:tcPr>
            <w:tcW w:w="4508" w:type="dxa"/>
          </w:tcPr>
          <w:p w14:paraId="537B48CE" w14:textId="77777777" w:rsidR="00E9700E" w:rsidRPr="00176D37" w:rsidRDefault="00E9700E" w:rsidP="00073A4F">
            <w:pPr>
              <w:pStyle w:val="Tabletext"/>
            </w:pPr>
            <w:r w:rsidRPr="00176D37">
              <w:t>At a fixed location remote from the patient</w:t>
            </w:r>
          </w:p>
        </w:tc>
        <w:tc>
          <w:tcPr>
            <w:tcW w:w="4508" w:type="dxa"/>
          </w:tcPr>
          <w:p w14:paraId="3BA4DCA1" w14:textId="77777777" w:rsidR="00E9700E" w:rsidRPr="00176D37" w:rsidRDefault="00E9700E" w:rsidP="009742AB">
            <w:pPr>
              <w:pStyle w:val="Tabletext"/>
              <w:jc w:val="right"/>
            </w:pPr>
            <w:r w:rsidRPr="00176D37">
              <w:t>13 (76%)</w:t>
            </w:r>
          </w:p>
        </w:tc>
      </w:tr>
    </w:tbl>
    <w:p w14:paraId="251923D3" w14:textId="77777777" w:rsidR="00E9700E" w:rsidRPr="00176D37" w:rsidRDefault="00E9700E" w:rsidP="009742AB">
      <w:pPr>
        <w:pStyle w:val="Bodyaftertablefigure"/>
      </w:pPr>
      <w:r w:rsidRPr="00176D37">
        <w:t>The survey indicates most health services have incorporated flexibility for different bedside options to ensure computer accessibility at the patient’s bedside.</w:t>
      </w:r>
    </w:p>
    <w:p w14:paraId="5080254D" w14:textId="77777777" w:rsidR="00E9700E" w:rsidRPr="00073A4F" w:rsidRDefault="00E9700E" w:rsidP="00073A4F">
      <w:pPr>
        <w:pStyle w:val="Heading3"/>
      </w:pPr>
      <w:bookmarkStart w:id="388" w:name="_Toc101285717"/>
      <w:bookmarkStart w:id="389" w:name="_Toc101947739"/>
      <w:r w:rsidRPr="00073A4F">
        <w:t>Sufficiency of EMR computer terminals</w:t>
      </w:r>
      <w:bookmarkEnd w:id="388"/>
      <w:bookmarkEnd w:id="389"/>
    </w:p>
    <w:p w14:paraId="5F23D808" w14:textId="46EF29ED" w:rsidR="00E9700E" w:rsidRPr="00176D37" w:rsidRDefault="00E9700E" w:rsidP="00073A4F">
      <w:pPr>
        <w:pStyle w:val="Body"/>
      </w:pPr>
      <w:r w:rsidRPr="00176D37">
        <w:t xml:space="preserve">For EMR to integrate into workflow safely and efficiently, computer terminals need to be available </w:t>
      </w:r>
      <w:r w:rsidR="0008077C">
        <w:t>for</w:t>
      </w:r>
      <w:r w:rsidRPr="00176D37">
        <w:t xml:space="preserve"> each staff member when needed. If a computer is unavailable, care providers may use a </w:t>
      </w:r>
      <w:r w:rsidRPr="00176D37">
        <w:lastRenderedPageBreak/>
        <w:t>colleague’s EMR session, therefore increasing the risk of an incorrect patient record being open and invalidates the electronic audit trail.</w:t>
      </w:r>
    </w:p>
    <w:p w14:paraId="7D239BAB" w14:textId="3B61668E" w:rsidR="00E9700E" w:rsidRPr="00176D37" w:rsidRDefault="00E9700E" w:rsidP="00073A4F">
      <w:pPr>
        <w:pStyle w:val="Body"/>
      </w:pPr>
      <w:r w:rsidRPr="00176D37">
        <w:t>Respondents were asked if there are sufficient computer terminals for all staff to access them when needed (</w:t>
      </w:r>
      <w:r w:rsidRPr="00176D37">
        <w:fldChar w:fldCharType="begin"/>
      </w:r>
      <w:r w:rsidRPr="00176D37">
        <w:instrText xml:space="preserve"> REF _Ref100680317 \h  \* MERGEFORMAT </w:instrText>
      </w:r>
      <w:r w:rsidRPr="00176D37">
        <w:fldChar w:fldCharType="separate"/>
      </w:r>
      <w:r w:rsidR="00E73E2F" w:rsidRPr="00176D37">
        <w:t xml:space="preserve">Table </w:t>
      </w:r>
      <w:r w:rsidR="00E73E2F">
        <w:rPr>
          <w:noProof/>
        </w:rPr>
        <w:t>47</w:t>
      </w:r>
      <w:r w:rsidRPr="00176D37">
        <w:fldChar w:fldCharType="end"/>
      </w:r>
      <w:r w:rsidRPr="00176D37">
        <w:t>).</w:t>
      </w:r>
    </w:p>
    <w:p w14:paraId="5A17FD7C" w14:textId="7CAC5360" w:rsidR="00E9700E" w:rsidRPr="00176D37" w:rsidRDefault="00E9700E" w:rsidP="00073A4F">
      <w:pPr>
        <w:pStyle w:val="Tablecaption"/>
      </w:pPr>
      <w:bookmarkStart w:id="390" w:name="_Ref100680317"/>
      <w:r w:rsidRPr="00176D37">
        <w:t xml:space="preserve">Table </w:t>
      </w:r>
      <w:r w:rsidR="00F751A0">
        <w:fldChar w:fldCharType="begin"/>
      </w:r>
      <w:r w:rsidR="00F751A0">
        <w:instrText xml:space="preserve"> SEQ Table \* ARABIC </w:instrText>
      </w:r>
      <w:r w:rsidR="00F751A0">
        <w:fldChar w:fldCharType="separate"/>
      </w:r>
      <w:r w:rsidR="00E73E2F">
        <w:rPr>
          <w:noProof/>
        </w:rPr>
        <w:t>47</w:t>
      </w:r>
      <w:r w:rsidR="00F751A0">
        <w:rPr>
          <w:noProof/>
        </w:rPr>
        <w:fldChar w:fldCharType="end"/>
      </w:r>
      <w:bookmarkEnd w:id="390"/>
      <w:r w:rsidRPr="00176D37">
        <w:t>: Sufficient EMR computer terminals to access</w:t>
      </w:r>
    </w:p>
    <w:tbl>
      <w:tblPr>
        <w:tblStyle w:val="TableGrid"/>
        <w:tblW w:w="0" w:type="auto"/>
        <w:tblLook w:val="04A0" w:firstRow="1" w:lastRow="0" w:firstColumn="1" w:lastColumn="0" w:noHBand="0" w:noVBand="1"/>
      </w:tblPr>
      <w:tblGrid>
        <w:gridCol w:w="2658"/>
        <w:gridCol w:w="1988"/>
        <w:gridCol w:w="2185"/>
        <w:gridCol w:w="2185"/>
      </w:tblGrid>
      <w:tr w:rsidR="00E9700E" w:rsidRPr="00176D37" w14:paraId="7FD416AD" w14:textId="77777777" w:rsidTr="00A173F8">
        <w:tc>
          <w:tcPr>
            <w:tcW w:w="2658" w:type="dxa"/>
          </w:tcPr>
          <w:p w14:paraId="65645C61" w14:textId="77777777" w:rsidR="00E9700E" w:rsidRPr="00176D37" w:rsidRDefault="00E9700E" w:rsidP="00073A4F">
            <w:pPr>
              <w:pStyle w:val="Tablecolhead"/>
            </w:pPr>
            <w:r w:rsidRPr="00176D37">
              <w:rPr>
                <w:shd w:val="clear" w:color="auto" w:fill="FFFFFF"/>
              </w:rPr>
              <w:t>Sufficient terminals to access when needed</w:t>
            </w:r>
          </w:p>
        </w:tc>
        <w:tc>
          <w:tcPr>
            <w:tcW w:w="1988" w:type="dxa"/>
          </w:tcPr>
          <w:p w14:paraId="5638E960" w14:textId="77777777" w:rsidR="00E9700E" w:rsidRPr="00176D37" w:rsidRDefault="00E9700E" w:rsidP="00073A4F">
            <w:pPr>
              <w:pStyle w:val="Tablecolhead"/>
            </w:pPr>
            <w:r w:rsidRPr="00176D37">
              <w:t xml:space="preserve">Clinical (nursing) </w:t>
            </w:r>
          </w:p>
          <w:p w14:paraId="605DF68B" w14:textId="6599227C" w:rsidR="00E9700E" w:rsidRPr="00176D37" w:rsidRDefault="004A2052" w:rsidP="00073A4F">
            <w:pPr>
              <w:pStyle w:val="Tablecolhead"/>
            </w:pPr>
            <w:r>
              <w:t xml:space="preserve">n </w:t>
            </w:r>
            <w:r w:rsidR="00E9700E" w:rsidRPr="00176D37">
              <w:t>=</w:t>
            </w:r>
            <w:r>
              <w:t xml:space="preserve"> </w:t>
            </w:r>
            <w:r w:rsidR="00E9700E" w:rsidRPr="00176D37">
              <w:t>4, (%)</w:t>
            </w:r>
          </w:p>
        </w:tc>
        <w:tc>
          <w:tcPr>
            <w:tcW w:w="2185" w:type="dxa"/>
          </w:tcPr>
          <w:p w14:paraId="0FC81734" w14:textId="3A8C46A0" w:rsidR="00E9700E" w:rsidRPr="00176D37" w:rsidRDefault="00E9700E" w:rsidP="00073A4F">
            <w:pPr>
              <w:pStyle w:val="Tablecolhead"/>
            </w:pPr>
            <w:r w:rsidRPr="00176D37">
              <w:t xml:space="preserve">Clinical (medical) </w:t>
            </w:r>
            <w:r w:rsidR="00F751A0">
              <w:t xml:space="preserve">n </w:t>
            </w:r>
            <w:proofErr w:type="gramStart"/>
            <w:r w:rsidR="00F751A0">
              <w:t xml:space="preserve">= </w:t>
            </w:r>
            <w:r w:rsidR="004A2052">
              <w:t xml:space="preserve"> </w:t>
            </w:r>
            <w:r w:rsidRPr="00176D37">
              <w:t>6</w:t>
            </w:r>
            <w:proofErr w:type="gramEnd"/>
            <w:r w:rsidRPr="00176D37">
              <w:t>, (%)</w:t>
            </w:r>
          </w:p>
        </w:tc>
        <w:tc>
          <w:tcPr>
            <w:tcW w:w="2185" w:type="dxa"/>
          </w:tcPr>
          <w:p w14:paraId="0A2EDE2A" w14:textId="77777777" w:rsidR="00E9700E" w:rsidRPr="00176D37" w:rsidRDefault="00E9700E" w:rsidP="00073A4F">
            <w:pPr>
              <w:pStyle w:val="Tablecolhead"/>
            </w:pPr>
            <w:r w:rsidRPr="00176D37">
              <w:t>Quality</w:t>
            </w:r>
          </w:p>
          <w:p w14:paraId="430DB48B" w14:textId="3ECCEB47" w:rsidR="00E9700E" w:rsidRPr="00176D37" w:rsidRDefault="004A2052" w:rsidP="00073A4F">
            <w:pPr>
              <w:pStyle w:val="Tablecolhead"/>
            </w:pPr>
            <w:r>
              <w:t xml:space="preserve">n </w:t>
            </w:r>
            <w:r w:rsidR="00E9700E" w:rsidRPr="00176D37">
              <w:t>=</w:t>
            </w:r>
            <w:r>
              <w:t xml:space="preserve"> </w:t>
            </w:r>
            <w:r w:rsidR="00E9700E" w:rsidRPr="00176D37">
              <w:t>15, (%)</w:t>
            </w:r>
          </w:p>
        </w:tc>
      </w:tr>
      <w:tr w:rsidR="00E9700E" w:rsidRPr="00176D37" w14:paraId="25C73F33" w14:textId="77777777" w:rsidTr="00A173F8">
        <w:tc>
          <w:tcPr>
            <w:tcW w:w="2658" w:type="dxa"/>
          </w:tcPr>
          <w:p w14:paraId="0676F76B" w14:textId="77777777" w:rsidR="00E9700E" w:rsidRPr="00176D37" w:rsidRDefault="00E9700E" w:rsidP="00073A4F">
            <w:pPr>
              <w:pStyle w:val="Tabletext"/>
            </w:pPr>
            <w:r w:rsidRPr="00176D37">
              <w:t>Always</w:t>
            </w:r>
          </w:p>
        </w:tc>
        <w:tc>
          <w:tcPr>
            <w:tcW w:w="1988" w:type="dxa"/>
          </w:tcPr>
          <w:p w14:paraId="1CFE6E0F" w14:textId="77777777" w:rsidR="00E9700E" w:rsidRPr="00176D37" w:rsidRDefault="00E9700E" w:rsidP="009742AB">
            <w:pPr>
              <w:pStyle w:val="Tabletext"/>
              <w:jc w:val="right"/>
            </w:pPr>
            <w:r w:rsidRPr="00176D37">
              <w:t>3 (75%)</w:t>
            </w:r>
          </w:p>
        </w:tc>
        <w:tc>
          <w:tcPr>
            <w:tcW w:w="2185" w:type="dxa"/>
          </w:tcPr>
          <w:p w14:paraId="67D0F30A" w14:textId="77777777" w:rsidR="00E9700E" w:rsidRPr="00176D37" w:rsidRDefault="00E9700E" w:rsidP="009742AB">
            <w:pPr>
              <w:pStyle w:val="Tabletext"/>
              <w:jc w:val="right"/>
            </w:pPr>
            <w:r w:rsidRPr="00176D37">
              <w:t>1 (17%)</w:t>
            </w:r>
          </w:p>
        </w:tc>
        <w:tc>
          <w:tcPr>
            <w:tcW w:w="2185" w:type="dxa"/>
          </w:tcPr>
          <w:p w14:paraId="5608AC4F" w14:textId="77777777" w:rsidR="00E9700E" w:rsidRPr="00176D37" w:rsidRDefault="00E9700E" w:rsidP="009742AB">
            <w:pPr>
              <w:pStyle w:val="Tabletext"/>
              <w:jc w:val="right"/>
            </w:pPr>
            <w:r w:rsidRPr="00176D37">
              <w:t>1 (7%)</w:t>
            </w:r>
          </w:p>
        </w:tc>
      </w:tr>
      <w:tr w:rsidR="00E9700E" w:rsidRPr="00176D37" w14:paraId="56B89C77" w14:textId="77777777" w:rsidTr="00A173F8">
        <w:tc>
          <w:tcPr>
            <w:tcW w:w="2658" w:type="dxa"/>
          </w:tcPr>
          <w:p w14:paraId="67D03B9A" w14:textId="77777777" w:rsidR="00E9700E" w:rsidRPr="00176D37" w:rsidRDefault="00E9700E" w:rsidP="00073A4F">
            <w:pPr>
              <w:pStyle w:val="Tabletext"/>
            </w:pPr>
            <w:proofErr w:type="gramStart"/>
            <w:r w:rsidRPr="00176D37">
              <w:t>Usually</w:t>
            </w:r>
            <w:proofErr w:type="gramEnd"/>
          </w:p>
        </w:tc>
        <w:tc>
          <w:tcPr>
            <w:tcW w:w="1988" w:type="dxa"/>
          </w:tcPr>
          <w:p w14:paraId="3A8B6600" w14:textId="77777777" w:rsidR="00E9700E" w:rsidRPr="00176D37" w:rsidRDefault="00E9700E" w:rsidP="009742AB">
            <w:pPr>
              <w:pStyle w:val="Tabletext"/>
              <w:jc w:val="right"/>
            </w:pPr>
            <w:r w:rsidRPr="00176D37">
              <w:t>-</w:t>
            </w:r>
          </w:p>
        </w:tc>
        <w:tc>
          <w:tcPr>
            <w:tcW w:w="2185" w:type="dxa"/>
          </w:tcPr>
          <w:p w14:paraId="10D4ECCA" w14:textId="77777777" w:rsidR="00E9700E" w:rsidRPr="00176D37" w:rsidRDefault="00E9700E" w:rsidP="009742AB">
            <w:pPr>
              <w:pStyle w:val="Tabletext"/>
              <w:jc w:val="right"/>
            </w:pPr>
            <w:r w:rsidRPr="00176D37">
              <w:t>4 (67%)</w:t>
            </w:r>
          </w:p>
        </w:tc>
        <w:tc>
          <w:tcPr>
            <w:tcW w:w="2185" w:type="dxa"/>
          </w:tcPr>
          <w:p w14:paraId="538CAC3E" w14:textId="77777777" w:rsidR="00E9700E" w:rsidRPr="00176D37" w:rsidRDefault="00E9700E" w:rsidP="009742AB">
            <w:pPr>
              <w:pStyle w:val="Tabletext"/>
              <w:jc w:val="right"/>
            </w:pPr>
            <w:r w:rsidRPr="00176D37">
              <w:t>8 (53%)</w:t>
            </w:r>
          </w:p>
        </w:tc>
      </w:tr>
      <w:tr w:rsidR="00E9700E" w:rsidRPr="00176D37" w14:paraId="237D1FF8" w14:textId="77777777" w:rsidTr="00A173F8">
        <w:tc>
          <w:tcPr>
            <w:tcW w:w="2658" w:type="dxa"/>
          </w:tcPr>
          <w:p w14:paraId="03576830" w14:textId="77777777" w:rsidR="00E9700E" w:rsidRPr="00176D37" w:rsidRDefault="00E9700E" w:rsidP="00073A4F">
            <w:pPr>
              <w:pStyle w:val="Tabletext"/>
            </w:pPr>
            <w:r w:rsidRPr="00176D37">
              <w:t>Sometimes</w:t>
            </w:r>
          </w:p>
        </w:tc>
        <w:tc>
          <w:tcPr>
            <w:tcW w:w="1988" w:type="dxa"/>
          </w:tcPr>
          <w:p w14:paraId="4B449C94" w14:textId="77777777" w:rsidR="00E9700E" w:rsidRPr="00176D37" w:rsidRDefault="00E9700E" w:rsidP="009742AB">
            <w:pPr>
              <w:pStyle w:val="Tabletext"/>
              <w:jc w:val="right"/>
            </w:pPr>
            <w:r w:rsidRPr="00176D37">
              <w:t>1 (25%)</w:t>
            </w:r>
          </w:p>
        </w:tc>
        <w:tc>
          <w:tcPr>
            <w:tcW w:w="2185" w:type="dxa"/>
          </w:tcPr>
          <w:p w14:paraId="2237BAE0" w14:textId="77777777" w:rsidR="00E9700E" w:rsidRPr="00176D37" w:rsidRDefault="00E9700E" w:rsidP="009742AB">
            <w:pPr>
              <w:pStyle w:val="Tabletext"/>
              <w:jc w:val="right"/>
            </w:pPr>
            <w:r w:rsidRPr="00176D37">
              <w:t>1 (17%)</w:t>
            </w:r>
          </w:p>
        </w:tc>
        <w:tc>
          <w:tcPr>
            <w:tcW w:w="2185" w:type="dxa"/>
          </w:tcPr>
          <w:p w14:paraId="4F08E66F" w14:textId="77777777" w:rsidR="00E9700E" w:rsidRPr="00176D37" w:rsidRDefault="00E9700E" w:rsidP="009742AB">
            <w:pPr>
              <w:pStyle w:val="Tabletext"/>
              <w:jc w:val="right"/>
            </w:pPr>
            <w:r w:rsidRPr="00176D37">
              <w:t>-</w:t>
            </w:r>
          </w:p>
        </w:tc>
      </w:tr>
      <w:tr w:rsidR="00E9700E" w:rsidRPr="00176D37" w14:paraId="6A5F43A9" w14:textId="77777777" w:rsidTr="00A173F8">
        <w:tc>
          <w:tcPr>
            <w:tcW w:w="2658" w:type="dxa"/>
          </w:tcPr>
          <w:p w14:paraId="1240394D" w14:textId="77777777" w:rsidR="00E9700E" w:rsidRPr="00176D37" w:rsidRDefault="00E9700E" w:rsidP="00073A4F">
            <w:pPr>
              <w:pStyle w:val="Tabletext"/>
            </w:pPr>
            <w:r w:rsidRPr="00176D37">
              <w:t>Never</w:t>
            </w:r>
          </w:p>
        </w:tc>
        <w:tc>
          <w:tcPr>
            <w:tcW w:w="1988" w:type="dxa"/>
          </w:tcPr>
          <w:p w14:paraId="44E2E809" w14:textId="77777777" w:rsidR="00E9700E" w:rsidRPr="00176D37" w:rsidRDefault="00E9700E" w:rsidP="009742AB">
            <w:pPr>
              <w:pStyle w:val="Tabletext"/>
              <w:jc w:val="right"/>
            </w:pPr>
            <w:r w:rsidRPr="00176D37">
              <w:t>-</w:t>
            </w:r>
          </w:p>
        </w:tc>
        <w:tc>
          <w:tcPr>
            <w:tcW w:w="2185" w:type="dxa"/>
          </w:tcPr>
          <w:p w14:paraId="4FEC696D" w14:textId="77777777" w:rsidR="00E9700E" w:rsidRPr="00176D37" w:rsidRDefault="00E9700E" w:rsidP="009742AB">
            <w:pPr>
              <w:pStyle w:val="Tabletext"/>
              <w:jc w:val="right"/>
            </w:pPr>
            <w:r w:rsidRPr="00176D37">
              <w:t>-</w:t>
            </w:r>
          </w:p>
        </w:tc>
        <w:tc>
          <w:tcPr>
            <w:tcW w:w="2185" w:type="dxa"/>
          </w:tcPr>
          <w:p w14:paraId="3B95515D" w14:textId="77777777" w:rsidR="00E9700E" w:rsidRPr="00176D37" w:rsidRDefault="00E9700E" w:rsidP="009742AB">
            <w:pPr>
              <w:pStyle w:val="Tabletext"/>
              <w:jc w:val="right"/>
            </w:pPr>
            <w:r w:rsidRPr="00176D37">
              <w:t>-</w:t>
            </w:r>
          </w:p>
        </w:tc>
      </w:tr>
      <w:tr w:rsidR="00E9700E" w:rsidRPr="00176D37" w14:paraId="39E64098" w14:textId="77777777" w:rsidTr="00A173F8">
        <w:tc>
          <w:tcPr>
            <w:tcW w:w="2658" w:type="dxa"/>
          </w:tcPr>
          <w:p w14:paraId="63B3934B" w14:textId="77777777" w:rsidR="00E9700E" w:rsidRPr="00176D37" w:rsidRDefault="00E9700E" w:rsidP="00073A4F">
            <w:pPr>
              <w:pStyle w:val="Tabletext"/>
            </w:pPr>
            <w:r w:rsidRPr="00176D37">
              <w:t>Unsure</w:t>
            </w:r>
          </w:p>
        </w:tc>
        <w:tc>
          <w:tcPr>
            <w:tcW w:w="1988" w:type="dxa"/>
          </w:tcPr>
          <w:p w14:paraId="7B268979" w14:textId="77777777" w:rsidR="00E9700E" w:rsidRPr="00176D37" w:rsidRDefault="00E9700E" w:rsidP="009742AB">
            <w:pPr>
              <w:pStyle w:val="Tabletext"/>
              <w:jc w:val="right"/>
            </w:pPr>
            <w:r w:rsidRPr="00176D37">
              <w:t>-</w:t>
            </w:r>
          </w:p>
        </w:tc>
        <w:tc>
          <w:tcPr>
            <w:tcW w:w="2185" w:type="dxa"/>
          </w:tcPr>
          <w:p w14:paraId="1074D002" w14:textId="77777777" w:rsidR="00E9700E" w:rsidRPr="00176D37" w:rsidRDefault="00E9700E" w:rsidP="009742AB">
            <w:pPr>
              <w:pStyle w:val="Tabletext"/>
              <w:jc w:val="right"/>
            </w:pPr>
            <w:r w:rsidRPr="00176D37">
              <w:t>-</w:t>
            </w:r>
          </w:p>
        </w:tc>
        <w:tc>
          <w:tcPr>
            <w:tcW w:w="2185" w:type="dxa"/>
          </w:tcPr>
          <w:p w14:paraId="6C5CA9AD" w14:textId="77777777" w:rsidR="00E9700E" w:rsidRPr="00176D37" w:rsidRDefault="00E9700E" w:rsidP="009742AB">
            <w:pPr>
              <w:pStyle w:val="Tabletext"/>
              <w:jc w:val="right"/>
            </w:pPr>
            <w:r w:rsidRPr="00176D37">
              <w:t>6 (40%)</w:t>
            </w:r>
          </w:p>
        </w:tc>
      </w:tr>
    </w:tbl>
    <w:p w14:paraId="5148CCAD" w14:textId="77777777" w:rsidR="00E9700E" w:rsidRPr="00176D37" w:rsidRDefault="00E9700E" w:rsidP="00073A4F">
      <w:pPr>
        <w:pStyle w:val="Body"/>
        <w:spacing w:before="240"/>
      </w:pPr>
      <w:r w:rsidRPr="00176D37">
        <w:t>Most respondents report there are always or usually sufficient computer terminals available for when they need them.</w:t>
      </w:r>
    </w:p>
    <w:p w14:paraId="70E0F14C" w14:textId="77777777" w:rsidR="00E9700E" w:rsidRPr="00073A4F" w:rsidRDefault="00E9700E" w:rsidP="00073A4F">
      <w:pPr>
        <w:pStyle w:val="Heading3"/>
      </w:pPr>
      <w:bookmarkStart w:id="391" w:name="_Toc101285718"/>
      <w:bookmarkStart w:id="392" w:name="_Toc101947740"/>
      <w:r w:rsidRPr="00073A4F">
        <w:t>Patient safety concerns</w:t>
      </w:r>
      <w:bookmarkEnd w:id="391"/>
      <w:bookmarkEnd w:id="392"/>
    </w:p>
    <w:p w14:paraId="0095D265" w14:textId="2E0B4D1B" w:rsidR="00E9700E" w:rsidRPr="00176D37" w:rsidRDefault="00E9700E" w:rsidP="00073A4F">
      <w:pPr>
        <w:pStyle w:val="Body"/>
      </w:pPr>
      <w:r w:rsidRPr="00176D37">
        <w:t xml:space="preserve">EMR use has been identified as a strategy to improve patient safety. EMR implementation </w:t>
      </w:r>
      <w:proofErr w:type="gramStart"/>
      <w:r w:rsidRPr="00176D37">
        <w:t>can</w:t>
      </w:r>
      <w:proofErr w:type="gramEnd"/>
      <w:r w:rsidRPr="00176D37">
        <w:t xml:space="preserve"> however, have unintended adverse consequences. Early adoption of safety enhancing EMR features can promote safety culture improvements and providers’ positive response to the EMR </w:t>
      </w:r>
      <w:r w:rsidR="004A2052" w:rsidRPr="00176D37">
        <w:rPr>
          <w:noProof/>
        </w:rPr>
        <w:t>(McGuire 2013)</w:t>
      </w:r>
      <w:r w:rsidRPr="00176D37">
        <w:t xml:space="preserve">. </w:t>
      </w:r>
    </w:p>
    <w:p w14:paraId="0EB521D2" w14:textId="2D8803CE" w:rsidR="00E9700E" w:rsidRPr="00176D37" w:rsidRDefault="00E9700E" w:rsidP="00073A4F">
      <w:pPr>
        <w:pStyle w:val="Body"/>
      </w:pPr>
      <w:r w:rsidRPr="00176D37">
        <w:t xml:space="preserve">Some risks cannot be eliminated entirely, the goal should be to implement processes that minimise patient harm and manage known </w:t>
      </w:r>
      <w:r w:rsidR="0008077C">
        <w:t xml:space="preserve">but </w:t>
      </w:r>
      <w:r w:rsidRPr="00176D37">
        <w:t xml:space="preserve">unavoidable safety hazards. Safe organisational practices and cultures should be established. This includes training users properly, establishing a working environment that is conducive to safe practices, and ensuring that the decision support system is appropriate for the clinical tasks for which it is being used </w:t>
      </w:r>
      <w:r w:rsidR="004A2052" w:rsidRPr="00176D37">
        <w:rPr>
          <w:noProof/>
        </w:rPr>
        <w:t>(Bowman 2013)</w:t>
      </w:r>
      <w:r w:rsidRPr="00176D37">
        <w:t>.</w:t>
      </w:r>
    </w:p>
    <w:p w14:paraId="55DF2073" w14:textId="77777777" w:rsidR="00E9700E" w:rsidRPr="00176D37" w:rsidRDefault="00E9700E" w:rsidP="00073A4F">
      <w:pPr>
        <w:pStyle w:val="Body"/>
      </w:pPr>
      <w:r w:rsidRPr="00176D37">
        <w:t>EMR rollouts can involve a series of potential risks for patients, including:</w:t>
      </w:r>
    </w:p>
    <w:p w14:paraId="6BECB2BB" w14:textId="243A534B" w:rsidR="00E9700E" w:rsidRPr="00176D37" w:rsidRDefault="004A2052" w:rsidP="00073A4F">
      <w:pPr>
        <w:pStyle w:val="Bullet1"/>
      </w:pPr>
      <w:r w:rsidRPr="00176D37">
        <w:t xml:space="preserve">difficult or incorrect system integration leading to errors from delays or lost information </w:t>
      </w:r>
    </w:p>
    <w:p w14:paraId="72919516" w14:textId="70EE4A76" w:rsidR="00E9700E" w:rsidRPr="00176D37" w:rsidRDefault="004A2052" w:rsidP="00073A4F">
      <w:pPr>
        <w:pStyle w:val="Bullet1"/>
      </w:pPr>
      <w:r w:rsidRPr="00176D37">
        <w:t>changes to clinical workflows</w:t>
      </w:r>
    </w:p>
    <w:p w14:paraId="56114F39" w14:textId="4C6B6504" w:rsidR="00E9700E" w:rsidRPr="00176D37" w:rsidRDefault="004A2052" w:rsidP="00073A4F">
      <w:pPr>
        <w:pStyle w:val="Bullet1"/>
      </w:pPr>
      <w:r w:rsidRPr="00176D37">
        <w:t>staff learning to use the system</w:t>
      </w:r>
    </w:p>
    <w:p w14:paraId="71191CA3" w14:textId="4FECCE29" w:rsidR="00E9700E" w:rsidRPr="00176D37" w:rsidRDefault="004A2052" w:rsidP="00073A4F">
      <w:pPr>
        <w:pStyle w:val="Bullet1"/>
      </w:pPr>
      <w:r w:rsidRPr="00176D37">
        <w:t>los</w:t>
      </w:r>
      <w:r w:rsidR="00E9700E" w:rsidRPr="00176D37">
        <w:t xml:space="preserve">s of patient focus as attention is directed to new technology </w:t>
      </w:r>
      <w:r w:rsidRPr="00176D37">
        <w:rPr>
          <w:noProof/>
        </w:rPr>
        <w:t>(Sullivan 2016)</w:t>
      </w:r>
      <w:r w:rsidR="00E9700E" w:rsidRPr="00176D37">
        <w:t>.</w:t>
      </w:r>
    </w:p>
    <w:p w14:paraId="6B6C9EBC" w14:textId="27CBCA4F" w:rsidR="00E9700E" w:rsidRPr="00176D37" w:rsidRDefault="00E9700E" w:rsidP="009742AB">
      <w:pPr>
        <w:pStyle w:val="Bodyafterbullets"/>
      </w:pPr>
      <w:r w:rsidRPr="00176D37">
        <w:t xml:space="preserve">Respondents were asked how their perception of </w:t>
      </w:r>
      <w:r w:rsidRPr="004A2052">
        <w:t>patient</w:t>
      </w:r>
      <w:r w:rsidRPr="00176D37">
        <w:t xml:space="preserve"> safety has changed since the EMR was implemented (</w:t>
      </w:r>
      <w:r w:rsidRPr="00176D37">
        <w:fldChar w:fldCharType="begin"/>
      </w:r>
      <w:r w:rsidRPr="00176D37">
        <w:instrText xml:space="preserve"> REF _Ref100681529 \h  \* MERGEFORMAT </w:instrText>
      </w:r>
      <w:r w:rsidRPr="00176D37">
        <w:fldChar w:fldCharType="separate"/>
      </w:r>
      <w:r w:rsidR="00E73E2F" w:rsidRPr="00176D37">
        <w:t xml:space="preserve">Table </w:t>
      </w:r>
      <w:r w:rsidR="00E73E2F">
        <w:rPr>
          <w:noProof/>
        </w:rPr>
        <w:t>48</w:t>
      </w:r>
      <w:r w:rsidRPr="00176D37">
        <w:fldChar w:fldCharType="end"/>
      </w:r>
      <w:r w:rsidRPr="00176D37">
        <w:t>). While this is not an objective measure, clinical staff are an important hazard barometer.</w:t>
      </w:r>
    </w:p>
    <w:p w14:paraId="41128683" w14:textId="2D0C5C90" w:rsidR="00E9700E" w:rsidRPr="00176D37" w:rsidRDefault="00E9700E" w:rsidP="00073A4F">
      <w:pPr>
        <w:pStyle w:val="Tablecaption"/>
      </w:pPr>
      <w:bookmarkStart w:id="393" w:name="_Ref100681529"/>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48</w:t>
      </w:r>
      <w:r w:rsidR="00F751A0">
        <w:rPr>
          <w:noProof/>
        </w:rPr>
        <w:fldChar w:fldCharType="end"/>
      </w:r>
      <w:bookmarkEnd w:id="393"/>
      <w:r w:rsidRPr="00176D37">
        <w:t>: Changes to perception of patient safety since EMR implementation (</w:t>
      </w:r>
      <w:r w:rsidR="00F751A0">
        <w:t xml:space="preserve">n = </w:t>
      </w:r>
      <w:r w:rsidRPr="00176D37">
        <w:t>41)</w:t>
      </w:r>
      <w:r w:rsidRPr="00176D37">
        <w:rPr>
          <w:rStyle w:val="FootnoteReference"/>
          <w:rFonts w:cs="Arial"/>
        </w:rPr>
        <w:t xml:space="preserve"> </w:t>
      </w:r>
      <w:r w:rsidRPr="00176D37">
        <w:rPr>
          <w:rStyle w:val="FootnoteReference"/>
          <w:rFonts w:cs="Arial"/>
          <w:sz w:val="22"/>
          <w:szCs w:val="22"/>
        </w:rPr>
        <w:footnoteReference w:id="39"/>
      </w:r>
      <w:r w:rsidRPr="00176D37">
        <w:t xml:space="preserve">  </w:t>
      </w:r>
    </w:p>
    <w:tbl>
      <w:tblPr>
        <w:tblStyle w:val="TableGrid"/>
        <w:tblW w:w="0" w:type="auto"/>
        <w:tblLook w:val="04A0" w:firstRow="1" w:lastRow="0" w:firstColumn="1" w:lastColumn="0" w:noHBand="0" w:noVBand="1"/>
      </w:tblPr>
      <w:tblGrid>
        <w:gridCol w:w="2141"/>
        <w:gridCol w:w="1850"/>
        <w:gridCol w:w="1816"/>
        <w:gridCol w:w="1730"/>
        <w:gridCol w:w="1479"/>
      </w:tblGrid>
      <w:tr w:rsidR="00E9700E" w:rsidRPr="00176D37" w14:paraId="643466AC" w14:textId="77777777" w:rsidTr="009742AB">
        <w:trPr>
          <w:tblHeader/>
        </w:trPr>
        <w:tc>
          <w:tcPr>
            <w:tcW w:w="2141" w:type="dxa"/>
          </w:tcPr>
          <w:p w14:paraId="7EBF1EEF" w14:textId="3B24F7F6" w:rsidR="00E9700E" w:rsidRPr="00176D37" w:rsidRDefault="004A2052" w:rsidP="00073A4F">
            <w:pPr>
              <w:pStyle w:val="Tablecolhead"/>
            </w:pPr>
            <w:r>
              <w:t>Issue</w:t>
            </w:r>
          </w:p>
        </w:tc>
        <w:tc>
          <w:tcPr>
            <w:tcW w:w="1850" w:type="dxa"/>
          </w:tcPr>
          <w:p w14:paraId="0512C4BE" w14:textId="77777777" w:rsidR="00E9700E" w:rsidRPr="00176D37" w:rsidRDefault="00E9700E" w:rsidP="00073A4F">
            <w:pPr>
              <w:pStyle w:val="Tablecolhead"/>
            </w:pPr>
            <w:r w:rsidRPr="00176D37">
              <w:t>Decreased</w:t>
            </w:r>
          </w:p>
          <w:p w14:paraId="3C1261B3" w14:textId="77777777" w:rsidR="00E9700E" w:rsidRPr="00176D37" w:rsidRDefault="00E9700E" w:rsidP="00073A4F">
            <w:pPr>
              <w:pStyle w:val="Tablecolhead"/>
            </w:pPr>
            <w:r w:rsidRPr="00176D37">
              <w:t>n (%)</w:t>
            </w:r>
          </w:p>
        </w:tc>
        <w:tc>
          <w:tcPr>
            <w:tcW w:w="1816" w:type="dxa"/>
          </w:tcPr>
          <w:p w14:paraId="283ADE1B" w14:textId="77777777" w:rsidR="00E9700E" w:rsidRPr="00176D37" w:rsidRDefault="00E9700E" w:rsidP="00073A4F">
            <w:pPr>
              <w:pStyle w:val="Tablecolhead"/>
            </w:pPr>
            <w:r w:rsidRPr="00176D37">
              <w:t>Increased</w:t>
            </w:r>
          </w:p>
          <w:p w14:paraId="75676F9F" w14:textId="77777777" w:rsidR="00E9700E" w:rsidRPr="00176D37" w:rsidRDefault="00E9700E" w:rsidP="00073A4F">
            <w:pPr>
              <w:pStyle w:val="Tablecolhead"/>
            </w:pPr>
            <w:r w:rsidRPr="00176D37">
              <w:t>n (%)</w:t>
            </w:r>
          </w:p>
        </w:tc>
        <w:tc>
          <w:tcPr>
            <w:tcW w:w="1730" w:type="dxa"/>
          </w:tcPr>
          <w:p w14:paraId="1C322159" w14:textId="77777777" w:rsidR="00E9700E" w:rsidRPr="00176D37" w:rsidRDefault="00E9700E" w:rsidP="00073A4F">
            <w:pPr>
              <w:pStyle w:val="Tablecolhead"/>
            </w:pPr>
            <w:r w:rsidRPr="00176D37">
              <w:t>No change</w:t>
            </w:r>
          </w:p>
          <w:p w14:paraId="4A360D1A" w14:textId="77777777" w:rsidR="00E9700E" w:rsidRPr="00176D37" w:rsidRDefault="00E9700E" w:rsidP="00073A4F">
            <w:pPr>
              <w:pStyle w:val="Tablecolhead"/>
            </w:pPr>
            <w:r w:rsidRPr="00176D37">
              <w:t>n (%)</w:t>
            </w:r>
          </w:p>
        </w:tc>
        <w:tc>
          <w:tcPr>
            <w:tcW w:w="1479" w:type="dxa"/>
          </w:tcPr>
          <w:p w14:paraId="16A17A03" w14:textId="77777777" w:rsidR="00E9700E" w:rsidRPr="00176D37" w:rsidRDefault="00E9700E" w:rsidP="00073A4F">
            <w:pPr>
              <w:pStyle w:val="Tablecolhead"/>
            </w:pPr>
            <w:r w:rsidRPr="00176D37">
              <w:t>Unsure/N/A</w:t>
            </w:r>
          </w:p>
          <w:p w14:paraId="4BD27737" w14:textId="77777777" w:rsidR="00E9700E" w:rsidRPr="00176D37" w:rsidRDefault="00E9700E" w:rsidP="00073A4F">
            <w:pPr>
              <w:pStyle w:val="Tablecolhead"/>
            </w:pPr>
            <w:r w:rsidRPr="00176D37">
              <w:t>n (%)</w:t>
            </w:r>
          </w:p>
        </w:tc>
      </w:tr>
      <w:tr w:rsidR="00E9700E" w:rsidRPr="00176D37" w14:paraId="3FCEA7AF" w14:textId="77777777" w:rsidTr="00A173F8">
        <w:tc>
          <w:tcPr>
            <w:tcW w:w="2141" w:type="dxa"/>
          </w:tcPr>
          <w:p w14:paraId="4953D1B0" w14:textId="77777777" w:rsidR="00E9700E" w:rsidRPr="00176D37" w:rsidRDefault="00E9700E" w:rsidP="00073A4F">
            <w:pPr>
              <w:pStyle w:val="Tabletext"/>
            </w:pPr>
            <w:r w:rsidRPr="00176D37">
              <w:t>Your perception of patient safety</w:t>
            </w:r>
          </w:p>
        </w:tc>
        <w:tc>
          <w:tcPr>
            <w:tcW w:w="1850" w:type="dxa"/>
          </w:tcPr>
          <w:p w14:paraId="2FA03AC9" w14:textId="77777777" w:rsidR="00E9700E" w:rsidRPr="00176D37" w:rsidRDefault="00E9700E" w:rsidP="00073A4F">
            <w:pPr>
              <w:pStyle w:val="Tabletext"/>
            </w:pPr>
            <w:r w:rsidRPr="00176D37">
              <w:t>4 (10%)</w:t>
            </w:r>
          </w:p>
        </w:tc>
        <w:tc>
          <w:tcPr>
            <w:tcW w:w="1816" w:type="dxa"/>
          </w:tcPr>
          <w:p w14:paraId="30FBEF70" w14:textId="77777777" w:rsidR="00E9700E" w:rsidRPr="00176D37" w:rsidRDefault="00E9700E" w:rsidP="00073A4F">
            <w:pPr>
              <w:pStyle w:val="Tabletext"/>
            </w:pPr>
            <w:r w:rsidRPr="00176D37">
              <w:t>13 (32%)</w:t>
            </w:r>
          </w:p>
        </w:tc>
        <w:tc>
          <w:tcPr>
            <w:tcW w:w="1730" w:type="dxa"/>
          </w:tcPr>
          <w:p w14:paraId="4C1D5AED" w14:textId="77777777" w:rsidR="00E9700E" w:rsidRPr="00176D37" w:rsidRDefault="00E9700E" w:rsidP="00073A4F">
            <w:pPr>
              <w:pStyle w:val="Tabletext"/>
            </w:pPr>
            <w:r w:rsidRPr="00176D37">
              <w:t>12 (29%)</w:t>
            </w:r>
          </w:p>
        </w:tc>
        <w:tc>
          <w:tcPr>
            <w:tcW w:w="1479" w:type="dxa"/>
          </w:tcPr>
          <w:p w14:paraId="1D361BA1" w14:textId="77777777" w:rsidR="00E9700E" w:rsidRPr="00176D37" w:rsidRDefault="00E9700E" w:rsidP="00073A4F">
            <w:pPr>
              <w:pStyle w:val="Tabletext"/>
            </w:pPr>
            <w:r w:rsidRPr="00176D37">
              <w:t>12 (29%)</w:t>
            </w:r>
          </w:p>
        </w:tc>
      </w:tr>
    </w:tbl>
    <w:p w14:paraId="7603C740" w14:textId="4AADED03" w:rsidR="00E9700E" w:rsidRPr="00176D37" w:rsidRDefault="00E9700E" w:rsidP="009742AB">
      <w:pPr>
        <w:pStyle w:val="Bodyaftertablefigure"/>
      </w:pPr>
      <w:r w:rsidRPr="00176D37">
        <w:t xml:space="preserve">Four (10 per cent) </w:t>
      </w:r>
      <w:r w:rsidRPr="004A2052">
        <w:t>respondents</w:t>
      </w:r>
      <w:r w:rsidRPr="00176D37">
        <w:t xml:space="preserve"> felt that patient safety has decreased since EMR implementation. It would be valuable to explore this further in future studies. Thirteen (32 per cent) report an increase in perception in patient safety, while </w:t>
      </w:r>
      <w:r w:rsidR="004A2052">
        <w:t>12</w:t>
      </w:r>
      <w:r w:rsidR="004A2052" w:rsidRPr="00176D37">
        <w:t xml:space="preserve"> </w:t>
      </w:r>
      <w:r w:rsidRPr="00176D37">
        <w:t>(29 per cent) report no change.</w:t>
      </w:r>
    </w:p>
    <w:p w14:paraId="48161BF8" w14:textId="0B1B87A8" w:rsidR="005F6CBF" w:rsidRDefault="00E9700E" w:rsidP="009742AB">
      <w:pPr>
        <w:pStyle w:val="Body"/>
        <w:rPr>
          <w:rFonts w:eastAsia="MS Gothic" w:cs="Arial"/>
          <w:bCs/>
          <w:color w:val="AF272F"/>
          <w:kern w:val="32"/>
          <w:sz w:val="44"/>
          <w:szCs w:val="44"/>
        </w:rPr>
      </w:pPr>
      <w:r w:rsidRPr="00176D37">
        <w:t xml:space="preserve">The opportunity exists to improve the safety, </w:t>
      </w:r>
      <w:proofErr w:type="gramStart"/>
      <w:r w:rsidRPr="00176D37">
        <w:t>quality</w:t>
      </w:r>
      <w:proofErr w:type="gramEnd"/>
      <w:r w:rsidRPr="00176D37">
        <w:t xml:space="preserve"> and efficiency of transfusion practice by incorporating transfusion practice into EMRs. Particularly through utilising decision support and optimising patient ID checking procedures. Poor design of electronic systems and electronic-human process interfaces may increase risk while creating an impression of safety</w:t>
      </w:r>
      <w:r w:rsidR="004749EE">
        <w:t xml:space="preserve"> (Crispin 2022)</w:t>
      </w:r>
      <w:r w:rsidRPr="00176D37">
        <w:t>.</w:t>
      </w:r>
      <w:bookmarkStart w:id="394" w:name="_Toc101285719"/>
      <w:bookmarkStart w:id="395" w:name="_Toc101947741"/>
    </w:p>
    <w:p w14:paraId="6942987B" w14:textId="77777777" w:rsidR="00B73AB7" w:rsidRDefault="00B73AB7">
      <w:pPr>
        <w:spacing w:after="0" w:line="240" w:lineRule="auto"/>
        <w:rPr>
          <w:rFonts w:eastAsia="MS Gothic" w:cs="Arial"/>
          <w:bCs/>
          <w:color w:val="AF272F"/>
          <w:kern w:val="32"/>
          <w:sz w:val="44"/>
          <w:szCs w:val="44"/>
        </w:rPr>
      </w:pPr>
      <w:r>
        <w:br w:type="page"/>
      </w:r>
    </w:p>
    <w:p w14:paraId="39E41F33" w14:textId="02754E1E" w:rsidR="00E9700E" w:rsidRPr="00073A4F" w:rsidRDefault="00E9700E" w:rsidP="00073A4F">
      <w:pPr>
        <w:pStyle w:val="Heading1"/>
      </w:pPr>
      <w:bookmarkStart w:id="396" w:name="_Toc104975940"/>
      <w:r w:rsidRPr="00073A4F">
        <w:lastRenderedPageBreak/>
        <w:t>Laboratory aspects of EMR implementation</w:t>
      </w:r>
      <w:bookmarkEnd w:id="394"/>
      <w:bookmarkEnd w:id="395"/>
      <w:bookmarkEnd w:id="396"/>
    </w:p>
    <w:p w14:paraId="7F8DBB98" w14:textId="6D4EC4F7" w:rsidR="00E9700E" w:rsidRPr="00176D37" w:rsidRDefault="00E9700E" w:rsidP="00073A4F">
      <w:pPr>
        <w:pStyle w:val="Body"/>
        <w:rPr>
          <w:shd w:val="clear" w:color="auto" w:fill="FFFFFF"/>
        </w:rPr>
      </w:pPr>
      <w:r w:rsidRPr="00176D37">
        <w:rPr>
          <w:shd w:val="clear" w:color="auto" w:fill="FFFFFF"/>
        </w:rPr>
        <w:t>Laboratory staff play a vital role in healthcare. As they are removed from direct patient contact</w:t>
      </w:r>
      <w:r w:rsidR="004A2052">
        <w:rPr>
          <w:shd w:val="clear" w:color="auto" w:fill="FFFFFF"/>
        </w:rPr>
        <w:t>,</w:t>
      </w:r>
      <w:r w:rsidRPr="00176D37">
        <w:rPr>
          <w:shd w:val="clear" w:color="auto" w:fill="FFFFFF"/>
        </w:rPr>
        <w:t xml:space="preserve"> they can be overlooked in important decision-making processes. Consideration of how the laboratory workflow and processes integrate into new systems are often secondary with the focus on the clinical environment. Laboratory staff experiences were captured, including how much input they had, and the impact of the EMR on their daily workflow and perspective on changes to patient safety.</w:t>
      </w:r>
    </w:p>
    <w:p w14:paraId="7B62AEC6" w14:textId="4F97A085" w:rsidR="00E9700E" w:rsidRPr="00176D37" w:rsidRDefault="00E9700E" w:rsidP="00073A4F">
      <w:pPr>
        <w:pStyle w:val="Body"/>
        <w:rPr>
          <w:lang w:eastAsia="en-AU"/>
        </w:rPr>
      </w:pPr>
      <w:r w:rsidRPr="00176D37">
        <w:rPr>
          <w:shd w:val="clear" w:color="auto" w:fill="FFFFFF"/>
        </w:rPr>
        <w:t xml:space="preserve">EMRs can lead to challenges when established safe work practices are required to be modified to accommodate the system </w:t>
      </w:r>
      <w:r w:rsidR="004A2052" w:rsidRPr="00176D37">
        <w:rPr>
          <w:noProof/>
          <w:shd w:val="clear" w:color="auto" w:fill="FFFFFF"/>
        </w:rPr>
        <w:t>(Gagnon 2010)</w:t>
      </w:r>
      <w:r w:rsidRPr="00176D37">
        <w:rPr>
          <w:shd w:val="clear" w:color="auto" w:fill="FFFFFF"/>
        </w:rPr>
        <w:t>.</w:t>
      </w:r>
      <w:r w:rsidRPr="00176D37">
        <w:rPr>
          <w:lang w:eastAsia="en-AU"/>
        </w:rPr>
        <w:t xml:space="preserve"> This is particularly true in the transfusion laboratory environment.</w:t>
      </w:r>
    </w:p>
    <w:p w14:paraId="13D7EC2D" w14:textId="4EA7FF09" w:rsidR="00E9700E" w:rsidRPr="00176D37" w:rsidRDefault="00E9700E" w:rsidP="00073A4F">
      <w:pPr>
        <w:pStyle w:val="Body"/>
        <w:rPr>
          <w:lang w:eastAsia="en-AU"/>
        </w:rPr>
      </w:pPr>
      <w:r w:rsidRPr="00176D37">
        <w:rPr>
          <w:lang w:eastAsia="en-AU"/>
        </w:rPr>
        <w:t>There were seven laboratory staff from seven health services (n</w:t>
      </w:r>
      <w:r w:rsidR="004A2052">
        <w:rPr>
          <w:lang w:eastAsia="en-AU"/>
        </w:rPr>
        <w:t xml:space="preserve"> </w:t>
      </w:r>
      <w:r w:rsidRPr="00176D37">
        <w:rPr>
          <w:lang w:eastAsia="en-AU"/>
        </w:rPr>
        <w:t>=</w:t>
      </w:r>
      <w:r w:rsidR="004A2052">
        <w:rPr>
          <w:lang w:eastAsia="en-AU"/>
        </w:rPr>
        <w:t xml:space="preserve"> </w:t>
      </w:r>
      <w:r w:rsidRPr="00176D37">
        <w:rPr>
          <w:lang w:eastAsia="en-AU"/>
        </w:rPr>
        <w:t>7) who responded to this set of questions.</w:t>
      </w:r>
    </w:p>
    <w:p w14:paraId="5D8C32C4" w14:textId="77777777" w:rsidR="00E9700E" w:rsidRPr="007C2832" w:rsidRDefault="00E9700E" w:rsidP="007C2832">
      <w:pPr>
        <w:pStyle w:val="Heading2"/>
      </w:pPr>
      <w:bookmarkStart w:id="397" w:name="_Toc101285720"/>
      <w:bookmarkStart w:id="398" w:name="_Toc101947742"/>
      <w:bookmarkStart w:id="399" w:name="_Toc104975941"/>
      <w:r w:rsidRPr="007C2832">
        <w:t>Laboratory workflow/processes</w:t>
      </w:r>
      <w:bookmarkEnd w:id="397"/>
      <w:bookmarkEnd w:id="398"/>
      <w:bookmarkEnd w:id="399"/>
    </w:p>
    <w:p w14:paraId="668480C9" w14:textId="02637797" w:rsidR="00E9700E" w:rsidRPr="00176D37" w:rsidRDefault="00E9700E" w:rsidP="007C2832">
      <w:pPr>
        <w:pStyle w:val="Body"/>
        <w:rPr>
          <w:shd w:val="clear" w:color="auto" w:fill="FFFFFF"/>
        </w:rPr>
      </w:pPr>
      <w:r w:rsidRPr="00176D37">
        <w:rPr>
          <w:shd w:val="clear" w:color="auto" w:fill="FFFFFF"/>
        </w:rPr>
        <w:t>Respondents were asked if workflow/processes have changed in their transfusion laboratory after the implementation of the EMR (</w:t>
      </w:r>
      <w:r w:rsidRPr="00176D37">
        <w:rPr>
          <w:shd w:val="clear" w:color="auto" w:fill="FFFFFF"/>
        </w:rPr>
        <w:fldChar w:fldCharType="begin"/>
      </w:r>
      <w:r w:rsidRPr="00176D37">
        <w:rPr>
          <w:shd w:val="clear" w:color="auto" w:fill="FFFFFF"/>
        </w:rPr>
        <w:instrText xml:space="preserve"> REF _Ref100681668 \h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49</w:t>
      </w:r>
      <w:r w:rsidRPr="00176D37">
        <w:rPr>
          <w:shd w:val="clear" w:color="auto" w:fill="FFFFFF"/>
        </w:rPr>
        <w:fldChar w:fldCharType="end"/>
      </w:r>
      <w:r w:rsidRPr="00176D37">
        <w:rPr>
          <w:shd w:val="clear" w:color="auto" w:fill="FFFFFF"/>
        </w:rPr>
        <w:t>).</w:t>
      </w:r>
    </w:p>
    <w:p w14:paraId="044D9B54" w14:textId="282CB6C3" w:rsidR="00E9700E" w:rsidRPr="00176D37" w:rsidRDefault="00E9700E" w:rsidP="007C2832">
      <w:pPr>
        <w:pStyle w:val="Tablecaption"/>
        <w:rPr>
          <w:shd w:val="clear" w:color="auto" w:fill="FFFFFF"/>
        </w:rPr>
      </w:pPr>
      <w:bookmarkStart w:id="400" w:name="_Ref100681668"/>
      <w:r w:rsidRPr="00176D37">
        <w:t xml:space="preserve">Table </w:t>
      </w:r>
      <w:r w:rsidR="00F751A0">
        <w:fldChar w:fldCharType="begin"/>
      </w:r>
      <w:r w:rsidR="00F751A0">
        <w:instrText xml:space="preserve"> SEQ Table \* ARABIC </w:instrText>
      </w:r>
      <w:r w:rsidR="00F751A0">
        <w:fldChar w:fldCharType="separate"/>
      </w:r>
      <w:r w:rsidR="00E73E2F">
        <w:rPr>
          <w:noProof/>
        </w:rPr>
        <w:t>49</w:t>
      </w:r>
      <w:r w:rsidR="00F751A0">
        <w:rPr>
          <w:noProof/>
        </w:rPr>
        <w:fldChar w:fldCharType="end"/>
      </w:r>
      <w:bookmarkEnd w:id="400"/>
      <w:r w:rsidRPr="00176D37">
        <w:t>: Changes to laboratory workflow/processes after implementation of the EMR</w:t>
      </w:r>
      <w:r w:rsidRPr="00176D37">
        <w:rPr>
          <w:rStyle w:val="FootnoteReference"/>
          <w:rFonts w:cs="Arial"/>
          <w:sz w:val="22"/>
          <w:szCs w:val="22"/>
          <w:shd w:val="clear" w:color="auto" w:fill="FFFFFF"/>
          <w:lang w:eastAsia="en-AU"/>
        </w:rPr>
        <w:footnoteReference w:id="40"/>
      </w:r>
      <w:r w:rsidRPr="00176D37">
        <w:rPr>
          <w:sz w:val="28"/>
          <w:szCs w:val="28"/>
        </w:rPr>
        <w:t xml:space="preserve"> </w:t>
      </w:r>
    </w:p>
    <w:tbl>
      <w:tblPr>
        <w:tblStyle w:val="TableGrid"/>
        <w:tblW w:w="9072" w:type="dxa"/>
        <w:tblInd w:w="-5" w:type="dxa"/>
        <w:tblLook w:val="04A0" w:firstRow="1" w:lastRow="0" w:firstColumn="1" w:lastColumn="0" w:noHBand="0" w:noVBand="1"/>
      </w:tblPr>
      <w:tblGrid>
        <w:gridCol w:w="3064"/>
        <w:gridCol w:w="1279"/>
        <w:gridCol w:w="1327"/>
        <w:gridCol w:w="1276"/>
        <w:gridCol w:w="1134"/>
        <w:gridCol w:w="992"/>
      </w:tblGrid>
      <w:tr w:rsidR="00E9700E" w:rsidRPr="00671D5E" w14:paraId="4CF7145D" w14:textId="77777777" w:rsidTr="009742AB">
        <w:trPr>
          <w:tblHeader/>
        </w:trPr>
        <w:tc>
          <w:tcPr>
            <w:tcW w:w="3064" w:type="dxa"/>
          </w:tcPr>
          <w:p w14:paraId="304CA61B" w14:textId="70664790" w:rsidR="00E9700E" w:rsidRPr="00671D5E" w:rsidRDefault="004A2052" w:rsidP="007C2832">
            <w:pPr>
              <w:pStyle w:val="Tablecolhead"/>
              <w:rPr>
                <w:sz w:val="20"/>
              </w:rPr>
            </w:pPr>
            <w:r w:rsidRPr="00671D5E">
              <w:rPr>
                <w:sz w:val="20"/>
              </w:rPr>
              <w:t>Change</w:t>
            </w:r>
          </w:p>
        </w:tc>
        <w:tc>
          <w:tcPr>
            <w:tcW w:w="1279" w:type="dxa"/>
          </w:tcPr>
          <w:p w14:paraId="078D2351" w14:textId="77777777" w:rsidR="00E9700E" w:rsidRPr="00671D5E" w:rsidRDefault="00E9700E" w:rsidP="007C2832">
            <w:pPr>
              <w:pStyle w:val="Tablecolhead"/>
              <w:rPr>
                <w:sz w:val="20"/>
              </w:rPr>
            </w:pPr>
            <w:r w:rsidRPr="00671D5E">
              <w:rPr>
                <w:sz w:val="20"/>
              </w:rPr>
              <w:t>Decreased</w:t>
            </w:r>
          </w:p>
          <w:p w14:paraId="4C90952B" w14:textId="77777777" w:rsidR="00E9700E" w:rsidRPr="00671D5E" w:rsidRDefault="00E9700E" w:rsidP="007C2832">
            <w:pPr>
              <w:pStyle w:val="Tablecolhead"/>
              <w:rPr>
                <w:sz w:val="20"/>
              </w:rPr>
            </w:pPr>
            <w:r w:rsidRPr="00671D5E">
              <w:rPr>
                <w:sz w:val="20"/>
              </w:rPr>
              <w:t>n (%)</w:t>
            </w:r>
          </w:p>
        </w:tc>
        <w:tc>
          <w:tcPr>
            <w:tcW w:w="1327" w:type="dxa"/>
          </w:tcPr>
          <w:p w14:paraId="61B77C0B" w14:textId="77777777" w:rsidR="00E9700E" w:rsidRPr="00671D5E" w:rsidRDefault="00E9700E" w:rsidP="007C2832">
            <w:pPr>
              <w:pStyle w:val="Tablecolhead"/>
              <w:rPr>
                <w:sz w:val="20"/>
              </w:rPr>
            </w:pPr>
            <w:r w:rsidRPr="00671D5E">
              <w:rPr>
                <w:sz w:val="20"/>
              </w:rPr>
              <w:t>No change</w:t>
            </w:r>
          </w:p>
          <w:p w14:paraId="571EA1A3" w14:textId="77777777" w:rsidR="00E9700E" w:rsidRPr="00671D5E" w:rsidRDefault="00E9700E" w:rsidP="007C2832">
            <w:pPr>
              <w:pStyle w:val="Tablecolhead"/>
              <w:rPr>
                <w:sz w:val="20"/>
              </w:rPr>
            </w:pPr>
            <w:r w:rsidRPr="00671D5E">
              <w:rPr>
                <w:sz w:val="20"/>
              </w:rPr>
              <w:t>n (%)</w:t>
            </w:r>
          </w:p>
        </w:tc>
        <w:tc>
          <w:tcPr>
            <w:tcW w:w="1276" w:type="dxa"/>
          </w:tcPr>
          <w:p w14:paraId="4D2BDCC8" w14:textId="77777777" w:rsidR="00E9700E" w:rsidRPr="00671D5E" w:rsidRDefault="00E9700E" w:rsidP="007C2832">
            <w:pPr>
              <w:pStyle w:val="Tablecolhead"/>
              <w:rPr>
                <w:sz w:val="20"/>
              </w:rPr>
            </w:pPr>
            <w:r w:rsidRPr="00671D5E">
              <w:rPr>
                <w:sz w:val="20"/>
              </w:rPr>
              <w:t>Increased</w:t>
            </w:r>
          </w:p>
          <w:p w14:paraId="26C1B415" w14:textId="77777777" w:rsidR="00E9700E" w:rsidRPr="00671D5E" w:rsidRDefault="00E9700E" w:rsidP="007C2832">
            <w:pPr>
              <w:pStyle w:val="Tablecolhead"/>
              <w:rPr>
                <w:sz w:val="20"/>
              </w:rPr>
            </w:pPr>
            <w:r w:rsidRPr="00671D5E">
              <w:rPr>
                <w:sz w:val="20"/>
              </w:rPr>
              <w:t>n (%)</w:t>
            </w:r>
          </w:p>
        </w:tc>
        <w:tc>
          <w:tcPr>
            <w:tcW w:w="1134" w:type="dxa"/>
          </w:tcPr>
          <w:p w14:paraId="702651C8" w14:textId="77777777" w:rsidR="00E9700E" w:rsidRPr="00671D5E" w:rsidRDefault="00E9700E" w:rsidP="007C2832">
            <w:pPr>
              <w:pStyle w:val="Tablecolhead"/>
              <w:rPr>
                <w:sz w:val="20"/>
              </w:rPr>
            </w:pPr>
            <w:r w:rsidRPr="00671D5E">
              <w:rPr>
                <w:sz w:val="20"/>
              </w:rPr>
              <w:t>Unsure</w:t>
            </w:r>
          </w:p>
          <w:p w14:paraId="091C62CA" w14:textId="77777777" w:rsidR="00E9700E" w:rsidRPr="00671D5E" w:rsidRDefault="00E9700E" w:rsidP="007C2832">
            <w:pPr>
              <w:pStyle w:val="Tablecolhead"/>
              <w:rPr>
                <w:sz w:val="20"/>
              </w:rPr>
            </w:pPr>
            <w:r w:rsidRPr="00671D5E">
              <w:rPr>
                <w:sz w:val="20"/>
              </w:rPr>
              <w:t>n (%)</w:t>
            </w:r>
          </w:p>
        </w:tc>
        <w:tc>
          <w:tcPr>
            <w:tcW w:w="992" w:type="dxa"/>
          </w:tcPr>
          <w:p w14:paraId="2106A00C" w14:textId="77777777" w:rsidR="00E9700E" w:rsidRPr="00671D5E" w:rsidRDefault="00E9700E" w:rsidP="007C2832">
            <w:pPr>
              <w:pStyle w:val="Tablecolhead"/>
              <w:rPr>
                <w:sz w:val="20"/>
              </w:rPr>
            </w:pPr>
            <w:r w:rsidRPr="00671D5E">
              <w:rPr>
                <w:sz w:val="20"/>
              </w:rPr>
              <w:t>N/A</w:t>
            </w:r>
          </w:p>
          <w:p w14:paraId="1636BCD6" w14:textId="77777777" w:rsidR="00E9700E" w:rsidRPr="00671D5E" w:rsidRDefault="00E9700E" w:rsidP="007C2832">
            <w:pPr>
              <w:pStyle w:val="Tablecolhead"/>
              <w:rPr>
                <w:sz w:val="20"/>
              </w:rPr>
            </w:pPr>
            <w:r w:rsidRPr="00671D5E">
              <w:rPr>
                <w:sz w:val="20"/>
              </w:rPr>
              <w:t>n (%)</w:t>
            </w:r>
          </w:p>
        </w:tc>
      </w:tr>
      <w:tr w:rsidR="00E9700E" w:rsidRPr="00671D5E" w14:paraId="4D173DC5" w14:textId="77777777" w:rsidTr="0063333A">
        <w:tc>
          <w:tcPr>
            <w:tcW w:w="3064" w:type="dxa"/>
          </w:tcPr>
          <w:p w14:paraId="3DD51D96" w14:textId="77777777" w:rsidR="00E9700E" w:rsidRPr="00671D5E" w:rsidRDefault="00E9700E" w:rsidP="007C2832">
            <w:pPr>
              <w:pStyle w:val="Tabletext"/>
              <w:rPr>
                <w:sz w:val="20"/>
              </w:rPr>
            </w:pPr>
            <w:r w:rsidRPr="00671D5E">
              <w:rPr>
                <w:sz w:val="20"/>
              </w:rPr>
              <w:t>Ability to view whether a pretransfusion specimen has been requested and/or collected</w:t>
            </w:r>
          </w:p>
        </w:tc>
        <w:tc>
          <w:tcPr>
            <w:tcW w:w="1279" w:type="dxa"/>
          </w:tcPr>
          <w:p w14:paraId="33DCC940" w14:textId="77777777" w:rsidR="00E9700E" w:rsidRPr="00671D5E" w:rsidRDefault="00E9700E" w:rsidP="009742AB">
            <w:pPr>
              <w:pStyle w:val="Tabletext"/>
              <w:jc w:val="right"/>
              <w:rPr>
                <w:sz w:val="20"/>
              </w:rPr>
            </w:pPr>
            <w:r w:rsidRPr="00671D5E">
              <w:rPr>
                <w:sz w:val="20"/>
              </w:rPr>
              <w:t>-</w:t>
            </w:r>
          </w:p>
        </w:tc>
        <w:tc>
          <w:tcPr>
            <w:tcW w:w="1327" w:type="dxa"/>
          </w:tcPr>
          <w:p w14:paraId="38217A36" w14:textId="77777777" w:rsidR="00E9700E" w:rsidRPr="00671D5E" w:rsidRDefault="00E9700E" w:rsidP="009742AB">
            <w:pPr>
              <w:pStyle w:val="Tabletext"/>
              <w:jc w:val="right"/>
              <w:rPr>
                <w:sz w:val="20"/>
              </w:rPr>
            </w:pPr>
            <w:r w:rsidRPr="00671D5E">
              <w:rPr>
                <w:sz w:val="20"/>
              </w:rPr>
              <w:t>-</w:t>
            </w:r>
          </w:p>
        </w:tc>
        <w:tc>
          <w:tcPr>
            <w:tcW w:w="1276" w:type="dxa"/>
          </w:tcPr>
          <w:p w14:paraId="775A3AE9" w14:textId="77777777" w:rsidR="00E9700E" w:rsidRPr="00671D5E" w:rsidRDefault="00E9700E" w:rsidP="009742AB">
            <w:pPr>
              <w:pStyle w:val="Tabletext"/>
              <w:jc w:val="right"/>
              <w:rPr>
                <w:sz w:val="20"/>
              </w:rPr>
            </w:pPr>
            <w:r w:rsidRPr="00671D5E">
              <w:rPr>
                <w:sz w:val="20"/>
              </w:rPr>
              <w:t>5 (71%)</w:t>
            </w:r>
          </w:p>
        </w:tc>
        <w:tc>
          <w:tcPr>
            <w:tcW w:w="1134" w:type="dxa"/>
          </w:tcPr>
          <w:p w14:paraId="5B92FFEB" w14:textId="77777777" w:rsidR="00E9700E" w:rsidRPr="00671D5E" w:rsidRDefault="00E9700E" w:rsidP="009742AB">
            <w:pPr>
              <w:pStyle w:val="Tabletext"/>
              <w:jc w:val="right"/>
              <w:rPr>
                <w:sz w:val="20"/>
              </w:rPr>
            </w:pPr>
            <w:r w:rsidRPr="00671D5E">
              <w:rPr>
                <w:sz w:val="20"/>
              </w:rPr>
              <w:t>1 (14%)</w:t>
            </w:r>
          </w:p>
        </w:tc>
        <w:tc>
          <w:tcPr>
            <w:tcW w:w="992" w:type="dxa"/>
          </w:tcPr>
          <w:p w14:paraId="3170BD34" w14:textId="77777777" w:rsidR="00E9700E" w:rsidRPr="00671D5E" w:rsidRDefault="00E9700E" w:rsidP="009742AB">
            <w:pPr>
              <w:pStyle w:val="Tabletext"/>
              <w:jc w:val="right"/>
              <w:rPr>
                <w:sz w:val="20"/>
              </w:rPr>
            </w:pPr>
            <w:r w:rsidRPr="00671D5E">
              <w:rPr>
                <w:sz w:val="20"/>
              </w:rPr>
              <w:t>1 (14%)</w:t>
            </w:r>
          </w:p>
        </w:tc>
      </w:tr>
      <w:tr w:rsidR="00E9700E" w:rsidRPr="00671D5E" w14:paraId="3D97B267" w14:textId="77777777" w:rsidTr="0063333A">
        <w:tc>
          <w:tcPr>
            <w:tcW w:w="3064" w:type="dxa"/>
          </w:tcPr>
          <w:p w14:paraId="0FA98C28" w14:textId="77777777" w:rsidR="00E9700E" w:rsidRPr="00671D5E" w:rsidRDefault="00E9700E" w:rsidP="007C2832">
            <w:pPr>
              <w:pStyle w:val="Tabletext"/>
              <w:rPr>
                <w:sz w:val="20"/>
              </w:rPr>
            </w:pPr>
            <w:r w:rsidRPr="00671D5E">
              <w:rPr>
                <w:sz w:val="20"/>
              </w:rPr>
              <w:t xml:space="preserve">Availability of clinical details and relevant patient information </w:t>
            </w:r>
          </w:p>
        </w:tc>
        <w:tc>
          <w:tcPr>
            <w:tcW w:w="1279" w:type="dxa"/>
          </w:tcPr>
          <w:p w14:paraId="767288FC" w14:textId="77777777" w:rsidR="00E9700E" w:rsidRPr="00671D5E" w:rsidRDefault="00E9700E" w:rsidP="009742AB">
            <w:pPr>
              <w:pStyle w:val="Tabletext"/>
              <w:jc w:val="right"/>
              <w:rPr>
                <w:sz w:val="20"/>
              </w:rPr>
            </w:pPr>
            <w:r w:rsidRPr="00671D5E">
              <w:rPr>
                <w:sz w:val="20"/>
              </w:rPr>
              <w:t>-</w:t>
            </w:r>
          </w:p>
        </w:tc>
        <w:tc>
          <w:tcPr>
            <w:tcW w:w="1327" w:type="dxa"/>
          </w:tcPr>
          <w:p w14:paraId="22FE1D11" w14:textId="77777777" w:rsidR="00E9700E" w:rsidRPr="00671D5E" w:rsidRDefault="00E9700E" w:rsidP="009742AB">
            <w:pPr>
              <w:pStyle w:val="Tabletext"/>
              <w:jc w:val="right"/>
              <w:rPr>
                <w:sz w:val="20"/>
              </w:rPr>
            </w:pPr>
            <w:r w:rsidRPr="00671D5E">
              <w:rPr>
                <w:sz w:val="20"/>
              </w:rPr>
              <w:t>-</w:t>
            </w:r>
          </w:p>
        </w:tc>
        <w:tc>
          <w:tcPr>
            <w:tcW w:w="1276" w:type="dxa"/>
          </w:tcPr>
          <w:p w14:paraId="09ADCFD9" w14:textId="77777777" w:rsidR="00E9700E" w:rsidRPr="00671D5E" w:rsidRDefault="00E9700E" w:rsidP="009742AB">
            <w:pPr>
              <w:pStyle w:val="Tabletext"/>
              <w:jc w:val="right"/>
              <w:rPr>
                <w:sz w:val="20"/>
              </w:rPr>
            </w:pPr>
            <w:r w:rsidRPr="00671D5E">
              <w:rPr>
                <w:sz w:val="20"/>
              </w:rPr>
              <w:t>5 (71%)</w:t>
            </w:r>
          </w:p>
        </w:tc>
        <w:tc>
          <w:tcPr>
            <w:tcW w:w="1134" w:type="dxa"/>
          </w:tcPr>
          <w:p w14:paraId="6C0B73EC" w14:textId="77777777" w:rsidR="00E9700E" w:rsidRPr="00671D5E" w:rsidRDefault="00E9700E" w:rsidP="009742AB">
            <w:pPr>
              <w:pStyle w:val="Tabletext"/>
              <w:jc w:val="right"/>
              <w:rPr>
                <w:sz w:val="20"/>
              </w:rPr>
            </w:pPr>
            <w:r w:rsidRPr="00671D5E">
              <w:rPr>
                <w:sz w:val="20"/>
              </w:rPr>
              <w:t>1 (14%)</w:t>
            </w:r>
          </w:p>
        </w:tc>
        <w:tc>
          <w:tcPr>
            <w:tcW w:w="992" w:type="dxa"/>
          </w:tcPr>
          <w:p w14:paraId="0E6B1880" w14:textId="77777777" w:rsidR="00E9700E" w:rsidRPr="00671D5E" w:rsidRDefault="00E9700E" w:rsidP="009742AB">
            <w:pPr>
              <w:pStyle w:val="Tabletext"/>
              <w:jc w:val="right"/>
              <w:rPr>
                <w:sz w:val="20"/>
              </w:rPr>
            </w:pPr>
            <w:r w:rsidRPr="00671D5E">
              <w:rPr>
                <w:sz w:val="20"/>
              </w:rPr>
              <w:t>1 (14%)</w:t>
            </w:r>
          </w:p>
        </w:tc>
      </w:tr>
      <w:tr w:rsidR="00E9700E" w:rsidRPr="00671D5E" w14:paraId="537B0137" w14:textId="77777777" w:rsidTr="0063333A">
        <w:tc>
          <w:tcPr>
            <w:tcW w:w="3064" w:type="dxa"/>
          </w:tcPr>
          <w:p w14:paraId="7FA3F354" w14:textId="77777777" w:rsidR="00E9700E" w:rsidRPr="00671D5E" w:rsidRDefault="00E9700E" w:rsidP="007C2832">
            <w:pPr>
              <w:pStyle w:val="Tabletext"/>
              <w:rPr>
                <w:sz w:val="20"/>
              </w:rPr>
            </w:pPr>
            <w:r w:rsidRPr="00671D5E">
              <w:rPr>
                <w:sz w:val="20"/>
              </w:rPr>
              <w:t xml:space="preserve">Availability of contact details for treating clinician or location of patient </w:t>
            </w:r>
          </w:p>
        </w:tc>
        <w:tc>
          <w:tcPr>
            <w:tcW w:w="1279" w:type="dxa"/>
          </w:tcPr>
          <w:p w14:paraId="4FBADC85" w14:textId="77777777" w:rsidR="00E9700E" w:rsidRPr="00671D5E" w:rsidRDefault="00E9700E" w:rsidP="009742AB">
            <w:pPr>
              <w:pStyle w:val="Tabletext"/>
              <w:jc w:val="right"/>
              <w:rPr>
                <w:sz w:val="20"/>
              </w:rPr>
            </w:pPr>
            <w:r w:rsidRPr="00671D5E">
              <w:rPr>
                <w:sz w:val="20"/>
              </w:rPr>
              <w:t>1 (14%)</w:t>
            </w:r>
          </w:p>
        </w:tc>
        <w:tc>
          <w:tcPr>
            <w:tcW w:w="1327" w:type="dxa"/>
          </w:tcPr>
          <w:p w14:paraId="4EAAAFA9" w14:textId="77777777" w:rsidR="00E9700E" w:rsidRPr="00671D5E" w:rsidRDefault="00E9700E" w:rsidP="009742AB">
            <w:pPr>
              <w:pStyle w:val="Tabletext"/>
              <w:jc w:val="right"/>
              <w:rPr>
                <w:sz w:val="20"/>
              </w:rPr>
            </w:pPr>
            <w:r w:rsidRPr="00671D5E">
              <w:rPr>
                <w:sz w:val="20"/>
              </w:rPr>
              <w:t>-</w:t>
            </w:r>
          </w:p>
        </w:tc>
        <w:tc>
          <w:tcPr>
            <w:tcW w:w="1276" w:type="dxa"/>
          </w:tcPr>
          <w:p w14:paraId="0521BBF7" w14:textId="77777777" w:rsidR="00E9700E" w:rsidRPr="00671D5E" w:rsidRDefault="00E9700E" w:rsidP="009742AB">
            <w:pPr>
              <w:pStyle w:val="Tabletext"/>
              <w:jc w:val="right"/>
              <w:rPr>
                <w:sz w:val="20"/>
              </w:rPr>
            </w:pPr>
            <w:r w:rsidRPr="00671D5E">
              <w:rPr>
                <w:sz w:val="20"/>
              </w:rPr>
              <w:t>4 (57%)</w:t>
            </w:r>
          </w:p>
        </w:tc>
        <w:tc>
          <w:tcPr>
            <w:tcW w:w="1134" w:type="dxa"/>
          </w:tcPr>
          <w:p w14:paraId="7A34B6D6" w14:textId="77777777" w:rsidR="00E9700E" w:rsidRPr="00671D5E" w:rsidRDefault="00E9700E" w:rsidP="009742AB">
            <w:pPr>
              <w:pStyle w:val="Tabletext"/>
              <w:jc w:val="right"/>
              <w:rPr>
                <w:sz w:val="20"/>
              </w:rPr>
            </w:pPr>
            <w:r w:rsidRPr="00671D5E">
              <w:rPr>
                <w:sz w:val="20"/>
              </w:rPr>
              <w:t>1 (14%)</w:t>
            </w:r>
          </w:p>
        </w:tc>
        <w:tc>
          <w:tcPr>
            <w:tcW w:w="992" w:type="dxa"/>
          </w:tcPr>
          <w:p w14:paraId="53573437" w14:textId="77777777" w:rsidR="00E9700E" w:rsidRPr="00671D5E" w:rsidRDefault="00E9700E" w:rsidP="009742AB">
            <w:pPr>
              <w:pStyle w:val="Tabletext"/>
              <w:jc w:val="right"/>
              <w:rPr>
                <w:sz w:val="20"/>
              </w:rPr>
            </w:pPr>
            <w:r w:rsidRPr="00671D5E">
              <w:rPr>
                <w:sz w:val="20"/>
              </w:rPr>
              <w:t>1 (14%)</w:t>
            </w:r>
          </w:p>
        </w:tc>
      </w:tr>
      <w:tr w:rsidR="00E9700E" w:rsidRPr="00671D5E" w14:paraId="4E254618" w14:textId="77777777" w:rsidTr="0063333A">
        <w:tc>
          <w:tcPr>
            <w:tcW w:w="3064" w:type="dxa"/>
          </w:tcPr>
          <w:p w14:paraId="30EA6FA7" w14:textId="77777777" w:rsidR="00E9700E" w:rsidRPr="00671D5E" w:rsidRDefault="00E9700E" w:rsidP="007C2832">
            <w:pPr>
              <w:pStyle w:val="Tabletext"/>
              <w:rPr>
                <w:sz w:val="20"/>
              </w:rPr>
            </w:pPr>
            <w:r w:rsidRPr="00671D5E">
              <w:rPr>
                <w:sz w:val="20"/>
              </w:rPr>
              <w:t xml:space="preserve">Clarity of blood products transfused to individual patients, </w:t>
            </w:r>
            <w:proofErr w:type="gramStart"/>
            <w:r w:rsidRPr="00671D5E">
              <w:rPr>
                <w:sz w:val="20"/>
              </w:rPr>
              <w:t>e.g.</w:t>
            </w:r>
            <w:proofErr w:type="gramEnd"/>
            <w:r w:rsidRPr="00671D5E">
              <w:rPr>
                <w:sz w:val="20"/>
              </w:rPr>
              <w:t xml:space="preserve"> in a massive transfusion setting</w:t>
            </w:r>
          </w:p>
        </w:tc>
        <w:tc>
          <w:tcPr>
            <w:tcW w:w="1279" w:type="dxa"/>
          </w:tcPr>
          <w:p w14:paraId="2CCA16E3" w14:textId="77777777" w:rsidR="00E9700E" w:rsidRPr="00671D5E" w:rsidRDefault="00E9700E" w:rsidP="009742AB">
            <w:pPr>
              <w:pStyle w:val="Tabletext"/>
              <w:jc w:val="right"/>
              <w:rPr>
                <w:sz w:val="20"/>
              </w:rPr>
            </w:pPr>
            <w:r w:rsidRPr="00671D5E">
              <w:rPr>
                <w:sz w:val="20"/>
              </w:rPr>
              <w:t>-</w:t>
            </w:r>
          </w:p>
        </w:tc>
        <w:tc>
          <w:tcPr>
            <w:tcW w:w="1327" w:type="dxa"/>
          </w:tcPr>
          <w:p w14:paraId="5FDCC54D" w14:textId="77777777" w:rsidR="00E9700E" w:rsidRPr="00671D5E" w:rsidRDefault="00E9700E" w:rsidP="009742AB">
            <w:pPr>
              <w:pStyle w:val="Tabletext"/>
              <w:jc w:val="right"/>
              <w:rPr>
                <w:sz w:val="20"/>
              </w:rPr>
            </w:pPr>
            <w:r w:rsidRPr="00671D5E">
              <w:rPr>
                <w:sz w:val="20"/>
              </w:rPr>
              <w:t>2 (29%)</w:t>
            </w:r>
          </w:p>
        </w:tc>
        <w:tc>
          <w:tcPr>
            <w:tcW w:w="1276" w:type="dxa"/>
          </w:tcPr>
          <w:p w14:paraId="3389F5B6" w14:textId="77777777" w:rsidR="00E9700E" w:rsidRPr="00671D5E" w:rsidRDefault="00E9700E" w:rsidP="009742AB">
            <w:pPr>
              <w:pStyle w:val="Tabletext"/>
              <w:jc w:val="right"/>
              <w:rPr>
                <w:sz w:val="20"/>
              </w:rPr>
            </w:pPr>
            <w:r w:rsidRPr="00671D5E">
              <w:rPr>
                <w:sz w:val="20"/>
              </w:rPr>
              <w:t>3 (43%)</w:t>
            </w:r>
          </w:p>
        </w:tc>
        <w:tc>
          <w:tcPr>
            <w:tcW w:w="1134" w:type="dxa"/>
          </w:tcPr>
          <w:p w14:paraId="4EA41FAF" w14:textId="77777777" w:rsidR="00E9700E" w:rsidRPr="00671D5E" w:rsidRDefault="00E9700E" w:rsidP="009742AB">
            <w:pPr>
              <w:pStyle w:val="Tabletext"/>
              <w:jc w:val="right"/>
              <w:rPr>
                <w:sz w:val="20"/>
              </w:rPr>
            </w:pPr>
            <w:r w:rsidRPr="00671D5E">
              <w:rPr>
                <w:sz w:val="20"/>
              </w:rPr>
              <w:t>1 (14%)</w:t>
            </w:r>
          </w:p>
        </w:tc>
        <w:tc>
          <w:tcPr>
            <w:tcW w:w="992" w:type="dxa"/>
          </w:tcPr>
          <w:p w14:paraId="09604AE1" w14:textId="77777777" w:rsidR="00E9700E" w:rsidRPr="00671D5E" w:rsidRDefault="00E9700E" w:rsidP="009742AB">
            <w:pPr>
              <w:pStyle w:val="Tabletext"/>
              <w:jc w:val="right"/>
              <w:rPr>
                <w:sz w:val="20"/>
              </w:rPr>
            </w:pPr>
            <w:r w:rsidRPr="00671D5E">
              <w:rPr>
                <w:sz w:val="20"/>
              </w:rPr>
              <w:t>1 (14%)</w:t>
            </w:r>
          </w:p>
        </w:tc>
      </w:tr>
      <w:tr w:rsidR="00E9700E" w:rsidRPr="00671D5E" w14:paraId="5AF68798" w14:textId="77777777" w:rsidTr="0063333A">
        <w:tc>
          <w:tcPr>
            <w:tcW w:w="3064" w:type="dxa"/>
          </w:tcPr>
          <w:p w14:paraId="06FEF4F1" w14:textId="77777777" w:rsidR="00E9700E" w:rsidRPr="00671D5E" w:rsidRDefault="00E9700E" w:rsidP="007C2832">
            <w:pPr>
              <w:pStyle w:val="Tabletext"/>
              <w:rPr>
                <w:sz w:val="20"/>
              </w:rPr>
            </w:pPr>
            <w:r w:rsidRPr="00671D5E">
              <w:rPr>
                <w:sz w:val="20"/>
              </w:rPr>
              <w:t>Appropriateness of blood product ordering.</w:t>
            </w:r>
          </w:p>
        </w:tc>
        <w:tc>
          <w:tcPr>
            <w:tcW w:w="1279" w:type="dxa"/>
          </w:tcPr>
          <w:p w14:paraId="7E077C71" w14:textId="77777777" w:rsidR="00E9700E" w:rsidRPr="00671D5E" w:rsidRDefault="00E9700E" w:rsidP="009742AB">
            <w:pPr>
              <w:pStyle w:val="Tabletext"/>
              <w:jc w:val="right"/>
              <w:rPr>
                <w:sz w:val="20"/>
              </w:rPr>
            </w:pPr>
            <w:r w:rsidRPr="00671D5E">
              <w:rPr>
                <w:sz w:val="20"/>
              </w:rPr>
              <w:t>1 (14%)</w:t>
            </w:r>
          </w:p>
        </w:tc>
        <w:tc>
          <w:tcPr>
            <w:tcW w:w="1327" w:type="dxa"/>
          </w:tcPr>
          <w:p w14:paraId="003DF26A" w14:textId="77777777" w:rsidR="00E9700E" w:rsidRPr="00671D5E" w:rsidRDefault="00E9700E" w:rsidP="009742AB">
            <w:pPr>
              <w:pStyle w:val="Tabletext"/>
              <w:jc w:val="right"/>
              <w:rPr>
                <w:sz w:val="20"/>
              </w:rPr>
            </w:pPr>
            <w:r w:rsidRPr="00671D5E">
              <w:rPr>
                <w:sz w:val="20"/>
              </w:rPr>
              <w:t>4 (57%)</w:t>
            </w:r>
          </w:p>
        </w:tc>
        <w:tc>
          <w:tcPr>
            <w:tcW w:w="1276" w:type="dxa"/>
          </w:tcPr>
          <w:p w14:paraId="63898D9E" w14:textId="77777777" w:rsidR="00E9700E" w:rsidRPr="00671D5E" w:rsidRDefault="00E9700E" w:rsidP="009742AB">
            <w:pPr>
              <w:pStyle w:val="Tabletext"/>
              <w:jc w:val="right"/>
              <w:rPr>
                <w:sz w:val="20"/>
              </w:rPr>
            </w:pPr>
            <w:r w:rsidRPr="00671D5E">
              <w:rPr>
                <w:sz w:val="20"/>
              </w:rPr>
              <w:t>-</w:t>
            </w:r>
          </w:p>
        </w:tc>
        <w:tc>
          <w:tcPr>
            <w:tcW w:w="1134" w:type="dxa"/>
          </w:tcPr>
          <w:p w14:paraId="2F0AE0AF" w14:textId="77777777" w:rsidR="00E9700E" w:rsidRPr="00671D5E" w:rsidRDefault="00E9700E" w:rsidP="009742AB">
            <w:pPr>
              <w:pStyle w:val="Tabletext"/>
              <w:jc w:val="right"/>
              <w:rPr>
                <w:sz w:val="20"/>
              </w:rPr>
            </w:pPr>
            <w:r w:rsidRPr="00671D5E">
              <w:rPr>
                <w:sz w:val="20"/>
              </w:rPr>
              <w:t>1 (14%)</w:t>
            </w:r>
          </w:p>
        </w:tc>
        <w:tc>
          <w:tcPr>
            <w:tcW w:w="992" w:type="dxa"/>
          </w:tcPr>
          <w:p w14:paraId="4F5A6C38" w14:textId="77777777" w:rsidR="00E9700E" w:rsidRPr="00671D5E" w:rsidRDefault="00E9700E" w:rsidP="009742AB">
            <w:pPr>
              <w:pStyle w:val="Tabletext"/>
              <w:jc w:val="right"/>
              <w:rPr>
                <w:sz w:val="20"/>
              </w:rPr>
            </w:pPr>
            <w:r w:rsidRPr="00671D5E">
              <w:rPr>
                <w:sz w:val="20"/>
              </w:rPr>
              <w:t>1 (14%)</w:t>
            </w:r>
          </w:p>
        </w:tc>
      </w:tr>
      <w:tr w:rsidR="00E9700E" w:rsidRPr="00671D5E" w14:paraId="7A557D5D" w14:textId="77777777" w:rsidTr="0063333A">
        <w:tc>
          <w:tcPr>
            <w:tcW w:w="3064" w:type="dxa"/>
          </w:tcPr>
          <w:p w14:paraId="3EBCB799" w14:textId="77777777" w:rsidR="00E9700E" w:rsidRPr="00671D5E" w:rsidRDefault="00E9700E" w:rsidP="007C2832">
            <w:pPr>
              <w:pStyle w:val="Tabletext"/>
              <w:rPr>
                <w:sz w:val="20"/>
              </w:rPr>
            </w:pPr>
            <w:r w:rsidRPr="00671D5E">
              <w:rPr>
                <w:sz w:val="20"/>
              </w:rPr>
              <w:t xml:space="preserve">Ability to pre-emptively crossmatch blood or blood products before the order is placed </w:t>
            </w:r>
          </w:p>
        </w:tc>
        <w:tc>
          <w:tcPr>
            <w:tcW w:w="1279" w:type="dxa"/>
          </w:tcPr>
          <w:p w14:paraId="68DC3934" w14:textId="77777777" w:rsidR="00E9700E" w:rsidRPr="00671D5E" w:rsidRDefault="00E9700E" w:rsidP="009742AB">
            <w:pPr>
              <w:pStyle w:val="Tabletext"/>
              <w:jc w:val="right"/>
              <w:rPr>
                <w:sz w:val="20"/>
              </w:rPr>
            </w:pPr>
            <w:r w:rsidRPr="00671D5E">
              <w:rPr>
                <w:sz w:val="20"/>
              </w:rPr>
              <w:t>3 (43%)</w:t>
            </w:r>
          </w:p>
        </w:tc>
        <w:tc>
          <w:tcPr>
            <w:tcW w:w="1327" w:type="dxa"/>
          </w:tcPr>
          <w:p w14:paraId="638B6AD0" w14:textId="77777777" w:rsidR="00E9700E" w:rsidRPr="00671D5E" w:rsidRDefault="00E9700E" w:rsidP="009742AB">
            <w:pPr>
              <w:pStyle w:val="Tabletext"/>
              <w:jc w:val="right"/>
              <w:rPr>
                <w:sz w:val="20"/>
              </w:rPr>
            </w:pPr>
            <w:r w:rsidRPr="00671D5E">
              <w:rPr>
                <w:sz w:val="20"/>
              </w:rPr>
              <w:t>-</w:t>
            </w:r>
          </w:p>
        </w:tc>
        <w:tc>
          <w:tcPr>
            <w:tcW w:w="1276" w:type="dxa"/>
          </w:tcPr>
          <w:p w14:paraId="768D8F1E" w14:textId="77777777" w:rsidR="00E9700E" w:rsidRPr="00671D5E" w:rsidRDefault="00E9700E" w:rsidP="009742AB">
            <w:pPr>
              <w:pStyle w:val="Tabletext"/>
              <w:jc w:val="right"/>
              <w:rPr>
                <w:sz w:val="20"/>
              </w:rPr>
            </w:pPr>
            <w:r w:rsidRPr="00671D5E">
              <w:rPr>
                <w:sz w:val="20"/>
              </w:rPr>
              <w:t>-</w:t>
            </w:r>
          </w:p>
        </w:tc>
        <w:tc>
          <w:tcPr>
            <w:tcW w:w="1134" w:type="dxa"/>
          </w:tcPr>
          <w:p w14:paraId="2FB85EC5" w14:textId="77777777" w:rsidR="00E9700E" w:rsidRPr="00671D5E" w:rsidRDefault="00E9700E" w:rsidP="009742AB">
            <w:pPr>
              <w:pStyle w:val="Tabletext"/>
              <w:jc w:val="right"/>
              <w:rPr>
                <w:sz w:val="20"/>
              </w:rPr>
            </w:pPr>
            <w:r w:rsidRPr="00671D5E">
              <w:rPr>
                <w:sz w:val="20"/>
              </w:rPr>
              <w:t>1 (14%)</w:t>
            </w:r>
          </w:p>
        </w:tc>
        <w:tc>
          <w:tcPr>
            <w:tcW w:w="992" w:type="dxa"/>
          </w:tcPr>
          <w:p w14:paraId="4F18828F" w14:textId="77777777" w:rsidR="00E9700E" w:rsidRPr="00671D5E" w:rsidRDefault="00E9700E" w:rsidP="009742AB">
            <w:pPr>
              <w:pStyle w:val="Tabletext"/>
              <w:jc w:val="right"/>
              <w:rPr>
                <w:sz w:val="20"/>
              </w:rPr>
            </w:pPr>
            <w:r w:rsidRPr="00671D5E">
              <w:rPr>
                <w:sz w:val="20"/>
              </w:rPr>
              <w:t>3 (43%)</w:t>
            </w:r>
          </w:p>
        </w:tc>
      </w:tr>
      <w:tr w:rsidR="00E9700E" w:rsidRPr="00671D5E" w14:paraId="00CA916C" w14:textId="77777777" w:rsidTr="0063333A">
        <w:tc>
          <w:tcPr>
            <w:tcW w:w="3064" w:type="dxa"/>
          </w:tcPr>
          <w:p w14:paraId="3CB75BAF" w14:textId="77777777" w:rsidR="00E9700E" w:rsidRPr="00671D5E" w:rsidRDefault="00E9700E" w:rsidP="007C2832">
            <w:pPr>
              <w:pStyle w:val="Tabletext"/>
              <w:rPr>
                <w:rFonts w:cs="Arial"/>
                <w:sz w:val="20"/>
              </w:rPr>
            </w:pPr>
            <w:r w:rsidRPr="00671D5E">
              <w:rPr>
                <w:rStyle w:val="normaltextrun"/>
                <w:rFonts w:eastAsiaTheme="majorEastAsia" w:cs="Arial"/>
                <w:sz w:val="20"/>
              </w:rPr>
              <w:t>Ability to crossmatch one unit at a time</w:t>
            </w:r>
            <w:r w:rsidRPr="00671D5E">
              <w:rPr>
                <w:rStyle w:val="eop"/>
                <w:rFonts w:eastAsiaTheme="majorEastAsia" w:cs="Arial"/>
                <w:sz w:val="20"/>
              </w:rPr>
              <w:t xml:space="preserve"> even if multiple units are requested </w:t>
            </w:r>
          </w:p>
        </w:tc>
        <w:tc>
          <w:tcPr>
            <w:tcW w:w="1279" w:type="dxa"/>
          </w:tcPr>
          <w:p w14:paraId="61452F00" w14:textId="77777777" w:rsidR="00E9700E" w:rsidRPr="00671D5E" w:rsidRDefault="00E9700E" w:rsidP="009742AB">
            <w:pPr>
              <w:pStyle w:val="Tabletext"/>
              <w:jc w:val="right"/>
              <w:rPr>
                <w:sz w:val="20"/>
              </w:rPr>
            </w:pPr>
            <w:r w:rsidRPr="00671D5E">
              <w:rPr>
                <w:sz w:val="20"/>
              </w:rPr>
              <w:t>-</w:t>
            </w:r>
          </w:p>
        </w:tc>
        <w:tc>
          <w:tcPr>
            <w:tcW w:w="1327" w:type="dxa"/>
          </w:tcPr>
          <w:p w14:paraId="3628F874" w14:textId="77777777" w:rsidR="00E9700E" w:rsidRPr="00671D5E" w:rsidRDefault="00E9700E" w:rsidP="009742AB">
            <w:pPr>
              <w:pStyle w:val="Tabletext"/>
              <w:jc w:val="right"/>
              <w:rPr>
                <w:sz w:val="20"/>
              </w:rPr>
            </w:pPr>
            <w:r w:rsidRPr="00671D5E">
              <w:rPr>
                <w:sz w:val="20"/>
              </w:rPr>
              <w:t>4 (57%)</w:t>
            </w:r>
          </w:p>
        </w:tc>
        <w:tc>
          <w:tcPr>
            <w:tcW w:w="1276" w:type="dxa"/>
          </w:tcPr>
          <w:p w14:paraId="5CD051BB" w14:textId="77777777" w:rsidR="00E9700E" w:rsidRPr="00671D5E" w:rsidRDefault="00E9700E" w:rsidP="009742AB">
            <w:pPr>
              <w:pStyle w:val="Tabletext"/>
              <w:jc w:val="right"/>
              <w:rPr>
                <w:sz w:val="20"/>
              </w:rPr>
            </w:pPr>
            <w:r w:rsidRPr="00671D5E">
              <w:rPr>
                <w:sz w:val="20"/>
              </w:rPr>
              <w:t>1 (14%)</w:t>
            </w:r>
          </w:p>
        </w:tc>
        <w:tc>
          <w:tcPr>
            <w:tcW w:w="1134" w:type="dxa"/>
          </w:tcPr>
          <w:p w14:paraId="3EDC59BC" w14:textId="77777777" w:rsidR="00E9700E" w:rsidRPr="00671D5E" w:rsidRDefault="00E9700E" w:rsidP="009742AB">
            <w:pPr>
              <w:pStyle w:val="Tabletext"/>
              <w:jc w:val="right"/>
              <w:rPr>
                <w:sz w:val="20"/>
              </w:rPr>
            </w:pPr>
            <w:r w:rsidRPr="00671D5E">
              <w:rPr>
                <w:sz w:val="20"/>
              </w:rPr>
              <w:t>1 (14%)</w:t>
            </w:r>
          </w:p>
        </w:tc>
        <w:tc>
          <w:tcPr>
            <w:tcW w:w="992" w:type="dxa"/>
          </w:tcPr>
          <w:p w14:paraId="266B633B" w14:textId="77777777" w:rsidR="00E9700E" w:rsidRPr="00671D5E" w:rsidRDefault="00E9700E" w:rsidP="009742AB">
            <w:pPr>
              <w:pStyle w:val="Tabletext"/>
              <w:jc w:val="right"/>
              <w:rPr>
                <w:sz w:val="20"/>
              </w:rPr>
            </w:pPr>
            <w:r w:rsidRPr="00671D5E">
              <w:rPr>
                <w:sz w:val="20"/>
              </w:rPr>
              <w:t>1 (14%)</w:t>
            </w:r>
          </w:p>
        </w:tc>
      </w:tr>
      <w:tr w:rsidR="00E9700E" w:rsidRPr="00671D5E" w14:paraId="5C921E6D" w14:textId="77777777" w:rsidTr="0063333A">
        <w:tc>
          <w:tcPr>
            <w:tcW w:w="3064" w:type="dxa"/>
          </w:tcPr>
          <w:p w14:paraId="76399E8B" w14:textId="739FA4BA" w:rsidR="00E9700E" w:rsidRPr="00671D5E" w:rsidRDefault="00E9700E" w:rsidP="007C2832">
            <w:pPr>
              <w:pStyle w:val="Tabletext"/>
              <w:rPr>
                <w:rStyle w:val="normaltextrun"/>
                <w:rFonts w:eastAsiaTheme="majorEastAsia" w:cs="Arial"/>
                <w:sz w:val="20"/>
              </w:rPr>
            </w:pPr>
            <w:r w:rsidRPr="00671D5E">
              <w:rPr>
                <w:rStyle w:val="normaltextrun"/>
                <w:rFonts w:eastAsiaTheme="majorEastAsia" w:cs="Arial"/>
                <w:sz w:val="20"/>
              </w:rPr>
              <w:lastRenderedPageBreak/>
              <w:t>Ability to use professional judg</w:t>
            </w:r>
            <w:r w:rsidR="00072283" w:rsidRPr="00671D5E">
              <w:rPr>
                <w:rStyle w:val="normaltextrun"/>
                <w:rFonts w:eastAsiaTheme="majorEastAsia" w:cs="Arial"/>
                <w:sz w:val="20"/>
              </w:rPr>
              <w:t>e</w:t>
            </w:r>
            <w:r w:rsidRPr="00671D5E">
              <w:rPr>
                <w:rStyle w:val="normaltextrun"/>
                <w:rFonts w:eastAsiaTheme="majorEastAsia" w:cs="Arial"/>
                <w:sz w:val="20"/>
              </w:rPr>
              <w:t xml:space="preserve">ment when deciding to action crossmatch request or not </w:t>
            </w:r>
          </w:p>
        </w:tc>
        <w:tc>
          <w:tcPr>
            <w:tcW w:w="1279" w:type="dxa"/>
          </w:tcPr>
          <w:p w14:paraId="1B843130" w14:textId="77777777" w:rsidR="00E9700E" w:rsidRPr="00671D5E" w:rsidRDefault="00E9700E" w:rsidP="009742AB">
            <w:pPr>
              <w:pStyle w:val="Tabletext"/>
              <w:jc w:val="right"/>
              <w:rPr>
                <w:sz w:val="20"/>
              </w:rPr>
            </w:pPr>
            <w:r w:rsidRPr="00671D5E">
              <w:rPr>
                <w:sz w:val="20"/>
              </w:rPr>
              <w:t>2 (29%)</w:t>
            </w:r>
          </w:p>
        </w:tc>
        <w:tc>
          <w:tcPr>
            <w:tcW w:w="1327" w:type="dxa"/>
          </w:tcPr>
          <w:p w14:paraId="395FB2AA" w14:textId="77777777" w:rsidR="00E9700E" w:rsidRPr="00671D5E" w:rsidRDefault="00E9700E" w:rsidP="009742AB">
            <w:pPr>
              <w:pStyle w:val="Tabletext"/>
              <w:jc w:val="right"/>
              <w:rPr>
                <w:sz w:val="20"/>
              </w:rPr>
            </w:pPr>
            <w:r w:rsidRPr="00671D5E">
              <w:rPr>
                <w:sz w:val="20"/>
              </w:rPr>
              <w:t>1 (14%)</w:t>
            </w:r>
          </w:p>
        </w:tc>
        <w:tc>
          <w:tcPr>
            <w:tcW w:w="1276" w:type="dxa"/>
          </w:tcPr>
          <w:p w14:paraId="2755EE63" w14:textId="77777777" w:rsidR="00E9700E" w:rsidRPr="00671D5E" w:rsidRDefault="00E9700E" w:rsidP="009742AB">
            <w:pPr>
              <w:pStyle w:val="Tabletext"/>
              <w:jc w:val="right"/>
              <w:rPr>
                <w:sz w:val="20"/>
              </w:rPr>
            </w:pPr>
            <w:r w:rsidRPr="00671D5E">
              <w:rPr>
                <w:sz w:val="20"/>
              </w:rPr>
              <w:t>2 (29%)</w:t>
            </w:r>
          </w:p>
        </w:tc>
        <w:tc>
          <w:tcPr>
            <w:tcW w:w="1134" w:type="dxa"/>
          </w:tcPr>
          <w:p w14:paraId="26A72282" w14:textId="77777777" w:rsidR="00E9700E" w:rsidRPr="00671D5E" w:rsidRDefault="00E9700E" w:rsidP="009742AB">
            <w:pPr>
              <w:pStyle w:val="Tabletext"/>
              <w:jc w:val="right"/>
              <w:rPr>
                <w:sz w:val="20"/>
              </w:rPr>
            </w:pPr>
            <w:r w:rsidRPr="00671D5E">
              <w:rPr>
                <w:sz w:val="20"/>
              </w:rPr>
              <w:t>1 (14%)</w:t>
            </w:r>
          </w:p>
        </w:tc>
        <w:tc>
          <w:tcPr>
            <w:tcW w:w="992" w:type="dxa"/>
          </w:tcPr>
          <w:p w14:paraId="74E3A732" w14:textId="77777777" w:rsidR="00E9700E" w:rsidRPr="00671D5E" w:rsidRDefault="00E9700E" w:rsidP="009742AB">
            <w:pPr>
              <w:pStyle w:val="Tabletext"/>
              <w:jc w:val="right"/>
              <w:rPr>
                <w:sz w:val="20"/>
              </w:rPr>
            </w:pPr>
            <w:r w:rsidRPr="00671D5E">
              <w:rPr>
                <w:sz w:val="20"/>
              </w:rPr>
              <w:t>1 (14%)</w:t>
            </w:r>
          </w:p>
        </w:tc>
      </w:tr>
      <w:tr w:rsidR="00E9700E" w:rsidRPr="00671D5E" w14:paraId="22A0B70F" w14:textId="77777777" w:rsidTr="0063333A">
        <w:tc>
          <w:tcPr>
            <w:tcW w:w="3064" w:type="dxa"/>
          </w:tcPr>
          <w:p w14:paraId="6CA61FC6" w14:textId="77777777" w:rsidR="00E9700E" w:rsidRPr="00671D5E" w:rsidRDefault="00E9700E" w:rsidP="007C2832">
            <w:pPr>
              <w:pStyle w:val="Tabletext"/>
              <w:rPr>
                <w:rFonts w:cs="Arial"/>
                <w:sz w:val="20"/>
              </w:rPr>
            </w:pPr>
            <w:r w:rsidRPr="00671D5E">
              <w:rPr>
                <w:rStyle w:val="normaltextrun"/>
                <w:rFonts w:eastAsiaTheme="majorEastAsia" w:cs="Arial"/>
                <w:sz w:val="20"/>
              </w:rPr>
              <w:t>Ability to return unused blood components/products to the inventory if not used on day allocated/issued</w:t>
            </w:r>
            <w:r w:rsidRPr="00671D5E">
              <w:rPr>
                <w:rStyle w:val="eop"/>
                <w:rFonts w:eastAsiaTheme="majorEastAsia" w:cs="Arial"/>
                <w:sz w:val="20"/>
              </w:rPr>
              <w:t> </w:t>
            </w:r>
          </w:p>
        </w:tc>
        <w:tc>
          <w:tcPr>
            <w:tcW w:w="1279" w:type="dxa"/>
          </w:tcPr>
          <w:p w14:paraId="3C1DE983" w14:textId="77777777" w:rsidR="00E9700E" w:rsidRPr="00671D5E" w:rsidRDefault="00E9700E" w:rsidP="009742AB">
            <w:pPr>
              <w:pStyle w:val="Tabletext"/>
              <w:jc w:val="right"/>
              <w:rPr>
                <w:sz w:val="20"/>
              </w:rPr>
            </w:pPr>
            <w:r w:rsidRPr="00671D5E">
              <w:rPr>
                <w:sz w:val="20"/>
              </w:rPr>
              <w:t>-</w:t>
            </w:r>
          </w:p>
        </w:tc>
        <w:tc>
          <w:tcPr>
            <w:tcW w:w="1327" w:type="dxa"/>
          </w:tcPr>
          <w:p w14:paraId="629426B9" w14:textId="77777777" w:rsidR="00E9700E" w:rsidRPr="00671D5E" w:rsidRDefault="00E9700E" w:rsidP="009742AB">
            <w:pPr>
              <w:pStyle w:val="Tabletext"/>
              <w:jc w:val="right"/>
              <w:rPr>
                <w:sz w:val="20"/>
              </w:rPr>
            </w:pPr>
            <w:r w:rsidRPr="00671D5E">
              <w:rPr>
                <w:sz w:val="20"/>
              </w:rPr>
              <w:t>5 (71%)</w:t>
            </w:r>
          </w:p>
          <w:p w14:paraId="689E62C4" w14:textId="77777777" w:rsidR="00E9700E" w:rsidRPr="00671D5E" w:rsidRDefault="00E9700E" w:rsidP="009742AB">
            <w:pPr>
              <w:pStyle w:val="Tabletext"/>
              <w:jc w:val="right"/>
              <w:rPr>
                <w:rFonts w:cs="Arial"/>
                <w:sz w:val="20"/>
              </w:rPr>
            </w:pPr>
          </w:p>
        </w:tc>
        <w:tc>
          <w:tcPr>
            <w:tcW w:w="1276" w:type="dxa"/>
          </w:tcPr>
          <w:p w14:paraId="1F3FF80F" w14:textId="77777777" w:rsidR="00E9700E" w:rsidRPr="00671D5E" w:rsidRDefault="00E9700E" w:rsidP="009742AB">
            <w:pPr>
              <w:pStyle w:val="Tabletext"/>
              <w:jc w:val="right"/>
              <w:rPr>
                <w:sz w:val="20"/>
              </w:rPr>
            </w:pPr>
            <w:r w:rsidRPr="00671D5E">
              <w:rPr>
                <w:sz w:val="20"/>
              </w:rPr>
              <w:t>-</w:t>
            </w:r>
          </w:p>
        </w:tc>
        <w:tc>
          <w:tcPr>
            <w:tcW w:w="1134" w:type="dxa"/>
          </w:tcPr>
          <w:p w14:paraId="741C1EC7" w14:textId="77777777" w:rsidR="00E9700E" w:rsidRPr="00671D5E" w:rsidRDefault="00E9700E" w:rsidP="009742AB">
            <w:pPr>
              <w:pStyle w:val="Tabletext"/>
              <w:jc w:val="right"/>
              <w:rPr>
                <w:sz w:val="20"/>
              </w:rPr>
            </w:pPr>
            <w:r w:rsidRPr="00671D5E">
              <w:rPr>
                <w:sz w:val="20"/>
              </w:rPr>
              <w:t>1 (14%)</w:t>
            </w:r>
          </w:p>
        </w:tc>
        <w:tc>
          <w:tcPr>
            <w:tcW w:w="992" w:type="dxa"/>
          </w:tcPr>
          <w:p w14:paraId="75D5B57F" w14:textId="77777777" w:rsidR="00E9700E" w:rsidRPr="00671D5E" w:rsidRDefault="00E9700E" w:rsidP="009742AB">
            <w:pPr>
              <w:pStyle w:val="Tabletext"/>
              <w:jc w:val="right"/>
              <w:rPr>
                <w:sz w:val="20"/>
              </w:rPr>
            </w:pPr>
            <w:r w:rsidRPr="00671D5E">
              <w:rPr>
                <w:sz w:val="20"/>
              </w:rPr>
              <w:t>1 (14%)</w:t>
            </w:r>
          </w:p>
        </w:tc>
      </w:tr>
      <w:tr w:rsidR="00E9700E" w:rsidRPr="00671D5E" w14:paraId="59E6799C" w14:textId="77777777" w:rsidTr="0063333A">
        <w:tc>
          <w:tcPr>
            <w:tcW w:w="3064" w:type="dxa"/>
          </w:tcPr>
          <w:p w14:paraId="0A9B7FE9" w14:textId="77777777" w:rsidR="00E9700E" w:rsidRPr="00671D5E" w:rsidRDefault="00E9700E" w:rsidP="007C2832">
            <w:pPr>
              <w:pStyle w:val="Tabletext"/>
              <w:rPr>
                <w:rStyle w:val="normaltextrun"/>
                <w:rFonts w:eastAsiaTheme="majorEastAsia" w:cs="Arial"/>
                <w:sz w:val="20"/>
              </w:rPr>
            </w:pPr>
            <w:r w:rsidRPr="00671D5E">
              <w:rPr>
                <w:rStyle w:val="normaltextrun"/>
                <w:rFonts w:eastAsiaTheme="majorEastAsia" w:cs="Arial"/>
                <w:sz w:val="20"/>
              </w:rPr>
              <w:t xml:space="preserve">Need to generate own specimen accession (ID) numbers in the lab </w:t>
            </w:r>
          </w:p>
        </w:tc>
        <w:tc>
          <w:tcPr>
            <w:tcW w:w="1279" w:type="dxa"/>
          </w:tcPr>
          <w:p w14:paraId="0A86CFBC" w14:textId="77777777" w:rsidR="00E9700E" w:rsidRPr="00671D5E" w:rsidRDefault="00E9700E" w:rsidP="009742AB">
            <w:pPr>
              <w:pStyle w:val="Tabletext"/>
              <w:jc w:val="right"/>
              <w:rPr>
                <w:sz w:val="20"/>
              </w:rPr>
            </w:pPr>
            <w:r w:rsidRPr="00671D5E">
              <w:rPr>
                <w:sz w:val="20"/>
              </w:rPr>
              <w:t>-</w:t>
            </w:r>
          </w:p>
        </w:tc>
        <w:tc>
          <w:tcPr>
            <w:tcW w:w="1327" w:type="dxa"/>
          </w:tcPr>
          <w:p w14:paraId="70DC1AB6" w14:textId="77777777" w:rsidR="00E9700E" w:rsidRPr="00671D5E" w:rsidRDefault="00E9700E" w:rsidP="009742AB">
            <w:pPr>
              <w:pStyle w:val="Tabletext"/>
              <w:jc w:val="right"/>
              <w:rPr>
                <w:sz w:val="20"/>
              </w:rPr>
            </w:pPr>
            <w:r w:rsidRPr="00671D5E">
              <w:rPr>
                <w:sz w:val="20"/>
              </w:rPr>
              <w:t>3 (43%)</w:t>
            </w:r>
          </w:p>
        </w:tc>
        <w:tc>
          <w:tcPr>
            <w:tcW w:w="1276" w:type="dxa"/>
          </w:tcPr>
          <w:p w14:paraId="46F9B9E5" w14:textId="77777777" w:rsidR="00E9700E" w:rsidRPr="00671D5E" w:rsidRDefault="00E9700E" w:rsidP="009742AB">
            <w:pPr>
              <w:pStyle w:val="Tabletext"/>
              <w:jc w:val="right"/>
              <w:rPr>
                <w:sz w:val="20"/>
              </w:rPr>
            </w:pPr>
            <w:r w:rsidRPr="00671D5E">
              <w:rPr>
                <w:sz w:val="20"/>
              </w:rPr>
              <w:t>2 (29%)</w:t>
            </w:r>
          </w:p>
        </w:tc>
        <w:tc>
          <w:tcPr>
            <w:tcW w:w="1134" w:type="dxa"/>
          </w:tcPr>
          <w:p w14:paraId="755D50BE" w14:textId="77777777" w:rsidR="00E9700E" w:rsidRPr="00671D5E" w:rsidRDefault="00E9700E" w:rsidP="009742AB">
            <w:pPr>
              <w:pStyle w:val="Tabletext"/>
              <w:jc w:val="right"/>
              <w:rPr>
                <w:sz w:val="20"/>
              </w:rPr>
            </w:pPr>
            <w:r w:rsidRPr="00671D5E">
              <w:rPr>
                <w:sz w:val="20"/>
              </w:rPr>
              <w:t>1 (14%)</w:t>
            </w:r>
          </w:p>
        </w:tc>
        <w:tc>
          <w:tcPr>
            <w:tcW w:w="992" w:type="dxa"/>
          </w:tcPr>
          <w:p w14:paraId="17EF7EF7" w14:textId="77777777" w:rsidR="00E9700E" w:rsidRPr="00671D5E" w:rsidRDefault="00E9700E" w:rsidP="009742AB">
            <w:pPr>
              <w:pStyle w:val="Tabletext"/>
              <w:jc w:val="right"/>
              <w:rPr>
                <w:sz w:val="20"/>
              </w:rPr>
            </w:pPr>
            <w:r w:rsidRPr="00671D5E">
              <w:rPr>
                <w:sz w:val="20"/>
              </w:rPr>
              <w:t>1 (14%)</w:t>
            </w:r>
          </w:p>
        </w:tc>
      </w:tr>
      <w:tr w:rsidR="00E9700E" w:rsidRPr="00671D5E" w14:paraId="65AC38D0" w14:textId="77777777" w:rsidTr="009742AB">
        <w:trPr>
          <w:cantSplit/>
        </w:trPr>
        <w:tc>
          <w:tcPr>
            <w:tcW w:w="3064" w:type="dxa"/>
          </w:tcPr>
          <w:p w14:paraId="79D43221" w14:textId="77777777" w:rsidR="00E9700E" w:rsidRPr="00671D5E" w:rsidDel="00E47106" w:rsidRDefault="00E9700E" w:rsidP="007C2832">
            <w:pPr>
              <w:pStyle w:val="Tabletext"/>
              <w:rPr>
                <w:rStyle w:val="normaltextrun"/>
                <w:rFonts w:eastAsiaTheme="majorEastAsia" w:cs="Arial"/>
                <w:sz w:val="20"/>
              </w:rPr>
            </w:pPr>
            <w:r w:rsidRPr="00671D5E">
              <w:rPr>
                <w:rStyle w:val="normaltextrun"/>
                <w:rFonts w:eastAsiaTheme="majorEastAsia" w:cs="Arial"/>
                <w:sz w:val="20"/>
              </w:rPr>
              <w:t xml:space="preserve">Ability to view when there are outstanding crossmatch requests or sample collection orders </w:t>
            </w:r>
          </w:p>
        </w:tc>
        <w:tc>
          <w:tcPr>
            <w:tcW w:w="1279" w:type="dxa"/>
          </w:tcPr>
          <w:p w14:paraId="5C9421BC" w14:textId="77777777" w:rsidR="00E9700E" w:rsidRPr="00671D5E" w:rsidRDefault="00E9700E" w:rsidP="009742AB">
            <w:pPr>
              <w:pStyle w:val="Tabletext"/>
              <w:jc w:val="right"/>
              <w:rPr>
                <w:sz w:val="20"/>
              </w:rPr>
            </w:pPr>
            <w:r w:rsidRPr="00671D5E">
              <w:rPr>
                <w:sz w:val="20"/>
              </w:rPr>
              <w:t>-</w:t>
            </w:r>
          </w:p>
        </w:tc>
        <w:tc>
          <w:tcPr>
            <w:tcW w:w="1327" w:type="dxa"/>
          </w:tcPr>
          <w:p w14:paraId="39DF0BFA" w14:textId="77777777" w:rsidR="00E9700E" w:rsidRPr="00671D5E" w:rsidRDefault="00E9700E" w:rsidP="009742AB">
            <w:pPr>
              <w:pStyle w:val="Tabletext"/>
              <w:jc w:val="right"/>
              <w:rPr>
                <w:sz w:val="20"/>
              </w:rPr>
            </w:pPr>
            <w:r w:rsidRPr="00671D5E">
              <w:rPr>
                <w:sz w:val="20"/>
              </w:rPr>
              <w:t>1 (14%)</w:t>
            </w:r>
          </w:p>
        </w:tc>
        <w:tc>
          <w:tcPr>
            <w:tcW w:w="1276" w:type="dxa"/>
          </w:tcPr>
          <w:p w14:paraId="3CDB5820" w14:textId="77777777" w:rsidR="00E9700E" w:rsidRPr="00671D5E" w:rsidRDefault="00E9700E" w:rsidP="009742AB">
            <w:pPr>
              <w:pStyle w:val="Tabletext"/>
              <w:jc w:val="right"/>
              <w:rPr>
                <w:sz w:val="20"/>
              </w:rPr>
            </w:pPr>
            <w:r w:rsidRPr="00671D5E">
              <w:rPr>
                <w:sz w:val="20"/>
              </w:rPr>
              <w:t>4 (57%)</w:t>
            </w:r>
          </w:p>
        </w:tc>
        <w:tc>
          <w:tcPr>
            <w:tcW w:w="1134" w:type="dxa"/>
          </w:tcPr>
          <w:p w14:paraId="45D0A974" w14:textId="77777777" w:rsidR="00E9700E" w:rsidRPr="00671D5E" w:rsidRDefault="00E9700E" w:rsidP="009742AB">
            <w:pPr>
              <w:pStyle w:val="Tabletext"/>
              <w:jc w:val="right"/>
              <w:rPr>
                <w:sz w:val="20"/>
              </w:rPr>
            </w:pPr>
            <w:r w:rsidRPr="00671D5E">
              <w:rPr>
                <w:sz w:val="20"/>
              </w:rPr>
              <w:t>1 (14%)</w:t>
            </w:r>
          </w:p>
        </w:tc>
        <w:tc>
          <w:tcPr>
            <w:tcW w:w="992" w:type="dxa"/>
          </w:tcPr>
          <w:p w14:paraId="71019B35" w14:textId="77777777" w:rsidR="00E9700E" w:rsidRPr="00671D5E" w:rsidRDefault="00E9700E" w:rsidP="009742AB">
            <w:pPr>
              <w:pStyle w:val="Tabletext"/>
              <w:jc w:val="right"/>
              <w:rPr>
                <w:sz w:val="20"/>
              </w:rPr>
            </w:pPr>
            <w:r w:rsidRPr="00671D5E">
              <w:rPr>
                <w:sz w:val="20"/>
              </w:rPr>
              <w:t>1 (14%)</w:t>
            </w:r>
          </w:p>
        </w:tc>
      </w:tr>
      <w:tr w:rsidR="00E9700E" w:rsidRPr="00671D5E" w14:paraId="634B6C00" w14:textId="77777777" w:rsidTr="0063333A">
        <w:tc>
          <w:tcPr>
            <w:tcW w:w="3064" w:type="dxa"/>
          </w:tcPr>
          <w:p w14:paraId="1B0C6772" w14:textId="77777777" w:rsidR="00E9700E" w:rsidRPr="00671D5E" w:rsidDel="00E47106" w:rsidRDefault="00E9700E" w:rsidP="007C2832">
            <w:pPr>
              <w:pStyle w:val="Tabletext"/>
              <w:rPr>
                <w:rStyle w:val="normaltextrun"/>
                <w:rFonts w:eastAsiaTheme="majorEastAsia" w:cs="Arial"/>
                <w:sz w:val="20"/>
              </w:rPr>
            </w:pPr>
            <w:r w:rsidRPr="00671D5E">
              <w:rPr>
                <w:rStyle w:val="normaltextrun"/>
                <w:rFonts w:eastAsiaTheme="majorEastAsia" w:cs="Arial"/>
                <w:sz w:val="20"/>
              </w:rPr>
              <w:t>Ability for ward staff to view when a blood product is ready for collection</w:t>
            </w:r>
          </w:p>
        </w:tc>
        <w:tc>
          <w:tcPr>
            <w:tcW w:w="1279" w:type="dxa"/>
          </w:tcPr>
          <w:p w14:paraId="45E938C3" w14:textId="77777777" w:rsidR="00E9700E" w:rsidRPr="00671D5E" w:rsidRDefault="00E9700E" w:rsidP="009742AB">
            <w:pPr>
              <w:pStyle w:val="Tabletext"/>
              <w:jc w:val="right"/>
              <w:rPr>
                <w:sz w:val="20"/>
              </w:rPr>
            </w:pPr>
            <w:r w:rsidRPr="00671D5E">
              <w:rPr>
                <w:sz w:val="20"/>
              </w:rPr>
              <w:t>2 (29%)</w:t>
            </w:r>
          </w:p>
        </w:tc>
        <w:tc>
          <w:tcPr>
            <w:tcW w:w="1327" w:type="dxa"/>
          </w:tcPr>
          <w:p w14:paraId="1F335B19" w14:textId="77777777" w:rsidR="00E9700E" w:rsidRPr="00671D5E" w:rsidRDefault="00E9700E" w:rsidP="009742AB">
            <w:pPr>
              <w:pStyle w:val="Tabletext"/>
              <w:jc w:val="right"/>
              <w:rPr>
                <w:sz w:val="20"/>
              </w:rPr>
            </w:pPr>
            <w:r w:rsidRPr="00671D5E">
              <w:rPr>
                <w:sz w:val="20"/>
              </w:rPr>
              <w:t>1 (14%)</w:t>
            </w:r>
          </w:p>
        </w:tc>
        <w:tc>
          <w:tcPr>
            <w:tcW w:w="1276" w:type="dxa"/>
          </w:tcPr>
          <w:p w14:paraId="103A81C9" w14:textId="77777777" w:rsidR="00E9700E" w:rsidRPr="00671D5E" w:rsidRDefault="00E9700E" w:rsidP="009742AB">
            <w:pPr>
              <w:pStyle w:val="Tabletext"/>
              <w:jc w:val="right"/>
              <w:rPr>
                <w:sz w:val="20"/>
              </w:rPr>
            </w:pPr>
            <w:r w:rsidRPr="00671D5E">
              <w:rPr>
                <w:sz w:val="20"/>
              </w:rPr>
              <w:t>-</w:t>
            </w:r>
          </w:p>
        </w:tc>
        <w:tc>
          <w:tcPr>
            <w:tcW w:w="1134" w:type="dxa"/>
          </w:tcPr>
          <w:p w14:paraId="2F91BC3C" w14:textId="77777777" w:rsidR="00E9700E" w:rsidRPr="00671D5E" w:rsidRDefault="00E9700E" w:rsidP="009742AB">
            <w:pPr>
              <w:pStyle w:val="Tabletext"/>
              <w:jc w:val="right"/>
              <w:rPr>
                <w:sz w:val="20"/>
              </w:rPr>
            </w:pPr>
            <w:r w:rsidRPr="00671D5E">
              <w:rPr>
                <w:sz w:val="20"/>
              </w:rPr>
              <w:t>3 (43%)</w:t>
            </w:r>
          </w:p>
        </w:tc>
        <w:tc>
          <w:tcPr>
            <w:tcW w:w="992" w:type="dxa"/>
          </w:tcPr>
          <w:p w14:paraId="04EF16D4" w14:textId="77777777" w:rsidR="00E9700E" w:rsidRPr="00671D5E" w:rsidRDefault="00E9700E" w:rsidP="009742AB">
            <w:pPr>
              <w:pStyle w:val="Tabletext"/>
              <w:jc w:val="right"/>
              <w:rPr>
                <w:sz w:val="20"/>
              </w:rPr>
            </w:pPr>
            <w:r w:rsidRPr="00671D5E">
              <w:rPr>
                <w:sz w:val="20"/>
              </w:rPr>
              <w:t>1 (14%)</w:t>
            </w:r>
          </w:p>
        </w:tc>
      </w:tr>
      <w:tr w:rsidR="00E9700E" w:rsidRPr="00671D5E" w14:paraId="1765A067" w14:textId="77777777" w:rsidTr="0063333A">
        <w:tc>
          <w:tcPr>
            <w:tcW w:w="3064" w:type="dxa"/>
          </w:tcPr>
          <w:p w14:paraId="5F7B238D" w14:textId="77777777" w:rsidR="00E9700E" w:rsidRPr="00671D5E" w:rsidRDefault="00E9700E" w:rsidP="007C2832">
            <w:pPr>
              <w:pStyle w:val="Tabletext"/>
              <w:rPr>
                <w:rStyle w:val="normaltextrun"/>
                <w:rFonts w:eastAsiaTheme="majorEastAsia" w:cs="Arial"/>
                <w:sz w:val="20"/>
              </w:rPr>
            </w:pPr>
            <w:r w:rsidRPr="00671D5E">
              <w:rPr>
                <w:rStyle w:val="normaltextrun"/>
                <w:rFonts w:eastAsiaTheme="majorEastAsia" w:cs="Arial"/>
                <w:sz w:val="20"/>
              </w:rPr>
              <w:t xml:space="preserve">Change in terminology for blood and blood products, </w:t>
            </w:r>
            <w:proofErr w:type="gramStart"/>
            <w:r w:rsidRPr="00671D5E">
              <w:rPr>
                <w:rStyle w:val="normaltextrun"/>
                <w:rFonts w:eastAsiaTheme="majorEastAsia" w:cs="Arial"/>
                <w:sz w:val="20"/>
              </w:rPr>
              <w:t>e.g.</w:t>
            </w:r>
            <w:proofErr w:type="gramEnd"/>
            <w:r w:rsidRPr="00671D5E">
              <w:rPr>
                <w:rStyle w:val="normaltextrun"/>
                <w:rFonts w:eastAsiaTheme="majorEastAsia" w:cs="Arial"/>
                <w:sz w:val="20"/>
              </w:rPr>
              <w:t xml:space="preserve"> two units of FFP per bag has changed to one unit equals 1 bag with the EMR</w:t>
            </w:r>
          </w:p>
        </w:tc>
        <w:tc>
          <w:tcPr>
            <w:tcW w:w="1279" w:type="dxa"/>
          </w:tcPr>
          <w:p w14:paraId="120FB31D" w14:textId="77777777" w:rsidR="00E9700E" w:rsidRPr="00671D5E" w:rsidRDefault="00E9700E" w:rsidP="009742AB">
            <w:pPr>
              <w:pStyle w:val="Tabletext"/>
              <w:jc w:val="right"/>
              <w:rPr>
                <w:sz w:val="20"/>
              </w:rPr>
            </w:pPr>
            <w:r w:rsidRPr="00671D5E">
              <w:rPr>
                <w:sz w:val="20"/>
              </w:rPr>
              <w:t>-</w:t>
            </w:r>
          </w:p>
        </w:tc>
        <w:tc>
          <w:tcPr>
            <w:tcW w:w="1327" w:type="dxa"/>
          </w:tcPr>
          <w:p w14:paraId="7F571FAC" w14:textId="77777777" w:rsidR="00E9700E" w:rsidRPr="00671D5E" w:rsidRDefault="00E9700E" w:rsidP="009742AB">
            <w:pPr>
              <w:pStyle w:val="Tabletext"/>
              <w:jc w:val="right"/>
              <w:rPr>
                <w:sz w:val="20"/>
              </w:rPr>
            </w:pPr>
            <w:r w:rsidRPr="00671D5E">
              <w:rPr>
                <w:sz w:val="20"/>
              </w:rPr>
              <w:t>1 (14%)</w:t>
            </w:r>
          </w:p>
        </w:tc>
        <w:tc>
          <w:tcPr>
            <w:tcW w:w="1276" w:type="dxa"/>
          </w:tcPr>
          <w:p w14:paraId="4C66F5E8" w14:textId="77777777" w:rsidR="00E9700E" w:rsidRPr="00671D5E" w:rsidRDefault="00E9700E" w:rsidP="009742AB">
            <w:pPr>
              <w:pStyle w:val="Tabletext"/>
              <w:jc w:val="right"/>
              <w:rPr>
                <w:sz w:val="20"/>
              </w:rPr>
            </w:pPr>
            <w:r w:rsidRPr="00671D5E">
              <w:rPr>
                <w:sz w:val="20"/>
              </w:rPr>
              <w:t>4 (57%)</w:t>
            </w:r>
          </w:p>
        </w:tc>
        <w:tc>
          <w:tcPr>
            <w:tcW w:w="1134" w:type="dxa"/>
          </w:tcPr>
          <w:p w14:paraId="24F498D4" w14:textId="77777777" w:rsidR="00E9700E" w:rsidRPr="00671D5E" w:rsidRDefault="00E9700E" w:rsidP="009742AB">
            <w:pPr>
              <w:pStyle w:val="Tabletext"/>
              <w:jc w:val="right"/>
              <w:rPr>
                <w:sz w:val="20"/>
              </w:rPr>
            </w:pPr>
            <w:r w:rsidRPr="00671D5E">
              <w:rPr>
                <w:sz w:val="20"/>
              </w:rPr>
              <w:t>1 (14%)</w:t>
            </w:r>
          </w:p>
        </w:tc>
        <w:tc>
          <w:tcPr>
            <w:tcW w:w="992" w:type="dxa"/>
          </w:tcPr>
          <w:p w14:paraId="5697C4CC" w14:textId="77777777" w:rsidR="00E9700E" w:rsidRPr="00671D5E" w:rsidRDefault="00E9700E" w:rsidP="009742AB">
            <w:pPr>
              <w:pStyle w:val="Tabletext"/>
              <w:jc w:val="right"/>
              <w:rPr>
                <w:sz w:val="20"/>
              </w:rPr>
            </w:pPr>
            <w:r w:rsidRPr="00671D5E">
              <w:rPr>
                <w:sz w:val="20"/>
              </w:rPr>
              <w:t>1 (14%)</w:t>
            </w:r>
          </w:p>
        </w:tc>
      </w:tr>
      <w:tr w:rsidR="00E9700E" w:rsidRPr="00671D5E" w14:paraId="36C6C0C5" w14:textId="77777777" w:rsidTr="0063333A">
        <w:tc>
          <w:tcPr>
            <w:tcW w:w="3064" w:type="dxa"/>
          </w:tcPr>
          <w:p w14:paraId="30C73E2D" w14:textId="77777777" w:rsidR="00E9700E" w:rsidRPr="00671D5E" w:rsidRDefault="00E9700E" w:rsidP="007C2832">
            <w:pPr>
              <w:pStyle w:val="Tabletext"/>
              <w:rPr>
                <w:rStyle w:val="normaltextrun"/>
                <w:rFonts w:eastAsiaTheme="majorEastAsia" w:cs="Arial"/>
                <w:sz w:val="20"/>
              </w:rPr>
            </w:pPr>
            <w:r w:rsidRPr="00671D5E">
              <w:rPr>
                <w:rStyle w:val="normaltextrun"/>
                <w:rFonts w:eastAsiaTheme="majorEastAsia" w:cs="Arial"/>
                <w:sz w:val="20"/>
              </w:rPr>
              <w:t>Impact on overall productivity</w:t>
            </w:r>
          </w:p>
        </w:tc>
        <w:tc>
          <w:tcPr>
            <w:tcW w:w="1279" w:type="dxa"/>
          </w:tcPr>
          <w:p w14:paraId="66A90502" w14:textId="77777777" w:rsidR="00E9700E" w:rsidRPr="00671D5E" w:rsidRDefault="00E9700E" w:rsidP="009742AB">
            <w:pPr>
              <w:pStyle w:val="Tabletext"/>
              <w:jc w:val="right"/>
              <w:rPr>
                <w:sz w:val="20"/>
              </w:rPr>
            </w:pPr>
            <w:r w:rsidRPr="00671D5E">
              <w:rPr>
                <w:sz w:val="20"/>
              </w:rPr>
              <w:t>1 (14%)</w:t>
            </w:r>
          </w:p>
        </w:tc>
        <w:tc>
          <w:tcPr>
            <w:tcW w:w="1327" w:type="dxa"/>
          </w:tcPr>
          <w:p w14:paraId="7D32148F" w14:textId="77777777" w:rsidR="00E9700E" w:rsidRPr="00671D5E" w:rsidRDefault="00E9700E" w:rsidP="009742AB">
            <w:pPr>
              <w:pStyle w:val="Tabletext"/>
              <w:jc w:val="right"/>
              <w:rPr>
                <w:sz w:val="20"/>
              </w:rPr>
            </w:pPr>
            <w:r w:rsidRPr="00671D5E">
              <w:rPr>
                <w:sz w:val="20"/>
              </w:rPr>
              <w:t>2 (29%)</w:t>
            </w:r>
          </w:p>
        </w:tc>
        <w:tc>
          <w:tcPr>
            <w:tcW w:w="1276" w:type="dxa"/>
          </w:tcPr>
          <w:p w14:paraId="054BB54D" w14:textId="77777777" w:rsidR="00E9700E" w:rsidRPr="00671D5E" w:rsidRDefault="00E9700E" w:rsidP="009742AB">
            <w:pPr>
              <w:pStyle w:val="Tabletext"/>
              <w:jc w:val="right"/>
              <w:rPr>
                <w:sz w:val="20"/>
              </w:rPr>
            </w:pPr>
            <w:r w:rsidRPr="00671D5E">
              <w:rPr>
                <w:sz w:val="20"/>
              </w:rPr>
              <w:t>2 (29%)</w:t>
            </w:r>
          </w:p>
        </w:tc>
        <w:tc>
          <w:tcPr>
            <w:tcW w:w="1134" w:type="dxa"/>
          </w:tcPr>
          <w:p w14:paraId="44770E7C" w14:textId="77777777" w:rsidR="00E9700E" w:rsidRPr="00671D5E" w:rsidRDefault="00E9700E" w:rsidP="009742AB">
            <w:pPr>
              <w:pStyle w:val="Tabletext"/>
              <w:jc w:val="right"/>
              <w:rPr>
                <w:sz w:val="20"/>
              </w:rPr>
            </w:pPr>
            <w:r w:rsidRPr="00671D5E">
              <w:rPr>
                <w:sz w:val="20"/>
              </w:rPr>
              <w:t>1 (14%)</w:t>
            </w:r>
          </w:p>
        </w:tc>
        <w:tc>
          <w:tcPr>
            <w:tcW w:w="992" w:type="dxa"/>
          </w:tcPr>
          <w:p w14:paraId="267377C6" w14:textId="77777777" w:rsidR="00E9700E" w:rsidRPr="00671D5E" w:rsidRDefault="00E9700E" w:rsidP="009742AB">
            <w:pPr>
              <w:pStyle w:val="Tabletext"/>
              <w:jc w:val="right"/>
              <w:rPr>
                <w:sz w:val="20"/>
              </w:rPr>
            </w:pPr>
            <w:r w:rsidRPr="00671D5E">
              <w:rPr>
                <w:sz w:val="20"/>
              </w:rPr>
              <w:t>1 (14%)</w:t>
            </w:r>
          </w:p>
        </w:tc>
      </w:tr>
      <w:tr w:rsidR="00E9700E" w:rsidRPr="00671D5E" w14:paraId="11BEF6D2" w14:textId="77777777" w:rsidTr="0063333A">
        <w:tc>
          <w:tcPr>
            <w:tcW w:w="3064" w:type="dxa"/>
          </w:tcPr>
          <w:p w14:paraId="01DE173E" w14:textId="77777777" w:rsidR="00E9700E" w:rsidRPr="00671D5E" w:rsidRDefault="00E9700E" w:rsidP="007C2832">
            <w:pPr>
              <w:pStyle w:val="Tabletext"/>
              <w:rPr>
                <w:rStyle w:val="normaltextrun"/>
                <w:rFonts w:eastAsiaTheme="majorEastAsia" w:cs="Arial"/>
                <w:sz w:val="20"/>
              </w:rPr>
            </w:pPr>
            <w:r w:rsidRPr="00671D5E">
              <w:rPr>
                <w:rStyle w:val="normaltextrun"/>
                <w:rFonts w:eastAsiaTheme="majorEastAsia" w:cs="Arial"/>
                <w:sz w:val="20"/>
              </w:rPr>
              <w:t>Impact on overall staffing requirements</w:t>
            </w:r>
          </w:p>
        </w:tc>
        <w:tc>
          <w:tcPr>
            <w:tcW w:w="1279" w:type="dxa"/>
          </w:tcPr>
          <w:p w14:paraId="402E588D" w14:textId="77777777" w:rsidR="00E9700E" w:rsidRPr="00671D5E" w:rsidRDefault="00E9700E" w:rsidP="009742AB">
            <w:pPr>
              <w:pStyle w:val="Tabletext"/>
              <w:jc w:val="right"/>
              <w:rPr>
                <w:sz w:val="20"/>
              </w:rPr>
            </w:pPr>
            <w:r w:rsidRPr="00671D5E">
              <w:rPr>
                <w:sz w:val="20"/>
              </w:rPr>
              <w:t>-</w:t>
            </w:r>
          </w:p>
        </w:tc>
        <w:tc>
          <w:tcPr>
            <w:tcW w:w="1327" w:type="dxa"/>
          </w:tcPr>
          <w:p w14:paraId="4D07E773" w14:textId="77777777" w:rsidR="00E9700E" w:rsidRPr="00671D5E" w:rsidRDefault="00E9700E" w:rsidP="009742AB">
            <w:pPr>
              <w:pStyle w:val="Tabletext"/>
              <w:jc w:val="right"/>
              <w:rPr>
                <w:sz w:val="20"/>
              </w:rPr>
            </w:pPr>
            <w:r w:rsidRPr="00671D5E">
              <w:rPr>
                <w:sz w:val="20"/>
              </w:rPr>
              <w:t>4 (57%)</w:t>
            </w:r>
          </w:p>
        </w:tc>
        <w:tc>
          <w:tcPr>
            <w:tcW w:w="1276" w:type="dxa"/>
          </w:tcPr>
          <w:p w14:paraId="43470988" w14:textId="77777777" w:rsidR="00E9700E" w:rsidRPr="00671D5E" w:rsidRDefault="00E9700E" w:rsidP="009742AB">
            <w:pPr>
              <w:pStyle w:val="Tabletext"/>
              <w:jc w:val="right"/>
              <w:rPr>
                <w:sz w:val="20"/>
              </w:rPr>
            </w:pPr>
            <w:r w:rsidRPr="00671D5E">
              <w:rPr>
                <w:sz w:val="20"/>
              </w:rPr>
              <w:t>1 (14%)</w:t>
            </w:r>
          </w:p>
        </w:tc>
        <w:tc>
          <w:tcPr>
            <w:tcW w:w="1134" w:type="dxa"/>
          </w:tcPr>
          <w:p w14:paraId="17458FAF" w14:textId="77777777" w:rsidR="00E9700E" w:rsidRPr="00671D5E" w:rsidRDefault="00E9700E" w:rsidP="009742AB">
            <w:pPr>
              <w:pStyle w:val="Tabletext"/>
              <w:jc w:val="right"/>
              <w:rPr>
                <w:sz w:val="20"/>
              </w:rPr>
            </w:pPr>
            <w:r w:rsidRPr="00671D5E">
              <w:rPr>
                <w:sz w:val="20"/>
              </w:rPr>
              <w:t>1 (14%)</w:t>
            </w:r>
          </w:p>
        </w:tc>
        <w:tc>
          <w:tcPr>
            <w:tcW w:w="992" w:type="dxa"/>
          </w:tcPr>
          <w:p w14:paraId="62A5E7EA" w14:textId="77777777" w:rsidR="00E9700E" w:rsidRPr="00671D5E" w:rsidRDefault="00E9700E" w:rsidP="009742AB">
            <w:pPr>
              <w:pStyle w:val="Tabletext"/>
              <w:jc w:val="right"/>
              <w:rPr>
                <w:sz w:val="20"/>
              </w:rPr>
            </w:pPr>
            <w:r w:rsidRPr="00671D5E">
              <w:rPr>
                <w:sz w:val="20"/>
              </w:rPr>
              <w:t>1 (14%)</w:t>
            </w:r>
          </w:p>
        </w:tc>
      </w:tr>
      <w:tr w:rsidR="00E9700E" w:rsidRPr="00671D5E" w14:paraId="6306E55F" w14:textId="77777777" w:rsidTr="0063333A">
        <w:tc>
          <w:tcPr>
            <w:tcW w:w="3064" w:type="dxa"/>
          </w:tcPr>
          <w:p w14:paraId="660F7E99" w14:textId="77777777" w:rsidR="00E9700E" w:rsidRPr="00671D5E" w:rsidRDefault="00E9700E" w:rsidP="007C2832">
            <w:pPr>
              <w:pStyle w:val="Tabletext"/>
              <w:rPr>
                <w:rStyle w:val="normaltextrun"/>
                <w:rFonts w:eastAsiaTheme="majorEastAsia" w:cs="Arial"/>
                <w:sz w:val="20"/>
              </w:rPr>
            </w:pPr>
            <w:r w:rsidRPr="00671D5E">
              <w:rPr>
                <w:rStyle w:val="normaltextrun"/>
                <w:rFonts w:eastAsiaTheme="majorEastAsia" w:cs="Arial"/>
                <w:sz w:val="20"/>
              </w:rPr>
              <w:t>Impact on overall transfusion laboratory workflow management</w:t>
            </w:r>
          </w:p>
        </w:tc>
        <w:tc>
          <w:tcPr>
            <w:tcW w:w="1279" w:type="dxa"/>
          </w:tcPr>
          <w:p w14:paraId="7B78A924" w14:textId="77777777" w:rsidR="00E9700E" w:rsidRPr="00671D5E" w:rsidRDefault="00E9700E" w:rsidP="009742AB">
            <w:pPr>
              <w:pStyle w:val="Tabletext"/>
              <w:jc w:val="right"/>
              <w:rPr>
                <w:sz w:val="20"/>
              </w:rPr>
            </w:pPr>
            <w:r w:rsidRPr="00671D5E">
              <w:rPr>
                <w:sz w:val="20"/>
              </w:rPr>
              <w:t>1 (14%)</w:t>
            </w:r>
          </w:p>
        </w:tc>
        <w:tc>
          <w:tcPr>
            <w:tcW w:w="1327" w:type="dxa"/>
          </w:tcPr>
          <w:p w14:paraId="5EFDCA0E" w14:textId="77777777" w:rsidR="00E9700E" w:rsidRPr="00671D5E" w:rsidRDefault="00E9700E" w:rsidP="009742AB">
            <w:pPr>
              <w:pStyle w:val="Tabletext"/>
              <w:jc w:val="right"/>
              <w:rPr>
                <w:sz w:val="20"/>
              </w:rPr>
            </w:pPr>
            <w:r w:rsidRPr="00671D5E">
              <w:rPr>
                <w:sz w:val="20"/>
              </w:rPr>
              <w:t>2 (29%)</w:t>
            </w:r>
          </w:p>
        </w:tc>
        <w:tc>
          <w:tcPr>
            <w:tcW w:w="1276" w:type="dxa"/>
          </w:tcPr>
          <w:p w14:paraId="493D5E37" w14:textId="77777777" w:rsidR="00E9700E" w:rsidRPr="00671D5E" w:rsidRDefault="00E9700E" w:rsidP="009742AB">
            <w:pPr>
              <w:pStyle w:val="Tabletext"/>
              <w:jc w:val="right"/>
              <w:rPr>
                <w:sz w:val="20"/>
              </w:rPr>
            </w:pPr>
            <w:r w:rsidRPr="00671D5E">
              <w:rPr>
                <w:sz w:val="20"/>
              </w:rPr>
              <w:t>2 (29%)</w:t>
            </w:r>
          </w:p>
        </w:tc>
        <w:tc>
          <w:tcPr>
            <w:tcW w:w="1134" w:type="dxa"/>
          </w:tcPr>
          <w:p w14:paraId="525449BB" w14:textId="77777777" w:rsidR="00E9700E" w:rsidRPr="00671D5E" w:rsidRDefault="00E9700E" w:rsidP="009742AB">
            <w:pPr>
              <w:pStyle w:val="Tabletext"/>
              <w:jc w:val="right"/>
              <w:rPr>
                <w:sz w:val="20"/>
              </w:rPr>
            </w:pPr>
            <w:r w:rsidRPr="00671D5E">
              <w:rPr>
                <w:sz w:val="20"/>
              </w:rPr>
              <w:t>1 (14%)</w:t>
            </w:r>
          </w:p>
        </w:tc>
        <w:tc>
          <w:tcPr>
            <w:tcW w:w="992" w:type="dxa"/>
          </w:tcPr>
          <w:p w14:paraId="069D7E67" w14:textId="77777777" w:rsidR="00E9700E" w:rsidRPr="00671D5E" w:rsidRDefault="00E9700E" w:rsidP="009742AB">
            <w:pPr>
              <w:pStyle w:val="Tabletext"/>
              <w:jc w:val="right"/>
              <w:rPr>
                <w:sz w:val="20"/>
              </w:rPr>
            </w:pPr>
            <w:r w:rsidRPr="00671D5E">
              <w:rPr>
                <w:sz w:val="20"/>
              </w:rPr>
              <w:t>1 (14%)</w:t>
            </w:r>
          </w:p>
        </w:tc>
      </w:tr>
    </w:tbl>
    <w:p w14:paraId="1A9A50F2" w14:textId="1C8CEA1E" w:rsidR="00E9700E" w:rsidRPr="00176D37" w:rsidRDefault="00E9700E" w:rsidP="00E00070">
      <w:pPr>
        <w:pStyle w:val="Body"/>
        <w:spacing w:before="240"/>
        <w:rPr>
          <w:shd w:val="clear" w:color="auto" w:fill="FFFFFF"/>
        </w:rPr>
      </w:pPr>
      <w:r w:rsidRPr="00176D37">
        <w:rPr>
          <w:shd w:val="clear" w:color="auto" w:fill="FFFFFF"/>
        </w:rPr>
        <w:t>While the numbers of respondents were small, they generally reported that the EMR has resulted in many positive workflow changes</w:t>
      </w:r>
      <w:r w:rsidRPr="00696861">
        <w:rPr>
          <w:shd w:val="clear" w:color="auto" w:fill="FFFFFF"/>
        </w:rPr>
        <w:t xml:space="preserve">. </w:t>
      </w:r>
      <w:r w:rsidR="00696861" w:rsidRPr="009742AB">
        <w:rPr>
          <w:shd w:val="clear" w:color="auto" w:fill="FFFFFF"/>
        </w:rPr>
        <w:t>S</w:t>
      </w:r>
      <w:r w:rsidRPr="00696861">
        <w:rPr>
          <w:shd w:val="clear" w:color="auto" w:fill="FFFFFF"/>
        </w:rPr>
        <w:t>ome laboratory activities</w:t>
      </w:r>
      <w:r w:rsidR="00696861" w:rsidRPr="009742AB">
        <w:rPr>
          <w:shd w:val="clear" w:color="auto" w:fill="FFFFFF"/>
        </w:rPr>
        <w:t xml:space="preserve"> were decreased</w:t>
      </w:r>
      <w:r w:rsidRPr="00696861">
        <w:rPr>
          <w:shd w:val="clear" w:color="auto" w:fill="FFFFFF"/>
        </w:rPr>
        <w:t>, such as</w:t>
      </w:r>
      <w:r w:rsidRPr="009742AB">
        <w:rPr>
          <w:shd w:val="clear" w:color="auto" w:fill="FFFFFF"/>
        </w:rPr>
        <w:t xml:space="preserve"> the ability to pre-emptively crossmatch before an order</w:t>
      </w:r>
      <w:r w:rsidR="00696861" w:rsidRPr="009742AB">
        <w:rPr>
          <w:shd w:val="clear" w:color="auto" w:fill="FFFFFF"/>
        </w:rPr>
        <w:t xml:space="preserve"> was placed.</w:t>
      </w:r>
      <w:r w:rsidRPr="00696861">
        <w:rPr>
          <w:shd w:val="clear" w:color="auto" w:fill="FFFFFF"/>
        </w:rPr>
        <w:t xml:space="preserve"> </w:t>
      </w:r>
      <w:r w:rsidRPr="00176D37">
        <w:rPr>
          <w:shd w:val="clear" w:color="auto" w:fill="FFFFFF"/>
        </w:rPr>
        <w:t>The ability of ward staff to view when blood/blood products are ready for collection was</w:t>
      </w:r>
      <w:r w:rsidR="0008077C">
        <w:rPr>
          <w:shd w:val="clear" w:color="auto" w:fill="FFFFFF"/>
        </w:rPr>
        <w:t xml:space="preserve"> also</w:t>
      </w:r>
      <w:r w:rsidRPr="00176D37">
        <w:rPr>
          <w:shd w:val="clear" w:color="auto" w:fill="FFFFFF"/>
        </w:rPr>
        <w:t xml:space="preserve"> reported as decreased.</w:t>
      </w:r>
    </w:p>
    <w:p w14:paraId="2D2008D1" w14:textId="77777777" w:rsidR="00E9700E" w:rsidRPr="00176D37" w:rsidRDefault="00E9700E" w:rsidP="007C2832">
      <w:pPr>
        <w:pStyle w:val="Body"/>
        <w:rPr>
          <w:shd w:val="clear" w:color="auto" w:fill="FFFFFF"/>
        </w:rPr>
      </w:pPr>
      <w:r w:rsidRPr="00176D37">
        <w:rPr>
          <w:shd w:val="clear" w:color="auto" w:fill="FFFFFF"/>
        </w:rPr>
        <w:t xml:space="preserve">Respondents provided some additional comments related to other workflow/processes changes: </w:t>
      </w:r>
    </w:p>
    <w:p w14:paraId="40FEF68B" w14:textId="739ADE43" w:rsidR="00E9700E" w:rsidRPr="00176D37" w:rsidRDefault="004A2052" w:rsidP="007C2832">
      <w:pPr>
        <w:pStyle w:val="Bullet1"/>
      </w:pPr>
      <w:r>
        <w:t>‘</w:t>
      </w:r>
      <w:r w:rsidR="00E9700E" w:rsidRPr="00176D37">
        <w:t>Nothing has changed, the transfusion laboratory is still using written request form and hand-written specimen labels</w:t>
      </w:r>
      <w:r>
        <w:t>’</w:t>
      </w:r>
      <w:r w:rsidRPr="00176D37">
        <w:t>.</w:t>
      </w:r>
    </w:p>
    <w:p w14:paraId="10450A51" w14:textId="174D9A84" w:rsidR="00E9700E" w:rsidRPr="00176D37" w:rsidRDefault="004A2052" w:rsidP="007C2832">
      <w:pPr>
        <w:pStyle w:val="Bullet1"/>
      </w:pPr>
      <w:r>
        <w:t>‘</w:t>
      </w:r>
      <w:r w:rsidR="00E9700E" w:rsidRPr="00176D37">
        <w:t xml:space="preserve">Sometimes confusion with massive transfusions as they are verbally activated, but then the product is ordered again in the EMR. Duplicate requests for blood products that require </w:t>
      </w:r>
      <w:proofErr w:type="gramStart"/>
      <w:r w:rsidR="00E9700E" w:rsidRPr="00176D37">
        <w:t>a number of</w:t>
      </w:r>
      <w:proofErr w:type="gramEnd"/>
      <w:r w:rsidR="00E9700E" w:rsidRPr="00176D37">
        <w:t xml:space="preserve"> keystrokes to resolve</w:t>
      </w:r>
      <w:r>
        <w:t>’</w:t>
      </w:r>
      <w:r w:rsidRPr="00176D37">
        <w:t>.</w:t>
      </w:r>
    </w:p>
    <w:p w14:paraId="43A97468" w14:textId="172D7C44" w:rsidR="00E9700E" w:rsidRPr="00176D37" w:rsidRDefault="004A2052" w:rsidP="007C2832">
      <w:pPr>
        <w:pStyle w:val="Bullet1"/>
      </w:pPr>
      <w:r>
        <w:t>‘</w:t>
      </w:r>
      <w:r w:rsidR="00E9700E" w:rsidRPr="00176D37">
        <w:t>Better access to clinical records and medication records has been helpful in the laboratory</w:t>
      </w:r>
      <w:r>
        <w:t>’</w:t>
      </w:r>
      <w:r w:rsidRPr="00176D37">
        <w:t>.</w:t>
      </w:r>
    </w:p>
    <w:p w14:paraId="56E38F59" w14:textId="77777777" w:rsidR="00E9700E" w:rsidRPr="007C2832" w:rsidRDefault="00E9700E" w:rsidP="007C2832">
      <w:pPr>
        <w:pStyle w:val="Heading2"/>
      </w:pPr>
      <w:bookmarkStart w:id="401" w:name="_Toc101285721"/>
      <w:bookmarkStart w:id="402" w:name="_Toc101947743"/>
      <w:bookmarkStart w:id="403" w:name="_Toc104975942"/>
      <w:r w:rsidRPr="007C2832">
        <w:t>Change in transfusion process error rates</w:t>
      </w:r>
      <w:bookmarkEnd w:id="401"/>
      <w:bookmarkEnd w:id="402"/>
      <w:bookmarkEnd w:id="403"/>
    </w:p>
    <w:p w14:paraId="72FF33CD" w14:textId="35945B53" w:rsidR="00E9700E" w:rsidRPr="00176D37" w:rsidRDefault="00E9700E" w:rsidP="007C2832">
      <w:pPr>
        <w:pStyle w:val="Body"/>
        <w:rPr>
          <w:shd w:val="clear" w:color="auto" w:fill="FFFFFF"/>
        </w:rPr>
      </w:pPr>
      <w:r w:rsidRPr="00176D37">
        <w:rPr>
          <w:shd w:val="clear" w:color="auto" w:fill="FFFFFF"/>
        </w:rPr>
        <w:t>Respondents (</w:t>
      </w:r>
      <w:r w:rsidR="00F751A0">
        <w:rPr>
          <w:shd w:val="clear" w:color="auto" w:fill="FFFFFF"/>
        </w:rPr>
        <w:t xml:space="preserve">n = </w:t>
      </w:r>
      <w:r w:rsidRPr="00176D37">
        <w:rPr>
          <w:shd w:val="clear" w:color="auto" w:fill="FFFFFF"/>
        </w:rPr>
        <w:t>7) were asked if there has there been a change in any of the following events since introducing EMR (</w:t>
      </w:r>
      <w:r w:rsidRPr="00176D37">
        <w:rPr>
          <w:shd w:val="clear" w:color="auto" w:fill="FFFFFF"/>
        </w:rPr>
        <w:fldChar w:fldCharType="begin"/>
      </w:r>
      <w:r w:rsidRPr="00176D37">
        <w:rPr>
          <w:shd w:val="clear" w:color="auto" w:fill="FFFFFF"/>
        </w:rPr>
        <w:instrText xml:space="preserve"> REF _Ref100681959 \h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50</w:t>
      </w:r>
      <w:r w:rsidRPr="00176D37">
        <w:rPr>
          <w:shd w:val="clear" w:color="auto" w:fill="FFFFFF"/>
        </w:rPr>
        <w:fldChar w:fldCharType="end"/>
      </w:r>
      <w:r w:rsidRPr="00176D37">
        <w:rPr>
          <w:shd w:val="clear" w:color="auto" w:fill="FFFFFF"/>
        </w:rPr>
        <w:t xml:space="preserve">). </w:t>
      </w:r>
    </w:p>
    <w:p w14:paraId="437343F2" w14:textId="2C9385F9" w:rsidR="00E9700E" w:rsidRPr="00176D37" w:rsidRDefault="00E9700E" w:rsidP="007C2832">
      <w:pPr>
        <w:pStyle w:val="Tablecaption"/>
        <w:rPr>
          <w:shd w:val="clear" w:color="auto" w:fill="FFFFFF"/>
        </w:rPr>
      </w:pPr>
      <w:bookmarkStart w:id="404" w:name="_Ref100681959"/>
      <w:bookmarkStart w:id="405" w:name="_Ref100681955"/>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50</w:t>
      </w:r>
      <w:r w:rsidR="00F751A0">
        <w:rPr>
          <w:noProof/>
        </w:rPr>
        <w:fldChar w:fldCharType="end"/>
      </w:r>
      <w:bookmarkEnd w:id="404"/>
      <w:r w:rsidRPr="00176D37">
        <w:t>: Changes in the occurrence of events since introduction of EMR</w:t>
      </w:r>
      <w:r w:rsidRPr="00176D37">
        <w:rPr>
          <w:rStyle w:val="FootnoteReference"/>
          <w:rFonts w:cs="Arial"/>
        </w:rPr>
        <w:t xml:space="preserve"> </w:t>
      </w:r>
      <w:r w:rsidRPr="00176D37">
        <w:rPr>
          <w:rStyle w:val="FootnoteReference"/>
          <w:rFonts w:cs="Arial"/>
          <w:sz w:val="22"/>
          <w:szCs w:val="22"/>
        </w:rPr>
        <w:footnoteReference w:id="41"/>
      </w:r>
      <w:bookmarkEnd w:id="405"/>
    </w:p>
    <w:tbl>
      <w:tblPr>
        <w:tblStyle w:val="TableGrid"/>
        <w:tblW w:w="9493" w:type="dxa"/>
        <w:tblLook w:val="04A0" w:firstRow="1" w:lastRow="0" w:firstColumn="1" w:lastColumn="0" w:noHBand="0" w:noVBand="1"/>
      </w:tblPr>
      <w:tblGrid>
        <w:gridCol w:w="2933"/>
        <w:gridCol w:w="1425"/>
        <w:gridCol w:w="1425"/>
        <w:gridCol w:w="1426"/>
        <w:gridCol w:w="1150"/>
        <w:gridCol w:w="1134"/>
      </w:tblGrid>
      <w:tr w:rsidR="00E9700E" w:rsidRPr="00B73AB7" w14:paraId="51B6D516" w14:textId="77777777" w:rsidTr="009742AB">
        <w:trPr>
          <w:tblHeader/>
        </w:trPr>
        <w:tc>
          <w:tcPr>
            <w:tcW w:w="2933" w:type="dxa"/>
          </w:tcPr>
          <w:p w14:paraId="38027A26" w14:textId="77777777" w:rsidR="00E9700E" w:rsidRPr="00B73AB7" w:rsidRDefault="00E9700E" w:rsidP="007C2832">
            <w:pPr>
              <w:pStyle w:val="Tablecolhead"/>
              <w:rPr>
                <w:sz w:val="20"/>
              </w:rPr>
            </w:pPr>
          </w:p>
        </w:tc>
        <w:tc>
          <w:tcPr>
            <w:tcW w:w="1425" w:type="dxa"/>
          </w:tcPr>
          <w:p w14:paraId="5214D879" w14:textId="77777777" w:rsidR="00E9700E" w:rsidRPr="00B73AB7" w:rsidRDefault="00E9700E" w:rsidP="007C2832">
            <w:pPr>
              <w:pStyle w:val="Tablecolhead"/>
              <w:rPr>
                <w:sz w:val="20"/>
              </w:rPr>
            </w:pPr>
            <w:r w:rsidRPr="00B73AB7">
              <w:rPr>
                <w:sz w:val="20"/>
              </w:rPr>
              <w:t>Decreased</w:t>
            </w:r>
          </w:p>
          <w:p w14:paraId="04C17D8A" w14:textId="77777777" w:rsidR="00E9700E" w:rsidRPr="00B73AB7" w:rsidRDefault="00E9700E" w:rsidP="007C2832">
            <w:pPr>
              <w:pStyle w:val="Tablecolhead"/>
              <w:rPr>
                <w:sz w:val="20"/>
              </w:rPr>
            </w:pPr>
            <w:r w:rsidRPr="00B73AB7">
              <w:rPr>
                <w:sz w:val="20"/>
              </w:rPr>
              <w:t>n (%)</w:t>
            </w:r>
          </w:p>
        </w:tc>
        <w:tc>
          <w:tcPr>
            <w:tcW w:w="1425" w:type="dxa"/>
          </w:tcPr>
          <w:p w14:paraId="0DF9D9F9" w14:textId="77777777" w:rsidR="00E9700E" w:rsidRPr="00B73AB7" w:rsidRDefault="00E9700E" w:rsidP="007C2832">
            <w:pPr>
              <w:pStyle w:val="Tablecolhead"/>
              <w:rPr>
                <w:sz w:val="20"/>
              </w:rPr>
            </w:pPr>
            <w:r w:rsidRPr="00B73AB7">
              <w:rPr>
                <w:sz w:val="20"/>
              </w:rPr>
              <w:t>No change</w:t>
            </w:r>
          </w:p>
          <w:p w14:paraId="452BD9D5" w14:textId="77777777" w:rsidR="00E9700E" w:rsidRPr="00B73AB7" w:rsidRDefault="00E9700E" w:rsidP="007C2832">
            <w:pPr>
              <w:pStyle w:val="Tablecolhead"/>
              <w:rPr>
                <w:sz w:val="20"/>
              </w:rPr>
            </w:pPr>
            <w:r w:rsidRPr="00B73AB7">
              <w:rPr>
                <w:sz w:val="20"/>
              </w:rPr>
              <w:t>n (%)</w:t>
            </w:r>
          </w:p>
        </w:tc>
        <w:tc>
          <w:tcPr>
            <w:tcW w:w="1426" w:type="dxa"/>
          </w:tcPr>
          <w:p w14:paraId="3E5098F2" w14:textId="77777777" w:rsidR="00E9700E" w:rsidRPr="00B73AB7" w:rsidRDefault="00E9700E" w:rsidP="007C2832">
            <w:pPr>
              <w:pStyle w:val="Tablecolhead"/>
              <w:rPr>
                <w:sz w:val="20"/>
              </w:rPr>
            </w:pPr>
            <w:r w:rsidRPr="00B73AB7">
              <w:rPr>
                <w:sz w:val="20"/>
              </w:rPr>
              <w:t>Increased</w:t>
            </w:r>
          </w:p>
          <w:p w14:paraId="35084A37" w14:textId="77777777" w:rsidR="00E9700E" w:rsidRPr="00B73AB7" w:rsidRDefault="00E9700E" w:rsidP="007C2832">
            <w:pPr>
              <w:pStyle w:val="Tablecolhead"/>
              <w:rPr>
                <w:sz w:val="20"/>
              </w:rPr>
            </w:pPr>
            <w:r w:rsidRPr="00B73AB7">
              <w:rPr>
                <w:sz w:val="20"/>
              </w:rPr>
              <w:t>n (%)</w:t>
            </w:r>
          </w:p>
        </w:tc>
        <w:tc>
          <w:tcPr>
            <w:tcW w:w="1150" w:type="dxa"/>
          </w:tcPr>
          <w:p w14:paraId="1A13F2B4" w14:textId="77777777" w:rsidR="00E9700E" w:rsidRPr="00B73AB7" w:rsidRDefault="00E9700E" w:rsidP="007C2832">
            <w:pPr>
              <w:pStyle w:val="Tablecolhead"/>
              <w:rPr>
                <w:sz w:val="20"/>
              </w:rPr>
            </w:pPr>
            <w:r w:rsidRPr="00B73AB7">
              <w:rPr>
                <w:sz w:val="20"/>
              </w:rPr>
              <w:t>Unsure</w:t>
            </w:r>
          </w:p>
          <w:p w14:paraId="0A52AB40" w14:textId="77777777" w:rsidR="00E9700E" w:rsidRPr="00B73AB7" w:rsidRDefault="00E9700E" w:rsidP="007C2832">
            <w:pPr>
              <w:pStyle w:val="Tablecolhead"/>
              <w:rPr>
                <w:sz w:val="20"/>
              </w:rPr>
            </w:pPr>
            <w:r w:rsidRPr="00B73AB7">
              <w:rPr>
                <w:sz w:val="20"/>
              </w:rPr>
              <w:t>n (%)</w:t>
            </w:r>
          </w:p>
        </w:tc>
        <w:tc>
          <w:tcPr>
            <w:tcW w:w="1134" w:type="dxa"/>
          </w:tcPr>
          <w:p w14:paraId="20807125" w14:textId="77777777" w:rsidR="00E9700E" w:rsidRPr="00B73AB7" w:rsidRDefault="00E9700E" w:rsidP="007C2832">
            <w:pPr>
              <w:pStyle w:val="Tablecolhead"/>
              <w:rPr>
                <w:sz w:val="20"/>
              </w:rPr>
            </w:pPr>
            <w:r w:rsidRPr="00B73AB7">
              <w:rPr>
                <w:sz w:val="20"/>
              </w:rPr>
              <w:t>N/A</w:t>
            </w:r>
          </w:p>
          <w:p w14:paraId="7A816970" w14:textId="77777777" w:rsidR="00E9700E" w:rsidRPr="00B73AB7" w:rsidRDefault="00E9700E" w:rsidP="007C2832">
            <w:pPr>
              <w:pStyle w:val="Tablecolhead"/>
              <w:rPr>
                <w:sz w:val="20"/>
              </w:rPr>
            </w:pPr>
            <w:r w:rsidRPr="00B73AB7">
              <w:rPr>
                <w:sz w:val="20"/>
              </w:rPr>
              <w:t>n (%)</w:t>
            </w:r>
          </w:p>
        </w:tc>
      </w:tr>
      <w:tr w:rsidR="00E9700E" w:rsidRPr="00B73AB7" w14:paraId="775B062B" w14:textId="77777777" w:rsidTr="0063333A">
        <w:tc>
          <w:tcPr>
            <w:tcW w:w="2933" w:type="dxa"/>
          </w:tcPr>
          <w:p w14:paraId="6E19A04E" w14:textId="77777777" w:rsidR="00E9700E" w:rsidRPr="00B73AB7" w:rsidRDefault="00E9700E" w:rsidP="007C2832">
            <w:pPr>
              <w:pStyle w:val="Tabletext"/>
              <w:rPr>
                <w:sz w:val="20"/>
              </w:rPr>
            </w:pPr>
            <w:r w:rsidRPr="00B73AB7">
              <w:rPr>
                <w:sz w:val="20"/>
              </w:rPr>
              <w:t>Unlabelled specimens</w:t>
            </w:r>
          </w:p>
        </w:tc>
        <w:tc>
          <w:tcPr>
            <w:tcW w:w="1425" w:type="dxa"/>
          </w:tcPr>
          <w:p w14:paraId="6827BF14" w14:textId="77777777" w:rsidR="00E9700E" w:rsidRPr="00B73AB7" w:rsidRDefault="00E9700E" w:rsidP="009742AB">
            <w:pPr>
              <w:pStyle w:val="Tabletext"/>
              <w:jc w:val="right"/>
              <w:rPr>
                <w:sz w:val="20"/>
              </w:rPr>
            </w:pPr>
            <w:r w:rsidRPr="00B73AB7">
              <w:rPr>
                <w:sz w:val="20"/>
              </w:rPr>
              <w:t>2 (29%)</w:t>
            </w:r>
          </w:p>
        </w:tc>
        <w:tc>
          <w:tcPr>
            <w:tcW w:w="1425" w:type="dxa"/>
          </w:tcPr>
          <w:p w14:paraId="57DA4E16" w14:textId="77777777" w:rsidR="00E9700E" w:rsidRPr="00B73AB7" w:rsidRDefault="00E9700E" w:rsidP="009742AB">
            <w:pPr>
              <w:pStyle w:val="Tabletext"/>
              <w:jc w:val="right"/>
              <w:rPr>
                <w:sz w:val="20"/>
              </w:rPr>
            </w:pPr>
            <w:r w:rsidRPr="00B73AB7">
              <w:rPr>
                <w:sz w:val="20"/>
              </w:rPr>
              <w:t>3 (43%)</w:t>
            </w:r>
          </w:p>
        </w:tc>
        <w:tc>
          <w:tcPr>
            <w:tcW w:w="1426" w:type="dxa"/>
          </w:tcPr>
          <w:p w14:paraId="6CF28A71" w14:textId="77777777" w:rsidR="00E9700E" w:rsidRPr="00B73AB7" w:rsidRDefault="00E9700E" w:rsidP="009742AB">
            <w:pPr>
              <w:pStyle w:val="Tabletext"/>
              <w:jc w:val="right"/>
              <w:rPr>
                <w:sz w:val="20"/>
              </w:rPr>
            </w:pPr>
            <w:r w:rsidRPr="00B73AB7">
              <w:rPr>
                <w:sz w:val="20"/>
              </w:rPr>
              <w:t>1 (14%)</w:t>
            </w:r>
          </w:p>
        </w:tc>
        <w:tc>
          <w:tcPr>
            <w:tcW w:w="1150" w:type="dxa"/>
          </w:tcPr>
          <w:p w14:paraId="2FB5F2D5" w14:textId="77777777" w:rsidR="00E9700E" w:rsidRPr="00B73AB7" w:rsidRDefault="00E9700E" w:rsidP="009742AB">
            <w:pPr>
              <w:pStyle w:val="Tabletext"/>
              <w:jc w:val="right"/>
              <w:rPr>
                <w:sz w:val="20"/>
              </w:rPr>
            </w:pPr>
            <w:r w:rsidRPr="00B73AB7">
              <w:rPr>
                <w:sz w:val="20"/>
              </w:rPr>
              <w:t>-</w:t>
            </w:r>
          </w:p>
        </w:tc>
        <w:tc>
          <w:tcPr>
            <w:tcW w:w="1134" w:type="dxa"/>
          </w:tcPr>
          <w:p w14:paraId="7231B0DD" w14:textId="77777777" w:rsidR="00E9700E" w:rsidRPr="00B73AB7" w:rsidRDefault="00E9700E" w:rsidP="009742AB">
            <w:pPr>
              <w:pStyle w:val="Tabletext"/>
              <w:jc w:val="right"/>
              <w:rPr>
                <w:sz w:val="20"/>
              </w:rPr>
            </w:pPr>
            <w:r w:rsidRPr="00B73AB7">
              <w:rPr>
                <w:sz w:val="20"/>
              </w:rPr>
              <w:t>1 (14%)</w:t>
            </w:r>
          </w:p>
        </w:tc>
      </w:tr>
      <w:tr w:rsidR="00E9700E" w:rsidRPr="00B73AB7" w14:paraId="449C1079" w14:textId="77777777" w:rsidTr="0063333A">
        <w:tc>
          <w:tcPr>
            <w:tcW w:w="2933" w:type="dxa"/>
          </w:tcPr>
          <w:p w14:paraId="7A08916F" w14:textId="77777777" w:rsidR="00E9700E" w:rsidRPr="00B73AB7" w:rsidRDefault="00E9700E" w:rsidP="007C2832">
            <w:pPr>
              <w:pStyle w:val="Tabletext"/>
              <w:rPr>
                <w:sz w:val="20"/>
              </w:rPr>
            </w:pPr>
            <w:r w:rsidRPr="00B73AB7">
              <w:rPr>
                <w:sz w:val="20"/>
              </w:rPr>
              <w:t>Double labelling of specimens</w:t>
            </w:r>
          </w:p>
        </w:tc>
        <w:tc>
          <w:tcPr>
            <w:tcW w:w="1425" w:type="dxa"/>
          </w:tcPr>
          <w:p w14:paraId="35C04C3B" w14:textId="77777777" w:rsidR="00E9700E" w:rsidRPr="00B73AB7" w:rsidRDefault="00E9700E" w:rsidP="009742AB">
            <w:pPr>
              <w:pStyle w:val="Tabletext"/>
              <w:jc w:val="right"/>
              <w:rPr>
                <w:sz w:val="20"/>
              </w:rPr>
            </w:pPr>
            <w:r w:rsidRPr="00B73AB7">
              <w:rPr>
                <w:sz w:val="20"/>
              </w:rPr>
              <w:t>-</w:t>
            </w:r>
          </w:p>
        </w:tc>
        <w:tc>
          <w:tcPr>
            <w:tcW w:w="1425" w:type="dxa"/>
          </w:tcPr>
          <w:p w14:paraId="2D39457B" w14:textId="77777777" w:rsidR="00E9700E" w:rsidRPr="00B73AB7" w:rsidRDefault="00E9700E" w:rsidP="009742AB">
            <w:pPr>
              <w:pStyle w:val="Tabletext"/>
              <w:jc w:val="right"/>
              <w:rPr>
                <w:sz w:val="20"/>
              </w:rPr>
            </w:pPr>
            <w:r w:rsidRPr="00B73AB7">
              <w:rPr>
                <w:sz w:val="20"/>
              </w:rPr>
              <w:t>4 (57%)</w:t>
            </w:r>
          </w:p>
        </w:tc>
        <w:tc>
          <w:tcPr>
            <w:tcW w:w="1426" w:type="dxa"/>
          </w:tcPr>
          <w:p w14:paraId="092B558E" w14:textId="77777777" w:rsidR="00E9700E" w:rsidRPr="00B73AB7" w:rsidRDefault="00E9700E" w:rsidP="009742AB">
            <w:pPr>
              <w:pStyle w:val="Tabletext"/>
              <w:jc w:val="right"/>
              <w:rPr>
                <w:sz w:val="20"/>
              </w:rPr>
            </w:pPr>
            <w:r w:rsidRPr="00B73AB7">
              <w:rPr>
                <w:sz w:val="20"/>
              </w:rPr>
              <w:t>-</w:t>
            </w:r>
          </w:p>
        </w:tc>
        <w:tc>
          <w:tcPr>
            <w:tcW w:w="1150" w:type="dxa"/>
          </w:tcPr>
          <w:p w14:paraId="5E7DE234" w14:textId="77777777" w:rsidR="00E9700E" w:rsidRPr="00B73AB7" w:rsidRDefault="00E9700E" w:rsidP="009742AB">
            <w:pPr>
              <w:pStyle w:val="Tabletext"/>
              <w:jc w:val="right"/>
              <w:rPr>
                <w:sz w:val="20"/>
              </w:rPr>
            </w:pPr>
            <w:r w:rsidRPr="00B73AB7">
              <w:rPr>
                <w:sz w:val="20"/>
              </w:rPr>
              <w:t>2 (29%)</w:t>
            </w:r>
          </w:p>
        </w:tc>
        <w:tc>
          <w:tcPr>
            <w:tcW w:w="1134" w:type="dxa"/>
          </w:tcPr>
          <w:p w14:paraId="1E5BD8E2" w14:textId="77777777" w:rsidR="00E9700E" w:rsidRPr="00B73AB7" w:rsidRDefault="00E9700E" w:rsidP="009742AB">
            <w:pPr>
              <w:pStyle w:val="Tabletext"/>
              <w:jc w:val="right"/>
              <w:rPr>
                <w:sz w:val="20"/>
              </w:rPr>
            </w:pPr>
            <w:r w:rsidRPr="00B73AB7">
              <w:rPr>
                <w:sz w:val="20"/>
              </w:rPr>
              <w:t>1 (14%)</w:t>
            </w:r>
          </w:p>
        </w:tc>
      </w:tr>
      <w:tr w:rsidR="00E9700E" w:rsidRPr="00B73AB7" w14:paraId="1953C77A" w14:textId="77777777" w:rsidTr="0063333A">
        <w:tc>
          <w:tcPr>
            <w:tcW w:w="2933" w:type="dxa"/>
          </w:tcPr>
          <w:p w14:paraId="3230B88A" w14:textId="77777777" w:rsidR="00E9700E" w:rsidRPr="00B73AB7" w:rsidRDefault="00E9700E" w:rsidP="007C2832">
            <w:pPr>
              <w:pStyle w:val="Tabletext"/>
              <w:rPr>
                <w:sz w:val="20"/>
              </w:rPr>
            </w:pPr>
            <w:r w:rsidRPr="00B73AB7">
              <w:rPr>
                <w:sz w:val="20"/>
              </w:rPr>
              <w:t xml:space="preserve">Duplicate samples with the same accession (specimen ID) number </w:t>
            </w:r>
          </w:p>
        </w:tc>
        <w:tc>
          <w:tcPr>
            <w:tcW w:w="1425" w:type="dxa"/>
          </w:tcPr>
          <w:p w14:paraId="12246405" w14:textId="77777777" w:rsidR="00E9700E" w:rsidRPr="00B73AB7" w:rsidRDefault="00E9700E" w:rsidP="009742AB">
            <w:pPr>
              <w:pStyle w:val="Tabletext"/>
              <w:jc w:val="right"/>
              <w:rPr>
                <w:sz w:val="20"/>
              </w:rPr>
            </w:pPr>
            <w:r w:rsidRPr="00B73AB7">
              <w:rPr>
                <w:sz w:val="20"/>
              </w:rPr>
              <w:t>-</w:t>
            </w:r>
          </w:p>
        </w:tc>
        <w:tc>
          <w:tcPr>
            <w:tcW w:w="1425" w:type="dxa"/>
          </w:tcPr>
          <w:p w14:paraId="191DDE26" w14:textId="77777777" w:rsidR="00E9700E" w:rsidRPr="00B73AB7" w:rsidRDefault="00E9700E" w:rsidP="009742AB">
            <w:pPr>
              <w:pStyle w:val="Tabletext"/>
              <w:jc w:val="right"/>
              <w:rPr>
                <w:sz w:val="20"/>
              </w:rPr>
            </w:pPr>
            <w:r w:rsidRPr="00B73AB7">
              <w:rPr>
                <w:sz w:val="20"/>
              </w:rPr>
              <w:t>4 (57%)</w:t>
            </w:r>
          </w:p>
        </w:tc>
        <w:tc>
          <w:tcPr>
            <w:tcW w:w="1426" w:type="dxa"/>
          </w:tcPr>
          <w:p w14:paraId="29E0127A" w14:textId="77777777" w:rsidR="00E9700E" w:rsidRPr="00B73AB7" w:rsidRDefault="00E9700E" w:rsidP="009742AB">
            <w:pPr>
              <w:pStyle w:val="Tabletext"/>
              <w:jc w:val="right"/>
              <w:rPr>
                <w:sz w:val="20"/>
              </w:rPr>
            </w:pPr>
            <w:r w:rsidRPr="00B73AB7">
              <w:rPr>
                <w:sz w:val="20"/>
              </w:rPr>
              <w:t>1 (14%)</w:t>
            </w:r>
          </w:p>
        </w:tc>
        <w:tc>
          <w:tcPr>
            <w:tcW w:w="1150" w:type="dxa"/>
          </w:tcPr>
          <w:p w14:paraId="14318E6A" w14:textId="77777777" w:rsidR="00E9700E" w:rsidRPr="00B73AB7" w:rsidRDefault="00E9700E" w:rsidP="009742AB">
            <w:pPr>
              <w:pStyle w:val="Tabletext"/>
              <w:jc w:val="right"/>
              <w:rPr>
                <w:sz w:val="20"/>
              </w:rPr>
            </w:pPr>
            <w:r w:rsidRPr="00B73AB7">
              <w:rPr>
                <w:sz w:val="20"/>
              </w:rPr>
              <w:t>1 (14%)</w:t>
            </w:r>
          </w:p>
        </w:tc>
        <w:tc>
          <w:tcPr>
            <w:tcW w:w="1134" w:type="dxa"/>
          </w:tcPr>
          <w:p w14:paraId="4C3145E9" w14:textId="77777777" w:rsidR="00E9700E" w:rsidRPr="00B73AB7" w:rsidRDefault="00E9700E" w:rsidP="009742AB">
            <w:pPr>
              <w:pStyle w:val="Tabletext"/>
              <w:jc w:val="right"/>
              <w:rPr>
                <w:sz w:val="20"/>
              </w:rPr>
            </w:pPr>
            <w:r w:rsidRPr="00B73AB7">
              <w:rPr>
                <w:sz w:val="20"/>
              </w:rPr>
              <w:t>1 (14%)</w:t>
            </w:r>
          </w:p>
        </w:tc>
      </w:tr>
      <w:tr w:rsidR="00E9700E" w:rsidRPr="00B73AB7" w14:paraId="123EA3F6" w14:textId="77777777" w:rsidTr="0063333A">
        <w:tc>
          <w:tcPr>
            <w:tcW w:w="2933" w:type="dxa"/>
          </w:tcPr>
          <w:p w14:paraId="3E183FE7" w14:textId="77777777" w:rsidR="00E9700E" w:rsidRPr="00B73AB7" w:rsidRDefault="00E9700E" w:rsidP="007C2832">
            <w:pPr>
              <w:pStyle w:val="Tabletext"/>
              <w:rPr>
                <w:sz w:val="20"/>
              </w:rPr>
            </w:pPr>
            <w:r w:rsidRPr="00B73AB7">
              <w:rPr>
                <w:sz w:val="20"/>
              </w:rPr>
              <w:t>No request form received with specimen</w:t>
            </w:r>
          </w:p>
        </w:tc>
        <w:tc>
          <w:tcPr>
            <w:tcW w:w="1425" w:type="dxa"/>
          </w:tcPr>
          <w:p w14:paraId="43585DAE" w14:textId="77777777" w:rsidR="00E9700E" w:rsidRPr="00B73AB7" w:rsidRDefault="00E9700E" w:rsidP="009742AB">
            <w:pPr>
              <w:pStyle w:val="Tabletext"/>
              <w:jc w:val="right"/>
              <w:rPr>
                <w:sz w:val="20"/>
              </w:rPr>
            </w:pPr>
            <w:r w:rsidRPr="00B73AB7">
              <w:rPr>
                <w:sz w:val="20"/>
              </w:rPr>
              <w:t>1 (14%)</w:t>
            </w:r>
          </w:p>
        </w:tc>
        <w:tc>
          <w:tcPr>
            <w:tcW w:w="1425" w:type="dxa"/>
          </w:tcPr>
          <w:p w14:paraId="300EB11B" w14:textId="77777777" w:rsidR="00E9700E" w:rsidRPr="00B73AB7" w:rsidRDefault="00E9700E" w:rsidP="009742AB">
            <w:pPr>
              <w:pStyle w:val="Tabletext"/>
              <w:jc w:val="right"/>
              <w:rPr>
                <w:sz w:val="20"/>
              </w:rPr>
            </w:pPr>
            <w:r w:rsidRPr="00B73AB7">
              <w:rPr>
                <w:sz w:val="20"/>
              </w:rPr>
              <w:t>1 (14%)</w:t>
            </w:r>
          </w:p>
        </w:tc>
        <w:tc>
          <w:tcPr>
            <w:tcW w:w="1426" w:type="dxa"/>
          </w:tcPr>
          <w:p w14:paraId="3EAD2AEE" w14:textId="77777777" w:rsidR="00E9700E" w:rsidRPr="00B73AB7" w:rsidRDefault="00E9700E" w:rsidP="009742AB">
            <w:pPr>
              <w:pStyle w:val="Tabletext"/>
              <w:jc w:val="right"/>
              <w:rPr>
                <w:sz w:val="20"/>
              </w:rPr>
            </w:pPr>
            <w:r w:rsidRPr="00B73AB7">
              <w:rPr>
                <w:sz w:val="20"/>
              </w:rPr>
              <w:t>4 (57%)</w:t>
            </w:r>
          </w:p>
        </w:tc>
        <w:tc>
          <w:tcPr>
            <w:tcW w:w="1150" w:type="dxa"/>
          </w:tcPr>
          <w:p w14:paraId="1454C94D" w14:textId="77777777" w:rsidR="00E9700E" w:rsidRPr="00B73AB7" w:rsidRDefault="00E9700E" w:rsidP="009742AB">
            <w:pPr>
              <w:pStyle w:val="Tabletext"/>
              <w:jc w:val="right"/>
              <w:rPr>
                <w:sz w:val="20"/>
              </w:rPr>
            </w:pPr>
            <w:r w:rsidRPr="00B73AB7">
              <w:rPr>
                <w:sz w:val="20"/>
              </w:rPr>
              <w:t>-</w:t>
            </w:r>
          </w:p>
        </w:tc>
        <w:tc>
          <w:tcPr>
            <w:tcW w:w="1134" w:type="dxa"/>
          </w:tcPr>
          <w:p w14:paraId="13BB4479" w14:textId="77777777" w:rsidR="00E9700E" w:rsidRPr="00B73AB7" w:rsidRDefault="00E9700E" w:rsidP="009742AB">
            <w:pPr>
              <w:pStyle w:val="Tabletext"/>
              <w:jc w:val="right"/>
              <w:rPr>
                <w:sz w:val="20"/>
              </w:rPr>
            </w:pPr>
            <w:r w:rsidRPr="00B73AB7">
              <w:rPr>
                <w:sz w:val="20"/>
              </w:rPr>
              <w:t>1 (14%)</w:t>
            </w:r>
          </w:p>
        </w:tc>
      </w:tr>
      <w:tr w:rsidR="00E9700E" w:rsidRPr="00B73AB7" w14:paraId="6FA7D34A" w14:textId="77777777" w:rsidTr="0063333A">
        <w:tc>
          <w:tcPr>
            <w:tcW w:w="2933" w:type="dxa"/>
          </w:tcPr>
          <w:p w14:paraId="0824CB38" w14:textId="77777777" w:rsidR="00E9700E" w:rsidRPr="00B73AB7" w:rsidRDefault="00E9700E" w:rsidP="007C2832">
            <w:pPr>
              <w:pStyle w:val="Tabletext"/>
              <w:rPr>
                <w:sz w:val="20"/>
              </w:rPr>
            </w:pPr>
            <w:r w:rsidRPr="00B73AB7">
              <w:rPr>
                <w:sz w:val="20"/>
              </w:rPr>
              <w:t>Specimens from more than one patient sent in a single biohazard bag</w:t>
            </w:r>
          </w:p>
        </w:tc>
        <w:tc>
          <w:tcPr>
            <w:tcW w:w="1425" w:type="dxa"/>
          </w:tcPr>
          <w:p w14:paraId="0694D553" w14:textId="77777777" w:rsidR="00E9700E" w:rsidRPr="00B73AB7" w:rsidRDefault="00E9700E" w:rsidP="009742AB">
            <w:pPr>
              <w:pStyle w:val="Tabletext"/>
              <w:jc w:val="right"/>
              <w:rPr>
                <w:sz w:val="20"/>
              </w:rPr>
            </w:pPr>
            <w:r w:rsidRPr="00B73AB7">
              <w:rPr>
                <w:sz w:val="20"/>
              </w:rPr>
              <w:t>-</w:t>
            </w:r>
          </w:p>
        </w:tc>
        <w:tc>
          <w:tcPr>
            <w:tcW w:w="1425" w:type="dxa"/>
          </w:tcPr>
          <w:p w14:paraId="16C88A8D" w14:textId="77777777" w:rsidR="00E9700E" w:rsidRPr="00B73AB7" w:rsidRDefault="00E9700E" w:rsidP="009742AB">
            <w:pPr>
              <w:pStyle w:val="Tabletext"/>
              <w:jc w:val="right"/>
              <w:rPr>
                <w:sz w:val="20"/>
              </w:rPr>
            </w:pPr>
            <w:r w:rsidRPr="00B73AB7">
              <w:rPr>
                <w:sz w:val="20"/>
              </w:rPr>
              <w:t>3 (43%)</w:t>
            </w:r>
          </w:p>
        </w:tc>
        <w:tc>
          <w:tcPr>
            <w:tcW w:w="1426" w:type="dxa"/>
          </w:tcPr>
          <w:p w14:paraId="2677FBF2" w14:textId="77777777" w:rsidR="00E9700E" w:rsidRPr="00B73AB7" w:rsidRDefault="00E9700E" w:rsidP="009742AB">
            <w:pPr>
              <w:pStyle w:val="Tabletext"/>
              <w:jc w:val="right"/>
              <w:rPr>
                <w:sz w:val="20"/>
              </w:rPr>
            </w:pPr>
            <w:r w:rsidRPr="00B73AB7">
              <w:rPr>
                <w:sz w:val="20"/>
              </w:rPr>
              <w:t>1 (14%)</w:t>
            </w:r>
          </w:p>
        </w:tc>
        <w:tc>
          <w:tcPr>
            <w:tcW w:w="1150" w:type="dxa"/>
          </w:tcPr>
          <w:p w14:paraId="640939A5" w14:textId="77777777" w:rsidR="00E9700E" w:rsidRPr="00B73AB7" w:rsidRDefault="00E9700E" w:rsidP="009742AB">
            <w:pPr>
              <w:pStyle w:val="Tabletext"/>
              <w:jc w:val="right"/>
              <w:rPr>
                <w:sz w:val="20"/>
              </w:rPr>
            </w:pPr>
            <w:r w:rsidRPr="00B73AB7">
              <w:rPr>
                <w:sz w:val="20"/>
              </w:rPr>
              <w:t>2 (29%)</w:t>
            </w:r>
          </w:p>
        </w:tc>
        <w:tc>
          <w:tcPr>
            <w:tcW w:w="1134" w:type="dxa"/>
          </w:tcPr>
          <w:p w14:paraId="50F55AC3" w14:textId="77777777" w:rsidR="00E9700E" w:rsidRPr="00B73AB7" w:rsidRDefault="00E9700E" w:rsidP="009742AB">
            <w:pPr>
              <w:pStyle w:val="Tabletext"/>
              <w:jc w:val="right"/>
              <w:rPr>
                <w:sz w:val="20"/>
              </w:rPr>
            </w:pPr>
            <w:r w:rsidRPr="00B73AB7">
              <w:rPr>
                <w:sz w:val="20"/>
              </w:rPr>
              <w:t>1 (14%)</w:t>
            </w:r>
          </w:p>
        </w:tc>
      </w:tr>
      <w:tr w:rsidR="00E9700E" w:rsidRPr="00B73AB7" w14:paraId="2791276B" w14:textId="77777777" w:rsidTr="0063333A">
        <w:tc>
          <w:tcPr>
            <w:tcW w:w="2933" w:type="dxa"/>
          </w:tcPr>
          <w:p w14:paraId="14619FAB" w14:textId="77777777" w:rsidR="00E9700E" w:rsidRPr="00B73AB7" w:rsidRDefault="00E9700E" w:rsidP="007C2832">
            <w:pPr>
              <w:pStyle w:val="Tabletext"/>
              <w:rPr>
                <w:sz w:val="20"/>
              </w:rPr>
            </w:pPr>
            <w:r w:rsidRPr="00B73AB7">
              <w:rPr>
                <w:sz w:val="20"/>
              </w:rPr>
              <w:t>Pretransfusion request form or sample labels generated at a time other than immediately before specimens collected</w:t>
            </w:r>
          </w:p>
        </w:tc>
        <w:tc>
          <w:tcPr>
            <w:tcW w:w="1425" w:type="dxa"/>
          </w:tcPr>
          <w:p w14:paraId="00371840" w14:textId="77777777" w:rsidR="00E9700E" w:rsidRPr="00B73AB7" w:rsidRDefault="00E9700E" w:rsidP="009742AB">
            <w:pPr>
              <w:pStyle w:val="Tabletext"/>
              <w:jc w:val="right"/>
              <w:rPr>
                <w:sz w:val="20"/>
              </w:rPr>
            </w:pPr>
            <w:r w:rsidRPr="00B73AB7">
              <w:rPr>
                <w:sz w:val="20"/>
              </w:rPr>
              <w:t>1 (14%)</w:t>
            </w:r>
          </w:p>
        </w:tc>
        <w:tc>
          <w:tcPr>
            <w:tcW w:w="1425" w:type="dxa"/>
          </w:tcPr>
          <w:p w14:paraId="5CA9FA68" w14:textId="77777777" w:rsidR="00E9700E" w:rsidRPr="00B73AB7" w:rsidRDefault="00E9700E" w:rsidP="009742AB">
            <w:pPr>
              <w:pStyle w:val="Tabletext"/>
              <w:jc w:val="right"/>
              <w:rPr>
                <w:sz w:val="20"/>
              </w:rPr>
            </w:pPr>
            <w:r w:rsidRPr="00B73AB7">
              <w:rPr>
                <w:sz w:val="20"/>
              </w:rPr>
              <w:t>2 (29%)</w:t>
            </w:r>
          </w:p>
        </w:tc>
        <w:tc>
          <w:tcPr>
            <w:tcW w:w="1426" w:type="dxa"/>
          </w:tcPr>
          <w:p w14:paraId="7FF85998" w14:textId="77777777" w:rsidR="00E9700E" w:rsidRPr="00B73AB7" w:rsidRDefault="00E9700E" w:rsidP="009742AB">
            <w:pPr>
              <w:pStyle w:val="Tabletext"/>
              <w:jc w:val="right"/>
              <w:rPr>
                <w:sz w:val="20"/>
              </w:rPr>
            </w:pPr>
            <w:r w:rsidRPr="00B73AB7">
              <w:rPr>
                <w:sz w:val="20"/>
              </w:rPr>
              <w:t>2 (29%)</w:t>
            </w:r>
          </w:p>
        </w:tc>
        <w:tc>
          <w:tcPr>
            <w:tcW w:w="1150" w:type="dxa"/>
          </w:tcPr>
          <w:p w14:paraId="7592276F" w14:textId="77777777" w:rsidR="00E9700E" w:rsidRPr="00B73AB7" w:rsidRDefault="00E9700E" w:rsidP="009742AB">
            <w:pPr>
              <w:pStyle w:val="Tabletext"/>
              <w:jc w:val="right"/>
              <w:rPr>
                <w:sz w:val="20"/>
              </w:rPr>
            </w:pPr>
            <w:r w:rsidRPr="00B73AB7">
              <w:rPr>
                <w:sz w:val="20"/>
              </w:rPr>
              <w:t>1 (14%)</w:t>
            </w:r>
          </w:p>
        </w:tc>
        <w:tc>
          <w:tcPr>
            <w:tcW w:w="1134" w:type="dxa"/>
          </w:tcPr>
          <w:p w14:paraId="02FFBA0D" w14:textId="77777777" w:rsidR="00E9700E" w:rsidRPr="00B73AB7" w:rsidRDefault="00E9700E" w:rsidP="009742AB">
            <w:pPr>
              <w:pStyle w:val="Tabletext"/>
              <w:jc w:val="right"/>
              <w:rPr>
                <w:sz w:val="20"/>
              </w:rPr>
            </w:pPr>
            <w:r w:rsidRPr="00B73AB7">
              <w:rPr>
                <w:sz w:val="20"/>
              </w:rPr>
              <w:t>1 (14%)</w:t>
            </w:r>
          </w:p>
        </w:tc>
      </w:tr>
      <w:tr w:rsidR="00E9700E" w:rsidRPr="00B73AB7" w14:paraId="529C7417" w14:textId="77777777" w:rsidTr="0063333A">
        <w:tc>
          <w:tcPr>
            <w:tcW w:w="2933" w:type="dxa"/>
          </w:tcPr>
          <w:p w14:paraId="06A1EB2D" w14:textId="77777777" w:rsidR="00E9700E" w:rsidRPr="00B73AB7" w:rsidRDefault="00E9700E" w:rsidP="007C2832">
            <w:pPr>
              <w:pStyle w:val="Tabletext"/>
              <w:rPr>
                <w:sz w:val="20"/>
              </w:rPr>
            </w:pPr>
            <w:r w:rsidRPr="00B73AB7">
              <w:rPr>
                <w:sz w:val="20"/>
              </w:rPr>
              <w:t>Wrong blood in tube (WBIT)</w:t>
            </w:r>
            <w:bookmarkStart w:id="406" w:name="_Ref100681811"/>
            <w:r w:rsidRPr="00B73AB7">
              <w:rPr>
                <w:rStyle w:val="FootnoteReference"/>
                <w:sz w:val="20"/>
              </w:rPr>
              <w:footnoteReference w:id="42"/>
            </w:r>
            <w:bookmarkEnd w:id="406"/>
          </w:p>
        </w:tc>
        <w:tc>
          <w:tcPr>
            <w:tcW w:w="1425" w:type="dxa"/>
          </w:tcPr>
          <w:p w14:paraId="0CC7C36A" w14:textId="77777777" w:rsidR="00E9700E" w:rsidRPr="00B73AB7" w:rsidRDefault="00E9700E" w:rsidP="009742AB">
            <w:pPr>
              <w:pStyle w:val="Tabletext"/>
              <w:jc w:val="right"/>
              <w:rPr>
                <w:sz w:val="20"/>
              </w:rPr>
            </w:pPr>
            <w:r w:rsidRPr="00B73AB7">
              <w:rPr>
                <w:sz w:val="20"/>
              </w:rPr>
              <w:t>-</w:t>
            </w:r>
          </w:p>
        </w:tc>
        <w:tc>
          <w:tcPr>
            <w:tcW w:w="1425" w:type="dxa"/>
          </w:tcPr>
          <w:p w14:paraId="66A07779" w14:textId="77777777" w:rsidR="00E9700E" w:rsidRPr="00B73AB7" w:rsidRDefault="00E9700E" w:rsidP="009742AB">
            <w:pPr>
              <w:pStyle w:val="Tabletext"/>
              <w:jc w:val="right"/>
              <w:rPr>
                <w:sz w:val="20"/>
              </w:rPr>
            </w:pPr>
            <w:r w:rsidRPr="00B73AB7">
              <w:rPr>
                <w:sz w:val="20"/>
              </w:rPr>
              <w:t>3 (43%)</w:t>
            </w:r>
          </w:p>
        </w:tc>
        <w:tc>
          <w:tcPr>
            <w:tcW w:w="1426" w:type="dxa"/>
          </w:tcPr>
          <w:p w14:paraId="35143F1D" w14:textId="77777777" w:rsidR="00E9700E" w:rsidRPr="00B73AB7" w:rsidRDefault="00E9700E" w:rsidP="009742AB">
            <w:pPr>
              <w:pStyle w:val="Tabletext"/>
              <w:jc w:val="right"/>
              <w:rPr>
                <w:sz w:val="20"/>
              </w:rPr>
            </w:pPr>
            <w:r w:rsidRPr="00B73AB7">
              <w:rPr>
                <w:sz w:val="20"/>
              </w:rPr>
              <w:t>2 (29%)</w:t>
            </w:r>
          </w:p>
        </w:tc>
        <w:tc>
          <w:tcPr>
            <w:tcW w:w="1150" w:type="dxa"/>
          </w:tcPr>
          <w:p w14:paraId="64C6136D" w14:textId="77777777" w:rsidR="00E9700E" w:rsidRPr="00B73AB7" w:rsidRDefault="00E9700E" w:rsidP="009742AB">
            <w:pPr>
              <w:pStyle w:val="Tabletext"/>
              <w:jc w:val="right"/>
              <w:rPr>
                <w:sz w:val="20"/>
              </w:rPr>
            </w:pPr>
            <w:r w:rsidRPr="00B73AB7">
              <w:rPr>
                <w:sz w:val="20"/>
              </w:rPr>
              <w:t>1 (14%)</w:t>
            </w:r>
          </w:p>
        </w:tc>
        <w:tc>
          <w:tcPr>
            <w:tcW w:w="1134" w:type="dxa"/>
          </w:tcPr>
          <w:p w14:paraId="1DE418E9" w14:textId="77777777" w:rsidR="00E9700E" w:rsidRPr="00B73AB7" w:rsidRDefault="00E9700E" w:rsidP="009742AB">
            <w:pPr>
              <w:pStyle w:val="Tabletext"/>
              <w:jc w:val="right"/>
              <w:rPr>
                <w:sz w:val="20"/>
              </w:rPr>
            </w:pPr>
            <w:r w:rsidRPr="00B73AB7">
              <w:rPr>
                <w:sz w:val="20"/>
              </w:rPr>
              <w:t>1 (14%)</w:t>
            </w:r>
          </w:p>
        </w:tc>
      </w:tr>
      <w:tr w:rsidR="00E9700E" w:rsidRPr="00B73AB7" w14:paraId="2E550031" w14:textId="77777777" w:rsidTr="0063333A">
        <w:tc>
          <w:tcPr>
            <w:tcW w:w="2933" w:type="dxa"/>
          </w:tcPr>
          <w:p w14:paraId="571E8134" w14:textId="165C3DBE" w:rsidR="00E9700E" w:rsidRPr="00B73AB7" w:rsidRDefault="00E9700E" w:rsidP="007C2832">
            <w:pPr>
              <w:pStyle w:val="Tabletext"/>
              <w:rPr>
                <w:sz w:val="20"/>
              </w:rPr>
            </w:pPr>
            <w:r w:rsidRPr="00B73AB7">
              <w:rPr>
                <w:sz w:val="20"/>
              </w:rPr>
              <w:t>Incorrectly labelled specimens, including unsigned pretransfusion specimens (excluding WBITs)</w:t>
            </w:r>
            <w:r w:rsidRPr="00B73AB7">
              <w:rPr>
                <w:sz w:val="20"/>
                <w:vertAlign w:val="superscript"/>
              </w:rPr>
              <w:fldChar w:fldCharType="begin"/>
            </w:r>
            <w:r w:rsidRPr="00B73AB7">
              <w:rPr>
                <w:sz w:val="20"/>
                <w:vertAlign w:val="superscript"/>
              </w:rPr>
              <w:instrText xml:space="preserve"> NOTEREF _Ref100681811 \h  \* MERGEFORMAT </w:instrText>
            </w:r>
            <w:r w:rsidRPr="00B73AB7">
              <w:rPr>
                <w:sz w:val="20"/>
                <w:vertAlign w:val="superscript"/>
              </w:rPr>
            </w:r>
            <w:r w:rsidRPr="00B73AB7">
              <w:rPr>
                <w:sz w:val="20"/>
                <w:vertAlign w:val="superscript"/>
              </w:rPr>
              <w:fldChar w:fldCharType="separate"/>
            </w:r>
            <w:r w:rsidR="00E73E2F" w:rsidRPr="00B73AB7">
              <w:rPr>
                <w:sz w:val="20"/>
                <w:vertAlign w:val="superscript"/>
              </w:rPr>
              <w:t>42</w:t>
            </w:r>
            <w:r w:rsidRPr="00B73AB7">
              <w:rPr>
                <w:sz w:val="20"/>
                <w:vertAlign w:val="superscript"/>
              </w:rPr>
              <w:fldChar w:fldCharType="end"/>
            </w:r>
          </w:p>
        </w:tc>
        <w:tc>
          <w:tcPr>
            <w:tcW w:w="1425" w:type="dxa"/>
          </w:tcPr>
          <w:p w14:paraId="484F827B" w14:textId="77777777" w:rsidR="00E9700E" w:rsidRPr="00B73AB7" w:rsidRDefault="00E9700E" w:rsidP="009742AB">
            <w:pPr>
              <w:pStyle w:val="Tabletext"/>
              <w:jc w:val="right"/>
              <w:rPr>
                <w:sz w:val="20"/>
              </w:rPr>
            </w:pPr>
            <w:r w:rsidRPr="00B73AB7">
              <w:rPr>
                <w:sz w:val="20"/>
              </w:rPr>
              <w:t>1 (14%)</w:t>
            </w:r>
          </w:p>
        </w:tc>
        <w:tc>
          <w:tcPr>
            <w:tcW w:w="1425" w:type="dxa"/>
          </w:tcPr>
          <w:p w14:paraId="2D4D7350" w14:textId="77777777" w:rsidR="00E9700E" w:rsidRPr="00B73AB7" w:rsidRDefault="00E9700E" w:rsidP="009742AB">
            <w:pPr>
              <w:pStyle w:val="Tabletext"/>
              <w:jc w:val="right"/>
              <w:rPr>
                <w:sz w:val="20"/>
              </w:rPr>
            </w:pPr>
            <w:r w:rsidRPr="00B73AB7">
              <w:rPr>
                <w:sz w:val="20"/>
              </w:rPr>
              <w:t>2 (29%)</w:t>
            </w:r>
          </w:p>
        </w:tc>
        <w:tc>
          <w:tcPr>
            <w:tcW w:w="1426" w:type="dxa"/>
          </w:tcPr>
          <w:p w14:paraId="0F4D9A9C" w14:textId="77777777" w:rsidR="00E9700E" w:rsidRPr="00B73AB7" w:rsidRDefault="00E9700E" w:rsidP="009742AB">
            <w:pPr>
              <w:pStyle w:val="Tabletext"/>
              <w:jc w:val="right"/>
              <w:rPr>
                <w:sz w:val="20"/>
              </w:rPr>
            </w:pPr>
            <w:r w:rsidRPr="00B73AB7">
              <w:rPr>
                <w:sz w:val="20"/>
              </w:rPr>
              <w:t>2 (29%)</w:t>
            </w:r>
          </w:p>
        </w:tc>
        <w:tc>
          <w:tcPr>
            <w:tcW w:w="1150" w:type="dxa"/>
          </w:tcPr>
          <w:p w14:paraId="2F30FE48" w14:textId="77777777" w:rsidR="00E9700E" w:rsidRPr="00B73AB7" w:rsidRDefault="00E9700E" w:rsidP="009742AB">
            <w:pPr>
              <w:pStyle w:val="Tabletext"/>
              <w:jc w:val="right"/>
              <w:rPr>
                <w:sz w:val="20"/>
              </w:rPr>
            </w:pPr>
            <w:r w:rsidRPr="00B73AB7">
              <w:rPr>
                <w:sz w:val="20"/>
              </w:rPr>
              <w:t>1 (14%)</w:t>
            </w:r>
          </w:p>
        </w:tc>
        <w:tc>
          <w:tcPr>
            <w:tcW w:w="1134" w:type="dxa"/>
          </w:tcPr>
          <w:p w14:paraId="0597DF0F" w14:textId="77777777" w:rsidR="00E9700E" w:rsidRPr="00B73AB7" w:rsidRDefault="00E9700E" w:rsidP="009742AB">
            <w:pPr>
              <w:pStyle w:val="Tabletext"/>
              <w:jc w:val="right"/>
              <w:rPr>
                <w:sz w:val="20"/>
              </w:rPr>
            </w:pPr>
            <w:r w:rsidRPr="00B73AB7">
              <w:rPr>
                <w:sz w:val="20"/>
              </w:rPr>
              <w:t>1 (14%)</w:t>
            </w:r>
          </w:p>
        </w:tc>
      </w:tr>
      <w:tr w:rsidR="00E9700E" w:rsidRPr="00B73AB7" w14:paraId="75B0074F" w14:textId="77777777" w:rsidTr="0063333A">
        <w:tc>
          <w:tcPr>
            <w:tcW w:w="2933" w:type="dxa"/>
          </w:tcPr>
          <w:p w14:paraId="0DF5250E" w14:textId="77777777" w:rsidR="00E9700E" w:rsidRPr="00B73AB7" w:rsidRDefault="00E9700E" w:rsidP="007C2832">
            <w:pPr>
              <w:pStyle w:val="Tabletext"/>
              <w:rPr>
                <w:sz w:val="20"/>
              </w:rPr>
            </w:pPr>
            <w:r w:rsidRPr="00B73AB7">
              <w:rPr>
                <w:sz w:val="20"/>
              </w:rPr>
              <w:t xml:space="preserve">Unsigned collector’s declaration (on request form or electronic signature) </w:t>
            </w:r>
          </w:p>
        </w:tc>
        <w:tc>
          <w:tcPr>
            <w:tcW w:w="1425" w:type="dxa"/>
          </w:tcPr>
          <w:p w14:paraId="109B47FB" w14:textId="77777777" w:rsidR="00E9700E" w:rsidRPr="00B73AB7" w:rsidRDefault="00E9700E" w:rsidP="009742AB">
            <w:pPr>
              <w:pStyle w:val="Tabletext"/>
              <w:jc w:val="right"/>
              <w:rPr>
                <w:sz w:val="20"/>
              </w:rPr>
            </w:pPr>
            <w:r w:rsidRPr="00B73AB7">
              <w:rPr>
                <w:sz w:val="20"/>
              </w:rPr>
              <w:t>-</w:t>
            </w:r>
          </w:p>
        </w:tc>
        <w:tc>
          <w:tcPr>
            <w:tcW w:w="1425" w:type="dxa"/>
          </w:tcPr>
          <w:p w14:paraId="30251D02" w14:textId="77777777" w:rsidR="00E9700E" w:rsidRPr="00B73AB7" w:rsidRDefault="00E9700E" w:rsidP="009742AB">
            <w:pPr>
              <w:pStyle w:val="Tabletext"/>
              <w:jc w:val="right"/>
              <w:rPr>
                <w:sz w:val="20"/>
              </w:rPr>
            </w:pPr>
            <w:r w:rsidRPr="00B73AB7">
              <w:rPr>
                <w:sz w:val="20"/>
              </w:rPr>
              <w:t>2 (29%)</w:t>
            </w:r>
          </w:p>
        </w:tc>
        <w:tc>
          <w:tcPr>
            <w:tcW w:w="1426" w:type="dxa"/>
          </w:tcPr>
          <w:p w14:paraId="1AD6B1BE" w14:textId="77777777" w:rsidR="00E9700E" w:rsidRPr="00B73AB7" w:rsidRDefault="00E9700E" w:rsidP="009742AB">
            <w:pPr>
              <w:pStyle w:val="Tabletext"/>
              <w:jc w:val="right"/>
              <w:rPr>
                <w:sz w:val="20"/>
              </w:rPr>
            </w:pPr>
            <w:r w:rsidRPr="00B73AB7">
              <w:rPr>
                <w:sz w:val="20"/>
              </w:rPr>
              <w:t>3 (43%)</w:t>
            </w:r>
          </w:p>
        </w:tc>
        <w:tc>
          <w:tcPr>
            <w:tcW w:w="1150" w:type="dxa"/>
          </w:tcPr>
          <w:p w14:paraId="396D7B99" w14:textId="77777777" w:rsidR="00E9700E" w:rsidRPr="00B73AB7" w:rsidRDefault="00E9700E" w:rsidP="009742AB">
            <w:pPr>
              <w:pStyle w:val="Tabletext"/>
              <w:jc w:val="right"/>
              <w:rPr>
                <w:sz w:val="20"/>
              </w:rPr>
            </w:pPr>
            <w:r w:rsidRPr="00B73AB7">
              <w:rPr>
                <w:sz w:val="20"/>
              </w:rPr>
              <w:t>1 (14%)</w:t>
            </w:r>
          </w:p>
        </w:tc>
        <w:tc>
          <w:tcPr>
            <w:tcW w:w="1134" w:type="dxa"/>
          </w:tcPr>
          <w:p w14:paraId="382B718D" w14:textId="77777777" w:rsidR="00E9700E" w:rsidRPr="00B73AB7" w:rsidRDefault="00E9700E" w:rsidP="009742AB">
            <w:pPr>
              <w:pStyle w:val="Tabletext"/>
              <w:jc w:val="right"/>
              <w:rPr>
                <w:sz w:val="20"/>
              </w:rPr>
            </w:pPr>
            <w:r w:rsidRPr="00B73AB7">
              <w:rPr>
                <w:sz w:val="20"/>
              </w:rPr>
              <w:t>1 (14%)</w:t>
            </w:r>
          </w:p>
        </w:tc>
      </w:tr>
      <w:tr w:rsidR="00E9700E" w:rsidRPr="00B73AB7" w14:paraId="606EB0A3" w14:textId="77777777" w:rsidTr="0063333A">
        <w:tc>
          <w:tcPr>
            <w:tcW w:w="2933" w:type="dxa"/>
          </w:tcPr>
          <w:p w14:paraId="7D1560C6" w14:textId="77777777" w:rsidR="00E9700E" w:rsidRPr="00B73AB7" w:rsidRDefault="00E9700E" w:rsidP="007C2832">
            <w:pPr>
              <w:pStyle w:val="Tabletext"/>
              <w:rPr>
                <w:sz w:val="20"/>
              </w:rPr>
            </w:pPr>
            <w:r w:rsidRPr="00B73AB7">
              <w:rPr>
                <w:sz w:val="20"/>
              </w:rPr>
              <w:t xml:space="preserve">Different signature on specimen to collector’s declaration </w:t>
            </w:r>
          </w:p>
        </w:tc>
        <w:tc>
          <w:tcPr>
            <w:tcW w:w="1425" w:type="dxa"/>
          </w:tcPr>
          <w:p w14:paraId="382E8E88" w14:textId="77777777" w:rsidR="00E9700E" w:rsidRPr="00B73AB7" w:rsidRDefault="00E9700E" w:rsidP="009742AB">
            <w:pPr>
              <w:pStyle w:val="Tabletext"/>
              <w:jc w:val="right"/>
              <w:rPr>
                <w:rFonts w:cs="Arial"/>
                <w:sz w:val="20"/>
              </w:rPr>
            </w:pPr>
            <w:r w:rsidRPr="00B73AB7">
              <w:rPr>
                <w:rFonts w:cs="Arial"/>
                <w:sz w:val="20"/>
              </w:rPr>
              <w:t>-</w:t>
            </w:r>
          </w:p>
        </w:tc>
        <w:tc>
          <w:tcPr>
            <w:tcW w:w="1425" w:type="dxa"/>
          </w:tcPr>
          <w:p w14:paraId="6D1EC1F5" w14:textId="77777777" w:rsidR="00E9700E" w:rsidRPr="00B73AB7" w:rsidRDefault="00E9700E" w:rsidP="009742AB">
            <w:pPr>
              <w:pStyle w:val="Tabletext"/>
              <w:jc w:val="right"/>
              <w:rPr>
                <w:rFonts w:cs="Arial"/>
                <w:sz w:val="20"/>
              </w:rPr>
            </w:pPr>
            <w:r w:rsidRPr="00B73AB7">
              <w:rPr>
                <w:rFonts w:cs="Arial"/>
                <w:sz w:val="20"/>
              </w:rPr>
              <w:t>3 (43%)</w:t>
            </w:r>
          </w:p>
        </w:tc>
        <w:tc>
          <w:tcPr>
            <w:tcW w:w="1426" w:type="dxa"/>
          </w:tcPr>
          <w:p w14:paraId="5003C9F1" w14:textId="77777777" w:rsidR="00E9700E" w:rsidRPr="00B73AB7" w:rsidRDefault="00E9700E" w:rsidP="009742AB">
            <w:pPr>
              <w:pStyle w:val="Tabletext"/>
              <w:jc w:val="right"/>
              <w:rPr>
                <w:rFonts w:cs="Arial"/>
                <w:sz w:val="20"/>
              </w:rPr>
            </w:pPr>
            <w:r w:rsidRPr="00B73AB7">
              <w:rPr>
                <w:rFonts w:cs="Arial"/>
                <w:sz w:val="20"/>
              </w:rPr>
              <w:t>2 (29%)</w:t>
            </w:r>
          </w:p>
        </w:tc>
        <w:tc>
          <w:tcPr>
            <w:tcW w:w="1150" w:type="dxa"/>
          </w:tcPr>
          <w:p w14:paraId="3C66F8CB" w14:textId="77777777" w:rsidR="00E9700E" w:rsidRPr="00B73AB7" w:rsidRDefault="00E9700E" w:rsidP="009742AB">
            <w:pPr>
              <w:pStyle w:val="Tabletext"/>
              <w:jc w:val="right"/>
              <w:rPr>
                <w:rFonts w:cs="Arial"/>
                <w:sz w:val="20"/>
              </w:rPr>
            </w:pPr>
            <w:r w:rsidRPr="00B73AB7">
              <w:rPr>
                <w:rFonts w:cs="Arial"/>
                <w:sz w:val="20"/>
              </w:rPr>
              <w:t>1 (14%)</w:t>
            </w:r>
          </w:p>
        </w:tc>
        <w:tc>
          <w:tcPr>
            <w:tcW w:w="1134" w:type="dxa"/>
          </w:tcPr>
          <w:p w14:paraId="55636035" w14:textId="77777777" w:rsidR="00E9700E" w:rsidRPr="00B73AB7" w:rsidRDefault="00E9700E" w:rsidP="009742AB">
            <w:pPr>
              <w:pStyle w:val="Tabletext"/>
              <w:jc w:val="right"/>
              <w:rPr>
                <w:rFonts w:cs="Arial"/>
                <w:sz w:val="20"/>
              </w:rPr>
            </w:pPr>
            <w:r w:rsidRPr="00B73AB7">
              <w:rPr>
                <w:rFonts w:cs="Arial"/>
                <w:sz w:val="20"/>
              </w:rPr>
              <w:t>1 (14%)</w:t>
            </w:r>
          </w:p>
        </w:tc>
      </w:tr>
      <w:tr w:rsidR="00E9700E" w:rsidRPr="00B73AB7" w14:paraId="00589AB0" w14:textId="77777777" w:rsidTr="0063333A">
        <w:tc>
          <w:tcPr>
            <w:tcW w:w="2933" w:type="dxa"/>
          </w:tcPr>
          <w:p w14:paraId="117B3FD3" w14:textId="77777777" w:rsidR="00E9700E" w:rsidRPr="00B73AB7" w:rsidRDefault="00E9700E" w:rsidP="007C2832">
            <w:pPr>
              <w:pStyle w:val="Tabletext"/>
              <w:rPr>
                <w:sz w:val="20"/>
              </w:rPr>
            </w:pPr>
            <w:r w:rsidRPr="00B73AB7">
              <w:rPr>
                <w:sz w:val="20"/>
              </w:rPr>
              <w:t>Specimens or request forms that cannot be barcode scanned in the laboratory</w:t>
            </w:r>
          </w:p>
        </w:tc>
        <w:tc>
          <w:tcPr>
            <w:tcW w:w="1425" w:type="dxa"/>
          </w:tcPr>
          <w:p w14:paraId="404C36A1" w14:textId="77777777" w:rsidR="00E9700E" w:rsidRPr="00B73AB7" w:rsidRDefault="00E9700E" w:rsidP="009742AB">
            <w:pPr>
              <w:pStyle w:val="Tabletext"/>
              <w:jc w:val="right"/>
              <w:rPr>
                <w:rFonts w:cs="Arial"/>
                <w:sz w:val="20"/>
              </w:rPr>
            </w:pPr>
            <w:r w:rsidRPr="00B73AB7">
              <w:rPr>
                <w:rFonts w:cs="Arial"/>
                <w:sz w:val="20"/>
              </w:rPr>
              <w:t>1 (14%)</w:t>
            </w:r>
          </w:p>
        </w:tc>
        <w:tc>
          <w:tcPr>
            <w:tcW w:w="1425" w:type="dxa"/>
          </w:tcPr>
          <w:p w14:paraId="46D88213" w14:textId="77777777" w:rsidR="00E9700E" w:rsidRPr="00B73AB7" w:rsidRDefault="00E9700E" w:rsidP="009742AB">
            <w:pPr>
              <w:pStyle w:val="Tabletext"/>
              <w:jc w:val="right"/>
              <w:rPr>
                <w:rFonts w:cs="Arial"/>
                <w:sz w:val="20"/>
              </w:rPr>
            </w:pPr>
            <w:r w:rsidRPr="00B73AB7">
              <w:rPr>
                <w:rFonts w:cs="Arial"/>
                <w:sz w:val="20"/>
              </w:rPr>
              <w:t>3 (43%)</w:t>
            </w:r>
          </w:p>
        </w:tc>
        <w:tc>
          <w:tcPr>
            <w:tcW w:w="1426" w:type="dxa"/>
          </w:tcPr>
          <w:p w14:paraId="7B02E698" w14:textId="77777777" w:rsidR="00E9700E" w:rsidRPr="00B73AB7" w:rsidRDefault="00E9700E" w:rsidP="009742AB">
            <w:pPr>
              <w:pStyle w:val="Tabletext"/>
              <w:jc w:val="right"/>
              <w:rPr>
                <w:rFonts w:cs="Arial"/>
                <w:sz w:val="20"/>
              </w:rPr>
            </w:pPr>
            <w:r w:rsidRPr="00B73AB7">
              <w:rPr>
                <w:rFonts w:cs="Arial"/>
                <w:sz w:val="20"/>
              </w:rPr>
              <w:t>1 (14%)</w:t>
            </w:r>
          </w:p>
        </w:tc>
        <w:tc>
          <w:tcPr>
            <w:tcW w:w="1150" w:type="dxa"/>
          </w:tcPr>
          <w:p w14:paraId="3955514D" w14:textId="77777777" w:rsidR="00E9700E" w:rsidRPr="00B73AB7" w:rsidRDefault="00E9700E" w:rsidP="009742AB">
            <w:pPr>
              <w:pStyle w:val="Tabletext"/>
              <w:jc w:val="right"/>
              <w:rPr>
                <w:rFonts w:cs="Arial"/>
                <w:sz w:val="20"/>
              </w:rPr>
            </w:pPr>
            <w:r w:rsidRPr="00B73AB7">
              <w:rPr>
                <w:rFonts w:cs="Arial"/>
                <w:sz w:val="20"/>
              </w:rPr>
              <w:t>-</w:t>
            </w:r>
          </w:p>
        </w:tc>
        <w:tc>
          <w:tcPr>
            <w:tcW w:w="1134" w:type="dxa"/>
          </w:tcPr>
          <w:p w14:paraId="191CC906" w14:textId="77777777" w:rsidR="00E9700E" w:rsidRPr="00B73AB7" w:rsidRDefault="00E9700E" w:rsidP="009742AB">
            <w:pPr>
              <w:pStyle w:val="Tabletext"/>
              <w:jc w:val="right"/>
              <w:rPr>
                <w:rFonts w:cs="Arial"/>
                <w:sz w:val="20"/>
              </w:rPr>
            </w:pPr>
            <w:r w:rsidRPr="00B73AB7">
              <w:rPr>
                <w:rFonts w:cs="Arial"/>
                <w:sz w:val="20"/>
              </w:rPr>
              <w:t>2 (29%)</w:t>
            </w:r>
          </w:p>
        </w:tc>
      </w:tr>
      <w:tr w:rsidR="00E9700E" w:rsidRPr="00B73AB7" w14:paraId="648DC31C" w14:textId="77777777" w:rsidTr="0063333A">
        <w:tc>
          <w:tcPr>
            <w:tcW w:w="2933" w:type="dxa"/>
          </w:tcPr>
          <w:p w14:paraId="62330B8E" w14:textId="77777777" w:rsidR="00E9700E" w:rsidRPr="00B73AB7" w:rsidRDefault="00E9700E" w:rsidP="007C2832">
            <w:pPr>
              <w:pStyle w:val="Tabletext"/>
              <w:rPr>
                <w:sz w:val="20"/>
              </w:rPr>
            </w:pPr>
            <w:r w:rsidRPr="00B73AB7">
              <w:rPr>
                <w:sz w:val="20"/>
              </w:rPr>
              <w:t>Barcode read errors on instruments</w:t>
            </w:r>
          </w:p>
        </w:tc>
        <w:tc>
          <w:tcPr>
            <w:tcW w:w="1425" w:type="dxa"/>
          </w:tcPr>
          <w:p w14:paraId="5B4F3A93" w14:textId="77777777" w:rsidR="00E9700E" w:rsidRPr="00B73AB7" w:rsidRDefault="00E9700E" w:rsidP="009742AB">
            <w:pPr>
              <w:pStyle w:val="Tabletext"/>
              <w:jc w:val="right"/>
              <w:rPr>
                <w:rFonts w:cs="Arial"/>
                <w:sz w:val="20"/>
              </w:rPr>
            </w:pPr>
            <w:r w:rsidRPr="00B73AB7">
              <w:rPr>
                <w:rFonts w:cs="Arial"/>
                <w:sz w:val="20"/>
              </w:rPr>
              <w:t>1 (14%)</w:t>
            </w:r>
          </w:p>
        </w:tc>
        <w:tc>
          <w:tcPr>
            <w:tcW w:w="1425" w:type="dxa"/>
          </w:tcPr>
          <w:p w14:paraId="09870886" w14:textId="77777777" w:rsidR="00E9700E" w:rsidRPr="00B73AB7" w:rsidRDefault="00E9700E" w:rsidP="009742AB">
            <w:pPr>
              <w:pStyle w:val="Tabletext"/>
              <w:jc w:val="right"/>
              <w:rPr>
                <w:rFonts w:cs="Arial"/>
                <w:sz w:val="20"/>
              </w:rPr>
            </w:pPr>
            <w:r w:rsidRPr="00B73AB7">
              <w:rPr>
                <w:rFonts w:cs="Arial"/>
                <w:sz w:val="20"/>
              </w:rPr>
              <w:t>4 (57%)</w:t>
            </w:r>
          </w:p>
        </w:tc>
        <w:tc>
          <w:tcPr>
            <w:tcW w:w="1426" w:type="dxa"/>
          </w:tcPr>
          <w:p w14:paraId="1C5EBE78" w14:textId="77777777" w:rsidR="00E9700E" w:rsidRPr="00B73AB7" w:rsidRDefault="00E9700E" w:rsidP="009742AB">
            <w:pPr>
              <w:pStyle w:val="Tabletext"/>
              <w:jc w:val="right"/>
              <w:rPr>
                <w:rFonts w:cs="Arial"/>
                <w:sz w:val="20"/>
              </w:rPr>
            </w:pPr>
            <w:r w:rsidRPr="00B73AB7">
              <w:rPr>
                <w:rFonts w:cs="Arial"/>
                <w:sz w:val="20"/>
              </w:rPr>
              <w:t>-</w:t>
            </w:r>
          </w:p>
        </w:tc>
        <w:tc>
          <w:tcPr>
            <w:tcW w:w="1150" w:type="dxa"/>
          </w:tcPr>
          <w:p w14:paraId="79BDC780" w14:textId="77777777" w:rsidR="00E9700E" w:rsidRPr="00B73AB7" w:rsidRDefault="00E9700E" w:rsidP="009742AB">
            <w:pPr>
              <w:pStyle w:val="Tabletext"/>
              <w:jc w:val="right"/>
              <w:rPr>
                <w:rFonts w:cs="Arial"/>
                <w:sz w:val="20"/>
              </w:rPr>
            </w:pPr>
            <w:r w:rsidRPr="00B73AB7">
              <w:rPr>
                <w:rFonts w:cs="Arial"/>
                <w:sz w:val="20"/>
              </w:rPr>
              <w:t>-</w:t>
            </w:r>
          </w:p>
        </w:tc>
        <w:tc>
          <w:tcPr>
            <w:tcW w:w="1134" w:type="dxa"/>
          </w:tcPr>
          <w:p w14:paraId="009B6567" w14:textId="77777777" w:rsidR="00E9700E" w:rsidRPr="00B73AB7" w:rsidRDefault="00E9700E" w:rsidP="009742AB">
            <w:pPr>
              <w:pStyle w:val="Tabletext"/>
              <w:jc w:val="right"/>
              <w:rPr>
                <w:rFonts w:cs="Arial"/>
                <w:sz w:val="20"/>
              </w:rPr>
            </w:pPr>
            <w:r w:rsidRPr="00B73AB7">
              <w:rPr>
                <w:rFonts w:cs="Arial"/>
                <w:sz w:val="20"/>
              </w:rPr>
              <w:t>2 (29%)</w:t>
            </w:r>
          </w:p>
        </w:tc>
      </w:tr>
    </w:tbl>
    <w:p w14:paraId="2D82E6D6" w14:textId="47050D07" w:rsidR="00E9700E" w:rsidRPr="00176D37" w:rsidRDefault="00E9700E" w:rsidP="009742AB">
      <w:pPr>
        <w:pStyle w:val="Bodyaftertablefigure"/>
        <w:rPr>
          <w:shd w:val="clear" w:color="auto" w:fill="FFFFFF"/>
        </w:rPr>
      </w:pPr>
      <w:r w:rsidRPr="00176D37">
        <w:rPr>
          <w:shd w:val="clear" w:color="auto" w:fill="FFFFFF"/>
        </w:rPr>
        <w:t xml:space="preserve">If the responder reported </w:t>
      </w:r>
      <w:r w:rsidRPr="009742AB">
        <w:t>an</w:t>
      </w:r>
      <w:r w:rsidRPr="00176D37">
        <w:rPr>
          <w:shd w:val="clear" w:color="auto" w:fill="FFFFFF"/>
        </w:rPr>
        <w:t xml:space="preserve"> increase in any of the following</w:t>
      </w:r>
      <w:r w:rsidR="00683C15">
        <w:rPr>
          <w:shd w:val="clear" w:color="auto" w:fill="FFFFFF"/>
        </w:rPr>
        <w:t>, we asked</w:t>
      </w:r>
      <w:r w:rsidRPr="00176D37">
        <w:rPr>
          <w:shd w:val="clear" w:color="auto" w:fill="FFFFFF"/>
        </w:rPr>
        <w:t xml:space="preserve"> further questions to clarify responses:</w:t>
      </w:r>
    </w:p>
    <w:p w14:paraId="11DE60A2" w14:textId="27D19498" w:rsidR="00E9700E" w:rsidRPr="00176D37" w:rsidRDefault="00683C15" w:rsidP="00CE1D5A">
      <w:pPr>
        <w:pStyle w:val="Bullet1"/>
        <w:rPr>
          <w:shd w:val="clear" w:color="auto" w:fill="FFFFFF"/>
        </w:rPr>
      </w:pPr>
      <w:r>
        <w:t>p</w:t>
      </w:r>
      <w:r w:rsidR="00E9700E" w:rsidRPr="00176D37">
        <w:t>retransfusion request form or sample labels generated at a time other than immediately before specimens collected</w:t>
      </w:r>
    </w:p>
    <w:p w14:paraId="1B2DE5DE" w14:textId="28987A91" w:rsidR="00E9700E" w:rsidRPr="00176D37" w:rsidRDefault="00683C15" w:rsidP="00CE1D5A">
      <w:pPr>
        <w:pStyle w:val="Bullet1"/>
        <w:rPr>
          <w:shd w:val="clear" w:color="auto" w:fill="FFFFFF"/>
        </w:rPr>
      </w:pPr>
      <w:r>
        <w:t>i</w:t>
      </w:r>
      <w:r w:rsidR="00E9700E" w:rsidRPr="00176D37">
        <w:t>ncorrectly labelled specimens, including unsigned pretransfusion specimens (excluding WBITs)</w:t>
      </w:r>
    </w:p>
    <w:p w14:paraId="4AD84645" w14:textId="7CA2CB50" w:rsidR="00E9700E" w:rsidRPr="00176D37" w:rsidRDefault="00683C15" w:rsidP="00CE1D5A">
      <w:pPr>
        <w:pStyle w:val="Bullet1"/>
        <w:rPr>
          <w:shd w:val="clear" w:color="auto" w:fill="FFFFFF"/>
        </w:rPr>
      </w:pPr>
      <w:r>
        <w:t>u</w:t>
      </w:r>
      <w:r w:rsidRPr="00176D37">
        <w:t xml:space="preserve">nsigned </w:t>
      </w:r>
      <w:r w:rsidR="00E9700E" w:rsidRPr="00176D37">
        <w:t>collector’s declaration (on request form or electronic signature)</w:t>
      </w:r>
      <w:r>
        <w:t>.</w:t>
      </w:r>
    </w:p>
    <w:p w14:paraId="660CAFFD" w14:textId="77777777" w:rsidR="00E9700E" w:rsidRPr="00176D37" w:rsidRDefault="00E9700E" w:rsidP="009742AB">
      <w:pPr>
        <w:pStyle w:val="Bodyafterbullets"/>
        <w:rPr>
          <w:shd w:val="clear" w:color="auto" w:fill="FFFFFF"/>
        </w:rPr>
      </w:pPr>
      <w:r w:rsidRPr="00176D37">
        <w:rPr>
          <w:shd w:val="clear" w:color="auto" w:fill="FFFFFF"/>
        </w:rPr>
        <w:lastRenderedPageBreak/>
        <w:t xml:space="preserve">One health service reported an increase in tolerance </w:t>
      </w:r>
      <w:r w:rsidRPr="009742AB">
        <w:t>for</w:t>
      </w:r>
      <w:r w:rsidRPr="00176D37">
        <w:rPr>
          <w:shd w:val="clear" w:color="auto" w:fill="FFFFFF"/>
        </w:rPr>
        <w:t xml:space="preserve"> specimen collection errors after implementation of EMR, which was still in place at the time of the survey. The remaining two health services reported no increased tolerance of specimen errors.</w:t>
      </w:r>
    </w:p>
    <w:p w14:paraId="0FC85E78" w14:textId="77777777" w:rsidR="00E9700E" w:rsidRPr="00CE1D5A" w:rsidRDefault="00E9700E" w:rsidP="00CE1D5A">
      <w:pPr>
        <w:pStyle w:val="Heading2"/>
      </w:pPr>
      <w:bookmarkStart w:id="407" w:name="_Toc101285722"/>
      <w:bookmarkStart w:id="408" w:name="_Toc101947744"/>
      <w:bookmarkStart w:id="409" w:name="_Toc104975943"/>
      <w:r w:rsidRPr="00CE1D5A">
        <w:t>Availability of blood/blood products</w:t>
      </w:r>
      <w:bookmarkEnd w:id="407"/>
      <w:bookmarkEnd w:id="408"/>
      <w:bookmarkEnd w:id="409"/>
    </w:p>
    <w:p w14:paraId="14DCE81B" w14:textId="77777777" w:rsidR="00E9700E" w:rsidRPr="00176D37" w:rsidRDefault="00E9700E" w:rsidP="00CE1D5A">
      <w:pPr>
        <w:pStyle w:val="Body"/>
        <w:rPr>
          <w:shd w:val="clear" w:color="auto" w:fill="FFFFFF"/>
        </w:rPr>
      </w:pPr>
      <w:r w:rsidRPr="00176D37">
        <w:rPr>
          <w:shd w:val="clear" w:color="auto" w:fill="FFFFFF"/>
        </w:rPr>
        <w:t>Scientists can spend a lot of time fielding calls regarding blood product readiness. Where clinical staff can view when orders are ready without phoning or arriving prematurely at the transfusion laboratory, everyone benefits. Prior to EMR implementation some laboratories had blood/blood product availability transparency via the laboratory information systems. We asked if the EMR has changed the visibility.</w:t>
      </w:r>
    </w:p>
    <w:p w14:paraId="79C1045C" w14:textId="432B3D7A" w:rsidR="00E9700E" w:rsidRPr="00176D37" w:rsidRDefault="00E9700E" w:rsidP="00CE1D5A">
      <w:pPr>
        <w:pStyle w:val="Body"/>
        <w:rPr>
          <w:shd w:val="clear" w:color="auto" w:fill="FFFFFF"/>
        </w:rPr>
      </w:pPr>
      <w:r w:rsidRPr="00176D37">
        <w:rPr>
          <w:shd w:val="clear" w:color="auto" w:fill="FFFFFF"/>
        </w:rPr>
        <w:t>Respondents (n</w:t>
      </w:r>
      <w:r w:rsidR="00683C15">
        <w:rPr>
          <w:shd w:val="clear" w:color="auto" w:fill="FFFFFF"/>
        </w:rPr>
        <w:t xml:space="preserve"> </w:t>
      </w:r>
      <w:r w:rsidRPr="00176D37">
        <w:rPr>
          <w:shd w:val="clear" w:color="auto" w:fill="FFFFFF"/>
        </w:rPr>
        <w:t>=</w:t>
      </w:r>
      <w:r w:rsidR="00683C15">
        <w:rPr>
          <w:shd w:val="clear" w:color="auto" w:fill="FFFFFF"/>
        </w:rPr>
        <w:t xml:space="preserve"> </w:t>
      </w:r>
      <w:r w:rsidRPr="00176D37">
        <w:rPr>
          <w:shd w:val="clear" w:color="auto" w:fill="FFFFFF"/>
        </w:rPr>
        <w:t>7) were asked if there have been any changes to how clinical staff know when blood or blood products are available for collection (</w:t>
      </w:r>
      <w:r w:rsidRPr="00176D37">
        <w:rPr>
          <w:shd w:val="clear" w:color="auto" w:fill="FFFFFF"/>
        </w:rPr>
        <w:fldChar w:fldCharType="begin"/>
      </w:r>
      <w:r w:rsidRPr="00176D37">
        <w:rPr>
          <w:shd w:val="clear" w:color="auto" w:fill="FFFFFF"/>
        </w:rPr>
        <w:instrText xml:space="preserve"> REF _Ref100682016 \h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51</w:t>
      </w:r>
      <w:r w:rsidRPr="00176D37">
        <w:rPr>
          <w:shd w:val="clear" w:color="auto" w:fill="FFFFFF"/>
        </w:rPr>
        <w:fldChar w:fldCharType="end"/>
      </w:r>
      <w:r w:rsidRPr="00176D37">
        <w:rPr>
          <w:shd w:val="clear" w:color="auto" w:fill="FFFFFF"/>
        </w:rPr>
        <w:t>).</w:t>
      </w:r>
    </w:p>
    <w:p w14:paraId="7CD1323B" w14:textId="1EAC362A" w:rsidR="00E9700E" w:rsidRPr="00176D37" w:rsidRDefault="00E9700E" w:rsidP="00CE1D5A">
      <w:pPr>
        <w:pStyle w:val="Tablecaption"/>
        <w:rPr>
          <w:sz w:val="20"/>
          <w:shd w:val="clear" w:color="auto" w:fill="FFFFFF"/>
        </w:rPr>
      </w:pPr>
      <w:bookmarkStart w:id="410" w:name="_Ref100682016"/>
      <w:r w:rsidRPr="00176D37">
        <w:t xml:space="preserve">Table </w:t>
      </w:r>
      <w:r w:rsidR="00F751A0">
        <w:fldChar w:fldCharType="begin"/>
      </w:r>
      <w:r w:rsidR="00F751A0">
        <w:instrText xml:space="preserve"> SEQ Table \* ARABIC </w:instrText>
      </w:r>
      <w:r w:rsidR="00F751A0">
        <w:fldChar w:fldCharType="separate"/>
      </w:r>
      <w:r w:rsidR="00E73E2F">
        <w:rPr>
          <w:noProof/>
        </w:rPr>
        <w:t>51</w:t>
      </w:r>
      <w:r w:rsidR="00F751A0">
        <w:rPr>
          <w:noProof/>
        </w:rPr>
        <w:fldChar w:fldCharType="end"/>
      </w:r>
      <w:bookmarkEnd w:id="410"/>
      <w:r w:rsidRPr="00176D37">
        <w:t>: Changes to method for knowing if blood/blood products are available</w:t>
      </w:r>
      <w:r w:rsidRPr="00176D37">
        <w:rPr>
          <w:rStyle w:val="FootnoteReference"/>
          <w:rFonts w:cs="Arial"/>
          <w:sz w:val="22"/>
          <w:szCs w:val="22"/>
          <w:shd w:val="clear" w:color="auto" w:fill="FFFFFF"/>
        </w:rPr>
        <w:footnoteReference w:id="43"/>
      </w:r>
    </w:p>
    <w:tbl>
      <w:tblPr>
        <w:tblStyle w:val="TableGrid"/>
        <w:tblW w:w="9303" w:type="dxa"/>
        <w:tblLook w:val="04A0" w:firstRow="1" w:lastRow="0" w:firstColumn="1" w:lastColumn="0" w:noHBand="0" w:noVBand="1"/>
      </w:tblPr>
      <w:tblGrid>
        <w:gridCol w:w="2259"/>
        <w:gridCol w:w="1408"/>
        <w:gridCol w:w="1409"/>
        <w:gridCol w:w="1409"/>
        <w:gridCol w:w="1409"/>
        <w:gridCol w:w="1409"/>
      </w:tblGrid>
      <w:tr w:rsidR="00E9700E" w:rsidRPr="00176D37" w14:paraId="79B6EEA0" w14:textId="77777777" w:rsidTr="009742AB">
        <w:trPr>
          <w:tblHeader/>
        </w:trPr>
        <w:tc>
          <w:tcPr>
            <w:tcW w:w="2259" w:type="dxa"/>
          </w:tcPr>
          <w:p w14:paraId="00810889" w14:textId="1A29B7B3" w:rsidR="00E9700E" w:rsidRPr="00176D37" w:rsidRDefault="00683C15" w:rsidP="00CE1D5A">
            <w:pPr>
              <w:pStyle w:val="Tablecolhead"/>
              <w:rPr>
                <w:rStyle w:val="eop"/>
                <w:rFonts w:eastAsiaTheme="majorEastAsia" w:cs="Arial"/>
                <w:sz w:val="22"/>
                <w:szCs w:val="22"/>
              </w:rPr>
            </w:pPr>
            <w:r>
              <w:rPr>
                <w:rStyle w:val="eop"/>
                <w:rFonts w:eastAsiaTheme="majorEastAsia" w:cs="Arial"/>
                <w:sz w:val="22"/>
                <w:szCs w:val="22"/>
              </w:rPr>
              <w:t>Method</w:t>
            </w:r>
          </w:p>
        </w:tc>
        <w:tc>
          <w:tcPr>
            <w:tcW w:w="1408" w:type="dxa"/>
          </w:tcPr>
          <w:p w14:paraId="71311010" w14:textId="77777777" w:rsidR="00E9700E" w:rsidRPr="00176D37" w:rsidRDefault="00E9700E" w:rsidP="00CE1D5A">
            <w:pPr>
              <w:pStyle w:val="Tablecolhead"/>
              <w:rPr>
                <w:rStyle w:val="eop"/>
                <w:rFonts w:eastAsiaTheme="majorEastAsia" w:cs="Arial"/>
                <w:b w:val="0"/>
                <w:sz w:val="22"/>
                <w:szCs w:val="22"/>
              </w:rPr>
            </w:pPr>
            <w:r w:rsidRPr="00176D37">
              <w:rPr>
                <w:rStyle w:val="eop"/>
                <w:rFonts w:eastAsiaTheme="majorEastAsia" w:cs="Arial"/>
                <w:sz w:val="22"/>
                <w:szCs w:val="22"/>
              </w:rPr>
              <w:t>Decreased</w:t>
            </w:r>
          </w:p>
          <w:p w14:paraId="02421AAC" w14:textId="77777777" w:rsidR="00E9700E" w:rsidRPr="00176D37" w:rsidRDefault="00E9700E" w:rsidP="00CE1D5A">
            <w:pPr>
              <w:pStyle w:val="Tablecolhead"/>
              <w:rPr>
                <w:rStyle w:val="eop"/>
                <w:rFonts w:eastAsiaTheme="majorEastAsia" w:cs="Arial"/>
                <w:b w:val="0"/>
                <w:sz w:val="22"/>
                <w:szCs w:val="22"/>
              </w:rPr>
            </w:pPr>
            <w:r w:rsidRPr="00176D37">
              <w:t>n (%)</w:t>
            </w:r>
          </w:p>
        </w:tc>
        <w:tc>
          <w:tcPr>
            <w:tcW w:w="1409" w:type="dxa"/>
          </w:tcPr>
          <w:p w14:paraId="3D05E3DE" w14:textId="77777777" w:rsidR="00E9700E" w:rsidRPr="00176D37" w:rsidRDefault="00E9700E" w:rsidP="00CE1D5A">
            <w:pPr>
              <w:pStyle w:val="Tablecolhead"/>
              <w:rPr>
                <w:rStyle w:val="eop"/>
                <w:rFonts w:eastAsiaTheme="majorEastAsia" w:cs="Arial"/>
                <w:b w:val="0"/>
                <w:sz w:val="22"/>
                <w:szCs w:val="22"/>
              </w:rPr>
            </w:pPr>
            <w:r w:rsidRPr="00176D37">
              <w:rPr>
                <w:rStyle w:val="eop"/>
                <w:rFonts w:eastAsiaTheme="majorEastAsia" w:cs="Arial"/>
                <w:sz w:val="22"/>
                <w:szCs w:val="22"/>
              </w:rPr>
              <w:t>No change</w:t>
            </w:r>
          </w:p>
          <w:p w14:paraId="26039C03" w14:textId="77777777" w:rsidR="00E9700E" w:rsidRPr="00176D37" w:rsidRDefault="00E9700E" w:rsidP="00CE1D5A">
            <w:pPr>
              <w:pStyle w:val="Tablecolhead"/>
              <w:rPr>
                <w:rStyle w:val="eop"/>
                <w:rFonts w:eastAsiaTheme="majorEastAsia" w:cs="Arial"/>
                <w:b w:val="0"/>
                <w:sz w:val="22"/>
                <w:szCs w:val="22"/>
              </w:rPr>
            </w:pPr>
            <w:r w:rsidRPr="00176D37">
              <w:t>n (%)</w:t>
            </w:r>
          </w:p>
        </w:tc>
        <w:tc>
          <w:tcPr>
            <w:tcW w:w="1409" w:type="dxa"/>
          </w:tcPr>
          <w:p w14:paraId="7384D9D5" w14:textId="77777777" w:rsidR="00E9700E" w:rsidRPr="00176D37" w:rsidRDefault="00E9700E" w:rsidP="00CE1D5A">
            <w:pPr>
              <w:pStyle w:val="Tablecolhead"/>
              <w:rPr>
                <w:rStyle w:val="eop"/>
                <w:rFonts w:eastAsiaTheme="majorEastAsia" w:cs="Arial"/>
                <w:b w:val="0"/>
                <w:sz w:val="22"/>
                <w:szCs w:val="22"/>
              </w:rPr>
            </w:pPr>
            <w:r w:rsidRPr="00176D37">
              <w:rPr>
                <w:rStyle w:val="eop"/>
                <w:rFonts w:eastAsiaTheme="majorEastAsia" w:cs="Arial"/>
                <w:sz w:val="22"/>
                <w:szCs w:val="22"/>
              </w:rPr>
              <w:t>Increased</w:t>
            </w:r>
          </w:p>
          <w:p w14:paraId="4AA5A9CD" w14:textId="77777777" w:rsidR="00E9700E" w:rsidRPr="00176D37" w:rsidRDefault="00E9700E" w:rsidP="00CE1D5A">
            <w:pPr>
              <w:pStyle w:val="Tablecolhead"/>
              <w:rPr>
                <w:rStyle w:val="eop"/>
                <w:rFonts w:eastAsiaTheme="majorEastAsia" w:cs="Arial"/>
                <w:b w:val="0"/>
                <w:sz w:val="22"/>
                <w:szCs w:val="22"/>
              </w:rPr>
            </w:pPr>
            <w:r w:rsidRPr="00176D37">
              <w:t>n (%)</w:t>
            </w:r>
          </w:p>
        </w:tc>
        <w:tc>
          <w:tcPr>
            <w:tcW w:w="1409" w:type="dxa"/>
          </w:tcPr>
          <w:p w14:paraId="50700D31" w14:textId="77777777" w:rsidR="00E9700E" w:rsidRPr="00176D37" w:rsidRDefault="00E9700E" w:rsidP="00CE1D5A">
            <w:pPr>
              <w:pStyle w:val="Tablecolhead"/>
              <w:rPr>
                <w:rStyle w:val="eop"/>
                <w:rFonts w:eastAsiaTheme="majorEastAsia" w:cs="Arial"/>
                <w:b w:val="0"/>
                <w:sz w:val="22"/>
                <w:szCs w:val="22"/>
              </w:rPr>
            </w:pPr>
            <w:r w:rsidRPr="00176D37">
              <w:rPr>
                <w:rStyle w:val="eop"/>
                <w:rFonts w:eastAsiaTheme="majorEastAsia" w:cs="Arial"/>
                <w:sz w:val="22"/>
                <w:szCs w:val="22"/>
              </w:rPr>
              <w:t>Unsure</w:t>
            </w:r>
          </w:p>
          <w:p w14:paraId="75B6E3F8" w14:textId="77777777" w:rsidR="00E9700E" w:rsidRPr="00176D37" w:rsidRDefault="00E9700E" w:rsidP="00CE1D5A">
            <w:pPr>
              <w:pStyle w:val="Tablecolhead"/>
              <w:rPr>
                <w:rStyle w:val="eop"/>
                <w:rFonts w:eastAsiaTheme="majorEastAsia" w:cs="Arial"/>
                <w:b w:val="0"/>
                <w:sz w:val="22"/>
                <w:szCs w:val="22"/>
              </w:rPr>
            </w:pPr>
            <w:r w:rsidRPr="00176D37">
              <w:t>n (%)</w:t>
            </w:r>
          </w:p>
        </w:tc>
        <w:tc>
          <w:tcPr>
            <w:tcW w:w="1409" w:type="dxa"/>
          </w:tcPr>
          <w:p w14:paraId="045492C4" w14:textId="77777777" w:rsidR="00E9700E" w:rsidRPr="00176D37" w:rsidRDefault="00E9700E" w:rsidP="00CE1D5A">
            <w:pPr>
              <w:pStyle w:val="Tablecolhead"/>
              <w:rPr>
                <w:rStyle w:val="eop"/>
                <w:rFonts w:eastAsiaTheme="majorEastAsia" w:cs="Arial"/>
                <w:b w:val="0"/>
                <w:sz w:val="22"/>
                <w:szCs w:val="22"/>
              </w:rPr>
            </w:pPr>
            <w:r w:rsidRPr="00176D37">
              <w:rPr>
                <w:rStyle w:val="eop"/>
                <w:rFonts w:eastAsiaTheme="majorEastAsia" w:cs="Arial"/>
                <w:sz w:val="22"/>
                <w:szCs w:val="22"/>
              </w:rPr>
              <w:t>N/A</w:t>
            </w:r>
          </w:p>
          <w:p w14:paraId="3B8F0B72" w14:textId="77777777" w:rsidR="00E9700E" w:rsidRPr="00176D37" w:rsidRDefault="00E9700E" w:rsidP="00CE1D5A">
            <w:pPr>
              <w:pStyle w:val="Tablecolhead"/>
              <w:rPr>
                <w:rStyle w:val="eop"/>
                <w:rFonts w:eastAsiaTheme="majorEastAsia" w:cs="Arial"/>
                <w:b w:val="0"/>
                <w:sz w:val="22"/>
                <w:szCs w:val="22"/>
              </w:rPr>
            </w:pPr>
            <w:r w:rsidRPr="00176D37">
              <w:t>n (%)</w:t>
            </w:r>
          </w:p>
        </w:tc>
      </w:tr>
      <w:tr w:rsidR="00E9700E" w:rsidRPr="00176D37" w14:paraId="194D42A2" w14:textId="77777777" w:rsidTr="00A173F8">
        <w:tc>
          <w:tcPr>
            <w:tcW w:w="2259" w:type="dxa"/>
          </w:tcPr>
          <w:p w14:paraId="79ED64A3" w14:textId="77777777" w:rsidR="00E9700E" w:rsidRPr="00176D37" w:rsidRDefault="00E9700E" w:rsidP="00CE1D5A">
            <w:pPr>
              <w:pStyle w:val="Tabletext"/>
              <w:rPr>
                <w:rStyle w:val="eop"/>
                <w:rFonts w:eastAsiaTheme="majorEastAsia" w:cs="Arial"/>
                <w:sz w:val="22"/>
                <w:szCs w:val="22"/>
              </w:rPr>
            </w:pPr>
            <w:r w:rsidRPr="00176D37">
              <w:rPr>
                <w:rStyle w:val="eop"/>
                <w:rFonts w:eastAsiaTheme="majorEastAsia" w:cs="Arial"/>
                <w:sz w:val="22"/>
                <w:szCs w:val="22"/>
              </w:rPr>
              <w:t>Phone calls to transfusion laboratory</w:t>
            </w:r>
          </w:p>
        </w:tc>
        <w:tc>
          <w:tcPr>
            <w:tcW w:w="1408" w:type="dxa"/>
          </w:tcPr>
          <w:p w14:paraId="233AAC70"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2 (29%)</w:t>
            </w:r>
          </w:p>
        </w:tc>
        <w:tc>
          <w:tcPr>
            <w:tcW w:w="1409" w:type="dxa"/>
          </w:tcPr>
          <w:p w14:paraId="1CF61BD5"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1 (14%)</w:t>
            </w:r>
          </w:p>
        </w:tc>
        <w:tc>
          <w:tcPr>
            <w:tcW w:w="1409" w:type="dxa"/>
          </w:tcPr>
          <w:p w14:paraId="2896775F"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2 (29%)</w:t>
            </w:r>
          </w:p>
        </w:tc>
        <w:tc>
          <w:tcPr>
            <w:tcW w:w="1409" w:type="dxa"/>
          </w:tcPr>
          <w:p w14:paraId="2F6E4BCF"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w:t>
            </w:r>
          </w:p>
        </w:tc>
        <w:tc>
          <w:tcPr>
            <w:tcW w:w="1409" w:type="dxa"/>
          </w:tcPr>
          <w:p w14:paraId="355F04F0"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2 (29%)</w:t>
            </w:r>
          </w:p>
        </w:tc>
      </w:tr>
      <w:tr w:rsidR="00E9700E" w:rsidRPr="00176D37" w14:paraId="0990DABE" w14:textId="77777777" w:rsidTr="00A173F8">
        <w:tc>
          <w:tcPr>
            <w:tcW w:w="2259" w:type="dxa"/>
          </w:tcPr>
          <w:p w14:paraId="4401F35A" w14:textId="77777777" w:rsidR="00E9700E" w:rsidRPr="00176D37" w:rsidRDefault="00E9700E" w:rsidP="00CE1D5A">
            <w:pPr>
              <w:pStyle w:val="Tabletext"/>
              <w:rPr>
                <w:rStyle w:val="eop"/>
                <w:rFonts w:eastAsiaTheme="majorEastAsia" w:cs="Arial"/>
                <w:sz w:val="22"/>
                <w:szCs w:val="22"/>
              </w:rPr>
            </w:pPr>
            <w:r w:rsidRPr="00176D37">
              <w:rPr>
                <w:rStyle w:val="eop"/>
                <w:rFonts w:eastAsiaTheme="majorEastAsia" w:cs="Arial"/>
                <w:sz w:val="22"/>
                <w:szCs w:val="22"/>
              </w:rPr>
              <w:t>Look up in computer system (either EMR or another system)</w:t>
            </w:r>
          </w:p>
        </w:tc>
        <w:tc>
          <w:tcPr>
            <w:tcW w:w="1408" w:type="dxa"/>
          </w:tcPr>
          <w:p w14:paraId="19E1ADDF"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2 (29%)</w:t>
            </w:r>
          </w:p>
        </w:tc>
        <w:tc>
          <w:tcPr>
            <w:tcW w:w="1409" w:type="dxa"/>
          </w:tcPr>
          <w:p w14:paraId="01D80641"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w:t>
            </w:r>
          </w:p>
        </w:tc>
        <w:tc>
          <w:tcPr>
            <w:tcW w:w="1409" w:type="dxa"/>
          </w:tcPr>
          <w:p w14:paraId="57748E9B"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2 (29%)</w:t>
            </w:r>
          </w:p>
        </w:tc>
        <w:tc>
          <w:tcPr>
            <w:tcW w:w="1409" w:type="dxa"/>
          </w:tcPr>
          <w:p w14:paraId="2D8FA37C"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w:t>
            </w:r>
          </w:p>
        </w:tc>
        <w:tc>
          <w:tcPr>
            <w:tcW w:w="1409" w:type="dxa"/>
          </w:tcPr>
          <w:p w14:paraId="7A7F87FC"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3 (43%)</w:t>
            </w:r>
          </w:p>
        </w:tc>
      </w:tr>
      <w:tr w:rsidR="00E9700E" w:rsidRPr="00176D37" w14:paraId="577F3701" w14:textId="77777777" w:rsidTr="00A173F8">
        <w:tc>
          <w:tcPr>
            <w:tcW w:w="2259" w:type="dxa"/>
          </w:tcPr>
          <w:p w14:paraId="152458CF" w14:textId="77777777" w:rsidR="00E9700E" w:rsidRPr="00176D37" w:rsidRDefault="00E9700E" w:rsidP="00CE1D5A">
            <w:pPr>
              <w:pStyle w:val="Tabletext"/>
              <w:rPr>
                <w:rStyle w:val="eop"/>
                <w:rFonts w:eastAsiaTheme="majorEastAsia" w:cs="Arial"/>
                <w:sz w:val="22"/>
                <w:szCs w:val="22"/>
              </w:rPr>
            </w:pPr>
            <w:r w:rsidRPr="00176D37">
              <w:rPr>
                <w:rStyle w:val="eop"/>
                <w:rFonts w:eastAsiaTheme="majorEastAsia" w:cs="Arial"/>
                <w:sz w:val="22"/>
                <w:szCs w:val="22"/>
              </w:rPr>
              <w:t>Staff arrive to collect product without checking availability</w:t>
            </w:r>
          </w:p>
        </w:tc>
        <w:tc>
          <w:tcPr>
            <w:tcW w:w="1408" w:type="dxa"/>
          </w:tcPr>
          <w:p w14:paraId="2E6FB001"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w:t>
            </w:r>
          </w:p>
        </w:tc>
        <w:tc>
          <w:tcPr>
            <w:tcW w:w="1409" w:type="dxa"/>
          </w:tcPr>
          <w:p w14:paraId="0DBFCFB0"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3 (43%)</w:t>
            </w:r>
          </w:p>
        </w:tc>
        <w:tc>
          <w:tcPr>
            <w:tcW w:w="1409" w:type="dxa"/>
          </w:tcPr>
          <w:p w14:paraId="128F44B1"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2 (29%)</w:t>
            </w:r>
          </w:p>
        </w:tc>
        <w:tc>
          <w:tcPr>
            <w:tcW w:w="1409" w:type="dxa"/>
          </w:tcPr>
          <w:p w14:paraId="1D4B0528"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w:t>
            </w:r>
          </w:p>
        </w:tc>
        <w:tc>
          <w:tcPr>
            <w:tcW w:w="1409" w:type="dxa"/>
          </w:tcPr>
          <w:p w14:paraId="6211949D"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2 (29%)</w:t>
            </w:r>
          </w:p>
        </w:tc>
      </w:tr>
    </w:tbl>
    <w:p w14:paraId="466E17C0" w14:textId="288ED848" w:rsidR="00E9700E" w:rsidRPr="00176D37" w:rsidRDefault="00E9700E" w:rsidP="00CE1D5A">
      <w:pPr>
        <w:pStyle w:val="Body"/>
        <w:spacing w:before="240"/>
      </w:pPr>
      <w:r w:rsidRPr="00176D37">
        <w:t xml:space="preserve">One health service reported </w:t>
      </w:r>
      <w:r w:rsidR="00683C15">
        <w:t>that: ‘</w:t>
      </w:r>
      <w:r w:rsidRPr="00176D37">
        <w:t>EMR does not update when products are issued from the transfusion laboratory. Clinical staff need to use a different computer program and because the information is not easily visible on the EMR, they just ring the laboratory instead.</w:t>
      </w:r>
      <w:r w:rsidR="00683C15">
        <w:t>’</w:t>
      </w:r>
    </w:p>
    <w:p w14:paraId="0891FA4B" w14:textId="710F8547" w:rsidR="00E9700E" w:rsidRPr="00176D37" w:rsidRDefault="00E9700E" w:rsidP="00CE1D5A">
      <w:pPr>
        <w:pStyle w:val="Body"/>
      </w:pPr>
      <w:r w:rsidRPr="00176D37">
        <w:t>The frequency of calls to the transfusion laboratory were reported equally as increased and decreased</w:t>
      </w:r>
      <w:r w:rsidR="00683C15">
        <w:t xml:space="preserve"> </w:t>
      </w:r>
      <w:r w:rsidR="0008077C">
        <w:t>at</w:t>
      </w:r>
      <w:r w:rsidRPr="00176D37">
        <w:t xml:space="preserve"> two</w:t>
      </w:r>
      <w:r w:rsidR="00683C15">
        <w:t xml:space="preserve"> health services</w:t>
      </w:r>
      <w:r w:rsidRPr="00176D37">
        <w:t xml:space="preserve"> (29 per cent). Similarly, health services reported an</w:t>
      </w:r>
      <w:r w:rsidR="00683C15">
        <w:t xml:space="preserve"> equal</w:t>
      </w:r>
      <w:r w:rsidRPr="00176D37">
        <w:t xml:space="preserve"> increase and decrease in clinical staff looking up blood product availability in the computer (either EMR or another system). </w:t>
      </w:r>
      <w:r w:rsidRPr="00CE1D5A">
        <w:t>There were no reports of decreased numbers of clinical staff arriving for blood product collection prior to availability, whereas two (29 per cent) health services have had an increase in incidence and three (43 per cent) no change.</w:t>
      </w:r>
    </w:p>
    <w:p w14:paraId="633BC50B" w14:textId="77777777" w:rsidR="00E9700E" w:rsidRPr="00CE1D5A" w:rsidRDefault="00E9700E" w:rsidP="00CE1D5A">
      <w:pPr>
        <w:pStyle w:val="Heading2"/>
      </w:pPr>
      <w:bookmarkStart w:id="411" w:name="_Toc101285723"/>
      <w:bookmarkStart w:id="412" w:name="_Toc101947745"/>
      <w:bookmarkStart w:id="413" w:name="_Toc104975944"/>
      <w:r w:rsidRPr="00CE1D5A">
        <w:t>EMR troubleshooting requests</w:t>
      </w:r>
      <w:bookmarkEnd w:id="411"/>
      <w:bookmarkEnd w:id="412"/>
      <w:bookmarkEnd w:id="413"/>
    </w:p>
    <w:p w14:paraId="070320E0" w14:textId="77777777" w:rsidR="00E9700E" w:rsidRPr="00176D37" w:rsidRDefault="00E9700E" w:rsidP="00CE1D5A">
      <w:pPr>
        <w:pStyle w:val="Body"/>
        <w:rPr>
          <w:shd w:val="clear" w:color="auto" w:fill="FFFFFF"/>
        </w:rPr>
      </w:pPr>
      <w:r w:rsidRPr="00176D37">
        <w:rPr>
          <w:shd w:val="clear" w:color="auto" w:fill="FFFFFF"/>
        </w:rPr>
        <w:t>If clinical staff are unable to perform a transfusion-related task in the EMR, often the transfusion laboratory can be the first point of contact, due to the perception they will be able to assist. This can lead to increased disruptions and reduce efficiency.</w:t>
      </w:r>
    </w:p>
    <w:p w14:paraId="1E10D7BE" w14:textId="42641ECE" w:rsidR="00E9700E" w:rsidRPr="00176D37" w:rsidRDefault="00E9700E" w:rsidP="00CE1D5A">
      <w:pPr>
        <w:pStyle w:val="Body"/>
        <w:rPr>
          <w:shd w:val="clear" w:color="auto" w:fill="FFFFFF"/>
        </w:rPr>
      </w:pPr>
      <w:r w:rsidRPr="00176D37">
        <w:rPr>
          <w:shd w:val="clear" w:color="auto" w:fill="FFFFFF"/>
        </w:rPr>
        <w:t>Respondents (n</w:t>
      </w:r>
      <w:r w:rsidR="00683C15">
        <w:rPr>
          <w:shd w:val="clear" w:color="auto" w:fill="FFFFFF"/>
        </w:rPr>
        <w:t xml:space="preserve"> </w:t>
      </w:r>
      <w:r w:rsidRPr="00176D37">
        <w:rPr>
          <w:shd w:val="clear" w:color="auto" w:fill="FFFFFF"/>
        </w:rPr>
        <w:t>=</w:t>
      </w:r>
      <w:r w:rsidR="00683C15">
        <w:rPr>
          <w:shd w:val="clear" w:color="auto" w:fill="FFFFFF"/>
        </w:rPr>
        <w:t xml:space="preserve"> </w:t>
      </w:r>
      <w:r w:rsidRPr="00176D37">
        <w:rPr>
          <w:shd w:val="clear" w:color="auto" w:fill="FFFFFF"/>
        </w:rPr>
        <w:t>7) were asked if the transfusion laboratory receives phone calls from clinical staff trying to troubleshoot an EMR transfusion ordering/administration issue (</w:t>
      </w:r>
      <w:r w:rsidRPr="00176D37">
        <w:rPr>
          <w:shd w:val="clear" w:color="auto" w:fill="FFFFFF"/>
        </w:rPr>
        <w:fldChar w:fldCharType="begin"/>
      </w:r>
      <w:r w:rsidRPr="00176D37">
        <w:rPr>
          <w:shd w:val="clear" w:color="auto" w:fill="FFFFFF"/>
        </w:rPr>
        <w:instrText xml:space="preserve"> REF _Ref100682372 \h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52</w:t>
      </w:r>
      <w:r w:rsidRPr="00176D37">
        <w:rPr>
          <w:shd w:val="clear" w:color="auto" w:fill="FFFFFF"/>
        </w:rPr>
        <w:fldChar w:fldCharType="end"/>
      </w:r>
      <w:r w:rsidRPr="00176D37">
        <w:rPr>
          <w:shd w:val="clear" w:color="auto" w:fill="FFFFFF"/>
        </w:rPr>
        <w:t>).</w:t>
      </w:r>
    </w:p>
    <w:p w14:paraId="07314781" w14:textId="0CD7B5BE" w:rsidR="00E9700E" w:rsidRPr="00176D37" w:rsidRDefault="00E9700E" w:rsidP="00CE1D5A">
      <w:pPr>
        <w:pStyle w:val="Tablecaption"/>
        <w:rPr>
          <w:shd w:val="clear" w:color="auto" w:fill="FFFFFF"/>
        </w:rPr>
      </w:pPr>
      <w:bookmarkStart w:id="414" w:name="_Ref100682372"/>
      <w:r w:rsidRPr="00176D37">
        <w:lastRenderedPageBreak/>
        <w:t xml:space="preserve">Table </w:t>
      </w:r>
      <w:r w:rsidR="00F751A0">
        <w:fldChar w:fldCharType="begin"/>
      </w:r>
      <w:r w:rsidR="00F751A0">
        <w:instrText xml:space="preserve"> SEQ Table \* ARABIC </w:instrText>
      </w:r>
      <w:r w:rsidR="00F751A0">
        <w:fldChar w:fldCharType="separate"/>
      </w:r>
      <w:r w:rsidR="00E73E2F">
        <w:rPr>
          <w:noProof/>
        </w:rPr>
        <w:t>52</w:t>
      </w:r>
      <w:r w:rsidR="00F751A0">
        <w:rPr>
          <w:noProof/>
        </w:rPr>
        <w:fldChar w:fldCharType="end"/>
      </w:r>
      <w:bookmarkEnd w:id="414"/>
      <w:r w:rsidRPr="00176D37">
        <w:t>: Transfusion laboratory receiving phone calls for EMR transfusion ordering/administration troubleshooting</w:t>
      </w:r>
      <w:r w:rsidRPr="00176D37">
        <w:rPr>
          <w:rStyle w:val="FootnoteReference"/>
          <w:rFonts w:cs="Arial"/>
          <w:shd w:val="clear" w:color="auto" w:fill="FFFFFF"/>
        </w:rPr>
        <w:footnoteReference w:id="44"/>
      </w:r>
    </w:p>
    <w:tbl>
      <w:tblPr>
        <w:tblStyle w:val="TableGrid"/>
        <w:tblW w:w="0" w:type="auto"/>
        <w:tblInd w:w="-5" w:type="dxa"/>
        <w:tblLook w:val="04A0" w:firstRow="1" w:lastRow="0" w:firstColumn="1" w:lastColumn="0" w:noHBand="0" w:noVBand="1"/>
      </w:tblPr>
      <w:tblGrid>
        <w:gridCol w:w="5590"/>
        <w:gridCol w:w="3431"/>
      </w:tblGrid>
      <w:tr w:rsidR="00E9700E" w:rsidRPr="00176D37" w14:paraId="03542E34" w14:textId="77777777" w:rsidTr="009742AB">
        <w:trPr>
          <w:tblHeader/>
        </w:trPr>
        <w:tc>
          <w:tcPr>
            <w:tcW w:w="5590" w:type="dxa"/>
          </w:tcPr>
          <w:p w14:paraId="0890CB2D" w14:textId="77777777" w:rsidR="00E9700E" w:rsidRPr="00176D37" w:rsidRDefault="00E9700E" w:rsidP="00CE1D5A">
            <w:pPr>
              <w:pStyle w:val="Tablecolhead"/>
              <w:rPr>
                <w:rStyle w:val="eop"/>
                <w:rFonts w:eastAsiaTheme="majorEastAsia" w:cs="Arial"/>
                <w:b w:val="0"/>
                <w:bCs/>
                <w:sz w:val="22"/>
                <w:szCs w:val="22"/>
              </w:rPr>
            </w:pPr>
            <w:r w:rsidRPr="00176D37">
              <w:rPr>
                <w:rStyle w:val="eop"/>
                <w:rFonts w:eastAsiaTheme="majorEastAsia" w:cs="Arial"/>
                <w:bCs/>
                <w:sz w:val="22"/>
                <w:szCs w:val="22"/>
              </w:rPr>
              <w:t>Does the transfusion laboratory receive phone calls from clinical staff trying to troubleshoot an EMR transfusion ordering/administration issue?</w:t>
            </w:r>
          </w:p>
        </w:tc>
        <w:tc>
          <w:tcPr>
            <w:tcW w:w="3431" w:type="dxa"/>
          </w:tcPr>
          <w:p w14:paraId="35CF3060" w14:textId="77777777" w:rsidR="00E9700E" w:rsidRPr="00176D37" w:rsidRDefault="00E9700E" w:rsidP="00CE1D5A">
            <w:pPr>
              <w:pStyle w:val="Tablecolhead"/>
              <w:rPr>
                <w:rStyle w:val="eop"/>
                <w:rFonts w:eastAsiaTheme="majorEastAsia" w:cs="Arial"/>
                <w:bCs/>
              </w:rPr>
            </w:pPr>
            <w:r w:rsidRPr="00176D37">
              <w:rPr>
                <w:rStyle w:val="eop"/>
                <w:rFonts w:eastAsiaTheme="majorEastAsia" w:cs="Arial"/>
                <w:sz w:val="20"/>
              </w:rPr>
              <w:t>R</w:t>
            </w:r>
            <w:r w:rsidRPr="00176D37">
              <w:rPr>
                <w:rStyle w:val="eop"/>
                <w:rFonts w:eastAsiaTheme="majorEastAsia" w:cs="Arial"/>
                <w:sz w:val="22"/>
                <w:szCs w:val="22"/>
              </w:rPr>
              <w:t xml:space="preserve">espondents count </w:t>
            </w:r>
          </w:p>
          <w:p w14:paraId="687FA119" w14:textId="77777777" w:rsidR="00E9700E" w:rsidRPr="00176D37" w:rsidRDefault="00E9700E" w:rsidP="00CE1D5A">
            <w:pPr>
              <w:pStyle w:val="Tablecolhead"/>
              <w:rPr>
                <w:rStyle w:val="eop"/>
                <w:rFonts w:eastAsiaTheme="majorEastAsia" w:cs="Arial"/>
                <w:sz w:val="22"/>
                <w:szCs w:val="22"/>
              </w:rPr>
            </w:pPr>
            <w:r w:rsidRPr="00176D37">
              <w:rPr>
                <w:rStyle w:val="eop"/>
                <w:rFonts w:eastAsiaTheme="majorEastAsia" w:cs="Arial"/>
              </w:rPr>
              <w:t>n (%)</w:t>
            </w:r>
          </w:p>
        </w:tc>
      </w:tr>
      <w:tr w:rsidR="00E9700E" w:rsidRPr="00176D37" w14:paraId="660BA1E8" w14:textId="77777777" w:rsidTr="00A173F8">
        <w:tc>
          <w:tcPr>
            <w:tcW w:w="5590" w:type="dxa"/>
          </w:tcPr>
          <w:p w14:paraId="4F7D2681" w14:textId="77777777" w:rsidR="00E9700E" w:rsidRPr="00176D37" w:rsidRDefault="00E9700E" w:rsidP="00CE1D5A">
            <w:pPr>
              <w:pStyle w:val="Tabletext"/>
              <w:rPr>
                <w:rStyle w:val="eop"/>
                <w:rFonts w:eastAsiaTheme="majorEastAsia" w:cs="Arial"/>
                <w:sz w:val="22"/>
                <w:szCs w:val="22"/>
              </w:rPr>
            </w:pPr>
            <w:r w:rsidRPr="00176D37">
              <w:rPr>
                <w:shd w:val="clear" w:color="auto" w:fill="FFFFFF"/>
              </w:rPr>
              <w:t xml:space="preserve">Yes, transfusion laboratory staff </w:t>
            </w:r>
            <w:proofErr w:type="gramStart"/>
            <w:r w:rsidRPr="00176D37">
              <w:rPr>
                <w:shd w:val="clear" w:color="auto" w:fill="FFFFFF"/>
              </w:rPr>
              <w:t>are able to</w:t>
            </w:r>
            <w:proofErr w:type="gramEnd"/>
            <w:r w:rsidRPr="00176D37">
              <w:rPr>
                <w:shd w:val="clear" w:color="auto" w:fill="FFFFFF"/>
              </w:rPr>
              <w:t xml:space="preserve"> assist</w:t>
            </w:r>
          </w:p>
        </w:tc>
        <w:tc>
          <w:tcPr>
            <w:tcW w:w="3431" w:type="dxa"/>
          </w:tcPr>
          <w:p w14:paraId="0F3B03C0"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w:t>
            </w:r>
          </w:p>
        </w:tc>
      </w:tr>
      <w:tr w:rsidR="00E9700E" w:rsidRPr="00176D37" w14:paraId="7F3C4C95" w14:textId="77777777" w:rsidTr="00A173F8">
        <w:tc>
          <w:tcPr>
            <w:tcW w:w="5590" w:type="dxa"/>
          </w:tcPr>
          <w:p w14:paraId="674F3438" w14:textId="77777777" w:rsidR="00E9700E" w:rsidRPr="00176D37" w:rsidRDefault="00E9700E" w:rsidP="00CE1D5A">
            <w:pPr>
              <w:pStyle w:val="Tabletext"/>
              <w:rPr>
                <w:rStyle w:val="eop"/>
                <w:rFonts w:eastAsiaTheme="majorEastAsia" w:cs="Arial"/>
                <w:sz w:val="22"/>
                <w:szCs w:val="22"/>
              </w:rPr>
            </w:pPr>
            <w:r w:rsidRPr="00176D37">
              <w:rPr>
                <w:shd w:val="clear" w:color="auto" w:fill="FFFFFF"/>
              </w:rPr>
              <w:t>Yes, transfusion laboratory staff are unable to assist</w:t>
            </w:r>
          </w:p>
        </w:tc>
        <w:tc>
          <w:tcPr>
            <w:tcW w:w="3431" w:type="dxa"/>
          </w:tcPr>
          <w:p w14:paraId="64933A9C"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5 (71%)</w:t>
            </w:r>
          </w:p>
        </w:tc>
      </w:tr>
      <w:tr w:rsidR="00E9700E" w:rsidRPr="00176D37" w14:paraId="2569423C" w14:textId="77777777" w:rsidTr="00A173F8">
        <w:tc>
          <w:tcPr>
            <w:tcW w:w="5590" w:type="dxa"/>
          </w:tcPr>
          <w:p w14:paraId="4752EF22" w14:textId="77777777" w:rsidR="00E9700E" w:rsidRPr="00176D37" w:rsidRDefault="00E9700E" w:rsidP="00CE1D5A">
            <w:pPr>
              <w:pStyle w:val="Tabletext"/>
              <w:rPr>
                <w:rStyle w:val="eop"/>
                <w:rFonts w:eastAsiaTheme="majorEastAsia" w:cs="Arial"/>
                <w:sz w:val="22"/>
                <w:szCs w:val="22"/>
              </w:rPr>
            </w:pPr>
            <w:r w:rsidRPr="00176D37">
              <w:rPr>
                <w:rStyle w:val="eop"/>
                <w:rFonts w:eastAsiaTheme="majorEastAsia" w:cs="Arial"/>
                <w:sz w:val="22"/>
                <w:szCs w:val="22"/>
              </w:rPr>
              <w:t>No</w:t>
            </w:r>
          </w:p>
        </w:tc>
        <w:tc>
          <w:tcPr>
            <w:tcW w:w="3431" w:type="dxa"/>
          </w:tcPr>
          <w:p w14:paraId="53ACC0B2"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1 (14%)</w:t>
            </w:r>
          </w:p>
        </w:tc>
      </w:tr>
      <w:tr w:rsidR="00E9700E" w:rsidRPr="00176D37" w14:paraId="3CA58890" w14:textId="77777777" w:rsidTr="00A173F8">
        <w:tc>
          <w:tcPr>
            <w:tcW w:w="5590" w:type="dxa"/>
          </w:tcPr>
          <w:p w14:paraId="521EBBE8" w14:textId="77777777" w:rsidR="00E9700E" w:rsidRPr="00176D37" w:rsidRDefault="00E9700E" w:rsidP="00CE1D5A">
            <w:pPr>
              <w:pStyle w:val="Tabletext"/>
              <w:rPr>
                <w:rStyle w:val="eop"/>
                <w:rFonts w:eastAsiaTheme="majorEastAsia" w:cs="Arial"/>
                <w:sz w:val="22"/>
                <w:szCs w:val="22"/>
              </w:rPr>
            </w:pPr>
            <w:r w:rsidRPr="00176D37">
              <w:rPr>
                <w:rStyle w:val="eop"/>
                <w:rFonts w:eastAsiaTheme="majorEastAsia" w:cs="Arial"/>
                <w:sz w:val="22"/>
                <w:szCs w:val="22"/>
              </w:rPr>
              <w:t>Unsure</w:t>
            </w:r>
          </w:p>
        </w:tc>
        <w:tc>
          <w:tcPr>
            <w:tcW w:w="3431" w:type="dxa"/>
          </w:tcPr>
          <w:p w14:paraId="001B9165" w14:textId="77777777" w:rsidR="00E9700E" w:rsidRPr="00176D37" w:rsidRDefault="00E9700E" w:rsidP="009742AB">
            <w:pPr>
              <w:pStyle w:val="Tabletext"/>
              <w:jc w:val="right"/>
              <w:rPr>
                <w:rStyle w:val="eop"/>
                <w:rFonts w:eastAsiaTheme="majorEastAsia" w:cs="Arial"/>
                <w:sz w:val="22"/>
                <w:szCs w:val="22"/>
              </w:rPr>
            </w:pPr>
            <w:r w:rsidRPr="00176D37">
              <w:rPr>
                <w:rStyle w:val="eop"/>
                <w:rFonts w:eastAsiaTheme="majorEastAsia" w:cs="Arial"/>
                <w:sz w:val="22"/>
                <w:szCs w:val="22"/>
              </w:rPr>
              <w:t>1 (14%)</w:t>
            </w:r>
          </w:p>
        </w:tc>
      </w:tr>
    </w:tbl>
    <w:p w14:paraId="3574D0FC" w14:textId="77777777" w:rsidR="00E9700E" w:rsidRPr="00176D37" w:rsidRDefault="00E9700E" w:rsidP="00CE1D5A">
      <w:pPr>
        <w:pStyle w:val="Body"/>
        <w:spacing w:before="240"/>
      </w:pPr>
      <w:r w:rsidRPr="00176D37">
        <w:t xml:space="preserve">Five (71 per cent) report that they receive troubleshooting phone calls, and they are not able to assist with these queries. No respondents reported they could help with the phone calls they receive, and they would not be expected to </w:t>
      </w:r>
      <w:proofErr w:type="gramStart"/>
      <w:r w:rsidRPr="00176D37">
        <w:t>know;</w:t>
      </w:r>
      <w:proofErr w:type="gramEnd"/>
      <w:r w:rsidRPr="00176D37">
        <w:t xml:space="preserve"> which reinforces the need to communicate clear pathways for staff to obtain EMR assistance.</w:t>
      </w:r>
    </w:p>
    <w:p w14:paraId="5A71E2FF" w14:textId="25CF2A70" w:rsidR="0063333A" w:rsidRDefault="00E9700E" w:rsidP="009742AB">
      <w:pPr>
        <w:pStyle w:val="Body"/>
        <w:rPr>
          <w:rFonts w:eastAsia="MS Gothic" w:cs="Arial"/>
          <w:bCs/>
          <w:color w:val="AF272F"/>
          <w:kern w:val="32"/>
          <w:sz w:val="44"/>
          <w:szCs w:val="44"/>
        </w:rPr>
      </w:pPr>
      <w:r w:rsidRPr="00176D37">
        <w:t>One respondent reported that they do not receive troubleshooting phone calls.</w:t>
      </w:r>
      <w:bookmarkStart w:id="415" w:name="_Toc101285725"/>
      <w:bookmarkStart w:id="416" w:name="_Toc101947746"/>
    </w:p>
    <w:p w14:paraId="136F338A" w14:textId="77777777" w:rsidR="00C92B22" w:rsidRDefault="00C92B22">
      <w:pPr>
        <w:spacing w:after="0" w:line="240" w:lineRule="auto"/>
        <w:rPr>
          <w:rFonts w:eastAsia="MS Gothic" w:cs="Arial"/>
          <w:bCs/>
          <w:color w:val="AF272F"/>
          <w:kern w:val="32"/>
          <w:sz w:val="44"/>
          <w:szCs w:val="44"/>
        </w:rPr>
      </w:pPr>
      <w:r>
        <w:br w:type="page"/>
      </w:r>
    </w:p>
    <w:p w14:paraId="63F1D935" w14:textId="668EE835" w:rsidR="00E9700E" w:rsidRPr="00CE1D5A" w:rsidRDefault="00E9700E" w:rsidP="00CE1D5A">
      <w:pPr>
        <w:pStyle w:val="Heading1"/>
      </w:pPr>
      <w:bookmarkStart w:id="417" w:name="_Toc104975945"/>
      <w:r w:rsidRPr="00CE1D5A">
        <w:lastRenderedPageBreak/>
        <w:t>EMR support</w:t>
      </w:r>
      <w:bookmarkEnd w:id="415"/>
      <w:bookmarkEnd w:id="416"/>
      <w:bookmarkEnd w:id="417"/>
    </w:p>
    <w:p w14:paraId="5026AF61" w14:textId="1E06F597" w:rsidR="00E9700E" w:rsidRPr="00176D37" w:rsidRDefault="00E9700E" w:rsidP="00CE1D5A">
      <w:pPr>
        <w:pStyle w:val="Body"/>
      </w:pPr>
      <w:r w:rsidRPr="00176D37">
        <w:t>Questions about EMR support were asked to all respondents with an EMR, n</w:t>
      </w:r>
      <w:r w:rsidR="00683C15">
        <w:t xml:space="preserve"> </w:t>
      </w:r>
      <w:r w:rsidRPr="00176D37">
        <w:t>=</w:t>
      </w:r>
      <w:r w:rsidR="00683C15">
        <w:t xml:space="preserve"> </w:t>
      </w:r>
      <w:r w:rsidRPr="00176D37">
        <w:t>51.</w:t>
      </w:r>
    </w:p>
    <w:p w14:paraId="7722F001" w14:textId="77777777" w:rsidR="00E9700E" w:rsidRPr="00CE1D5A" w:rsidRDefault="00E9700E" w:rsidP="00CE1D5A">
      <w:pPr>
        <w:pStyle w:val="Heading2"/>
      </w:pPr>
      <w:bookmarkStart w:id="418" w:name="_Toc101285726"/>
      <w:bookmarkStart w:id="419" w:name="_Toc101947747"/>
      <w:bookmarkStart w:id="420" w:name="_Toc104975946"/>
      <w:r w:rsidRPr="00CE1D5A">
        <w:t>Availability of support</w:t>
      </w:r>
      <w:bookmarkEnd w:id="418"/>
      <w:bookmarkEnd w:id="419"/>
      <w:bookmarkEnd w:id="420"/>
    </w:p>
    <w:p w14:paraId="125E596A" w14:textId="64989ED4" w:rsidR="00E9700E" w:rsidRPr="00176D37" w:rsidRDefault="00E9700E" w:rsidP="00CE1D5A">
      <w:pPr>
        <w:pStyle w:val="Body"/>
      </w:pPr>
      <w:r w:rsidRPr="00176D37">
        <w:t xml:space="preserve">The type and availability of EMR support is reported in </w:t>
      </w:r>
      <w:r w:rsidRPr="00176D37">
        <w:fldChar w:fldCharType="begin"/>
      </w:r>
      <w:r w:rsidRPr="00176D37">
        <w:instrText xml:space="preserve"> REF _Ref100682478 \h  \* MERGEFORMAT </w:instrText>
      </w:r>
      <w:r w:rsidRPr="00176D37">
        <w:fldChar w:fldCharType="separate"/>
      </w:r>
      <w:r w:rsidR="00E73E2F" w:rsidRPr="00176D37">
        <w:t xml:space="preserve">Table </w:t>
      </w:r>
      <w:r w:rsidR="00E73E2F">
        <w:rPr>
          <w:noProof/>
        </w:rPr>
        <w:t>53</w:t>
      </w:r>
      <w:r w:rsidRPr="00176D37">
        <w:fldChar w:fldCharType="end"/>
      </w:r>
      <w:r w:rsidRPr="00176D37">
        <w:t>.</w:t>
      </w:r>
    </w:p>
    <w:p w14:paraId="48990582" w14:textId="36AD07D9" w:rsidR="00E9700E" w:rsidRPr="00176D37" w:rsidRDefault="00E9700E" w:rsidP="00CE1D5A">
      <w:pPr>
        <w:pStyle w:val="Tablecaption"/>
      </w:pPr>
      <w:bookmarkStart w:id="421" w:name="_Ref100682478"/>
      <w:r w:rsidRPr="00176D37">
        <w:t xml:space="preserve">Table </w:t>
      </w:r>
      <w:r w:rsidR="00F751A0">
        <w:fldChar w:fldCharType="begin"/>
      </w:r>
      <w:r w:rsidR="00F751A0">
        <w:instrText xml:space="preserve"> SEQ Table \* ARABIC </w:instrText>
      </w:r>
      <w:r w:rsidR="00F751A0">
        <w:fldChar w:fldCharType="separate"/>
      </w:r>
      <w:r w:rsidR="00E73E2F">
        <w:rPr>
          <w:noProof/>
        </w:rPr>
        <w:t>53</w:t>
      </w:r>
      <w:r w:rsidR="00F751A0">
        <w:rPr>
          <w:noProof/>
        </w:rPr>
        <w:fldChar w:fldCharType="end"/>
      </w:r>
      <w:bookmarkEnd w:id="421"/>
      <w:r w:rsidRPr="00176D37">
        <w:t>: Reported EMR support available</w:t>
      </w:r>
    </w:p>
    <w:tbl>
      <w:tblPr>
        <w:tblStyle w:val="TableGrid"/>
        <w:tblW w:w="9493" w:type="dxa"/>
        <w:tblLayout w:type="fixed"/>
        <w:tblLook w:val="04A0" w:firstRow="1" w:lastRow="0" w:firstColumn="1" w:lastColumn="0" w:noHBand="0" w:noVBand="1"/>
      </w:tblPr>
      <w:tblGrid>
        <w:gridCol w:w="1252"/>
        <w:gridCol w:w="1016"/>
        <w:gridCol w:w="1197"/>
        <w:gridCol w:w="1369"/>
        <w:gridCol w:w="1053"/>
        <w:gridCol w:w="1716"/>
        <w:gridCol w:w="958"/>
        <w:gridCol w:w="932"/>
      </w:tblGrid>
      <w:tr w:rsidR="00E9700E" w:rsidRPr="00176D37" w14:paraId="62BE8942" w14:textId="77777777" w:rsidTr="003529D2">
        <w:trPr>
          <w:trHeight w:val="766"/>
          <w:tblHeader/>
        </w:trPr>
        <w:tc>
          <w:tcPr>
            <w:tcW w:w="1252" w:type="dxa"/>
          </w:tcPr>
          <w:p w14:paraId="31752970" w14:textId="77777777" w:rsidR="00E9700E" w:rsidRPr="00176D37" w:rsidRDefault="00E9700E" w:rsidP="00CE1D5A">
            <w:pPr>
              <w:pStyle w:val="Tablecolhead"/>
            </w:pPr>
            <w:r w:rsidRPr="00176D37">
              <w:t>Support type</w:t>
            </w:r>
          </w:p>
        </w:tc>
        <w:tc>
          <w:tcPr>
            <w:tcW w:w="1016" w:type="dxa"/>
          </w:tcPr>
          <w:p w14:paraId="76C38606" w14:textId="272EE035" w:rsidR="00E9700E" w:rsidRPr="00176D37" w:rsidRDefault="00E9700E" w:rsidP="00CE1D5A">
            <w:pPr>
              <w:pStyle w:val="Tablecolhead"/>
            </w:pPr>
            <w:r w:rsidRPr="00176D37">
              <w:t>Clinical nursing n</w:t>
            </w:r>
            <w:r w:rsidR="00683C15">
              <w:t xml:space="preserve"> </w:t>
            </w:r>
            <w:r w:rsidRPr="00176D37">
              <w:t>=</w:t>
            </w:r>
            <w:r w:rsidR="00683C15">
              <w:t xml:space="preserve"> </w:t>
            </w:r>
            <w:r w:rsidRPr="00176D37">
              <w:t>6, (%)</w:t>
            </w:r>
          </w:p>
        </w:tc>
        <w:tc>
          <w:tcPr>
            <w:tcW w:w="1197" w:type="dxa"/>
          </w:tcPr>
          <w:p w14:paraId="45F99A4D" w14:textId="77777777" w:rsidR="00E9700E" w:rsidRPr="00176D37" w:rsidRDefault="00E9700E" w:rsidP="00CE1D5A">
            <w:pPr>
              <w:pStyle w:val="Tablecolhead"/>
            </w:pPr>
            <w:r w:rsidRPr="00176D37">
              <w:t>Executive</w:t>
            </w:r>
          </w:p>
          <w:p w14:paraId="13A15B36" w14:textId="179BE222" w:rsidR="00E9700E" w:rsidRPr="00176D37" w:rsidRDefault="00683C15" w:rsidP="00CE1D5A">
            <w:pPr>
              <w:pStyle w:val="Tablecolhead"/>
            </w:pPr>
            <w:r>
              <w:t xml:space="preserve">n </w:t>
            </w:r>
            <w:r w:rsidR="00E9700E" w:rsidRPr="00176D37">
              <w:t>=</w:t>
            </w:r>
            <w:r>
              <w:t xml:space="preserve"> </w:t>
            </w:r>
            <w:r w:rsidR="00E9700E" w:rsidRPr="00176D37">
              <w:t>5, (%)</w:t>
            </w:r>
          </w:p>
        </w:tc>
        <w:tc>
          <w:tcPr>
            <w:tcW w:w="1369" w:type="dxa"/>
          </w:tcPr>
          <w:p w14:paraId="3034D4ED" w14:textId="77777777" w:rsidR="00E9700E" w:rsidRPr="00176D37" w:rsidRDefault="00E9700E" w:rsidP="00CE1D5A">
            <w:pPr>
              <w:pStyle w:val="Tablecolhead"/>
            </w:pPr>
            <w:r w:rsidRPr="00176D37">
              <w:t>Laboratory</w:t>
            </w:r>
          </w:p>
          <w:p w14:paraId="75D94550" w14:textId="523EE4DA" w:rsidR="00E9700E" w:rsidRPr="00176D37" w:rsidRDefault="00683C15" w:rsidP="00CE1D5A">
            <w:pPr>
              <w:pStyle w:val="Tablecolhead"/>
            </w:pPr>
            <w:r>
              <w:t xml:space="preserve">n </w:t>
            </w:r>
            <w:r w:rsidR="00E9700E" w:rsidRPr="00176D37">
              <w:t>=</w:t>
            </w:r>
            <w:r>
              <w:t xml:space="preserve"> </w:t>
            </w:r>
            <w:r w:rsidR="00E9700E" w:rsidRPr="00176D37">
              <w:t>7, (%)</w:t>
            </w:r>
          </w:p>
        </w:tc>
        <w:tc>
          <w:tcPr>
            <w:tcW w:w="1053" w:type="dxa"/>
          </w:tcPr>
          <w:p w14:paraId="2B44F743" w14:textId="77777777" w:rsidR="00E9700E" w:rsidRPr="00176D37" w:rsidRDefault="00E9700E" w:rsidP="00CE1D5A">
            <w:pPr>
              <w:pStyle w:val="Tablecolhead"/>
            </w:pPr>
            <w:r w:rsidRPr="00176D37">
              <w:t>Medical</w:t>
            </w:r>
          </w:p>
          <w:p w14:paraId="0FCEA015" w14:textId="51DE695E" w:rsidR="00E9700E" w:rsidRPr="00176D37" w:rsidRDefault="00683C15" w:rsidP="00CE1D5A">
            <w:pPr>
              <w:pStyle w:val="Tablecolhead"/>
            </w:pPr>
            <w:r>
              <w:t xml:space="preserve">n </w:t>
            </w:r>
            <w:r w:rsidR="00E9700E" w:rsidRPr="00176D37">
              <w:t>=</w:t>
            </w:r>
            <w:r>
              <w:t xml:space="preserve"> </w:t>
            </w:r>
            <w:r w:rsidR="00E9700E" w:rsidRPr="00176D37">
              <w:t>6, (%)</w:t>
            </w:r>
          </w:p>
        </w:tc>
        <w:tc>
          <w:tcPr>
            <w:tcW w:w="1716" w:type="dxa"/>
          </w:tcPr>
          <w:p w14:paraId="04DFF7D6" w14:textId="77777777" w:rsidR="00E9700E" w:rsidRPr="00176D37" w:rsidRDefault="00E9700E" w:rsidP="00CE1D5A">
            <w:pPr>
              <w:pStyle w:val="Tablecolhead"/>
            </w:pPr>
            <w:r w:rsidRPr="00176D37">
              <w:t>Organisational IT</w:t>
            </w:r>
          </w:p>
          <w:p w14:paraId="1F3374AE" w14:textId="5C7D23BF" w:rsidR="00E9700E" w:rsidRPr="00176D37" w:rsidRDefault="00683C15" w:rsidP="00CE1D5A">
            <w:pPr>
              <w:pStyle w:val="Tablecolhead"/>
            </w:pPr>
            <w:r>
              <w:t xml:space="preserve">n </w:t>
            </w:r>
            <w:r w:rsidR="00E9700E" w:rsidRPr="00176D37">
              <w:t>=</w:t>
            </w:r>
            <w:r>
              <w:t xml:space="preserve"> </w:t>
            </w:r>
            <w:r w:rsidR="00E9700E" w:rsidRPr="00176D37">
              <w:t>3, (%)</w:t>
            </w:r>
          </w:p>
        </w:tc>
        <w:tc>
          <w:tcPr>
            <w:tcW w:w="958" w:type="dxa"/>
          </w:tcPr>
          <w:p w14:paraId="141009EF" w14:textId="77777777" w:rsidR="00E9700E" w:rsidRPr="00176D37" w:rsidRDefault="00E9700E" w:rsidP="00CE1D5A">
            <w:pPr>
              <w:pStyle w:val="Tablecolhead"/>
            </w:pPr>
            <w:r w:rsidRPr="00176D37">
              <w:t>Quality</w:t>
            </w:r>
          </w:p>
          <w:p w14:paraId="4659DDAE" w14:textId="47D1461B" w:rsidR="00E9700E" w:rsidRPr="00176D37" w:rsidRDefault="00683C15" w:rsidP="00CE1D5A">
            <w:pPr>
              <w:pStyle w:val="Tablecolhead"/>
            </w:pPr>
            <w:r>
              <w:t xml:space="preserve">n </w:t>
            </w:r>
            <w:r w:rsidR="00E9700E" w:rsidRPr="00176D37">
              <w:t>=</w:t>
            </w:r>
            <w:r>
              <w:t xml:space="preserve"> </w:t>
            </w:r>
            <w:r w:rsidR="00E9700E" w:rsidRPr="00176D37">
              <w:t>20, (%)</w:t>
            </w:r>
          </w:p>
        </w:tc>
        <w:tc>
          <w:tcPr>
            <w:tcW w:w="932" w:type="dxa"/>
          </w:tcPr>
          <w:p w14:paraId="009A3D79" w14:textId="77777777" w:rsidR="00E9700E" w:rsidRPr="00176D37" w:rsidRDefault="00E9700E" w:rsidP="00CE1D5A">
            <w:pPr>
              <w:pStyle w:val="Tablecolhead"/>
            </w:pPr>
            <w:r w:rsidRPr="00176D37">
              <w:t>Other</w:t>
            </w:r>
            <w:r w:rsidRPr="00176D37">
              <w:rPr>
                <w:rStyle w:val="FootnoteReference"/>
                <w:rFonts w:cs="Arial"/>
              </w:rPr>
              <w:footnoteReference w:id="45"/>
            </w:r>
          </w:p>
          <w:p w14:paraId="3834F598" w14:textId="427B4CFB" w:rsidR="00E9700E" w:rsidRPr="00176D37" w:rsidRDefault="00683C15" w:rsidP="00CE1D5A">
            <w:pPr>
              <w:pStyle w:val="Tablecolhead"/>
            </w:pPr>
            <w:r>
              <w:t xml:space="preserve">n </w:t>
            </w:r>
            <w:r w:rsidR="00E9700E" w:rsidRPr="00176D37">
              <w:t>=</w:t>
            </w:r>
            <w:r>
              <w:t xml:space="preserve"> </w:t>
            </w:r>
            <w:r w:rsidR="00E9700E" w:rsidRPr="00176D37">
              <w:t>4, (%)</w:t>
            </w:r>
          </w:p>
        </w:tc>
      </w:tr>
      <w:tr w:rsidR="00E9700E" w:rsidRPr="00176D37" w14:paraId="20AB1373" w14:textId="77777777" w:rsidTr="003529D2">
        <w:trPr>
          <w:trHeight w:val="766"/>
          <w:tblHeader/>
        </w:trPr>
        <w:tc>
          <w:tcPr>
            <w:tcW w:w="1252" w:type="dxa"/>
          </w:tcPr>
          <w:p w14:paraId="42A48164" w14:textId="65C9F7F0" w:rsidR="00E9700E" w:rsidRPr="00176D37" w:rsidRDefault="00E9700E" w:rsidP="00CE1D5A">
            <w:pPr>
              <w:pStyle w:val="Tabletext"/>
              <w:rPr>
                <w:b/>
              </w:rPr>
            </w:pPr>
            <w:r w:rsidRPr="00176D37">
              <w:rPr>
                <w:shd w:val="clear" w:color="auto" w:fill="FFFFFF"/>
              </w:rPr>
              <w:t xml:space="preserve">IT </w:t>
            </w:r>
            <w:r w:rsidR="00683C15">
              <w:rPr>
                <w:shd w:val="clear" w:color="auto" w:fill="FFFFFF"/>
              </w:rPr>
              <w:t>–</w:t>
            </w:r>
            <w:r w:rsidR="00683C15" w:rsidRPr="00176D37">
              <w:rPr>
                <w:shd w:val="clear" w:color="auto" w:fill="FFFFFF"/>
              </w:rPr>
              <w:t xml:space="preserve"> </w:t>
            </w:r>
            <w:r w:rsidR="00683C15">
              <w:rPr>
                <w:shd w:val="clear" w:color="auto" w:fill="FFFFFF"/>
              </w:rPr>
              <w:t>d</w:t>
            </w:r>
            <w:r w:rsidR="00683C15" w:rsidRPr="00176D37">
              <w:rPr>
                <w:shd w:val="clear" w:color="auto" w:fill="FFFFFF"/>
              </w:rPr>
              <w:t xml:space="preserve">irect </w:t>
            </w:r>
            <w:r w:rsidRPr="00176D37">
              <w:rPr>
                <w:shd w:val="clear" w:color="auto" w:fill="FFFFFF"/>
              </w:rPr>
              <w:t>support</w:t>
            </w:r>
          </w:p>
        </w:tc>
        <w:tc>
          <w:tcPr>
            <w:tcW w:w="1016" w:type="dxa"/>
          </w:tcPr>
          <w:p w14:paraId="3C04C00E" w14:textId="77777777" w:rsidR="00E9700E" w:rsidRPr="00176D37" w:rsidRDefault="00E9700E" w:rsidP="009742AB">
            <w:pPr>
              <w:pStyle w:val="Tabletext"/>
              <w:jc w:val="right"/>
              <w:rPr>
                <w:b/>
              </w:rPr>
            </w:pPr>
            <w:r w:rsidRPr="00176D37">
              <w:t>3 (50%)</w:t>
            </w:r>
          </w:p>
        </w:tc>
        <w:tc>
          <w:tcPr>
            <w:tcW w:w="1197" w:type="dxa"/>
          </w:tcPr>
          <w:p w14:paraId="1D48B40D" w14:textId="77777777" w:rsidR="00E9700E" w:rsidRPr="00176D37" w:rsidRDefault="00E9700E" w:rsidP="009742AB">
            <w:pPr>
              <w:pStyle w:val="Tabletext"/>
              <w:jc w:val="right"/>
              <w:rPr>
                <w:b/>
              </w:rPr>
            </w:pPr>
            <w:r w:rsidRPr="00176D37">
              <w:t>2 (40%)</w:t>
            </w:r>
          </w:p>
        </w:tc>
        <w:tc>
          <w:tcPr>
            <w:tcW w:w="1369" w:type="dxa"/>
          </w:tcPr>
          <w:p w14:paraId="09301DD5" w14:textId="77777777" w:rsidR="00E9700E" w:rsidRPr="00176D37" w:rsidRDefault="00E9700E" w:rsidP="009742AB">
            <w:pPr>
              <w:pStyle w:val="Tabletext"/>
              <w:jc w:val="right"/>
              <w:rPr>
                <w:b/>
              </w:rPr>
            </w:pPr>
            <w:r w:rsidRPr="00176D37">
              <w:t>2 (29%)</w:t>
            </w:r>
          </w:p>
        </w:tc>
        <w:tc>
          <w:tcPr>
            <w:tcW w:w="1053" w:type="dxa"/>
          </w:tcPr>
          <w:p w14:paraId="15F53652" w14:textId="77777777" w:rsidR="00E9700E" w:rsidRPr="00176D37" w:rsidRDefault="00E9700E" w:rsidP="009742AB">
            <w:pPr>
              <w:pStyle w:val="Tabletext"/>
              <w:jc w:val="right"/>
              <w:rPr>
                <w:b/>
              </w:rPr>
            </w:pPr>
            <w:r w:rsidRPr="00176D37">
              <w:t>3 (50%)</w:t>
            </w:r>
          </w:p>
        </w:tc>
        <w:tc>
          <w:tcPr>
            <w:tcW w:w="1716" w:type="dxa"/>
          </w:tcPr>
          <w:p w14:paraId="7B319544" w14:textId="77777777" w:rsidR="00E9700E" w:rsidRPr="00176D37" w:rsidRDefault="00E9700E" w:rsidP="009742AB">
            <w:pPr>
              <w:pStyle w:val="Tabletext"/>
              <w:jc w:val="right"/>
              <w:rPr>
                <w:b/>
              </w:rPr>
            </w:pPr>
            <w:r w:rsidRPr="00176D37">
              <w:t>1 (33%)</w:t>
            </w:r>
          </w:p>
        </w:tc>
        <w:tc>
          <w:tcPr>
            <w:tcW w:w="958" w:type="dxa"/>
          </w:tcPr>
          <w:p w14:paraId="38385BB9" w14:textId="77777777" w:rsidR="00E9700E" w:rsidRPr="00176D37" w:rsidRDefault="00E9700E" w:rsidP="009742AB">
            <w:pPr>
              <w:pStyle w:val="Tabletext"/>
              <w:jc w:val="right"/>
              <w:rPr>
                <w:b/>
              </w:rPr>
            </w:pPr>
            <w:r w:rsidRPr="00176D37">
              <w:t>9 (45%)</w:t>
            </w:r>
          </w:p>
        </w:tc>
        <w:tc>
          <w:tcPr>
            <w:tcW w:w="932" w:type="dxa"/>
          </w:tcPr>
          <w:p w14:paraId="65239229" w14:textId="77777777" w:rsidR="00E9700E" w:rsidRPr="00176D37" w:rsidRDefault="00E9700E" w:rsidP="009742AB">
            <w:pPr>
              <w:pStyle w:val="Tabletext"/>
              <w:jc w:val="right"/>
              <w:rPr>
                <w:bCs/>
              </w:rPr>
            </w:pPr>
            <w:r w:rsidRPr="00176D37">
              <w:rPr>
                <w:bCs/>
              </w:rPr>
              <w:t>-</w:t>
            </w:r>
          </w:p>
        </w:tc>
      </w:tr>
      <w:tr w:rsidR="00E9700E" w:rsidRPr="00176D37" w14:paraId="0CF0FF12" w14:textId="77777777" w:rsidTr="003529D2">
        <w:trPr>
          <w:trHeight w:val="510"/>
        </w:trPr>
        <w:tc>
          <w:tcPr>
            <w:tcW w:w="1252" w:type="dxa"/>
          </w:tcPr>
          <w:p w14:paraId="5E15F379" w14:textId="0F808362" w:rsidR="00E9700E" w:rsidRPr="00176D37" w:rsidRDefault="00E9700E" w:rsidP="00CE1D5A">
            <w:pPr>
              <w:pStyle w:val="Tabletext"/>
            </w:pPr>
            <w:r w:rsidRPr="00176D37">
              <w:rPr>
                <w:shd w:val="clear" w:color="auto" w:fill="FFFFFF"/>
              </w:rPr>
              <w:t xml:space="preserve">IT </w:t>
            </w:r>
            <w:r w:rsidR="00683C15">
              <w:rPr>
                <w:shd w:val="clear" w:color="auto" w:fill="FFFFFF"/>
              </w:rPr>
              <w:t>–</w:t>
            </w:r>
            <w:r w:rsidR="00683C15" w:rsidRPr="00176D37">
              <w:rPr>
                <w:shd w:val="clear" w:color="auto" w:fill="FFFFFF"/>
              </w:rPr>
              <w:t xml:space="preserve"> </w:t>
            </w:r>
            <w:r w:rsidR="00683C15">
              <w:rPr>
                <w:shd w:val="clear" w:color="auto" w:fill="FFFFFF"/>
              </w:rPr>
              <w:t>i</w:t>
            </w:r>
            <w:r w:rsidR="00683C15" w:rsidRPr="00176D37">
              <w:rPr>
                <w:shd w:val="clear" w:color="auto" w:fill="FFFFFF"/>
              </w:rPr>
              <w:t>n</w:t>
            </w:r>
            <w:r w:rsidR="00B4635A">
              <w:rPr>
                <w:shd w:val="clear" w:color="auto" w:fill="FFFFFF"/>
              </w:rPr>
              <w:t>-</w:t>
            </w:r>
            <w:r w:rsidR="00683C15" w:rsidRPr="00176D37">
              <w:rPr>
                <w:shd w:val="clear" w:color="auto" w:fill="FFFFFF"/>
              </w:rPr>
              <w:t xml:space="preserve">house </w:t>
            </w:r>
            <w:r w:rsidRPr="00176D37">
              <w:rPr>
                <w:shd w:val="clear" w:color="auto" w:fill="FFFFFF"/>
              </w:rPr>
              <w:t>support</w:t>
            </w:r>
          </w:p>
        </w:tc>
        <w:tc>
          <w:tcPr>
            <w:tcW w:w="1016" w:type="dxa"/>
          </w:tcPr>
          <w:p w14:paraId="0B2A5ADA" w14:textId="77777777" w:rsidR="00E9700E" w:rsidRPr="00176D37" w:rsidRDefault="00E9700E" w:rsidP="009742AB">
            <w:pPr>
              <w:pStyle w:val="Tabletext"/>
              <w:jc w:val="right"/>
            </w:pPr>
            <w:r w:rsidRPr="00176D37">
              <w:t>5 (83%)</w:t>
            </w:r>
          </w:p>
        </w:tc>
        <w:tc>
          <w:tcPr>
            <w:tcW w:w="1197" w:type="dxa"/>
          </w:tcPr>
          <w:p w14:paraId="72EC1444" w14:textId="77777777" w:rsidR="00E9700E" w:rsidRPr="00176D37" w:rsidRDefault="00E9700E" w:rsidP="009742AB">
            <w:pPr>
              <w:pStyle w:val="Tabletext"/>
              <w:jc w:val="right"/>
            </w:pPr>
            <w:r w:rsidRPr="00176D37">
              <w:t>5 (100%)</w:t>
            </w:r>
          </w:p>
        </w:tc>
        <w:tc>
          <w:tcPr>
            <w:tcW w:w="1369" w:type="dxa"/>
          </w:tcPr>
          <w:p w14:paraId="65D261F2" w14:textId="77777777" w:rsidR="00E9700E" w:rsidRPr="00176D37" w:rsidRDefault="00E9700E" w:rsidP="009742AB">
            <w:pPr>
              <w:pStyle w:val="Tabletext"/>
              <w:jc w:val="right"/>
            </w:pPr>
            <w:r w:rsidRPr="00176D37">
              <w:t>5 (71%)</w:t>
            </w:r>
          </w:p>
        </w:tc>
        <w:tc>
          <w:tcPr>
            <w:tcW w:w="1053" w:type="dxa"/>
          </w:tcPr>
          <w:p w14:paraId="53047AD2" w14:textId="77777777" w:rsidR="00E9700E" w:rsidRPr="00176D37" w:rsidRDefault="00E9700E" w:rsidP="009742AB">
            <w:pPr>
              <w:pStyle w:val="Tabletext"/>
              <w:jc w:val="right"/>
            </w:pPr>
            <w:r w:rsidRPr="00176D37">
              <w:t>6 (100%)</w:t>
            </w:r>
          </w:p>
        </w:tc>
        <w:tc>
          <w:tcPr>
            <w:tcW w:w="1716" w:type="dxa"/>
          </w:tcPr>
          <w:p w14:paraId="6DE8B86E" w14:textId="77777777" w:rsidR="00E9700E" w:rsidRPr="00176D37" w:rsidRDefault="00E9700E" w:rsidP="009742AB">
            <w:pPr>
              <w:pStyle w:val="Tabletext"/>
              <w:jc w:val="right"/>
            </w:pPr>
            <w:r w:rsidRPr="00176D37">
              <w:t>3 (100%)</w:t>
            </w:r>
          </w:p>
        </w:tc>
        <w:tc>
          <w:tcPr>
            <w:tcW w:w="958" w:type="dxa"/>
          </w:tcPr>
          <w:p w14:paraId="13F8549E" w14:textId="77777777" w:rsidR="00E9700E" w:rsidRPr="00176D37" w:rsidRDefault="00E9700E" w:rsidP="009742AB">
            <w:pPr>
              <w:pStyle w:val="Tabletext"/>
              <w:jc w:val="right"/>
            </w:pPr>
            <w:r w:rsidRPr="00176D37">
              <w:t>15 (75%)</w:t>
            </w:r>
          </w:p>
        </w:tc>
        <w:tc>
          <w:tcPr>
            <w:tcW w:w="932" w:type="dxa"/>
          </w:tcPr>
          <w:p w14:paraId="38D2E03B" w14:textId="77777777" w:rsidR="00E9700E" w:rsidRPr="00176D37" w:rsidRDefault="00E9700E" w:rsidP="009742AB">
            <w:pPr>
              <w:pStyle w:val="Tabletext"/>
              <w:jc w:val="right"/>
            </w:pPr>
            <w:r w:rsidRPr="00176D37">
              <w:t>2 (50%)</w:t>
            </w:r>
          </w:p>
        </w:tc>
      </w:tr>
      <w:tr w:rsidR="00E9700E" w:rsidRPr="00176D37" w14:paraId="60F43C54" w14:textId="77777777" w:rsidTr="003529D2">
        <w:trPr>
          <w:trHeight w:val="255"/>
        </w:trPr>
        <w:tc>
          <w:tcPr>
            <w:tcW w:w="1252" w:type="dxa"/>
          </w:tcPr>
          <w:p w14:paraId="1475FB88" w14:textId="77777777" w:rsidR="00E9700E" w:rsidRPr="00176D37" w:rsidRDefault="00E9700E" w:rsidP="00CE1D5A">
            <w:pPr>
              <w:pStyle w:val="Tabletext"/>
            </w:pPr>
            <w:r w:rsidRPr="00176D37">
              <w:rPr>
                <w:shd w:val="clear" w:color="auto" w:fill="FFFFFF"/>
              </w:rPr>
              <w:t>EMR trained super user</w:t>
            </w:r>
          </w:p>
        </w:tc>
        <w:tc>
          <w:tcPr>
            <w:tcW w:w="1016" w:type="dxa"/>
          </w:tcPr>
          <w:p w14:paraId="0D3F4768" w14:textId="77777777" w:rsidR="00E9700E" w:rsidRPr="00176D37" w:rsidRDefault="00E9700E" w:rsidP="009742AB">
            <w:pPr>
              <w:pStyle w:val="Tabletext"/>
              <w:jc w:val="right"/>
            </w:pPr>
            <w:r w:rsidRPr="00176D37">
              <w:t>2 (33%)</w:t>
            </w:r>
          </w:p>
        </w:tc>
        <w:tc>
          <w:tcPr>
            <w:tcW w:w="1197" w:type="dxa"/>
          </w:tcPr>
          <w:p w14:paraId="4FA320B2" w14:textId="77777777" w:rsidR="00E9700E" w:rsidRPr="00176D37" w:rsidRDefault="00E9700E" w:rsidP="009742AB">
            <w:pPr>
              <w:pStyle w:val="Tabletext"/>
              <w:jc w:val="right"/>
            </w:pPr>
            <w:r w:rsidRPr="00176D37">
              <w:t>4 (80%)</w:t>
            </w:r>
          </w:p>
        </w:tc>
        <w:tc>
          <w:tcPr>
            <w:tcW w:w="1369" w:type="dxa"/>
          </w:tcPr>
          <w:p w14:paraId="402A242E" w14:textId="77777777" w:rsidR="00E9700E" w:rsidRPr="00176D37" w:rsidRDefault="00E9700E" w:rsidP="009742AB">
            <w:pPr>
              <w:pStyle w:val="Tabletext"/>
              <w:jc w:val="right"/>
            </w:pPr>
            <w:r w:rsidRPr="00176D37">
              <w:t>3 (43%)</w:t>
            </w:r>
          </w:p>
        </w:tc>
        <w:tc>
          <w:tcPr>
            <w:tcW w:w="1053" w:type="dxa"/>
          </w:tcPr>
          <w:p w14:paraId="2BBAD88C" w14:textId="77777777" w:rsidR="00E9700E" w:rsidRPr="00176D37" w:rsidRDefault="00E9700E" w:rsidP="009742AB">
            <w:pPr>
              <w:pStyle w:val="Tabletext"/>
              <w:jc w:val="right"/>
            </w:pPr>
            <w:r w:rsidRPr="00176D37">
              <w:t>5 (83%)</w:t>
            </w:r>
          </w:p>
        </w:tc>
        <w:tc>
          <w:tcPr>
            <w:tcW w:w="1716" w:type="dxa"/>
          </w:tcPr>
          <w:p w14:paraId="3A12328D" w14:textId="77777777" w:rsidR="00E9700E" w:rsidRPr="00176D37" w:rsidRDefault="00E9700E" w:rsidP="009742AB">
            <w:pPr>
              <w:pStyle w:val="Tabletext"/>
              <w:jc w:val="right"/>
            </w:pPr>
            <w:r w:rsidRPr="00176D37">
              <w:t>3 (100%)</w:t>
            </w:r>
          </w:p>
        </w:tc>
        <w:tc>
          <w:tcPr>
            <w:tcW w:w="958" w:type="dxa"/>
          </w:tcPr>
          <w:p w14:paraId="672A0DD5" w14:textId="77777777" w:rsidR="00E9700E" w:rsidRPr="00176D37" w:rsidRDefault="00E9700E" w:rsidP="009742AB">
            <w:pPr>
              <w:pStyle w:val="Tabletext"/>
              <w:jc w:val="right"/>
            </w:pPr>
            <w:r w:rsidRPr="00176D37">
              <w:t>14 (70%)</w:t>
            </w:r>
          </w:p>
        </w:tc>
        <w:tc>
          <w:tcPr>
            <w:tcW w:w="932" w:type="dxa"/>
          </w:tcPr>
          <w:p w14:paraId="53619093" w14:textId="77777777" w:rsidR="00E9700E" w:rsidRPr="00176D37" w:rsidRDefault="00E9700E" w:rsidP="009742AB">
            <w:pPr>
              <w:pStyle w:val="Tabletext"/>
              <w:jc w:val="right"/>
            </w:pPr>
            <w:r w:rsidRPr="00176D37">
              <w:t>2 (50%)</w:t>
            </w:r>
          </w:p>
        </w:tc>
      </w:tr>
      <w:tr w:rsidR="00E9700E" w:rsidRPr="00176D37" w14:paraId="1E6C06B8" w14:textId="77777777" w:rsidTr="003529D2">
        <w:trPr>
          <w:trHeight w:val="510"/>
        </w:trPr>
        <w:tc>
          <w:tcPr>
            <w:tcW w:w="1252" w:type="dxa"/>
          </w:tcPr>
          <w:p w14:paraId="14BB560F" w14:textId="77777777" w:rsidR="00E9700E" w:rsidRPr="00176D37" w:rsidRDefault="00E9700E" w:rsidP="00CE1D5A">
            <w:pPr>
              <w:pStyle w:val="Tabletext"/>
            </w:pPr>
            <w:r w:rsidRPr="00176D37">
              <w:t>Other</w:t>
            </w:r>
          </w:p>
        </w:tc>
        <w:tc>
          <w:tcPr>
            <w:tcW w:w="1016" w:type="dxa"/>
          </w:tcPr>
          <w:p w14:paraId="71E1345E" w14:textId="77777777" w:rsidR="00E9700E" w:rsidRPr="00176D37" w:rsidRDefault="00E9700E" w:rsidP="009742AB">
            <w:pPr>
              <w:pStyle w:val="Tabletext"/>
              <w:jc w:val="right"/>
            </w:pPr>
            <w:r w:rsidRPr="00176D37">
              <w:t>-</w:t>
            </w:r>
          </w:p>
        </w:tc>
        <w:tc>
          <w:tcPr>
            <w:tcW w:w="1197" w:type="dxa"/>
          </w:tcPr>
          <w:p w14:paraId="67A2FFD2" w14:textId="77777777" w:rsidR="00E9700E" w:rsidRPr="00176D37" w:rsidRDefault="00E9700E" w:rsidP="009742AB">
            <w:pPr>
              <w:pStyle w:val="Tabletext"/>
              <w:jc w:val="right"/>
            </w:pPr>
            <w:r w:rsidRPr="00176D37">
              <w:t>-</w:t>
            </w:r>
          </w:p>
        </w:tc>
        <w:tc>
          <w:tcPr>
            <w:tcW w:w="1369" w:type="dxa"/>
          </w:tcPr>
          <w:p w14:paraId="733CF6EC" w14:textId="77777777" w:rsidR="00E9700E" w:rsidRPr="00176D37" w:rsidRDefault="00E9700E" w:rsidP="009742AB">
            <w:pPr>
              <w:pStyle w:val="Tabletext"/>
              <w:jc w:val="right"/>
            </w:pPr>
            <w:r w:rsidRPr="00176D37">
              <w:t>1 (14%)</w:t>
            </w:r>
          </w:p>
        </w:tc>
        <w:tc>
          <w:tcPr>
            <w:tcW w:w="1053" w:type="dxa"/>
          </w:tcPr>
          <w:p w14:paraId="04D9C18F" w14:textId="77777777" w:rsidR="00E9700E" w:rsidRPr="00176D37" w:rsidRDefault="00E9700E" w:rsidP="009742AB">
            <w:pPr>
              <w:pStyle w:val="Tabletext"/>
              <w:jc w:val="right"/>
            </w:pPr>
            <w:r w:rsidRPr="00176D37">
              <w:t>-</w:t>
            </w:r>
          </w:p>
        </w:tc>
        <w:tc>
          <w:tcPr>
            <w:tcW w:w="1716" w:type="dxa"/>
          </w:tcPr>
          <w:p w14:paraId="30E34E50" w14:textId="77777777" w:rsidR="00E9700E" w:rsidRPr="00176D37" w:rsidRDefault="00E9700E" w:rsidP="009742AB">
            <w:pPr>
              <w:pStyle w:val="Tabletext"/>
              <w:jc w:val="right"/>
            </w:pPr>
            <w:r w:rsidRPr="00176D37">
              <w:t>-</w:t>
            </w:r>
          </w:p>
        </w:tc>
        <w:tc>
          <w:tcPr>
            <w:tcW w:w="958" w:type="dxa"/>
          </w:tcPr>
          <w:p w14:paraId="1B4011DB" w14:textId="77777777" w:rsidR="00E9700E" w:rsidRPr="00176D37" w:rsidRDefault="00E9700E" w:rsidP="009742AB">
            <w:pPr>
              <w:pStyle w:val="Tabletext"/>
              <w:jc w:val="right"/>
            </w:pPr>
            <w:r w:rsidRPr="00176D37">
              <w:t>2 (10%)</w:t>
            </w:r>
          </w:p>
        </w:tc>
        <w:tc>
          <w:tcPr>
            <w:tcW w:w="932" w:type="dxa"/>
          </w:tcPr>
          <w:p w14:paraId="03F9BA48" w14:textId="77777777" w:rsidR="00E9700E" w:rsidRPr="00176D37" w:rsidRDefault="00E9700E" w:rsidP="009742AB">
            <w:pPr>
              <w:pStyle w:val="Tabletext"/>
              <w:jc w:val="right"/>
            </w:pPr>
            <w:r w:rsidRPr="00176D37">
              <w:t>1 (25%)</w:t>
            </w:r>
          </w:p>
        </w:tc>
      </w:tr>
    </w:tbl>
    <w:p w14:paraId="314A7AEA" w14:textId="2FA98307" w:rsidR="00E9700E" w:rsidRPr="00176D37" w:rsidRDefault="00E9700E" w:rsidP="009742AB">
      <w:pPr>
        <w:pStyle w:val="Bodyaftertablefigure"/>
      </w:pPr>
      <w:r w:rsidRPr="00176D37">
        <w:t xml:space="preserve">Other support available included </w:t>
      </w:r>
      <w:r w:rsidRPr="00683C15">
        <w:t>specific</w:t>
      </w:r>
      <w:r w:rsidRPr="00176D37">
        <w:t xml:space="preserve"> EMR help desk support, blood champions and tip sheets. IT in</w:t>
      </w:r>
      <w:r w:rsidR="00B4635A">
        <w:t>-</w:t>
      </w:r>
      <w:r w:rsidRPr="00176D37">
        <w:t>house support and the use of EMR trained super users were highly reported by all groups.</w:t>
      </w:r>
    </w:p>
    <w:p w14:paraId="115A3415" w14:textId="77777777" w:rsidR="00E9700E" w:rsidRPr="00CE1D5A" w:rsidRDefault="00E9700E" w:rsidP="00CE1D5A">
      <w:pPr>
        <w:pStyle w:val="Heading2"/>
      </w:pPr>
      <w:bookmarkStart w:id="422" w:name="_Toc101285727"/>
      <w:bookmarkStart w:id="423" w:name="_Toc101947748"/>
      <w:bookmarkStart w:id="424" w:name="_Toc104975947"/>
      <w:r w:rsidRPr="00CE1D5A">
        <w:t>Accessibility and sufficiency of support</w:t>
      </w:r>
      <w:bookmarkEnd w:id="422"/>
      <w:bookmarkEnd w:id="423"/>
      <w:bookmarkEnd w:id="424"/>
    </w:p>
    <w:p w14:paraId="4C8CD1A2" w14:textId="77777777" w:rsidR="00E9700E" w:rsidRPr="00176D37" w:rsidRDefault="00E9700E" w:rsidP="00CE1D5A">
      <w:pPr>
        <w:pStyle w:val="Body"/>
        <w:rPr>
          <w:shd w:val="clear" w:color="auto" w:fill="FFFFFF"/>
        </w:rPr>
      </w:pPr>
      <w:r w:rsidRPr="00176D37">
        <w:rPr>
          <w:shd w:val="clear" w:color="auto" w:fill="FFFFFF"/>
        </w:rPr>
        <w:t>The survey asked whether the ongoing EMR support is accessible and sufficient. Twenty-six (51 per cent) responded that support is accessible and sufficient, 14 (27 per cent) said support is not accessible and/or sufficient, while 11 (22 per cent) were unsure.</w:t>
      </w:r>
    </w:p>
    <w:p w14:paraId="5153230B" w14:textId="77777777" w:rsidR="00E9700E" w:rsidRPr="00176D37" w:rsidRDefault="00E9700E" w:rsidP="00CE1D5A">
      <w:pPr>
        <w:pStyle w:val="Body"/>
      </w:pPr>
      <w:r w:rsidRPr="00176D37">
        <w:t>The 14 respondents who indicated the ongoing EMR support is not accessible and sufficient, were asked how the support was deficient.</w:t>
      </w:r>
    </w:p>
    <w:p w14:paraId="7D744C1C" w14:textId="50DC45B6" w:rsidR="00E9700E" w:rsidRPr="00176D37" w:rsidRDefault="00E9700E" w:rsidP="00CE1D5A">
      <w:pPr>
        <w:pStyle w:val="Body"/>
      </w:pPr>
      <w:r w:rsidRPr="00176D37">
        <w:t>Three (21 per cent) said their support is not accessible, 12 (86 per cent) said their support is not sufficient and seven (50 per cent) said issues raised are not solved appropriately. Other stated reasons include:</w:t>
      </w:r>
    </w:p>
    <w:p w14:paraId="7198DCAF" w14:textId="2D6B25DE" w:rsidR="00E9700E" w:rsidRPr="00176D37" w:rsidRDefault="00683C15" w:rsidP="00CE1D5A">
      <w:pPr>
        <w:pStyle w:val="Bullet1"/>
      </w:pPr>
      <w:r>
        <w:t>t</w:t>
      </w:r>
      <w:r w:rsidR="00E9700E" w:rsidRPr="00176D37">
        <w:t>here are not enough people</w:t>
      </w:r>
    </w:p>
    <w:p w14:paraId="10571200" w14:textId="02988BD2" w:rsidR="00E9700E" w:rsidRPr="00176D37" w:rsidRDefault="00683C15" w:rsidP="00CE1D5A">
      <w:pPr>
        <w:pStyle w:val="Bullet1"/>
      </w:pPr>
      <w:r>
        <w:t>n</w:t>
      </w:r>
      <w:r w:rsidRPr="00176D37">
        <w:t xml:space="preserve">ot </w:t>
      </w:r>
      <w:r w:rsidR="00E9700E" w:rsidRPr="00176D37">
        <w:t>timely updates/improvements</w:t>
      </w:r>
    </w:p>
    <w:p w14:paraId="775A372E" w14:textId="3138A66C" w:rsidR="00E9700E" w:rsidRPr="00176D37" w:rsidRDefault="00683C15" w:rsidP="00CE1D5A">
      <w:pPr>
        <w:pStyle w:val="Bullet1"/>
      </w:pPr>
      <w:r>
        <w:t>r</w:t>
      </w:r>
      <w:r w:rsidRPr="00176D37">
        <w:t xml:space="preserve">equests </w:t>
      </w:r>
      <w:r w:rsidR="00E9700E" w:rsidRPr="00176D37">
        <w:t>completion times were long.</w:t>
      </w:r>
    </w:p>
    <w:p w14:paraId="36B6BAFD" w14:textId="11AD6E1D" w:rsidR="0063333A" w:rsidRDefault="00E9700E" w:rsidP="009742AB">
      <w:pPr>
        <w:pStyle w:val="Body"/>
        <w:spacing w:before="120"/>
        <w:rPr>
          <w:rFonts w:eastAsia="MS Gothic" w:cs="Arial"/>
          <w:bCs/>
          <w:color w:val="AF272F"/>
          <w:kern w:val="32"/>
          <w:sz w:val="44"/>
          <w:szCs w:val="44"/>
        </w:rPr>
      </w:pPr>
      <w:r w:rsidRPr="00176D37">
        <w:lastRenderedPageBreak/>
        <w:t>EMR support needs to be timely and easily accessed by all. As evidenced by laboratory staff indicating they are receiving calls about EMR problems, it is important staff are aware of where and how to access advice and assistance.</w:t>
      </w:r>
      <w:bookmarkStart w:id="425" w:name="_Toc101285728"/>
      <w:bookmarkStart w:id="426" w:name="_Toc101947749"/>
    </w:p>
    <w:p w14:paraId="55245D60" w14:textId="77777777" w:rsidR="00C92B22" w:rsidRDefault="00C92B22">
      <w:pPr>
        <w:spacing w:after="0" w:line="240" w:lineRule="auto"/>
        <w:rPr>
          <w:rFonts w:eastAsia="MS Gothic" w:cs="Arial"/>
          <w:bCs/>
          <w:color w:val="AF272F"/>
          <w:kern w:val="32"/>
          <w:sz w:val="44"/>
          <w:szCs w:val="44"/>
        </w:rPr>
      </w:pPr>
      <w:r>
        <w:br w:type="page"/>
      </w:r>
    </w:p>
    <w:p w14:paraId="3BFD24FF" w14:textId="2C18F965" w:rsidR="00E9700E" w:rsidRPr="00CE1D5A" w:rsidRDefault="00E9700E" w:rsidP="00CE1D5A">
      <w:pPr>
        <w:pStyle w:val="Heading1"/>
      </w:pPr>
      <w:bookmarkStart w:id="427" w:name="_Toc104975948"/>
      <w:r w:rsidRPr="00CE1D5A">
        <w:lastRenderedPageBreak/>
        <w:t>Aspects of the EMR considered to have worked well</w:t>
      </w:r>
      <w:bookmarkEnd w:id="425"/>
      <w:bookmarkEnd w:id="426"/>
      <w:bookmarkEnd w:id="427"/>
    </w:p>
    <w:p w14:paraId="79812DB0" w14:textId="44DB861B" w:rsidR="00E9700E" w:rsidRPr="00176D37" w:rsidRDefault="00E9700E" w:rsidP="00CE1D5A">
      <w:pPr>
        <w:pStyle w:val="Body"/>
      </w:pPr>
      <w:r w:rsidRPr="00176D37">
        <w:t xml:space="preserve">All respondents with an EMR were asked which aspects of the implementation they considered have worked well, as shown in </w:t>
      </w:r>
      <w:r w:rsidRPr="00176D37">
        <w:fldChar w:fldCharType="begin"/>
      </w:r>
      <w:r w:rsidRPr="00176D37">
        <w:instrText xml:space="preserve"> REF _Ref100682766 \h  \* MERGEFORMAT </w:instrText>
      </w:r>
      <w:r w:rsidRPr="00176D37">
        <w:fldChar w:fldCharType="separate"/>
      </w:r>
      <w:r w:rsidR="00E73E2F" w:rsidRPr="00176D37">
        <w:t xml:space="preserve">Table </w:t>
      </w:r>
      <w:r w:rsidR="00E73E2F">
        <w:rPr>
          <w:noProof/>
        </w:rPr>
        <w:t>54</w:t>
      </w:r>
      <w:r w:rsidRPr="00176D37">
        <w:fldChar w:fldCharType="end"/>
      </w:r>
      <w:r w:rsidRPr="00176D37">
        <w:t xml:space="preserve">. </w:t>
      </w:r>
    </w:p>
    <w:p w14:paraId="6BC2BE15" w14:textId="2F909D7F" w:rsidR="00E9700E" w:rsidRPr="00176D37" w:rsidRDefault="00E9700E" w:rsidP="00CE1D5A">
      <w:pPr>
        <w:pStyle w:val="Tablecaption"/>
      </w:pPr>
      <w:bookmarkStart w:id="428" w:name="_Ref100682766"/>
      <w:r w:rsidRPr="00176D37">
        <w:t xml:space="preserve">Table </w:t>
      </w:r>
      <w:r w:rsidR="00F751A0">
        <w:fldChar w:fldCharType="begin"/>
      </w:r>
      <w:r w:rsidR="00F751A0">
        <w:instrText xml:space="preserve"> SEQ Table \* ARABIC </w:instrText>
      </w:r>
      <w:r w:rsidR="00F751A0">
        <w:fldChar w:fldCharType="separate"/>
      </w:r>
      <w:r w:rsidR="00E73E2F">
        <w:rPr>
          <w:noProof/>
        </w:rPr>
        <w:t>54</w:t>
      </w:r>
      <w:r w:rsidR="00F751A0">
        <w:rPr>
          <w:noProof/>
        </w:rPr>
        <w:fldChar w:fldCharType="end"/>
      </w:r>
      <w:bookmarkEnd w:id="428"/>
      <w:r w:rsidRPr="00176D37">
        <w:t>: Aspects of EMR implementation reported as working well</w:t>
      </w:r>
      <w:r w:rsidRPr="00176D37">
        <w:rPr>
          <w:rStyle w:val="FootnoteReference"/>
          <w:rFonts w:cs="Arial"/>
          <w:sz w:val="22"/>
          <w:szCs w:val="22"/>
        </w:rPr>
        <w:footnoteReference w:id="46"/>
      </w:r>
    </w:p>
    <w:tbl>
      <w:tblPr>
        <w:tblStyle w:val="TableGrid"/>
        <w:tblW w:w="0" w:type="auto"/>
        <w:tblLook w:val="04A0" w:firstRow="1" w:lastRow="0" w:firstColumn="1" w:lastColumn="0" w:noHBand="0" w:noVBand="1"/>
      </w:tblPr>
      <w:tblGrid>
        <w:gridCol w:w="4106"/>
        <w:gridCol w:w="2455"/>
        <w:gridCol w:w="2455"/>
      </w:tblGrid>
      <w:tr w:rsidR="00E9700E" w:rsidRPr="00176D37" w14:paraId="5259013B" w14:textId="77777777" w:rsidTr="003529D2">
        <w:tc>
          <w:tcPr>
            <w:tcW w:w="4106" w:type="dxa"/>
          </w:tcPr>
          <w:p w14:paraId="2903234B" w14:textId="77777777" w:rsidR="00E9700E" w:rsidRPr="00176D37" w:rsidRDefault="00E9700E" w:rsidP="00CE1D5A">
            <w:pPr>
              <w:pStyle w:val="Tablecolhead"/>
            </w:pPr>
            <w:r w:rsidRPr="00176D37">
              <w:t>Aspect</w:t>
            </w:r>
          </w:p>
        </w:tc>
        <w:tc>
          <w:tcPr>
            <w:tcW w:w="2455" w:type="dxa"/>
          </w:tcPr>
          <w:p w14:paraId="786DAADE" w14:textId="77777777" w:rsidR="00E9700E" w:rsidRPr="00176D37" w:rsidRDefault="00E9700E" w:rsidP="00CE1D5A">
            <w:pPr>
              <w:pStyle w:val="Tablecolhead"/>
            </w:pPr>
            <w:r w:rsidRPr="00176D37">
              <w:t xml:space="preserve">Health service count </w:t>
            </w:r>
          </w:p>
          <w:p w14:paraId="2240F073" w14:textId="4565FDF7" w:rsidR="00E9700E" w:rsidRPr="00176D37" w:rsidRDefault="00683C15" w:rsidP="00CE1D5A">
            <w:pPr>
              <w:pStyle w:val="Tablecolhead"/>
            </w:pPr>
            <w:r>
              <w:t xml:space="preserve">n </w:t>
            </w:r>
            <w:r w:rsidR="00E9700E" w:rsidRPr="00176D37">
              <w:t>=</w:t>
            </w:r>
            <w:r>
              <w:t xml:space="preserve"> </w:t>
            </w:r>
            <w:r w:rsidR="00E9700E" w:rsidRPr="00176D37">
              <w:t>20, (%)</w:t>
            </w:r>
          </w:p>
        </w:tc>
        <w:tc>
          <w:tcPr>
            <w:tcW w:w="2455" w:type="dxa"/>
          </w:tcPr>
          <w:p w14:paraId="30553189" w14:textId="77777777" w:rsidR="00E9700E" w:rsidRPr="00176D37" w:rsidRDefault="00E9700E" w:rsidP="00CE1D5A">
            <w:pPr>
              <w:pStyle w:val="Tablecolhead"/>
            </w:pPr>
            <w:r w:rsidRPr="00176D37">
              <w:t xml:space="preserve">Respondent count </w:t>
            </w:r>
          </w:p>
          <w:p w14:paraId="4F5A32BB" w14:textId="74CCC5BE" w:rsidR="00E9700E" w:rsidRPr="00176D37" w:rsidRDefault="00683C15" w:rsidP="00CE1D5A">
            <w:pPr>
              <w:pStyle w:val="Tablecolhead"/>
            </w:pPr>
            <w:r>
              <w:t xml:space="preserve">n </w:t>
            </w:r>
            <w:r w:rsidR="00E9700E" w:rsidRPr="00176D37">
              <w:t>=</w:t>
            </w:r>
            <w:r>
              <w:t xml:space="preserve"> </w:t>
            </w:r>
            <w:r w:rsidR="00E9700E" w:rsidRPr="00176D37">
              <w:t>51, (%)</w:t>
            </w:r>
          </w:p>
        </w:tc>
      </w:tr>
      <w:tr w:rsidR="00E9700E" w:rsidRPr="00176D37" w14:paraId="66140B47" w14:textId="77777777" w:rsidTr="003529D2">
        <w:tc>
          <w:tcPr>
            <w:tcW w:w="4106" w:type="dxa"/>
          </w:tcPr>
          <w:p w14:paraId="3B911158" w14:textId="77777777" w:rsidR="00E9700E" w:rsidRPr="00176D37" w:rsidRDefault="00E9700E" w:rsidP="00CE1D5A">
            <w:pPr>
              <w:pStyle w:val="Tabletext"/>
            </w:pPr>
            <w:r w:rsidRPr="00176D37">
              <w:t>Staff training</w:t>
            </w:r>
          </w:p>
        </w:tc>
        <w:tc>
          <w:tcPr>
            <w:tcW w:w="2455" w:type="dxa"/>
          </w:tcPr>
          <w:p w14:paraId="47533FCD" w14:textId="77777777" w:rsidR="00E9700E" w:rsidRPr="00176D37" w:rsidRDefault="00E9700E" w:rsidP="009742AB">
            <w:pPr>
              <w:pStyle w:val="Tabletext"/>
              <w:jc w:val="right"/>
            </w:pPr>
            <w:r w:rsidRPr="00176D37">
              <w:t>13 (65%)</w:t>
            </w:r>
          </w:p>
        </w:tc>
        <w:tc>
          <w:tcPr>
            <w:tcW w:w="2455" w:type="dxa"/>
          </w:tcPr>
          <w:p w14:paraId="5FC3655A" w14:textId="77777777" w:rsidR="00E9700E" w:rsidRPr="00176D37" w:rsidRDefault="00E9700E" w:rsidP="009742AB">
            <w:pPr>
              <w:pStyle w:val="Tabletext"/>
              <w:jc w:val="right"/>
            </w:pPr>
            <w:r w:rsidRPr="00176D37">
              <w:t>22 (43%)</w:t>
            </w:r>
          </w:p>
        </w:tc>
      </w:tr>
      <w:tr w:rsidR="00E9700E" w:rsidRPr="00176D37" w14:paraId="5EC0A4FE" w14:textId="77777777" w:rsidTr="003529D2">
        <w:tc>
          <w:tcPr>
            <w:tcW w:w="4106" w:type="dxa"/>
          </w:tcPr>
          <w:p w14:paraId="2A019DFA" w14:textId="77777777" w:rsidR="00E9700E" w:rsidRPr="00176D37" w:rsidRDefault="00E9700E" w:rsidP="00CE1D5A">
            <w:pPr>
              <w:pStyle w:val="Tabletext"/>
            </w:pPr>
            <w:r w:rsidRPr="00176D37">
              <w:t>Super users to support staff become familiar with the system</w:t>
            </w:r>
          </w:p>
        </w:tc>
        <w:tc>
          <w:tcPr>
            <w:tcW w:w="2455" w:type="dxa"/>
          </w:tcPr>
          <w:p w14:paraId="1B164AFA" w14:textId="77777777" w:rsidR="00E9700E" w:rsidRPr="00176D37" w:rsidRDefault="00E9700E" w:rsidP="009742AB">
            <w:pPr>
              <w:pStyle w:val="Tabletext"/>
              <w:jc w:val="right"/>
            </w:pPr>
            <w:r w:rsidRPr="00176D37">
              <w:t>16 (80%)</w:t>
            </w:r>
          </w:p>
        </w:tc>
        <w:tc>
          <w:tcPr>
            <w:tcW w:w="2455" w:type="dxa"/>
          </w:tcPr>
          <w:p w14:paraId="4147136A" w14:textId="77777777" w:rsidR="00E9700E" w:rsidRPr="00176D37" w:rsidRDefault="00E9700E" w:rsidP="009742AB">
            <w:pPr>
              <w:pStyle w:val="Tabletext"/>
              <w:jc w:val="right"/>
            </w:pPr>
            <w:r w:rsidRPr="00176D37">
              <w:t>30 (59%)</w:t>
            </w:r>
          </w:p>
        </w:tc>
      </w:tr>
      <w:tr w:rsidR="00E9700E" w:rsidRPr="00176D37" w14:paraId="7EC4FB79" w14:textId="77777777" w:rsidTr="003529D2">
        <w:tc>
          <w:tcPr>
            <w:tcW w:w="4106" w:type="dxa"/>
          </w:tcPr>
          <w:p w14:paraId="1F869C29" w14:textId="77777777" w:rsidR="00E9700E" w:rsidRPr="00176D37" w:rsidRDefault="00E9700E" w:rsidP="00CE1D5A">
            <w:pPr>
              <w:pStyle w:val="Tabletext"/>
            </w:pPr>
            <w:r w:rsidRPr="00176D37">
              <w:t>A long lead time from planning to go-live of EMR</w:t>
            </w:r>
          </w:p>
        </w:tc>
        <w:tc>
          <w:tcPr>
            <w:tcW w:w="2455" w:type="dxa"/>
          </w:tcPr>
          <w:p w14:paraId="0A219C5A" w14:textId="77777777" w:rsidR="00E9700E" w:rsidRPr="00176D37" w:rsidRDefault="00E9700E" w:rsidP="009742AB">
            <w:pPr>
              <w:pStyle w:val="Tabletext"/>
              <w:jc w:val="right"/>
            </w:pPr>
            <w:r w:rsidRPr="00176D37">
              <w:t>10 (50%)</w:t>
            </w:r>
          </w:p>
        </w:tc>
        <w:tc>
          <w:tcPr>
            <w:tcW w:w="2455" w:type="dxa"/>
          </w:tcPr>
          <w:p w14:paraId="4677D8CD" w14:textId="77777777" w:rsidR="00E9700E" w:rsidRPr="00176D37" w:rsidRDefault="00E9700E" w:rsidP="009742AB">
            <w:pPr>
              <w:pStyle w:val="Tabletext"/>
              <w:jc w:val="right"/>
            </w:pPr>
            <w:r w:rsidRPr="00176D37">
              <w:t>19 (37%)</w:t>
            </w:r>
          </w:p>
        </w:tc>
      </w:tr>
      <w:tr w:rsidR="00E9700E" w:rsidRPr="00176D37" w14:paraId="37F156F3" w14:textId="77777777" w:rsidTr="003529D2">
        <w:tc>
          <w:tcPr>
            <w:tcW w:w="4106" w:type="dxa"/>
          </w:tcPr>
          <w:p w14:paraId="65F04A57" w14:textId="77777777" w:rsidR="00E9700E" w:rsidRPr="00176D37" w:rsidRDefault="00E9700E" w:rsidP="00CE1D5A">
            <w:pPr>
              <w:pStyle w:val="Tabletext"/>
            </w:pPr>
            <w:r w:rsidRPr="00176D37">
              <w:t>Clinical staff participation in development of content</w:t>
            </w:r>
          </w:p>
        </w:tc>
        <w:tc>
          <w:tcPr>
            <w:tcW w:w="2455" w:type="dxa"/>
          </w:tcPr>
          <w:p w14:paraId="4E60CF56" w14:textId="77777777" w:rsidR="00E9700E" w:rsidRPr="00176D37" w:rsidRDefault="00E9700E" w:rsidP="009742AB">
            <w:pPr>
              <w:pStyle w:val="Tabletext"/>
              <w:jc w:val="right"/>
            </w:pPr>
            <w:r w:rsidRPr="00176D37">
              <w:t>11 (55%)</w:t>
            </w:r>
          </w:p>
        </w:tc>
        <w:tc>
          <w:tcPr>
            <w:tcW w:w="2455" w:type="dxa"/>
          </w:tcPr>
          <w:p w14:paraId="72FEE703" w14:textId="77777777" w:rsidR="00E9700E" w:rsidRPr="00176D37" w:rsidRDefault="00E9700E" w:rsidP="009742AB">
            <w:pPr>
              <w:pStyle w:val="Tabletext"/>
              <w:jc w:val="right"/>
            </w:pPr>
            <w:r w:rsidRPr="00176D37">
              <w:t>18 (35%)</w:t>
            </w:r>
          </w:p>
        </w:tc>
      </w:tr>
      <w:tr w:rsidR="00E9700E" w:rsidRPr="00176D37" w14:paraId="59EC54F8" w14:textId="77777777" w:rsidTr="003529D2">
        <w:tc>
          <w:tcPr>
            <w:tcW w:w="4106" w:type="dxa"/>
          </w:tcPr>
          <w:p w14:paraId="40A181AB" w14:textId="77777777" w:rsidR="00E9700E" w:rsidRPr="00176D37" w:rsidRDefault="00E9700E" w:rsidP="00CE1D5A">
            <w:pPr>
              <w:pStyle w:val="Tabletext"/>
            </w:pPr>
            <w:r w:rsidRPr="00176D37">
              <w:t>Multidisciplinary team involved in content development</w:t>
            </w:r>
          </w:p>
        </w:tc>
        <w:tc>
          <w:tcPr>
            <w:tcW w:w="2455" w:type="dxa"/>
          </w:tcPr>
          <w:p w14:paraId="0EF84B59" w14:textId="77777777" w:rsidR="00E9700E" w:rsidRPr="00176D37" w:rsidRDefault="00E9700E" w:rsidP="009742AB">
            <w:pPr>
              <w:pStyle w:val="Tabletext"/>
              <w:jc w:val="right"/>
            </w:pPr>
            <w:r w:rsidRPr="00176D37">
              <w:t>10 (50%)</w:t>
            </w:r>
          </w:p>
        </w:tc>
        <w:tc>
          <w:tcPr>
            <w:tcW w:w="2455" w:type="dxa"/>
          </w:tcPr>
          <w:p w14:paraId="666F6115" w14:textId="77777777" w:rsidR="00E9700E" w:rsidRPr="00176D37" w:rsidRDefault="00E9700E" w:rsidP="009742AB">
            <w:pPr>
              <w:pStyle w:val="Tabletext"/>
              <w:jc w:val="right"/>
            </w:pPr>
            <w:r w:rsidRPr="00176D37">
              <w:t>23 (45%)</w:t>
            </w:r>
          </w:p>
        </w:tc>
      </w:tr>
      <w:tr w:rsidR="00E9700E" w:rsidRPr="00176D37" w14:paraId="18F90E55" w14:textId="77777777" w:rsidTr="003529D2">
        <w:tc>
          <w:tcPr>
            <w:tcW w:w="4106" w:type="dxa"/>
          </w:tcPr>
          <w:p w14:paraId="5A848EFA" w14:textId="77777777" w:rsidR="00E9700E" w:rsidRPr="00176D37" w:rsidRDefault="00E9700E" w:rsidP="00CE1D5A">
            <w:pPr>
              <w:pStyle w:val="Tabletext"/>
            </w:pPr>
            <w:r w:rsidRPr="00176D37">
              <w:t>Easy to use/simple clinical interface</w:t>
            </w:r>
          </w:p>
        </w:tc>
        <w:tc>
          <w:tcPr>
            <w:tcW w:w="2455" w:type="dxa"/>
          </w:tcPr>
          <w:p w14:paraId="2A6DE157" w14:textId="77777777" w:rsidR="00E9700E" w:rsidRPr="00176D37" w:rsidRDefault="00E9700E" w:rsidP="009742AB">
            <w:pPr>
              <w:pStyle w:val="Tabletext"/>
              <w:jc w:val="right"/>
            </w:pPr>
            <w:r w:rsidRPr="00176D37">
              <w:t>9 (45%)</w:t>
            </w:r>
          </w:p>
        </w:tc>
        <w:tc>
          <w:tcPr>
            <w:tcW w:w="2455" w:type="dxa"/>
          </w:tcPr>
          <w:p w14:paraId="546A9C3F" w14:textId="77777777" w:rsidR="00E9700E" w:rsidRPr="00176D37" w:rsidRDefault="00E9700E" w:rsidP="009742AB">
            <w:pPr>
              <w:pStyle w:val="Tabletext"/>
              <w:jc w:val="right"/>
            </w:pPr>
            <w:r w:rsidRPr="00176D37">
              <w:t>13 (25%)</w:t>
            </w:r>
          </w:p>
        </w:tc>
      </w:tr>
      <w:tr w:rsidR="00E9700E" w:rsidRPr="00176D37" w14:paraId="7B0393C8" w14:textId="77777777" w:rsidTr="003529D2">
        <w:tc>
          <w:tcPr>
            <w:tcW w:w="4106" w:type="dxa"/>
          </w:tcPr>
          <w:p w14:paraId="25A78682" w14:textId="77777777" w:rsidR="00E9700E" w:rsidRPr="00176D37" w:rsidRDefault="00E9700E" w:rsidP="00CE1D5A">
            <w:pPr>
              <w:pStyle w:val="Tabletext"/>
            </w:pPr>
            <w:r w:rsidRPr="00176D37">
              <w:t>Enough equipment at the patient bedside</w:t>
            </w:r>
          </w:p>
        </w:tc>
        <w:tc>
          <w:tcPr>
            <w:tcW w:w="2455" w:type="dxa"/>
          </w:tcPr>
          <w:p w14:paraId="26DFE279" w14:textId="77777777" w:rsidR="00E9700E" w:rsidRPr="00176D37" w:rsidRDefault="00E9700E" w:rsidP="009742AB">
            <w:pPr>
              <w:pStyle w:val="Tabletext"/>
              <w:jc w:val="right"/>
            </w:pPr>
            <w:r w:rsidRPr="00176D37">
              <w:t>11 (55%)</w:t>
            </w:r>
          </w:p>
        </w:tc>
        <w:tc>
          <w:tcPr>
            <w:tcW w:w="2455" w:type="dxa"/>
          </w:tcPr>
          <w:p w14:paraId="76000D1A" w14:textId="77777777" w:rsidR="00E9700E" w:rsidRPr="00176D37" w:rsidRDefault="00E9700E" w:rsidP="009742AB">
            <w:pPr>
              <w:pStyle w:val="Tabletext"/>
              <w:jc w:val="right"/>
            </w:pPr>
            <w:r w:rsidRPr="00176D37">
              <w:t>18 (35%)</w:t>
            </w:r>
          </w:p>
        </w:tc>
      </w:tr>
      <w:tr w:rsidR="00E9700E" w:rsidRPr="00176D37" w14:paraId="6EA2AC03" w14:textId="77777777" w:rsidTr="003529D2">
        <w:tc>
          <w:tcPr>
            <w:tcW w:w="4106" w:type="dxa"/>
          </w:tcPr>
          <w:p w14:paraId="53494AE1" w14:textId="77777777" w:rsidR="00E9700E" w:rsidRPr="00176D37" w:rsidRDefault="00E9700E" w:rsidP="00CE1D5A">
            <w:pPr>
              <w:pStyle w:val="Tabletext"/>
            </w:pPr>
            <w:r w:rsidRPr="00176D37">
              <w:t>Unsure</w:t>
            </w:r>
          </w:p>
        </w:tc>
        <w:tc>
          <w:tcPr>
            <w:tcW w:w="2455" w:type="dxa"/>
          </w:tcPr>
          <w:p w14:paraId="3DCA70E1" w14:textId="77777777" w:rsidR="00E9700E" w:rsidRPr="00176D37" w:rsidRDefault="00E9700E" w:rsidP="009742AB">
            <w:pPr>
              <w:pStyle w:val="Tabletext"/>
              <w:jc w:val="right"/>
            </w:pPr>
            <w:r w:rsidRPr="00176D37">
              <w:t>6 (30%)</w:t>
            </w:r>
          </w:p>
        </w:tc>
        <w:tc>
          <w:tcPr>
            <w:tcW w:w="2455" w:type="dxa"/>
          </w:tcPr>
          <w:p w14:paraId="1A594B19" w14:textId="77777777" w:rsidR="00E9700E" w:rsidRPr="00176D37" w:rsidRDefault="00E9700E" w:rsidP="009742AB">
            <w:pPr>
              <w:pStyle w:val="Tabletext"/>
              <w:jc w:val="right"/>
            </w:pPr>
            <w:r w:rsidRPr="00176D37">
              <w:t>7 (14%)</w:t>
            </w:r>
          </w:p>
        </w:tc>
      </w:tr>
    </w:tbl>
    <w:p w14:paraId="4C9253FC" w14:textId="7D1DB2C8" w:rsidR="00E9700E" w:rsidRPr="00176D37" w:rsidRDefault="00E9700E" w:rsidP="009742AB">
      <w:pPr>
        <w:pStyle w:val="Bodyaftertablefigure"/>
        <w:rPr>
          <w:rFonts w:eastAsiaTheme="majorEastAsia" w:cs="Arial"/>
          <w:color w:val="365F91" w:themeColor="accent1" w:themeShade="BF"/>
          <w:sz w:val="32"/>
          <w:szCs w:val="32"/>
        </w:rPr>
      </w:pPr>
      <w:r w:rsidRPr="00176D37">
        <w:t xml:space="preserve">The availability of super users to support staff to become familiar with the system is the single most common factor which was considered to have worked well with EMR implementation, followed by staff training. Having clinical staff </w:t>
      </w:r>
      <w:r w:rsidRPr="00683C15">
        <w:t>participation</w:t>
      </w:r>
      <w:r w:rsidRPr="00176D37">
        <w:t xml:space="preserve"> in development of content ranked highly along with having enough equipment available.</w:t>
      </w:r>
    </w:p>
    <w:p w14:paraId="60F1F2C7" w14:textId="77777777" w:rsidR="00C92B22" w:rsidRDefault="00C92B22">
      <w:pPr>
        <w:spacing w:after="0" w:line="240" w:lineRule="auto"/>
        <w:rPr>
          <w:rFonts w:eastAsia="MS Gothic" w:cs="Arial"/>
          <w:bCs/>
          <w:color w:val="AF272F"/>
          <w:kern w:val="32"/>
          <w:sz w:val="44"/>
          <w:szCs w:val="44"/>
        </w:rPr>
      </w:pPr>
      <w:bookmarkStart w:id="429" w:name="_Toc101285729"/>
      <w:bookmarkStart w:id="430" w:name="_Toc101947750"/>
      <w:r>
        <w:br w:type="page"/>
      </w:r>
    </w:p>
    <w:p w14:paraId="24ACBA33" w14:textId="127656F0" w:rsidR="00E9700E" w:rsidRPr="00C645E1" w:rsidRDefault="00E9700E" w:rsidP="00C645E1">
      <w:pPr>
        <w:pStyle w:val="Heading1"/>
      </w:pPr>
      <w:bookmarkStart w:id="431" w:name="_Toc104975949"/>
      <w:r w:rsidRPr="00C645E1">
        <w:lastRenderedPageBreak/>
        <w:t>Suggested improvements to EMR currently in use</w:t>
      </w:r>
      <w:bookmarkEnd w:id="429"/>
      <w:bookmarkEnd w:id="430"/>
      <w:bookmarkEnd w:id="431"/>
    </w:p>
    <w:p w14:paraId="116FED3A" w14:textId="0D800544" w:rsidR="00E9700E" w:rsidRPr="00176D37" w:rsidRDefault="00E9700E" w:rsidP="00C645E1">
      <w:pPr>
        <w:pStyle w:val="Body"/>
        <w:rPr>
          <w:shd w:val="clear" w:color="auto" w:fill="FFFFFF"/>
        </w:rPr>
      </w:pPr>
      <w:r w:rsidRPr="00176D37">
        <w:rPr>
          <w:shd w:val="clear" w:color="auto" w:fill="FFFFFF"/>
        </w:rPr>
        <w:t>All respondents were asked what could be improved in the system you currently use, there were 41 responses to this question (</w:t>
      </w:r>
      <w:r w:rsidRPr="00176D37">
        <w:rPr>
          <w:shd w:val="clear" w:color="auto" w:fill="FFFFFF"/>
        </w:rPr>
        <w:fldChar w:fldCharType="begin"/>
      </w:r>
      <w:r w:rsidRPr="00176D37">
        <w:rPr>
          <w:shd w:val="clear" w:color="auto" w:fill="FFFFFF"/>
        </w:rPr>
        <w:instrText xml:space="preserve"> REF _Ref100682826 \h  \* MERGEFORMAT </w:instrText>
      </w:r>
      <w:r w:rsidRPr="00176D37">
        <w:rPr>
          <w:shd w:val="clear" w:color="auto" w:fill="FFFFFF"/>
        </w:rPr>
      </w:r>
      <w:r w:rsidRPr="00176D37">
        <w:rPr>
          <w:shd w:val="clear" w:color="auto" w:fill="FFFFFF"/>
        </w:rPr>
        <w:fldChar w:fldCharType="separate"/>
      </w:r>
      <w:r w:rsidR="00E73E2F" w:rsidRPr="00176D37">
        <w:t xml:space="preserve">Table </w:t>
      </w:r>
      <w:r w:rsidR="00E73E2F">
        <w:rPr>
          <w:noProof/>
        </w:rPr>
        <w:t>55</w:t>
      </w:r>
      <w:r w:rsidRPr="00176D37">
        <w:rPr>
          <w:shd w:val="clear" w:color="auto" w:fill="FFFFFF"/>
        </w:rPr>
        <w:fldChar w:fldCharType="end"/>
      </w:r>
      <w:r w:rsidRPr="00176D37">
        <w:rPr>
          <w:shd w:val="clear" w:color="auto" w:fill="FFFFFF"/>
        </w:rPr>
        <w:t xml:space="preserve">). </w:t>
      </w:r>
    </w:p>
    <w:p w14:paraId="0DEC947A" w14:textId="07C6AB88" w:rsidR="00E9700E" w:rsidRPr="00176D37" w:rsidRDefault="00E9700E" w:rsidP="00C645E1">
      <w:pPr>
        <w:pStyle w:val="Tablecaption"/>
        <w:rPr>
          <w:shd w:val="clear" w:color="auto" w:fill="FFFFFF"/>
        </w:rPr>
      </w:pPr>
      <w:bookmarkStart w:id="432" w:name="_Ref100682826"/>
      <w:r w:rsidRPr="00176D37">
        <w:t xml:space="preserve">Table </w:t>
      </w:r>
      <w:r w:rsidR="00F751A0">
        <w:fldChar w:fldCharType="begin"/>
      </w:r>
      <w:r w:rsidR="00F751A0">
        <w:instrText xml:space="preserve"> SEQ Table \* ARABIC </w:instrText>
      </w:r>
      <w:r w:rsidR="00F751A0">
        <w:fldChar w:fldCharType="separate"/>
      </w:r>
      <w:r w:rsidR="00E73E2F">
        <w:rPr>
          <w:noProof/>
        </w:rPr>
        <w:t>55</w:t>
      </w:r>
      <w:r w:rsidR="00F751A0">
        <w:rPr>
          <w:noProof/>
        </w:rPr>
        <w:fldChar w:fldCharType="end"/>
      </w:r>
      <w:bookmarkEnd w:id="432"/>
      <w:r w:rsidRPr="00176D37">
        <w:t>: Suggested improvements to EMRs currently in use (n</w:t>
      </w:r>
      <w:r w:rsidR="00683C15">
        <w:t xml:space="preserve"> </w:t>
      </w:r>
      <w:r w:rsidRPr="00176D37">
        <w:t>=</w:t>
      </w:r>
      <w:r w:rsidR="00683C15">
        <w:t xml:space="preserve"> </w:t>
      </w:r>
      <w:r w:rsidRPr="00176D37">
        <w:t>41)</w:t>
      </w:r>
    </w:p>
    <w:tbl>
      <w:tblPr>
        <w:tblStyle w:val="TableGrid"/>
        <w:tblW w:w="5000" w:type="pct"/>
        <w:tblLayout w:type="fixed"/>
        <w:tblLook w:val="04A0" w:firstRow="1" w:lastRow="0" w:firstColumn="1" w:lastColumn="0" w:noHBand="0" w:noVBand="1"/>
      </w:tblPr>
      <w:tblGrid>
        <w:gridCol w:w="1413"/>
        <w:gridCol w:w="1111"/>
        <w:gridCol w:w="968"/>
        <w:gridCol w:w="897"/>
        <w:gridCol w:w="994"/>
        <w:gridCol w:w="1011"/>
        <w:gridCol w:w="968"/>
        <w:gridCol w:w="966"/>
        <w:gridCol w:w="960"/>
      </w:tblGrid>
      <w:tr w:rsidR="00E00070" w:rsidRPr="00176D37" w14:paraId="66124844" w14:textId="77777777" w:rsidTr="00F751A0">
        <w:trPr>
          <w:trHeight w:val="766"/>
        </w:trPr>
        <w:tc>
          <w:tcPr>
            <w:tcW w:w="761" w:type="pct"/>
          </w:tcPr>
          <w:p w14:paraId="4808CDF5" w14:textId="77777777" w:rsidR="00E9700E" w:rsidRPr="00176D37" w:rsidRDefault="00E9700E" w:rsidP="00C645E1">
            <w:pPr>
              <w:pStyle w:val="Tablecolhead"/>
            </w:pPr>
            <w:r w:rsidRPr="00176D37">
              <w:t>Support type</w:t>
            </w:r>
          </w:p>
        </w:tc>
        <w:tc>
          <w:tcPr>
            <w:tcW w:w="598" w:type="pct"/>
          </w:tcPr>
          <w:p w14:paraId="14D20E57" w14:textId="5297FE7E" w:rsidR="00E9700E" w:rsidRPr="00176D37" w:rsidRDefault="00E9700E" w:rsidP="00C645E1">
            <w:pPr>
              <w:pStyle w:val="Tablecolhead"/>
            </w:pPr>
            <w:r w:rsidRPr="00176D37">
              <w:t>Clinical nursing n</w:t>
            </w:r>
            <w:r w:rsidR="00683C15">
              <w:t xml:space="preserve"> </w:t>
            </w:r>
            <w:r w:rsidRPr="00176D37">
              <w:t>=</w:t>
            </w:r>
            <w:r w:rsidR="00683C15">
              <w:t xml:space="preserve"> </w:t>
            </w:r>
            <w:r w:rsidRPr="00176D37">
              <w:t>4, (%)</w:t>
            </w:r>
          </w:p>
        </w:tc>
        <w:tc>
          <w:tcPr>
            <w:tcW w:w="521" w:type="pct"/>
          </w:tcPr>
          <w:p w14:paraId="597CED61" w14:textId="77777777" w:rsidR="00E9700E" w:rsidRPr="00176D37" w:rsidRDefault="00E9700E" w:rsidP="00C645E1">
            <w:pPr>
              <w:pStyle w:val="Tablecolhead"/>
            </w:pPr>
            <w:r w:rsidRPr="00176D37">
              <w:t>Executive</w:t>
            </w:r>
          </w:p>
          <w:p w14:paraId="28AB90E9" w14:textId="77609A2A" w:rsidR="00E9700E" w:rsidRPr="00176D37" w:rsidRDefault="00683C15" w:rsidP="00C645E1">
            <w:pPr>
              <w:pStyle w:val="Tablecolhead"/>
            </w:pPr>
            <w:r>
              <w:t xml:space="preserve">n </w:t>
            </w:r>
            <w:r w:rsidR="00E9700E" w:rsidRPr="00176D37">
              <w:t>=</w:t>
            </w:r>
            <w:r>
              <w:t xml:space="preserve"> </w:t>
            </w:r>
            <w:r w:rsidR="00E9700E" w:rsidRPr="00176D37">
              <w:t>5, (%)</w:t>
            </w:r>
          </w:p>
        </w:tc>
        <w:tc>
          <w:tcPr>
            <w:tcW w:w="483" w:type="pct"/>
          </w:tcPr>
          <w:p w14:paraId="58E2F8FC" w14:textId="77777777" w:rsidR="00E9700E" w:rsidRPr="00176D37" w:rsidRDefault="00E9700E" w:rsidP="00C645E1">
            <w:pPr>
              <w:pStyle w:val="Tablecolhead"/>
            </w:pPr>
            <w:r w:rsidRPr="00176D37">
              <w:t>Laboratory</w:t>
            </w:r>
          </w:p>
          <w:p w14:paraId="1676BA2F" w14:textId="500732AB" w:rsidR="00E9700E" w:rsidRPr="00176D37" w:rsidRDefault="00683C15" w:rsidP="00C645E1">
            <w:pPr>
              <w:pStyle w:val="Tablecolhead"/>
            </w:pPr>
            <w:r>
              <w:t xml:space="preserve">n </w:t>
            </w:r>
            <w:r w:rsidR="00E9700E" w:rsidRPr="00176D37">
              <w:t>=</w:t>
            </w:r>
            <w:r>
              <w:t xml:space="preserve"> </w:t>
            </w:r>
            <w:r w:rsidR="00E9700E" w:rsidRPr="00176D37">
              <w:t>6, (%)</w:t>
            </w:r>
          </w:p>
        </w:tc>
        <w:tc>
          <w:tcPr>
            <w:tcW w:w="535" w:type="pct"/>
          </w:tcPr>
          <w:p w14:paraId="63D1605C" w14:textId="77777777" w:rsidR="00E9700E" w:rsidRPr="00176D37" w:rsidRDefault="00E9700E" w:rsidP="00C645E1">
            <w:pPr>
              <w:pStyle w:val="Tablecolhead"/>
            </w:pPr>
            <w:r w:rsidRPr="00176D37">
              <w:t>Medical</w:t>
            </w:r>
          </w:p>
          <w:p w14:paraId="726A879B" w14:textId="3F2FBC3D" w:rsidR="00E9700E" w:rsidRPr="00176D37" w:rsidRDefault="00683C15" w:rsidP="00C645E1">
            <w:pPr>
              <w:pStyle w:val="Tablecolhead"/>
            </w:pPr>
            <w:r>
              <w:t xml:space="preserve">n </w:t>
            </w:r>
            <w:r w:rsidR="00E9700E" w:rsidRPr="00176D37">
              <w:t>=</w:t>
            </w:r>
            <w:r>
              <w:t xml:space="preserve"> </w:t>
            </w:r>
            <w:r w:rsidR="00E9700E" w:rsidRPr="00176D37">
              <w:t>5, (%)</w:t>
            </w:r>
          </w:p>
        </w:tc>
        <w:tc>
          <w:tcPr>
            <w:tcW w:w="544" w:type="pct"/>
          </w:tcPr>
          <w:p w14:paraId="7BE12B82" w14:textId="77777777" w:rsidR="00E9700E" w:rsidRPr="00176D37" w:rsidRDefault="00E9700E" w:rsidP="00C645E1">
            <w:pPr>
              <w:pStyle w:val="Tablecolhead"/>
            </w:pPr>
            <w:r w:rsidRPr="00176D37">
              <w:t>Organisational IT</w:t>
            </w:r>
          </w:p>
          <w:p w14:paraId="084F1124" w14:textId="2F59372D" w:rsidR="00E9700E" w:rsidRPr="00176D37" w:rsidRDefault="00F751A0" w:rsidP="00C645E1">
            <w:pPr>
              <w:pStyle w:val="Tablecolhead"/>
            </w:pPr>
            <w:r>
              <w:t xml:space="preserve">n = </w:t>
            </w:r>
            <w:r w:rsidR="00E9700E" w:rsidRPr="00176D37">
              <w:t>3, (%)</w:t>
            </w:r>
          </w:p>
        </w:tc>
        <w:tc>
          <w:tcPr>
            <w:tcW w:w="521" w:type="pct"/>
          </w:tcPr>
          <w:p w14:paraId="5C514FBE" w14:textId="77777777" w:rsidR="00E9700E" w:rsidRPr="00176D37" w:rsidRDefault="00E9700E" w:rsidP="00C645E1">
            <w:pPr>
              <w:pStyle w:val="Tablecolhead"/>
            </w:pPr>
            <w:r w:rsidRPr="00176D37">
              <w:t>Quality</w:t>
            </w:r>
          </w:p>
          <w:p w14:paraId="366D18AC" w14:textId="25553C24" w:rsidR="00E9700E" w:rsidRPr="00176D37" w:rsidRDefault="00683C15" w:rsidP="00C645E1">
            <w:pPr>
              <w:pStyle w:val="Tablecolhead"/>
            </w:pPr>
            <w:r>
              <w:t xml:space="preserve">n </w:t>
            </w:r>
            <w:r w:rsidR="00E9700E" w:rsidRPr="00176D37">
              <w:t>=</w:t>
            </w:r>
            <w:r>
              <w:t xml:space="preserve"> </w:t>
            </w:r>
            <w:r w:rsidR="00E9700E" w:rsidRPr="00176D37">
              <w:t>15, (%)</w:t>
            </w:r>
          </w:p>
        </w:tc>
        <w:tc>
          <w:tcPr>
            <w:tcW w:w="520" w:type="pct"/>
          </w:tcPr>
          <w:p w14:paraId="12584080" w14:textId="77777777" w:rsidR="00E9700E" w:rsidRPr="00176D37" w:rsidRDefault="00E9700E" w:rsidP="00C645E1">
            <w:pPr>
              <w:pStyle w:val="Tablecolhead"/>
            </w:pPr>
            <w:r w:rsidRPr="00176D37">
              <w:t>Other</w:t>
            </w:r>
            <w:r w:rsidRPr="00176D37">
              <w:rPr>
                <w:rStyle w:val="FootnoteReference"/>
                <w:rFonts w:cs="Arial"/>
              </w:rPr>
              <w:footnoteReference w:id="47"/>
            </w:r>
          </w:p>
          <w:p w14:paraId="5EAF22F3" w14:textId="51F0EB99" w:rsidR="00E9700E" w:rsidRPr="00176D37" w:rsidRDefault="00683C15" w:rsidP="00C645E1">
            <w:pPr>
              <w:pStyle w:val="Tablecolhead"/>
            </w:pPr>
            <w:r>
              <w:t xml:space="preserve">n </w:t>
            </w:r>
            <w:r w:rsidR="00E9700E" w:rsidRPr="00176D37">
              <w:t>=</w:t>
            </w:r>
            <w:r>
              <w:t xml:space="preserve"> </w:t>
            </w:r>
            <w:r w:rsidR="00E9700E" w:rsidRPr="00176D37">
              <w:t>4, (%)</w:t>
            </w:r>
          </w:p>
        </w:tc>
        <w:tc>
          <w:tcPr>
            <w:tcW w:w="518" w:type="pct"/>
          </w:tcPr>
          <w:p w14:paraId="7FDCA3CF" w14:textId="77777777" w:rsidR="00E9700E" w:rsidRPr="00176D37" w:rsidRDefault="00E9700E" w:rsidP="00C645E1">
            <w:pPr>
              <w:pStyle w:val="Tablecolhead"/>
            </w:pPr>
            <w:r w:rsidRPr="00176D37">
              <w:t>Total</w:t>
            </w:r>
          </w:p>
          <w:p w14:paraId="4E852CBE" w14:textId="228B211A" w:rsidR="00E9700E" w:rsidRPr="00176D37" w:rsidRDefault="00683C15" w:rsidP="00C645E1">
            <w:pPr>
              <w:pStyle w:val="Tablecolhead"/>
            </w:pPr>
            <w:r>
              <w:t xml:space="preserve">n </w:t>
            </w:r>
            <w:r w:rsidR="00E9700E" w:rsidRPr="00176D37">
              <w:t>=</w:t>
            </w:r>
            <w:r>
              <w:t xml:space="preserve"> </w:t>
            </w:r>
            <w:r w:rsidR="00E9700E" w:rsidRPr="00176D37">
              <w:t>41, (%)</w:t>
            </w:r>
          </w:p>
        </w:tc>
      </w:tr>
      <w:tr w:rsidR="00E00070" w:rsidRPr="00176D37" w14:paraId="6F92D1F0" w14:textId="77777777" w:rsidTr="00F751A0">
        <w:trPr>
          <w:trHeight w:val="255"/>
        </w:trPr>
        <w:tc>
          <w:tcPr>
            <w:tcW w:w="761" w:type="pct"/>
          </w:tcPr>
          <w:p w14:paraId="666B5156" w14:textId="77777777" w:rsidR="00E9700E" w:rsidRPr="00176D37" w:rsidRDefault="00E9700E" w:rsidP="00C645E1">
            <w:pPr>
              <w:pStyle w:val="Tabletext"/>
            </w:pPr>
            <w:r w:rsidRPr="00176D37">
              <w:rPr>
                <w:shd w:val="clear" w:color="auto" w:fill="FFFFFF"/>
              </w:rPr>
              <w:t>More mobile computers</w:t>
            </w:r>
          </w:p>
        </w:tc>
        <w:tc>
          <w:tcPr>
            <w:tcW w:w="598" w:type="pct"/>
          </w:tcPr>
          <w:p w14:paraId="3E1C3B04" w14:textId="77777777" w:rsidR="00E9700E" w:rsidRPr="00176D37" w:rsidRDefault="00E9700E" w:rsidP="009742AB">
            <w:pPr>
              <w:pStyle w:val="Tabletext"/>
              <w:jc w:val="right"/>
            </w:pPr>
            <w:r w:rsidRPr="00176D37">
              <w:t>-</w:t>
            </w:r>
          </w:p>
        </w:tc>
        <w:tc>
          <w:tcPr>
            <w:tcW w:w="521" w:type="pct"/>
          </w:tcPr>
          <w:p w14:paraId="5C10DC12" w14:textId="77777777" w:rsidR="00E9700E" w:rsidRPr="00176D37" w:rsidRDefault="00E9700E" w:rsidP="009742AB">
            <w:pPr>
              <w:pStyle w:val="Tabletext"/>
              <w:jc w:val="right"/>
            </w:pPr>
            <w:r w:rsidRPr="00176D37">
              <w:t>1 (20%)</w:t>
            </w:r>
          </w:p>
        </w:tc>
        <w:tc>
          <w:tcPr>
            <w:tcW w:w="483" w:type="pct"/>
          </w:tcPr>
          <w:p w14:paraId="0DD793A8" w14:textId="77777777" w:rsidR="00E9700E" w:rsidRPr="00176D37" w:rsidRDefault="00E9700E" w:rsidP="009742AB">
            <w:pPr>
              <w:pStyle w:val="Tabletext"/>
              <w:jc w:val="right"/>
            </w:pPr>
            <w:r w:rsidRPr="00176D37">
              <w:t>-</w:t>
            </w:r>
          </w:p>
        </w:tc>
        <w:tc>
          <w:tcPr>
            <w:tcW w:w="535" w:type="pct"/>
          </w:tcPr>
          <w:p w14:paraId="224843D6" w14:textId="77777777" w:rsidR="00E9700E" w:rsidRPr="00176D37" w:rsidRDefault="00E9700E" w:rsidP="009742AB">
            <w:pPr>
              <w:pStyle w:val="Tabletext"/>
              <w:jc w:val="right"/>
            </w:pPr>
            <w:r w:rsidRPr="00176D37">
              <w:t>1 (20%)</w:t>
            </w:r>
          </w:p>
        </w:tc>
        <w:tc>
          <w:tcPr>
            <w:tcW w:w="544" w:type="pct"/>
          </w:tcPr>
          <w:p w14:paraId="495F3E3C" w14:textId="77777777" w:rsidR="00E9700E" w:rsidRPr="00176D37" w:rsidRDefault="00E9700E" w:rsidP="009742AB">
            <w:pPr>
              <w:pStyle w:val="Tabletext"/>
              <w:jc w:val="right"/>
            </w:pPr>
            <w:r w:rsidRPr="00176D37">
              <w:t>1 (33%)</w:t>
            </w:r>
          </w:p>
        </w:tc>
        <w:tc>
          <w:tcPr>
            <w:tcW w:w="521" w:type="pct"/>
          </w:tcPr>
          <w:p w14:paraId="65E3674D" w14:textId="77777777" w:rsidR="00E9700E" w:rsidRPr="00176D37" w:rsidRDefault="00E9700E" w:rsidP="009742AB">
            <w:pPr>
              <w:pStyle w:val="Tabletext"/>
              <w:jc w:val="right"/>
            </w:pPr>
            <w:r w:rsidRPr="00176D37">
              <w:t>5 (33%)</w:t>
            </w:r>
          </w:p>
        </w:tc>
        <w:tc>
          <w:tcPr>
            <w:tcW w:w="520" w:type="pct"/>
          </w:tcPr>
          <w:p w14:paraId="5FFED734" w14:textId="77777777" w:rsidR="00E9700E" w:rsidRPr="00176D37" w:rsidRDefault="00E9700E" w:rsidP="009742AB">
            <w:pPr>
              <w:pStyle w:val="Tabletext"/>
              <w:jc w:val="right"/>
            </w:pPr>
            <w:r w:rsidRPr="00176D37">
              <w:t>-</w:t>
            </w:r>
          </w:p>
        </w:tc>
        <w:tc>
          <w:tcPr>
            <w:tcW w:w="518" w:type="pct"/>
          </w:tcPr>
          <w:p w14:paraId="4E92C4C0" w14:textId="77777777" w:rsidR="00E9700E" w:rsidRPr="00176D37" w:rsidRDefault="00E9700E" w:rsidP="009742AB">
            <w:pPr>
              <w:pStyle w:val="Tabletext"/>
              <w:jc w:val="right"/>
            </w:pPr>
            <w:r w:rsidRPr="00176D37">
              <w:t>8 (20%)</w:t>
            </w:r>
          </w:p>
        </w:tc>
      </w:tr>
      <w:tr w:rsidR="00E00070" w:rsidRPr="00176D37" w14:paraId="7E026F8E" w14:textId="77777777" w:rsidTr="00F751A0">
        <w:trPr>
          <w:trHeight w:val="510"/>
        </w:trPr>
        <w:tc>
          <w:tcPr>
            <w:tcW w:w="761" w:type="pct"/>
          </w:tcPr>
          <w:p w14:paraId="6E8CDC5F" w14:textId="77777777" w:rsidR="00E9700E" w:rsidRPr="00176D37" w:rsidRDefault="00E9700E" w:rsidP="00C645E1">
            <w:pPr>
              <w:pStyle w:val="Tabletext"/>
            </w:pPr>
            <w:r w:rsidRPr="00176D37">
              <w:rPr>
                <w:shd w:val="clear" w:color="auto" w:fill="FFFFFF"/>
              </w:rPr>
              <w:t>More scanners</w:t>
            </w:r>
          </w:p>
        </w:tc>
        <w:tc>
          <w:tcPr>
            <w:tcW w:w="598" w:type="pct"/>
          </w:tcPr>
          <w:p w14:paraId="2CEF0FD7" w14:textId="77777777" w:rsidR="00E9700E" w:rsidRPr="00176D37" w:rsidRDefault="00E9700E" w:rsidP="009742AB">
            <w:pPr>
              <w:pStyle w:val="Tabletext"/>
              <w:jc w:val="right"/>
            </w:pPr>
            <w:r w:rsidRPr="00176D37">
              <w:t>1 (25%)</w:t>
            </w:r>
          </w:p>
        </w:tc>
        <w:tc>
          <w:tcPr>
            <w:tcW w:w="521" w:type="pct"/>
          </w:tcPr>
          <w:p w14:paraId="6A3F7129" w14:textId="77777777" w:rsidR="00E9700E" w:rsidRPr="00176D37" w:rsidRDefault="00E9700E" w:rsidP="009742AB">
            <w:pPr>
              <w:pStyle w:val="Tabletext"/>
              <w:jc w:val="right"/>
            </w:pPr>
            <w:r w:rsidRPr="00176D37">
              <w:t>-</w:t>
            </w:r>
          </w:p>
        </w:tc>
        <w:tc>
          <w:tcPr>
            <w:tcW w:w="483" w:type="pct"/>
          </w:tcPr>
          <w:p w14:paraId="1EE52BBB" w14:textId="77777777" w:rsidR="00E9700E" w:rsidRPr="00176D37" w:rsidRDefault="00E9700E" w:rsidP="009742AB">
            <w:pPr>
              <w:pStyle w:val="Tabletext"/>
              <w:jc w:val="right"/>
            </w:pPr>
            <w:r w:rsidRPr="00176D37">
              <w:t>-</w:t>
            </w:r>
          </w:p>
        </w:tc>
        <w:tc>
          <w:tcPr>
            <w:tcW w:w="535" w:type="pct"/>
          </w:tcPr>
          <w:p w14:paraId="58CB65BF" w14:textId="77777777" w:rsidR="00E9700E" w:rsidRPr="00176D37" w:rsidRDefault="00E9700E" w:rsidP="009742AB">
            <w:pPr>
              <w:pStyle w:val="Tabletext"/>
              <w:jc w:val="right"/>
            </w:pPr>
            <w:r w:rsidRPr="00176D37">
              <w:t>2 (40%)</w:t>
            </w:r>
          </w:p>
        </w:tc>
        <w:tc>
          <w:tcPr>
            <w:tcW w:w="544" w:type="pct"/>
          </w:tcPr>
          <w:p w14:paraId="0E0B2ECD" w14:textId="77777777" w:rsidR="00E9700E" w:rsidRPr="00176D37" w:rsidRDefault="00E9700E" w:rsidP="009742AB">
            <w:pPr>
              <w:pStyle w:val="Tabletext"/>
              <w:jc w:val="right"/>
            </w:pPr>
            <w:r w:rsidRPr="00176D37">
              <w:t>-</w:t>
            </w:r>
          </w:p>
        </w:tc>
        <w:tc>
          <w:tcPr>
            <w:tcW w:w="521" w:type="pct"/>
          </w:tcPr>
          <w:p w14:paraId="5E0F1CDA" w14:textId="77777777" w:rsidR="00E9700E" w:rsidRPr="00176D37" w:rsidRDefault="00E9700E" w:rsidP="009742AB">
            <w:pPr>
              <w:pStyle w:val="Tabletext"/>
              <w:jc w:val="right"/>
            </w:pPr>
            <w:r w:rsidRPr="00176D37">
              <w:t>4 (27%)</w:t>
            </w:r>
          </w:p>
        </w:tc>
        <w:tc>
          <w:tcPr>
            <w:tcW w:w="520" w:type="pct"/>
          </w:tcPr>
          <w:p w14:paraId="04D2C1BF" w14:textId="77777777" w:rsidR="00E9700E" w:rsidRPr="00176D37" w:rsidRDefault="00E9700E" w:rsidP="009742AB">
            <w:pPr>
              <w:pStyle w:val="Tabletext"/>
              <w:jc w:val="right"/>
            </w:pPr>
            <w:r w:rsidRPr="00176D37">
              <w:t>-</w:t>
            </w:r>
          </w:p>
        </w:tc>
        <w:tc>
          <w:tcPr>
            <w:tcW w:w="518" w:type="pct"/>
          </w:tcPr>
          <w:p w14:paraId="245F7B1B" w14:textId="77777777" w:rsidR="00E9700E" w:rsidRPr="00176D37" w:rsidRDefault="00E9700E" w:rsidP="009742AB">
            <w:pPr>
              <w:pStyle w:val="Tabletext"/>
              <w:jc w:val="right"/>
            </w:pPr>
            <w:r w:rsidRPr="00176D37">
              <w:t>7 (17%)</w:t>
            </w:r>
          </w:p>
        </w:tc>
      </w:tr>
      <w:tr w:rsidR="00E00070" w:rsidRPr="00176D37" w14:paraId="376FA0AF" w14:textId="77777777" w:rsidTr="00F751A0">
        <w:trPr>
          <w:trHeight w:val="255"/>
        </w:trPr>
        <w:tc>
          <w:tcPr>
            <w:tcW w:w="761" w:type="pct"/>
          </w:tcPr>
          <w:p w14:paraId="3E7E95FE" w14:textId="77777777" w:rsidR="00E9700E" w:rsidRPr="00176D37" w:rsidRDefault="00E9700E" w:rsidP="00C645E1">
            <w:pPr>
              <w:pStyle w:val="Tabletext"/>
            </w:pPr>
            <w:r w:rsidRPr="00176D37">
              <w:rPr>
                <w:shd w:val="clear" w:color="auto" w:fill="FFFFFF"/>
              </w:rPr>
              <w:t>More printers</w:t>
            </w:r>
          </w:p>
        </w:tc>
        <w:tc>
          <w:tcPr>
            <w:tcW w:w="598" w:type="pct"/>
          </w:tcPr>
          <w:p w14:paraId="194D1169" w14:textId="77777777" w:rsidR="00E9700E" w:rsidRPr="00176D37" w:rsidRDefault="00E9700E" w:rsidP="009742AB">
            <w:pPr>
              <w:pStyle w:val="Tabletext"/>
              <w:jc w:val="right"/>
            </w:pPr>
            <w:r w:rsidRPr="00176D37">
              <w:t>2 (50%)</w:t>
            </w:r>
          </w:p>
        </w:tc>
        <w:tc>
          <w:tcPr>
            <w:tcW w:w="521" w:type="pct"/>
          </w:tcPr>
          <w:p w14:paraId="3CA19E58" w14:textId="77777777" w:rsidR="00E9700E" w:rsidRPr="00176D37" w:rsidRDefault="00E9700E" w:rsidP="009742AB">
            <w:pPr>
              <w:pStyle w:val="Tabletext"/>
              <w:jc w:val="right"/>
            </w:pPr>
            <w:r w:rsidRPr="00176D37">
              <w:t>-</w:t>
            </w:r>
          </w:p>
        </w:tc>
        <w:tc>
          <w:tcPr>
            <w:tcW w:w="483" w:type="pct"/>
          </w:tcPr>
          <w:p w14:paraId="1F446E76" w14:textId="77777777" w:rsidR="00E9700E" w:rsidRPr="00176D37" w:rsidRDefault="00E9700E" w:rsidP="009742AB">
            <w:pPr>
              <w:pStyle w:val="Tabletext"/>
              <w:jc w:val="right"/>
            </w:pPr>
            <w:r w:rsidRPr="00176D37">
              <w:t>1 (17%)</w:t>
            </w:r>
          </w:p>
        </w:tc>
        <w:tc>
          <w:tcPr>
            <w:tcW w:w="535" w:type="pct"/>
          </w:tcPr>
          <w:p w14:paraId="1F4E6C34" w14:textId="77777777" w:rsidR="00E9700E" w:rsidRPr="00176D37" w:rsidRDefault="00E9700E" w:rsidP="009742AB">
            <w:pPr>
              <w:pStyle w:val="Tabletext"/>
              <w:jc w:val="right"/>
            </w:pPr>
            <w:r w:rsidRPr="00176D37">
              <w:t>1 (20%)</w:t>
            </w:r>
          </w:p>
        </w:tc>
        <w:tc>
          <w:tcPr>
            <w:tcW w:w="544" w:type="pct"/>
          </w:tcPr>
          <w:p w14:paraId="1E99B75F" w14:textId="77777777" w:rsidR="00E9700E" w:rsidRPr="00176D37" w:rsidRDefault="00E9700E" w:rsidP="009742AB">
            <w:pPr>
              <w:pStyle w:val="Tabletext"/>
              <w:jc w:val="right"/>
            </w:pPr>
            <w:r w:rsidRPr="00176D37">
              <w:t>-</w:t>
            </w:r>
          </w:p>
        </w:tc>
        <w:tc>
          <w:tcPr>
            <w:tcW w:w="521" w:type="pct"/>
          </w:tcPr>
          <w:p w14:paraId="0A1C7EFF" w14:textId="77777777" w:rsidR="00E9700E" w:rsidRPr="00176D37" w:rsidRDefault="00E9700E" w:rsidP="009742AB">
            <w:pPr>
              <w:pStyle w:val="Tabletext"/>
              <w:jc w:val="right"/>
            </w:pPr>
            <w:r w:rsidRPr="00176D37">
              <w:t>9 (60%)</w:t>
            </w:r>
          </w:p>
        </w:tc>
        <w:tc>
          <w:tcPr>
            <w:tcW w:w="520" w:type="pct"/>
          </w:tcPr>
          <w:p w14:paraId="0240BB0E" w14:textId="77777777" w:rsidR="00E9700E" w:rsidRPr="00176D37" w:rsidRDefault="00E9700E" w:rsidP="009742AB">
            <w:pPr>
              <w:pStyle w:val="Tabletext"/>
              <w:jc w:val="right"/>
            </w:pPr>
            <w:r w:rsidRPr="00176D37">
              <w:t>-</w:t>
            </w:r>
          </w:p>
        </w:tc>
        <w:tc>
          <w:tcPr>
            <w:tcW w:w="518" w:type="pct"/>
          </w:tcPr>
          <w:p w14:paraId="0854C754" w14:textId="77777777" w:rsidR="00E9700E" w:rsidRPr="00176D37" w:rsidRDefault="00E9700E" w:rsidP="009742AB">
            <w:pPr>
              <w:pStyle w:val="Tabletext"/>
              <w:jc w:val="right"/>
            </w:pPr>
            <w:r w:rsidRPr="00176D37">
              <w:t>13 (32%)</w:t>
            </w:r>
          </w:p>
        </w:tc>
      </w:tr>
      <w:tr w:rsidR="00E00070" w:rsidRPr="00176D37" w14:paraId="0B882B0B" w14:textId="77777777" w:rsidTr="00F751A0">
        <w:trPr>
          <w:trHeight w:val="510"/>
        </w:trPr>
        <w:tc>
          <w:tcPr>
            <w:tcW w:w="761" w:type="pct"/>
          </w:tcPr>
          <w:p w14:paraId="507428C3" w14:textId="77777777" w:rsidR="00E9700E" w:rsidRPr="00176D37" w:rsidRDefault="00E9700E" w:rsidP="00C645E1">
            <w:pPr>
              <w:pStyle w:val="Tabletext"/>
            </w:pPr>
            <w:r w:rsidRPr="00176D37">
              <w:rPr>
                <w:shd w:val="clear" w:color="auto" w:fill="FFFFFF"/>
              </w:rPr>
              <w:t>Improved Wi-Fi</w:t>
            </w:r>
          </w:p>
        </w:tc>
        <w:tc>
          <w:tcPr>
            <w:tcW w:w="598" w:type="pct"/>
          </w:tcPr>
          <w:p w14:paraId="134CB189" w14:textId="77777777" w:rsidR="00E9700E" w:rsidRPr="00176D37" w:rsidRDefault="00E9700E" w:rsidP="009742AB">
            <w:pPr>
              <w:pStyle w:val="Tabletext"/>
              <w:jc w:val="right"/>
            </w:pPr>
            <w:r w:rsidRPr="00176D37">
              <w:t>2 (50%)</w:t>
            </w:r>
          </w:p>
        </w:tc>
        <w:tc>
          <w:tcPr>
            <w:tcW w:w="521" w:type="pct"/>
          </w:tcPr>
          <w:p w14:paraId="00438F71" w14:textId="77777777" w:rsidR="00E9700E" w:rsidRPr="00176D37" w:rsidRDefault="00E9700E" w:rsidP="009742AB">
            <w:pPr>
              <w:pStyle w:val="Tabletext"/>
              <w:jc w:val="right"/>
            </w:pPr>
            <w:r w:rsidRPr="00176D37">
              <w:t>1 (20%)</w:t>
            </w:r>
          </w:p>
        </w:tc>
        <w:tc>
          <w:tcPr>
            <w:tcW w:w="483" w:type="pct"/>
          </w:tcPr>
          <w:p w14:paraId="3AE29E25" w14:textId="77777777" w:rsidR="00E9700E" w:rsidRPr="00176D37" w:rsidRDefault="00E9700E" w:rsidP="009742AB">
            <w:pPr>
              <w:pStyle w:val="Tabletext"/>
              <w:jc w:val="right"/>
            </w:pPr>
            <w:r w:rsidRPr="00176D37">
              <w:t>-</w:t>
            </w:r>
          </w:p>
        </w:tc>
        <w:tc>
          <w:tcPr>
            <w:tcW w:w="535" w:type="pct"/>
          </w:tcPr>
          <w:p w14:paraId="22D9BED9" w14:textId="77777777" w:rsidR="00E9700E" w:rsidRPr="00176D37" w:rsidRDefault="00E9700E" w:rsidP="009742AB">
            <w:pPr>
              <w:pStyle w:val="Tabletext"/>
              <w:jc w:val="right"/>
            </w:pPr>
            <w:r w:rsidRPr="00176D37">
              <w:t>1 (20%)</w:t>
            </w:r>
          </w:p>
        </w:tc>
        <w:tc>
          <w:tcPr>
            <w:tcW w:w="544" w:type="pct"/>
          </w:tcPr>
          <w:p w14:paraId="167B3EAF" w14:textId="77777777" w:rsidR="00E9700E" w:rsidRPr="00176D37" w:rsidRDefault="00E9700E" w:rsidP="009742AB">
            <w:pPr>
              <w:pStyle w:val="Tabletext"/>
              <w:jc w:val="right"/>
            </w:pPr>
            <w:r w:rsidRPr="00176D37">
              <w:t>-</w:t>
            </w:r>
          </w:p>
        </w:tc>
        <w:tc>
          <w:tcPr>
            <w:tcW w:w="521" w:type="pct"/>
          </w:tcPr>
          <w:p w14:paraId="11208DBA" w14:textId="77777777" w:rsidR="00E9700E" w:rsidRPr="00176D37" w:rsidRDefault="00E9700E" w:rsidP="009742AB">
            <w:pPr>
              <w:pStyle w:val="Tabletext"/>
              <w:jc w:val="right"/>
            </w:pPr>
            <w:r w:rsidRPr="00176D37">
              <w:t>3 (20%)</w:t>
            </w:r>
          </w:p>
        </w:tc>
        <w:tc>
          <w:tcPr>
            <w:tcW w:w="520" w:type="pct"/>
          </w:tcPr>
          <w:p w14:paraId="28E9DD5B" w14:textId="77777777" w:rsidR="00E9700E" w:rsidRPr="00176D37" w:rsidRDefault="00E9700E" w:rsidP="009742AB">
            <w:pPr>
              <w:pStyle w:val="Tabletext"/>
              <w:jc w:val="right"/>
            </w:pPr>
            <w:r w:rsidRPr="00176D37">
              <w:t>-</w:t>
            </w:r>
          </w:p>
        </w:tc>
        <w:tc>
          <w:tcPr>
            <w:tcW w:w="518" w:type="pct"/>
          </w:tcPr>
          <w:p w14:paraId="2EDDBC29" w14:textId="77777777" w:rsidR="00E9700E" w:rsidRPr="00176D37" w:rsidRDefault="00E9700E" w:rsidP="009742AB">
            <w:pPr>
              <w:pStyle w:val="Tabletext"/>
              <w:jc w:val="right"/>
            </w:pPr>
            <w:r w:rsidRPr="00176D37">
              <w:t>7 (17%)</w:t>
            </w:r>
          </w:p>
        </w:tc>
      </w:tr>
      <w:tr w:rsidR="00E00070" w:rsidRPr="00176D37" w14:paraId="447DE0EC" w14:textId="77777777" w:rsidTr="00F751A0">
        <w:trPr>
          <w:trHeight w:val="510"/>
        </w:trPr>
        <w:tc>
          <w:tcPr>
            <w:tcW w:w="761" w:type="pct"/>
          </w:tcPr>
          <w:p w14:paraId="01E7F6AD" w14:textId="77777777" w:rsidR="00E9700E" w:rsidRPr="00176D37" w:rsidRDefault="00E9700E" w:rsidP="00C645E1">
            <w:pPr>
              <w:pStyle w:val="Tabletext"/>
              <w:rPr>
                <w:shd w:val="clear" w:color="auto" w:fill="FFFFFF"/>
              </w:rPr>
            </w:pPr>
            <w:r w:rsidRPr="00176D37">
              <w:rPr>
                <w:shd w:val="clear" w:color="auto" w:fill="FFFFFF"/>
              </w:rPr>
              <w:t>More training</w:t>
            </w:r>
          </w:p>
        </w:tc>
        <w:tc>
          <w:tcPr>
            <w:tcW w:w="598" w:type="pct"/>
          </w:tcPr>
          <w:p w14:paraId="3AEF0EBC" w14:textId="77777777" w:rsidR="00E9700E" w:rsidRPr="00176D37" w:rsidRDefault="00E9700E" w:rsidP="009742AB">
            <w:pPr>
              <w:pStyle w:val="Tabletext"/>
              <w:jc w:val="right"/>
            </w:pPr>
            <w:r w:rsidRPr="00176D37">
              <w:t>-</w:t>
            </w:r>
          </w:p>
        </w:tc>
        <w:tc>
          <w:tcPr>
            <w:tcW w:w="521" w:type="pct"/>
          </w:tcPr>
          <w:p w14:paraId="00150B82" w14:textId="77777777" w:rsidR="00E9700E" w:rsidRPr="00176D37" w:rsidRDefault="00E9700E" w:rsidP="009742AB">
            <w:pPr>
              <w:pStyle w:val="Tabletext"/>
              <w:jc w:val="right"/>
            </w:pPr>
            <w:r w:rsidRPr="00176D37">
              <w:t>-</w:t>
            </w:r>
          </w:p>
        </w:tc>
        <w:tc>
          <w:tcPr>
            <w:tcW w:w="483" w:type="pct"/>
          </w:tcPr>
          <w:p w14:paraId="4267301A" w14:textId="77777777" w:rsidR="00E9700E" w:rsidRPr="00176D37" w:rsidRDefault="00E9700E" w:rsidP="009742AB">
            <w:pPr>
              <w:pStyle w:val="Tabletext"/>
              <w:jc w:val="right"/>
            </w:pPr>
            <w:r w:rsidRPr="00176D37">
              <w:t>4 (67%)</w:t>
            </w:r>
          </w:p>
        </w:tc>
        <w:tc>
          <w:tcPr>
            <w:tcW w:w="535" w:type="pct"/>
          </w:tcPr>
          <w:p w14:paraId="0BAD1FEE" w14:textId="77777777" w:rsidR="00E9700E" w:rsidRPr="00176D37" w:rsidRDefault="00E9700E" w:rsidP="009742AB">
            <w:pPr>
              <w:pStyle w:val="Tabletext"/>
              <w:jc w:val="right"/>
            </w:pPr>
            <w:r w:rsidRPr="00176D37">
              <w:t>2 (40%)</w:t>
            </w:r>
          </w:p>
        </w:tc>
        <w:tc>
          <w:tcPr>
            <w:tcW w:w="544" w:type="pct"/>
          </w:tcPr>
          <w:p w14:paraId="0BAE9D58" w14:textId="77777777" w:rsidR="00E9700E" w:rsidRPr="00176D37" w:rsidRDefault="00E9700E" w:rsidP="009742AB">
            <w:pPr>
              <w:pStyle w:val="Tabletext"/>
              <w:jc w:val="right"/>
            </w:pPr>
            <w:r w:rsidRPr="00176D37">
              <w:t>1 (33%)</w:t>
            </w:r>
          </w:p>
        </w:tc>
        <w:tc>
          <w:tcPr>
            <w:tcW w:w="521" w:type="pct"/>
          </w:tcPr>
          <w:p w14:paraId="44D6EF11" w14:textId="77777777" w:rsidR="00E9700E" w:rsidRPr="00176D37" w:rsidRDefault="00E9700E" w:rsidP="009742AB">
            <w:pPr>
              <w:pStyle w:val="Tabletext"/>
              <w:jc w:val="right"/>
            </w:pPr>
            <w:r w:rsidRPr="00176D37">
              <w:t>7 (47%)</w:t>
            </w:r>
          </w:p>
        </w:tc>
        <w:tc>
          <w:tcPr>
            <w:tcW w:w="520" w:type="pct"/>
          </w:tcPr>
          <w:p w14:paraId="049E3E90" w14:textId="77777777" w:rsidR="00E9700E" w:rsidRPr="00176D37" w:rsidRDefault="00E9700E" w:rsidP="009742AB">
            <w:pPr>
              <w:pStyle w:val="Tabletext"/>
              <w:jc w:val="right"/>
            </w:pPr>
            <w:r w:rsidRPr="00176D37">
              <w:t>-</w:t>
            </w:r>
          </w:p>
        </w:tc>
        <w:tc>
          <w:tcPr>
            <w:tcW w:w="518" w:type="pct"/>
          </w:tcPr>
          <w:p w14:paraId="45D2D68E" w14:textId="77777777" w:rsidR="00E9700E" w:rsidRPr="00176D37" w:rsidRDefault="00E9700E" w:rsidP="009742AB">
            <w:pPr>
              <w:pStyle w:val="Tabletext"/>
              <w:jc w:val="right"/>
            </w:pPr>
            <w:r w:rsidRPr="00176D37">
              <w:t>14 (34%)</w:t>
            </w:r>
          </w:p>
        </w:tc>
      </w:tr>
      <w:tr w:rsidR="00E00070" w:rsidRPr="00176D37" w14:paraId="131359D2" w14:textId="77777777" w:rsidTr="00F751A0">
        <w:trPr>
          <w:trHeight w:val="510"/>
        </w:trPr>
        <w:tc>
          <w:tcPr>
            <w:tcW w:w="761" w:type="pct"/>
          </w:tcPr>
          <w:p w14:paraId="2C2AA7AF" w14:textId="77777777" w:rsidR="00E9700E" w:rsidRPr="00176D37" w:rsidRDefault="00E9700E" w:rsidP="00C645E1">
            <w:pPr>
              <w:pStyle w:val="Tabletext"/>
              <w:rPr>
                <w:shd w:val="clear" w:color="auto" w:fill="FFFFFF"/>
              </w:rPr>
            </w:pPr>
            <w:r w:rsidRPr="00176D37">
              <w:rPr>
                <w:shd w:val="clear" w:color="auto" w:fill="FFFFFF"/>
              </w:rPr>
              <w:t>A more intuitive interface</w:t>
            </w:r>
          </w:p>
        </w:tc>
        <w:tc>
          <w:tcPr>
            <w:tcW w:w="598" w:type="pct"/>
          </w:tcPr>
          <w:p w14:paraId="7B6FB844" w14:textId="77777777" w:rsidR="00E9700E" w:rsidRPr="00176D37" w:rsidRDefault="00E9700E" w:rsidP="009742AB">
            <w:pPr>
              <w:pStyle w:val="Tabletext"/>
              <w:jc w:val="right"/>
            </w:pPr>
            <w:r w:rsidRPr="00176D37">
              <w:t>1 (25%)</w:t>
            </w:r>
          </w:p>
        </w:tc>
        <w:tc>
          <w:tcPr>
            <w:tcW w:w="521" w:type="pct"/>
          </w:tcPr>
          <w:p w14:paraId="07FD04CA" w14:textId="77777777" w:rsidR="00E9700E" w:rsidRPr="00176D37" w:rsidRDefault="00E9700E" w:rsidP="009742AB">
            <w:pPr>
              <w:pStyle w:val="Tabletext"/>
              <w:jc w:val="right"/>
            </w:pPr>
            <w:r w:rsidRPr="00176D37">
              <w:t>2 (40%)</w:t>
            </w:r>
          </w:p>
        </w:tc>
        <w:tc>
          <w:tcPr>
            <w:tcW w:w="483" w:type="pct"/>
          </w:tcPr>
          <w:p w14:paraId="10AD6512" w14:textId="77777777" w:rsidR="00E9700E" w:rsidRPr="00176D37" w:rsidRDefault="00E9700E" w:rsidP="009742AB">
            <w:pPr>
              <w:pStyle w:val="Tabletext"/>
              <w:jc w:val="right"/>
            </w:pPr>
            <w:r w:rsidRPr="00176D37">
              <w:t>3 (50%)</w:t>
            </w:r>
          </w:p>
        </w:tc>
        <w:tc>
          <w:tcPr>
            <w:tcW w:w="535" w:type="pct"/>
          </w:tcPr>
          <w:p w14:paraId="670B130B" w14:textId="77777777" w:rsidR="00E9700E" w:rsidRPr="00176D37" w:rsidRDefault="00E9700E" w:rsidP="009742AB">
            <w:pPr>
              <w:pStyle w:val="Tabletext"/>
              <w:jc w:val="right"/>
            </w:pPr>
            <w:r w:rsidRPr="00176D37">
              <w:t>2 (40%)</w:t>
            </w:r>
          </w:p>
        </w:tc>
        <w:tc>
          <w:tcPr>
            <w:tcW w:w="544" w:type="pct"/>
          </w:tcPr>
          <w:p w14:paraId="2EE66CFB" w14:textId="77777777" w:rsidR="00E9700E" w:rsidRPr="00176D37" w:rsidRDefault="00E9700E" w:rsidP="009742AB">
            <w:pPr>
              <w:pStyle w:val="Tabletext"/>
              <w:jc w:val="right"/>
            </w:pPr>
            <w:r w:rsidRPr="00176D37">
              <w:t>1 (33%)</w:t>
            </w:r>
          </w:p>
        </w:tc>
        <w:tc>
          <w:tcPr>
            <w:tcW w:w="521" w:type="pct"/>
          </w:tcPr>
          <w:p w14:paraId="58EFA6CF" w14:textId="77777777" w:rsidR="00E9700E" w:rsidRPr="00176D37" w:rsidRDefault="00E9700E" w:rsidP="009742AB">
            <w:pPr>
              <w:pStyle w:val="Tabletext"/>
              <w:jc w:val="right"/>
            </w:pPr>
            <w:r w:rsidRPr="00176D37">
              <w:t>9 (60%)</w:t>
            </w:r>
          </w:p>
        </w:tc>
        <w:tc>
          <w:tcPr>
            <w:tcW w:w="520" w:type="pct"/>
          </w:tcPr>
          <w:p w14:paraId="7CDF33EE" w14:textId="77777777" w:rsidR="00E9700E" w:rsidRPr="00176D37" w:rsidRDefault="00E9700E" w:rsidP="009742AB">
            <w:pPr>
              <w:pStyle w:val="Tabletext"/>
              <w:jc w:val="right"/>
            </w:pPr>
            <w:r w:rsidRPr="00176D37">
              <w:t>1 (25%)</w:t>
            </w:r>
          </w:p>
        </w:tc>
        <w:tc>
          <w:tcPr>
            <w:tcW w:w="518" w:type="pct"/>
          </w:tcPr>
          <w:p w14:paraId="19D81E69" w14:textId="77777777" w:rsidR="00E9700E" w:rsidRPr="00176D37" w:rsidRDefault="00E9700E" w:rsidP="009742AB">
            <w:pPr>
              <w:pStyle w:val="Tabletext"/>
              <w:jc w:val="right"/>
            </w:pPr>
            <w:r w:rsidRPr="00176D37">
              <w:t>19 (46%)</w:t>
            </w:r>
          </w:p>
        </w:tc>
      </w:tr>
      <w:tr w:rsidR="00E00070" w:rsidRPr="00176D37" w14:paraId="1C7ACE66" w14:textId="77777777" w:rsidTr="00F751A0">
        <w:trPr>
          <w:trHeight w:val="510"/>
        </w:trPr>
        <w:tc>
          <w:tcPr>
            <w:tcW w:w="761" w:type="pct"/>
          </w:tcPr>
          <w:p w14:paraId="68697F30" w14:textId="77777777" w:rsidR="00E9700E" w:rsidRPr="00176D37" w:rsidRDefault="00E9700E" w:rsidP="00C645E1">
            <w:pPr>
              <w:pStyle w:val="Tabletext"/>
              <w:rPr>
                <w:shd w:val="clear" w:color="auto" w:fill="FFFFFF"/>
              </w:rPr>
            </w:pPr>
            <w:r w:rsidRPr="00176D37">
              <w:rPr>
                <w:shd w:val="clear" w:color="auto" w:fill="FFFFFF"/>
              </w:rPr>
              <w:t>Ability to make system changes to suit your health organisation</w:t>
            </w:r>
          </w:p>
        </w:tc>
        <w:tc>
          <w:tcPr>
            <w:tcW w:w="598" w:type="pct"/>
          </w:tcPr>
          <w:p w14:paraId="32415398" w14:textId="77777777" w:rsidR="00E9700E" w:rsidRPr="00176D37" w:rsidRDefault="00E9700E" w:rsidP="009742AB">
            <w:pPr>
              <w:pStyle w:val="Tabletext"/>
              <w:jc w:val="right"/>
            </w:pPr>
            <w:r w:rsidRPr="00176D37">
              <w:t>2 (50%)</w:t>
            </w:r>
          </w:p>
        </w:tc>
        <w:tc>
          <w:tcPr>
            <w:tcW w:w="521" w:type="pct"/>
          </w:tcPr>
          <w:p w14:paraId="0F30AB10" w14:textId="77777777" w:rsidR="00E9700E" w:rsidRPr="00176D37" w:rsidRDefault="00E9700E" w:rsidP="009742AB">
            <w:pPr>
              <w:pStyle w:val="Tabletext"/>
              <w:jc w:val="right"/>
            </w:pPr>
            <w:r w:rsidRPr="00176D37">
              <w:t>3 (60%)</w:t>
            </w:r>
          </w:p>
        </w:tc>
        <w:tc>
          <w:tcPr>
            <w:tcW w:w="483" w:type="pct"/>
          </w:tcPr>
          <w:p w14:paraId="591F4B2B" w14:textId="77777777" w:rsidR="00E9700E" w:rsidRPr="00176D37" w:rsidRDefault="00E9700E" w:rsidP="009742AB">
            <w:pPr>
              <w:pStyle w:val="Tabletext"/>
              <w:jc w:val="right"/>
            </w:pPr>
            <w:r w:rsidRPr="00176D37">
              <w:t>3 (50%)</w:t>
            </w:r>
          </w:p>
        </w:tc>
        <w:tc>
          <w:tcPr>
            <w:tcW w:w="535" w:type="pct"/>
          </w:tcPr>
          <w:p w14:paraId="20939FF7" w14:textId="77777777" w:rsidR="00E9700E" w:rsidRPr="00176D37" w:rsidRDefault="00E9700E" w:rsidP="009742AB">
            <w:pPr>
              <w:pStyle w:val="Tabletext"/>
              <w:jc w:val="right"/>
            </w:pPr>
            <w:r w:rsidRPr="00176D37">
              <w:t>2 (40%)</w:t>
            </w:r>
          </w:p>
        </w:tc>
        <w:tc>
          <w:tcPr>
            <w:tcW w:w="544" w:type="pct"/>
          </w:tcPr>
          <w:p w14:paraId="5A6C9D6C" w14:textId="77777777" w:rsidR="00E9700E" w:rsidRPr="00176D37" w:rsidRDefault="00E9700E" w:rsidP="009742AB">
            <w:pPr>
              <w:pStyle w:val="Tabletext"/>
              <w:jc w:val="right"/>
            </w:pPr>
            <w:r w:rsidRPr="00176D37">
              <w:t>2 (67%)</w:t>
            </w:r>
          </w:p>
        </w:tc>
        <w:tc>
          <w:tcPr>
            <w:tcW w:w="521" w:type="pct"/>
          </w:tcPr>
          <w:p w14:paraId="13E01825" w14:textId="77777777" w:rsidR="00E9700E" w:rsidRPr="00176D37" w:rsidRDefault="00E9700E" w:rsidP="009742AB">
            <w:pPr>
              <w:pStyle w:val="Tabletext"/>
              <w:jc w:val="right"/>
            </w:pPr>
            <w:r w:rsidRPr="00176D37">
              <w:t>10 (67%)</w:t>
            </w:r>
          </w:p>
        </w:tc>
        <w:tc>
          <w:tcPr>
            <w:tcW w:w="520" w:type="pct"/>
          </w:tcPr>
          <w:p w14:paraId="170B0A1A" w14:textId="77777777" w:rsidR="00E9700E" w:rsidRPr="00176D37" w:rsidRDefault="00E9700E" w:rsidP="009742AB">
            <w:pPr>
              <w:pStyle w:val="Tabletext"/>
              <w:jc w:val="right"/>
            </w:pPr>
            <w:r w:rsidRPr="00176D37">
              <w:t>2 (50%)</w:t>
            </w:r>
          </w:p>
        </w:tc>
        <w:tc>
          <w:tcPr>
            <w:tcW w:w="518" w:type="pct"/>
          </w:tcPr>
          <w:p w14:paraId="1D8F45F0" w14:textId="77777777" w:rsidR="00E9700E" w:rsidRPr="00176D37" w:rsidRDefault="00E9700E" w:rsidP="009742AB">
            <w:pPr>
              <w:pStyle w:val="Tabletext"/>
              <w:jc w:val="right"/>
            </w:pPr>
            <w:r w:rsidRPr="00176D37">
              <w:t>24 (59%)</w:t>
            </w:r>
          </w:p>
        </w:tc>
      </w:tr>
      <w:tr w:rsidR="00E00070" w:rsidRPr="00176D37" w14:paraId="46346CF8" w14:textId="77777777" w:rsidTr="00F751A0">
        <w:trPr>
          <w:trHeight w:val="510"/>
        </w:trPr>
        <w:tc>
          <w:tcPr>
            <w:tcW w:w="761" w:type="pct"/>
          </w:tcPr>
          <w:p w14:paraId="2E4CDA19" w14:textId="77777777" w:rsidR="00E9700E" w:rsidRPr="00176D37" w:rsidRDefault="00E9700E" w:rsidP="00C645E1">
            <w:pPr>
              <w:pStyle w:val="Tabletext"/>
              <w:rPr>
                <w:shd w:val="clear" w:color="auto" w:fill="FFFFFF"/>
              </w:rPr>
            </w:pPr>
            <w:r w:rsidRPr="00176D37">
              <w:rPr>
                <w:shd w:val="clear" w:color="auto" w:fill="FFFFFF"/>
              </w:rPr>
              <w:t>Local/consistent terminology used</w:t>
            </w:r>
          </w:p>
        </w:tc>
        <w:tc>
          <w:tcPr>
            <w:tcW w:w="598" w:type="pct"/>
          </w:tcPr>
          <w:p w14:paraId="5557D004" w14:textId="77777777" w:rsidR="00E9700E" w:rsidRPr="00176D37" w:rsidRDefault="00E9700E" w:rsidP="009742AB">
            <w:pPr>
              <w:pStyle w:val="Tabletext"/>
              <w:jc w:val="right"/>
            </w:pPr>
            <w:r w:rsidRPr="00176D37">
              <w:t>-</w:t>
            </w:r>
          </w:p>
        </w:tc>
        <w:tc>
          <w:tcPr>
            <w:tcW w:w="521" w:type="pct"/>
          </w:tcPr>
          <w:p w14:paraId="24D4089D" w14:textId="77777777" w:rsidR="00E9700E" w:rsidRPr="00176D37" w:rsidRDefault="00E9700E" w:rsidP="009742AB">
            <w:pPr>
              <w:pStyle w:val="Tabletext"/>
              <w:jc w:val="right"/>
            </w:pPr>
            <w:r w:rsidRPr="00176D37">
              <w:t>-</w:t>
            </w:r>
          </w:p>
        </w:tc>
        <w:tc>
          <w:tcPr>
            <w:tcW w:w="483" w:type="pct"/>
          </w:tcPr>
          <w:p w14:paraId="755B3CBC" w14:textId="77777777" w:rsidR="00E9700E" w:rsidRPr="00176D37" w:rsidRDefault="00E9700E" w:rsidP="009742AB">
            <w:pPr>
              <w:pStyle w:val="Tabletext"/>
              <w:jc w:val="right"/>
            </w:pPr>
            <w:r w:rsidRPr="00176D37">
              <w:t>2 (33%)</w:t>
            </w:r>
          </w:p>
        </w:tc>
        <w:tc>
          <w:tcPr>
            <w:tcW w:w="535" w:type="pct"/>
          </w:tcPr>
          <w:p w14:paraId="4835DFFF" w14:textId="77777777" w:rsidR="00E9700E" w:rsidRPr="00176D37" w:rsidRDefault="00E9700E" w:rsidP="009742AB">
            <w:pPr>
              <w:pStyle w:val="Tabletext"/>
              <w:jc w:val="right"/>
            </w:pPr>
            <w:r w:rsidRPr="00176D37">
              <w:t>-</w:t>
            </w:r>
          </w:p>
        </w:tc>
        <w:tc>
          <w:tcPr>
            <w:tcW w:w="544" w:type="pct"/>
          </w:tcPr>
          <w:p w14:paraId="55DF2276" w14:textId="77777777" w:rsidR="00E9700E" w:rsidRPr="00176D37" w:rsidRDefault="00E9700E" w:rsidP="009742AB">
            <w:pPr>
              <w:pStyle w:val="Tabletext"/>
              <w:jc w:val="right"/>
            </w:pPr>
            <w:r w:rsidRPr="00176D37">
              <w:t>-</w:t>
            </w:r>
          </w:p>
        </w:tc>
        <w:tc>
          <w:tcPr>
            <w:tcW w:w="521" w:type="pct"/>
          </w:tcPr>
          <w:p w14:paraId="6C39E720" w14:textId="77777777" w:rsidR="00E9700E" w:rsidRPr="00176D37" w:rsidRDefault="00E9700E" w:rsidP="009742AB">
            <w:pPr>
              <w:pStyle w:val="Tabletext"/>
              <w:jc w:val="right"/>
            </w:pPr>
            <w:r w:rsidRPr="00176D37">
              <w:t>5 (33%)</w:t>
            </w:r>
          </w:p>
        </w:tc>
        <w:tc>
          <w:tcPr>
            <w:tcW w:w="520" w:type="pct"/>
          </w:tcPr>
          <w:p w14:paraId="0464A3CD" w14:textId="77777777" w:rsidR="00E9700E" w:rsidRPr="00176D37" w:rsidRDefault="00E9700E" w:rsidP="009742AB">
            <w:pPr>
              <w:pStyle w:val="Tabletext"/>
              <w:jc w:val="right"/>
            </w:pPr>
            <w:r w:rsidRPr="00176D37">
              <w:t>-</w:t>
            </w:r>
          </w:p>
        </w:tc>
        <w:tc>
          <w:tcPr>
            <w:tcW w:w="518" w:type="pct"/>
          </w:tcPr>
          <w:p w14:paraId="23EC959D" w14:textId="77777777" w:rsidR="00E9700E" w:rsidRPr="00176D37" w:rsidRDefault="00E9700E" w:rsidP="009742AB">
            <w:pPr>
              <w:pStyle w:val="Tabletext"/>
              <w:jc w:val="right"/>
            </w:pPr>
            <w:r w:rsidRPr="00176D37">
              <w:t>7 (17%)</w:t>
            </w:r>
          </w:p>
        </w:tc>
      </w:tr>
      <w:tr w:rsidR="00E00070" w:rsidRPr="00176D37" w14:paraId="037E2F01" w14:textId="77777777" w:rsidTr="00F751A0">
        <w:trPr>
          <w:trHeight w:val="510"/>
        </w:trPr>
        <w:tc>
          <w:tcPr>
            <w:tcW w:w="761" w:type="pct"/>
          </w:tcPr>
          <w:p w14:paraId="64454420" w14:textId="77777777" w:rsidR="00E9700E" w:rsidRPr="00176D37" w:rsidRDefault="00E9700E" w:rsidP="00C645E1">
            <w:pPr>
              <w:pStyle w:val="Tabletext"/>
              <w:rPr>
                <w:shd w:val="clear" w:color="auto" w:fill="FFFFFF"/>
              </w:rPr>
            </w:pPr>
            <w:r w:rsidRPr="00176D37">
              <w:rPr>
                <w:shd w:val="clear" w:color="auto" w:fill="FFFFFF"/>
              </w:rPr>
              <w:t>Improvement/problem resolution in a timelier manner</w:t>
            </w:r>
          </w:p>
        </w:tc>
        <w:tc>
          <w:tcPr>
            <w:tcW w:w="598" w:type="pct"/>
          </w:tcPr>
          <w:p w14:paraId="50537E41" w14:textId="77777777" w:rsidR="00E9700E" w:rsidRPr="00176D37" w:rsidRDefault="00E9700E" w:rsidP="009742AB">
            <w:pPr>
              <w:pStyle w:val="Tabletext"/>
              <w:jc w:val="right"/>
            </w:pPr>
            <w:r w:rsidRPr="00176D37">
              <w:t>-</w:t>
            </w:r>
          </w:p>
        </w:tc>
        <w:tc>
          <w:tcPr>
            <w:tcW w:w="521" w:type="pct"/>
          </w:tcPr>
          <w:p w14:paraId="2E1F5C68" w14:textId="77777777" w:rsidR="00E9700E" w:rsidRPr="00176D37" w:rsidRDefault="00E9700E" w:rsidP="009742AB">
            <w:pPr>
              <w:pStyle w:val="Tabletext"/>
              <w:jc w:val="right"/>
            </w:pPr>
            <w:r w:rsidRPr="00176D37">
              <w:t>3 (60%)</w:t>
            </w:r>
          </w:p>
        </w:tc>
        <w:tc>
          <w:tcPr>
            <w:tcW w:w="483" w:type="pct"/>
          </w:tcPr>
          <w:p w14:paraId="0428BEA1" w14:textId="77777777" w:rsidR="00E9700E" w:rsidRPr="00176D37" w:rsidRDefault="00E9700E" w:rsidP="009742AB">
            <w:pPr>
              <w:pStyle w:val="Tabletext"/>
              <w:jc w:val="right"/>
            </w:pPr>
            <w:r w:rsidRPr="00176D37">
              <w:t>3 (50%)</w:t>
            </w:r>
          </w:p>
        </w:tc>
        <w:tc>
          <w:tcPr>
            <w:tcW w:w="535" w:type="pct"/>
          </w:tcPr>
          <w:p w14:paraId="2A25C67C" w14:textId="77777777" w:rsidR="00E9700E" w:rsidRPr="00176D37" w:rsidRDefault="00E9700E" w:rsidP="009742AB">
            <w:pPr>
              <w:pStyle w:val="Tabletext"/>
              <w:jc w:val="right"/>
            </w:pPr>
            <w:r w:rsidRPr="00176D37">
              <w:t>2 (40%)</w:t>
            </w:r>
          </w:p>
        </w:tc>
        <w:tc>
          <w:tcPr>
            <w:tcW w:w="544" w:type="pct"/>
          </w:tcPr>
          <w:p w14:paraId="063C4C08" w14:textId="77777777" w:rsidR="00E9700E" w:rsidRPr="00176D37" w:rsidRDefault="00E9700E" w:rsidP="009742AB">
            <w:pPr>
              <w:pStyle w:val="Tabletext"/>
              <w:jc w:val="right"/>
            </w:pPr>
            <w:r w:rsidRPr="00176D37">
              <w:t>-</w:t>
            </w:r>
          </w:p>
        </w:tc>
        <w:tc>
          <w:tcPr>
            <w:tcW w:w="521" w:type="pct"/>
          </w:tcPr>
          <w:p w14:paraId="523D7F3C" w14:textId="77777777" w:rsidR="00E9700E" w:rsidRPr="00176D37" w:rsidRDefault="00E9700E" w:rsidP="009742AB">
            <w:pPr>
              <w:pStyle w:val="Tabletext"/>
              <w:jc w:val="right"/>
            </w:pPr>
            <w:r w:rsidRPr="00176D37">
              <w:t>9 (60%)</w:t>
            </w:r>
          </w:p>
        </w:tc>
        <w:tc>
          <w:tcPr>
            <w:tcW w:w="520" w:type="pct"/>
          </w:tcPr>
          <w:p w14:paraId="1C4700B5" w14:textId="77777777" w:rsidR="00E9700E" w:rsidRPr="00176D37" w:rsidRDefault="00E9700E" w:rsidP="009742AB">
            <w:pPr>
              <w:pStyle w:val="Tabletext"/>
              <w:jc w:val="right"/>
            </w:pPr>
            <w:r w:rsidRPr="00176D37">
              <w:t>1 (25%)</w:t>
            </w:r>
          </w:p>
        </w:tc>
        <w:tc>
          <w:tcPr>
            <w:tcW w:w="518" w:type="pct"/>
          </w:tcPr>
          <w:p w14:paraId="6AF2E669" w14:textId="77777777" w:rsidR="00E9700E" w:rsidRPr="00176D37" w:rsidRDefault="00E9700E" w:rsidP="009742AB">
            <w:pPr>
              <w:pStyle w:val="Tabletext"/>
              <w:jc w:val="right"/>
            </w:pPr>
            <w:r w:rsidRPr="00176D37">
              <w:t>18 (44%)</w:t>
            </w:r>
          </w:p>
        </w:tc>
      </w:tr>
      <w:tr w:rsidR="00E00070" w:rsidRPr="00176D37" w14:paraId="535BF60C" w14:textId="77777777" w:rsidTr="00F751A0">
        <w:trPr>
          <w:trHeight w:val="510"/>
        </w:trPr>
        <w:tc>
          <w:tcPr>
            <w:tcW w:w="761" w:type="pct"/>
          </w:tcPr>
          <w:p w14:paraId="1ADDD95C" w14:textId="77777777" w:rsidR="00E9700E" w:rsidRPr="00176D37" w:rsidRDefault="00E9700E" w:rsidP="00C645E1">
            <w:pPr>
              <w:pStyle w:val="Tabletext"/>
              <w:rPr>
                <w:shd w:val="clear" w:color="auto" w:fill="FFFFFF"/>
              </w:rPr>
            </w:pPr>
            <w:r w:rsidRPr="00176D37">
              <w:rPr>
                <w:shd w:val="clear" w:color="auto" w:fill="FFFFFF"/>
              </w:rPr>
              <w:t xml:space="preserve">More IT support </w:t>
            </w:r>
            <w:r w:rsidRPr="00176D37">
              <w:rPr>
                <w:shd w:val="clear" w:color="auto" w:fill="FFFFFF"/>
              </w:rPr>
              <w:lastRenderedPageBreak/>
              <w:t>direct from vendor</w:t>
            </w:r>
          </w:p>
        </w:tc>
        <w:tc>
          <w:tcPr>
            <w:tcW w:w="598" w:type="pct"/>
          </w:tcPr>
          <w:p w14:paraId="4BE86767" w14:textId="77777777" w:rsidR="00E9700E" w:rsidRPr="00176D37" w:rsidRDefault="00E9700E" w:rsidP="009742AB">
            <w:pPr>
              <w:pStyle w:val="Tabletext"/>
              <w:jc w:val="right"/>
            </w:pPr>
            <w:r w:rsidRPr="00176D37">
              <w:lastRenderedPageBreak/>
              <w:t>-</w:t>
            </w:r>
          </w:p>
        </w:tc>
        <w:tc>
          <w:tcPr>
            <w:tcW w:w="521" w:type="pct"/>
          </w:tcPr>
          <w:p w14:paraId="2DD3B11D" w14:textId="77777777" w:rsidR="00E9700E" w:rsidRPr="00176D37" w:rsidRDefault="00E9700E" w:rsidP="009742AB">
            <w:pPr>
              <w:pStyle w:val="Tabletext"/>
              <w:jc w:val="right"/>
            </w:pPr>
            <w:r w:rsidRPr="00176D37">
              <w:t>1 (20%)</w:t>
            </w:r>
          </w:p>
        </w:tc>
        <w:tc>
          <w:tcPr>
            <w:tcW w:w="483" w:type="pct"/>
          </w:tcPr>
          <w:p w14:paraId="2D3E5F15" w14:textId="77777777" w:rsidR="00E9700E" w:rsidRPr="00176D37" w:rsidRDefault="00E9700E" w:rsidP="009742AB">
            <w:pPr>
              <w:pStyle w:val="Tabletext"/>
              <w:jc w:val="right"/>
            </w:pPr>
            <w:r w:rsidRPr="00176D37">
              <w:t>2 (33%)</w:t>
            </w:r>
          </w:p>
        </w:tc>
        <w:tc>
          <w:tcPr>
            <w:tcW w:w="535" w:type="pct"/>
          </w:tcPr>
          <w:p w14:paraId="4CD26F49" w14:textId="77777777" w:rsidR="00E9700E" w:rsidRPr="00176D37" w:rsidRDefault="00E9700E" w:rsidP="009742AB">
            <w:pPr>
              <w:pStyle w:val="Tabletext"/>
              <w:jc w:val="right"/>
            </w:pPr>
            <w:r w:rsidRPr="00176D37">
              <w:t>1 (20%)</w:t>
            </w:r>
          </w:p>
        </w:tc>
        <w:tc>
          <w:tcPr>
            <w:tcW w:w="544" w:type="pct"/>
          </w:tcPr>
          <w:p w14:paraId="40042860" w14:textId="77777777" w:rsidR="00E9700E" w:rsidRPr="00176D37" w:rsidRDefault="00E9700E" w:rsidP="009742AB">
            <w:pPr>
              <w:pStyle w:val="Tabletext"/>
              <w:jc w:val="right"/>
            </w:pPr>
            <w:r w:rsidRPr="00176D37">
              <w:t>-</w:t>
            </w:r>
          </w:p>
        </w:tc>
        <w:tc>
          <w:tcPr>
            <w:tcW w:w="521" w:type="pct"/>
          </w:tcPr>
          <w:p w14:paraId="7A8DB114" w14:textId="77777777" w:rsidR="00E9700E" w:rsidRPr="00176D37" w:rsidRDefault="00E9700E" w:rsidP="009742AB">
            <w:pPr>
              <w:pStyle w:val="Tabletext"/>
              <w:jc w:val="right"/>
            </w:pPr>
            <w:r w:rsidRPr="00176D37">
              <w:t>4 (27%)</w:t>
            </w:r>
          </w:p>
        </w:tc>
        <w:tc>
          <w:tcPr>
            <w:tcW w:w="520" w:type="pct"/>
          </w:tcPr>
          <w:p w14:paraId="28CF540A" w14:textId="77777777" w:rsidR="00E9700E" w:rsidRPr="00176D37" w:rsidRDefault="00E9700E" w:rsidP="009742AB">
            <w:pPr>
              <w:pStyle w:val="Tabletext"/>
              <w:jc w:val="right"/>
            </w:pPr>
            <w:r w:rsidRPr="00176D37">
              <w:t>-</w:t>
            </w:r>
          </w:p>
        </w:tc>
        <w:tc>
          <w:tcPr>
            <w:tcW w:w="518" w:type="pct"/>
          </w:tcPr>
          <w:p w14:paraId="34D7BC34" w14:textId="77777777" w:rsidR="00E9700E" w:rsidRPr="00176D37" w:rsidRDefault="00E9700E" w:rsidP="009742AB">
            <w:pPr>
              <w:pStyle w:val="Tabletext"/>
              <w:jc w:val="right"/>
            </w:pPr>
            <w:r w:rsidRPr="00176D37">
              <w:t>8 (20%)</w:t>
            </w:r>
          </w:p>
        </w:tc>
      </w:tr>
      <w:tr w:rsidR="00E00070" w:rsidRPr="00176D37" w14:paraId="20C55432" w14:textId="77777777" w:rsidTr="00F751A0">
        <w:trPr>
          <w:trHeight w:val="510"/>
        </w:trPr>
        <w:tc>
          <w:tcPr>
            <w:tcW w:w="761" w:type="pct"/>
          </w:tcPr>
          <w:p w14:paraId="09FB1E6D" w14:textId="4E81B816" w:rsidR="00E9700E" w:rsidRPr="00176D37" w:rsidRDefault="00E9700E" w:rsidP="00C645E1">
            <w:pPr>
              <w:pStyle w:val="Tabletext"/>
              <w:rPr>
                <w:shd w:val="clear" w:color="auto" w:fill="FFFFFF"/>
              </w:rPr>
            </w:pPr>
            <w:r w:rsidRPr="00176D37">
              <w:rPr>
                <w:shd w:val="clear" w:color="auto" w:fill="FFFFFF"/>
              </w:rPr>
              <w:t xml:space="preserve">More </w:t>
            </w:r>
            <w:r w:rsidR="00B4635A">
              <w:rPr>
                <w:shd w:val="clear" w:color="auto" w:fill="FFFFFF"/>
              </w:rPr>
              <w:t>i</w:t>
            </w:r>
            <w:r w:rsidRPr="00176D37">
              <w:rPr>
                <w:shd w:val="clear" w:color="auto" w:fill="FFFFFF"/>
              </w:rPr>
              <w:t>n</w:t>
            </w:r>
            <w:r w:rsidR="00B4635A">
              <w:rPr>
                <w:shd w:val="clear" w:color="auto" w:fill="FFFFFF"/>
              </w:rPr>
              <w:t>-</w:t>
            </w:r>
            <w:r w:rsidRPr="00176D37">
              <w:rPr>
                <w:shd w:val="clear" w:color="auto" w:fill="FFFFFF"/>
              </w:rPr>
              <w:t>house IT support</w:t>
            </w:r>
          </w:p>
        </w:tc>
        <w:tc>
          <w:tcPr>
            <w:tcW w:w="598" w:type="pct"/>
          </w:tcPr>
          <w:p w14:paraId="01CAFCF0" w14:textId="77777777" w:rsidR="00E9700E" w:rsidRPr="00176D37" w:rsidRDefault="00E9700E" w:rsidP="009742AB">
            <w:pPr>
              <w:pStyle w:val="Tabletext"/>
              <w:jc w:val="right"/>
            </w:pPr>
            <w:r w:rsidRPr="00176D37">
              <w:t>2 (50%)</w:t>
            </w:r>
          </w:p>
        </w:tc>
        <w:tc>
          <w:tcPr>
            <w:tcW w:w="521" w:type="pct"/>
          </w:tcPr>
          <w:p w14:paraId="635645A6" w14:textId="77777777" w:rsidR="00E9700E" w:rsidRPr="00176D37" w:rsidRDefault="00E9700E" w:rsidP="009742AB">
            <w:pPr>
              <w:pStyle w:val="Tabletext"/>
              <w:jc w:val="right"/>
            </w:pPr>
            <w:r w:rsidRPr="00176D37">
              <w:t>1 (20%)</w:t>
            </w:r>
          </w:p>
        </w:tc>
        <w:tc>
          <w:tcPr>
            <w:tcW w:w="483" w:type="pct"/>
          </w:tcPr>
          <w:p w14:paraId="7FBACF90" w14:textId="77777777" w:rsidR="00E9700E" w:rsidRPr="00176D37" w:rsidRDefault="00E9700E" w:rsidP="009742AB">
            <w:pPr>
              <w:pStyle w:val="Tabletext"/>
              <w:jc w:val="right"/>
            </w:pPr>
            <w:r w:rsidRPr="00176D37">
              <w:t>4 (67%)</w:t>
            </w:r>
          </w:p>
        </w:tc>
        <w:tc>
          <w:tcPr>
            <w:tcW w:w="535" w:type="pct"/>
          </w:tcPr>
          <w:p w14:paraId="3CB9CB7D" w14:textId="77777777" w:rsidR="00E9700E" w:rsidRPr="00176D37" w:rsidRDefault="00E9700E" w:rsidP="009742AB">
            <w:pPr>
              <w:pStyle w:val="Tabletext"/>
              <w:jc w:val="right"/>
            </w:pPr>
            <w:r w:rsidRPr="00176D37">
              <w:t>2 (40%)</w:t>
            </w:r>
          </w:p>
        </w:tc>
        <w:tc>
          <w:tcPr>
            <w:tcW w:w="544" w:type="pct"/>
          </w:tcPr>
          <w:p w14:paraId="3EC03DC5" w14:textId="77777777" w:rsidR="00E9700E" w:rsidRPr="00176D37" w:rsidRDefault="00E9700E" w:rsidP="009742AB">
            <w:pPr>
              <w:pStyle w:val="Tabletext"/>
              <w:jc w:val="right"/>
            </w:pPr>
            <w:r w:rsidRPr="00176D37">
              <w:t>-</w:t>
            </w:r>
          </w:p>
        </w:tc>
        <w:tc>
          <w:tcPr>
            <w:tcW w:w="521" w:type="pct"/>
          </w:tcPr>
          <w:p w14:paraId="700E93B8" w14:textId="77777777" w:rsidR="00E9700E" w:rsidRPr="00176D37" w:rsidRDefault="00E9700E" w:rsidP="009742AB">
            <w:pPr>
              <w:pStyle w:val="Tabletext"/>
              <w:jc w:val="right"/>
            </w:pPr>
            <w:r w:rsidRPr="00176D37">
              <w:t>5 (33%)</w:t>
            </w:r>
          </w:p>
        </w:tc>
        <w:tc>
          <w:tcPr>
            <w:tcW w:w="520" w:type="pct"/>
          </w:tcPr>
          <w:p w14:paraId="7A45DBEC" w14:textId="77777777" w:rsidR="00E9700E" w:rsidRPr="00176D37" w:rsidRDefault="00E9700E" w:rsidP="009742AB">
            <w:pPr>
              <w:pStyle w:val="Tabletext"/>
              <w:jc w:val="right"/>
            </w:pPr>
            <w:r w:rsidRPr="00176D37">
              <w:t>-</w:t>
            </w:r>
          </w:p>
        </w:tc>
        <w:tc>
          <w:tcPr>
            <w:tcW w:w="518" w:type="pct"/>
          </w:tcPr>
          <w:p w14:paraId="6512E418" w14:textId="77777777" w:rsidR="00E9700E" w:rsidRPr="00176D37" w:rsidRDefault="00E9700E" w:rsidP="009742AB">
            <w:pPr>
              <w:pStyle w:val="Tabletext"/>
              <w:jc w:val="right"/>
            </w:pPr>
            <w:r w:rsidRPr="00176D37">
              <w:t>14 (34%)</w:t>
            </w:r>
          </w:p>
        </w:tc>
      </w:tr>
      <w:tr w:rsidR="00E00070" w:rsidRPr="00176D37" w14:paraId="0BF31F7B" w14:textId="77777777" w:rsidTr="00F751A0">
        <w:trPr>
          <w:trHeight w:val="510"/>
        </w:trPr>
        <w:tc>
          <w:tcPr>
            <w:tcW w:w="761" w:type="pct"/>
          </w:tcPr>
          <w:p w14:paraId="4D3BD615" w14:textId="77777777" w:rsidR="00E9700E" w:rsidRPr="00176D37" w:rsidRDefault="00E9700E" w:rsidP="00C645E1">
            <w:pPr>
              <w:pStyle w:val="Tabletext"/>
              <w:rPr>
                <w:shd w:val="clear" w:color="auto" w:fill="FFFFFF"/>
              </w:rPr>
            </w:pPr>
            <w:r w:rsidRPr="00176D37">
              <w:rPr>
                <w:shd w:val="clear" w:color="auto" w:fill="FFFFFF"/>
              </w:rPr>
              <w:t>More EMR trained super users</w:t>
            </w:r>
          </w:p>
        </w:tc>
        <w:tc>
          <w:tcPr>
            <w:tcW w:w="598" w:type="pct"/>
          </w:tcPr>
          <w:p w14:paraId="0B90CE41" w14:textId="77777777" w:rsidR="00E9700E" w:rsidRPr="00176D37" w:rsidRDefault="00E9700E" w:rsidP="009742AB">
            <w:pPr>
              <w:pStyle w:val="Tabletext"/>
              <w:jc w:val="right"/>
            </w:pPr>
            <w:r w:rsidRPr="00176D37">
              <w:t>-</w:t>
            </w:r>
          </w:p>
        </w:tc>
        <w:tc>
          <w:tcPr>
            <w:tcW w:w="521" w:type="pct"/>
          </w:tcPr>
          <w:p w14:paraId="4D45594C" w14:textId="77777777" w:rsidR="00E9700E" w:rsidRPr="00176D37" w:rsidRDefault="00E9700E" w:rsidP="009742AB">
            <w:pPr>
              <w:pStyle w:val="Tabletext"/>
              <w:jc w:val="right"/>
            </w:pPr>
            <w:r w:rsidRPr="00176D37">
              <w:t>1 (20%)</w:t>
            </w:r>
          </w:p>
        </w:tc>
        <w:tc>
          <w:tcPr>
            <w:tcW w:w="483" w:type="pct"/>
          </w:tcPr>
          <w:p w14:paraId="787F8F99" w14:textId="77777777" w:rsidR="00E9700E" w:rsidRPr="00176D37" w:rsidRDefault="00E9700E" w:rsidP="009742AB">
            <w:pPr>
              <w:pStyle w:val="Tabletext"/>
              <w:jc w:val="right"/>
            </w:pPr>
            <w:r w:rsidRPr="00176D37">
              <w:t>2 (33%)</w:t>
            </w:r>
          </w:p>
        </w:tc>
        <w:tc>
          <w:tcPr>
            <w:tcW w:w="535" w:type="pct"/>
          </w:tcPr>
          <w:p w14:paraId="50B4DC5D" w14:textId="77777777" w:rsidR="00E9700E" w:rsidRPr="00176D37" w:rsidRDefault="00E9700E" w:rsidP="009742AB">
            <w:pPr>
              <w:pStyle w:val="Tabletext"/>
              <w:jc w:val="right"/>
            </w:pPr>
            <w:r w:rsidRPr="00176D37">
              <w:t>3 (60%)</w:t>
            </w:r>
          </w:p>
        </w:tc>
        <w:tc>
          <w:tcPr>
            <w:tcW w:w="544" w:type="pct"/>
          </w:tcPr>
          <w:p w14:paraId="4576B852" w14:textId="77777777" w:rsidR="00E9700E" w:rsidRPr="00176D37" w:rsidRDefault="00E9700E" w:rsidP="009742AB">
            <w:pPr>
              <w:pStyle w:val="Tabletext"/>
              <w:jc w:val="right"/>
            </w:pPr>
            <w:r w:rsidRPr="00176D37">
              <w:t>2 (67%)</w:t>
            </w:r>
          </w:p>
        </w:tc>
        <w:tc>
          <w:tcPr>
            <w:tcW w:w="521" w:type="pct"/>
          </w:tcPr>
          <w:p w14:paraId="768A0823" w14:textId="77777777" w:rsidR="00E9700E" w:rsidRPr="00176D37" w:rsidRDefault="00E9700E" w:rsidP="009742AB">
            <w:pPr>
              <w:pStyle w:val="Tabletext"/>
              <w:jc w:val="right"/>
            </w:pPr>
            <w:r w:rsidRPr="00176D37">
              <w:t>6 (40%)</w:t>
            </w:r>
          </w:p>
        </w:tc>
        <w:tc>
          <w:tcPr>
            <w:tcW w:w="520" w:type="pct"/>
          </w:tcPr>
          <w:p w14:paraId="28672B91" w14:textId="77777777" w:rsidR="00E9700E" w:rsidRPr="00176D37" w:rsidRDefault="00E9700E" w:rsidP="009742AB">
            <w:pPr>
              <w:pStyle w:val="Tabletext"/>
              <w:jc w:val="right"/>
            </w:pPr>
            <w:r w:rsidRPr="00176D37">
              <w:t>1 (25%)</w:t>
            </w:r>
          </w:p>
        </w:tc>
        <w:tc>
          <w:tcPr>
            <w:tcW w:w="518" w:type="pct"/>
          </w:tcPr>
          <w:p w14:paraId="18FF0F1A" w14:textId="77777777" w:rsidR="00E9700E" w:rsidRPr="00176D37" w:rsidRDefault="00E9700E" w:rsidP="009742AB">
            <w:pPr>
              <w:pStyle w:val="Tabletext"/>
              <w:jc w:val="right"/>
            </w:pPr>
            <w:r w:rsidRPr="00176D37">
              <w:t>15 (37%)</w:t>
            </w:r>
          </w:p>
        </w:tc>
      </w:tr>
    </w:tbl>
    <w:p w14:paraId="090B6CA8" w14:textId="77777777" w:rsidR="00E9700E" w:rsidRPr="00176D37" w:rsidRDefault="00E9700E" w:rsidP="00C645E1">
      <w:pPr>
        <w:pStyle w:val="Body"/>
        <w:spacing w:before="240"/>
      </w:pPr>
      <w:r w:rsidRPr="00176D37">
        <w:t>The most common suggested improvement to the EMR currently in use was the ability to make system changes to suit the respondents’ health organisation. This was followed by a more intuitive interface and improvement/problem resolution in a timelier manner.</w:t>
      </w:r>
    </w:p>
    <w:p w14:paraId="16541AA3" w14:textId="77777777" w:rsidR="00E9700E" w:rsidRPr="00176D37" w:rsidRDefault="00E9700E" w:rsidP="00C645E1">
      <w:pPr>
        <w:pStyle w:val="Body"/>
      </w:pPr>
      <w:r w:rsidRPr="00176D37">
        <w:t>Other improvements provided, included:</w:t>
      </w:r>
    </w:p>
    <w:p w14:paraId="338E9C22" w14:textId="09C31D51" w:rsidR="00E9700E" w:rsidRPr="00176D37" w:rsidRDefault="00683C15" w:rsidP="00C645E1">
      <w:pPr>
        <w:pStyle w:val="Bullet1"/>
      </w:pPr>
      <w:r>
        <w:t>r</w:t>
      </w:r>
      <w:r w:rsidRPr="00176D37">
        <w:t xml:space="preserve">educe </w:t>
      </w:r>
      <w:r w:rsidR="00E9700E" w:rsidRPr="00176D37">
        <w:t>hybrid records/eliminating paper where possible/use EMR for fresh blood product ordering and administration</w:t>
      </w:r>
    </w:p>
    <w:p w14:paraId="010891AF" w14:textId="7D7148A1" w:rsidR="00E9700E" w:rsidRPr="00176D37" w:rsidRDefault="00683C15" w:rsidP="00C645E1">
      <w:pPr>
        <w:pStyle w:val="Bullet1"/>
      </w:pPr>
      <w:r>
        <w:t>i</w:t>
      </w:r>
      <w:r w:rsidRPr="00176D37">
        <w:t xml:space="preserve">ntegration </w:t>
      </w:r>
      <w:r w:rsidR="00E9700E" w:rsidRPr="00176D37">
        <w:t>of the laboratory system to simplify blood processes and workflows</w:t>
      </w:r>
    </w:p>
    <w:p w14:paraId="40C98512" w14:textId="3DC71284" w:rsidR="00E9700E" w:rsidRPr="00176D37" w:rsidRDefault="00683C15" w:rsidP="00C645E1">
      <w:pPr>
        <w:pStyle w:val="Bullet1"/>
      </w:pPr>
      <w:r>
        <w:t>i</w:t>
      </w:r>
      <w:r w:rsidRPr="00176D37">
        <w:t xml:space="preserve">mproved </w:t>
      </w:r>
      <w:r w:rsidR="00E9700E" w:rsidRPr="00176D37">
        <w:t xml:space="preserve">device functionality/a better scanning system that is less prone to user error, </w:t>
      </w:r>
      <w:r>
        <w:t>for example</w:t>
      </w:r>
      <w:r w:rsidR="00E9700E" w:rsidRPr="00176D37">
        <w:t xml:space="preserve"> </w:t>
      </w:r>
      <w:proofErr w:type="spellStart"/>
      <w:r w:rsidR="00E9700E" w:rsidRPr="00176D37">
        <w:t>multiscanner</w:t>
      </w:r>
      <w:proofErr w:type="spellEnd"/>
      <w:r w:rsidR="00E9700E" w:rsidRPr="00176D37">
        <w:t xml:space="preserve"> that does not require a specific scanning technique</w:t>
      </w:r>
      <w:r w:rsidR="00E9700E" w:rsidRPr="00176D37" w:rsidDel="008A4990">
        <w:t xml:space="preserve"> </w:t>
      </w:r>
    </w:p>
    <w:p w14:paraId="29958A12" w14:textId="25277851" w:rsidR="0063333A" w:rsidRPr="009742AB" w:rsidRDefault="00683C15" w:rsidP="009742AB">
      <w:pPr>
        <w:pStyle w:val="Bullet1"/>
      </w:pPr>
      <w:r>
        <w:t>a</w:t>
      </w:r>
      <w:r w:rsidRPr="00176D37">
        <w:t xml:space="preserve"> </w:t>
      </w:r>
      <w:r w:rsidR="00E9700E" w:rsidRPr="00176D37">
        <w:t xml:space="preserve">less </w:t>
      </w:r>
      <w:r w:rsidR="00337074" w:rsidRPr="00176D37">
        <w:t>step</w:t>
      </w:r>
      <w:r w:rsidR="00337074">
        <w:t>-</w:t>
      </w:r>
      <w:r w:rsidR="00E9700E" w:rsidRPr="00176D37">
        <w:t>intensive workflow to obtain intra-op blood.</w:t>
      </w:r>
      <w:bookmarkStart w:id="433" w:name="_Toc101285730"/>
      <w:bookmarkStart w:id="434" w:name="_Toc101947751"/>
    </w:p>
    <w:p w14:paraId="3FA67AC2" w14:textId="77777777" w:rsidR="00C92B22" w:rsidRDefault="00C92B22">
      <w:pPr>
        <w:spacing w:after="0" w:line="240" w:lineRule="auto"/>
        <w:rPr>
          <w:rFonts w:eastAsia="MS Gothic" w:cs="Arial"/>
          <w:bCs/>
          <w:color w:val="AF272F"/>
          <w:kern w:val="32"/>
          <w:sz w:val="44"/>
          <w:szCs w:val="44"/>
        </w:rPr>
      </w:pPr>
      <w:r>
        <w:br w:type="page"/>
      </w:r>
    </w:p>
    <w:p w14:paraId="1E895429" w14:textId="73813A4C" w:rsidR="00E9700E" w:rsidRPr="00C645E1" w:rsidRDefault="00E9700E" w:rsidP="00C645E1">
      <w:pPr>
        <w:pStyle w:val="Heading1"/>
      </w:pPr>
      <w:bookmarkStart w:id="435" w:name="_Toc104975950"/>
      <w:r w:rsidRPr="00C645E1">
        <w:lastRenderedPageBreak/>
        <w:t>Summary</w:t>
      </w:r>
      <w:bookmarkEnd w:id="433"/>
      <w:bookmarkEnd w:id="434"/>
      <w:bookmarkEnd w:id="435"/>
    </w:p>
    <w:p w14:paraId="156E794C" w14:textId="240E20D4" w:rsidR="00E9700E" w:rsidRPr="00176D37" w:rsidRDefault="00E9700E" w:rsidP="00C645E1">
      <w:pPr>
        <w:pStyle w:val="Body"/>
      </w:pPr>
      <w:r w:rsidRPr="00176D37">
        <w:t>The increasing use of electronic medical records (EMR) provides opportunities for a range of potential benefits to the healthcare system, they can however also present challenge</w:t>
      </w:r>
      <w:r w:rsidR="009742AB">
        <w:t>s</w:t>
      </w:r>
      <w:r w:rsidRPr="00176D37">
        <w:t xml:space="preserve">. ANZSBT </w:t>
      </w:r>
      <w:r w:rsidRPr="00176D37">
        <w:rPr>
          <w:i/>
        </w:rPr>
        <w:t>Guidelines for the implementation and use of electronic medical records for transfusion</w:t>
      </w:r>
      <w:r w:rsidRPr="00176D37">
        <w:t xml:space="preserve"> were published in July 2021 to assist health service organisations implement safer transfusion practice using EMRs</w:t>
      </w:r>
      <w:r w:rsidR="009742AB">
        <w:t xml:space="preserve"> (ANZSBT 2021).</w:t>
      </w:r>
      <w:r w:rsidRPr="00176D37">
        <w:t xml:space="preserve"> </w:t>
      </w:r>
    </w:p>
    <w:p w14:paraId="4A300843" w14:textId="529CBC59" w:rsidR="00E9700E" w:rsidRPr="00176D37" w:rsidRDefault="00E9700E" w:rsidP="00C645E1">
      <w:pPr>
        <w:pStyle w:val="Body"/>
      </w:pPr>
      <w:r w:rsidRPr="00176D37">
        <w:t xml:space="preserve">Hospitals may inadvertently overlook the importance of their own processes and human components of the system in achieving the desired outcomes. Guidelines promote a set of expectations around EMR design and clinical practice workflow. Having a set of standards enables vendors to understand the expectations of the EMR and to design accordingly </w:t>
      </w:r>
      <w:r w:rsidR="00683C15" w:rsidRPr="00176D37">
        <w:rPr>
          <w:noProof/>
        </w:rPr>
        <w:t>(Crispin 2022)</w:t>
      </w:r>
      <w:r w:rsidRPr="00176D37">
        <w:t xml:space="preserve">. </w:t>
      </w:r>
    </w:p>
    <w:p w14:paraId="2FB9E043" w14:textId="732A1BF8" w:rsidR="00E9700E" w:rsidRPr="00176D37" w:rsidRDefault="00E9700E" w:rsidP="00C645E1">
      <w:pPr>
        <w:pStyle w:val="Body"/>
      </w:pPr>
      <w:r w:rsidRPr="00176D37">
        <w:t xml:space="preserve">The Australian Commission on Safety and Quality in Health Care (ACSQHC) published the </w:t>
      </w:r>
      <w:r w:rsidRPr="009742AB">
        <w:rPr>
          <w:i/>
          <w:iCs/>
        </w:rPr>
        <w:t xml:space="preserve">Impact of </w:t>
      </w:r>
      <w:r w:rsidR="00683C15" w:rsidRPr="00683C15">
        <w:rPr>
          <w:i/>
          <w:iCs/>
        </w:rPr>
        <w:t>digital health on the safety and quality of health care</w:t>
      </w:r>
      <w:r w:rsidR="00683C15" w:rsidRPr="00176D37">
        <w:t xml:space="preserve"> </w:t>
      </w:r>
      <w:r w:rsidRPr="00176D37">
        <w:t xml:space="preserve">in 2018 </w:t>
      </w:r>
      <w:r w:rsidR="00683C15" w:rsidRPr="00176D37">
        <w:rPr>
          <w:noProof/>
        </w:rPr>
        <w:t>(Shaw 2018)</w:t>
      </w:r>
      <w:r w:rsidRPr="00176D37">
        <w:t>. This document provides a broad overview of EMRs. Verrall</w:t>
      </w:r>
      <w:r w:rsidR="00683C15">
        <w:t xml:space="preserve"> (</w:t>
      </w:r>
      <w:r w:rsidRPr="00176D37">
        <w:t>2019</w:t>
      </w:r>
      <w:r w:rsidR="00683C15">
        <w:t>)</w:t>
      </w:r>
      <w:r w:rsidRPr="00176D37">
        <w:t xml:space="preserve"> </w:t>
      </w:r>
      <w:r w:rsidR="00683C15">
        <w:t xml:space="preserve">suggests </w:t>
      </w:r>
      <w:r w:rsidRPr="00176D37">
        <w:t xml:space="preserve">that there may be a role for the ACSQHC to consider EMR implementation in the national standards and consequently reviewed as part of the hospital accreditation process. </w:t>
      </w:r>
    </w:p>
    <w:p w14:paraId="08DD2FBA" w14:textId="317FF33A" w:rsidR="00E9700E" w:rsidRPr="00C645E1" w:rsidRDefault="00E9700E" w:rsidP="00C645E1">
      <w:pPr>
        <w:pStyle w:val="Heading2"/>
      </w:pPr>
      <w:bookmarkStart w:id="436" w:name="_Toc101285731"/>
      <w:bookmarkStart w:id="437" w:name="_Toc101947752"/>
      <w:bookmarkStart w:id="438" w:name="_Toc104975951"/>
      <w:r w:rsidRPr="00C645E1">
        <w:t xml:space="preserve">Lessons </w:t>
      </w:r>
      <w:bookmarkEnd w:id="436"/>
      <w:bookmarkEnd w:id="437"/>
      <w:r w:rsidR="00CF4604">
        <w:t>l</w:t>
      </w:r>
      <w:r w:rsidR="00CF4604" w:rsidRPr="00C645E1">
        <w:t>earn</w:t>
      </w:r>
      <w:r w:rsidR="00CF4604">
        <w:t>t</w:t>
      </w:r>
      <w:bookmarkEnd w:id="438"/>
    </w:p>
    <w:p w14:paraId="287CADB1" w14:textId="237BED72" w:rsidR="00E9700E" w:rsidRPr="00176D37" w:rsidRDefault="00E9700E" w:rsidP="00C645E1">
      <w:pPr>
        <w:pStyle w:val="Body"/>
      </w:pPr>
      <w:r w:rsidRPr="00176D37">
        <w:t xml:space="preserve">While EMRs offer huge potential to improve quality and patient care, they also represent one of the most significant changes a health service may undertake. Leadership support, efficient training, optimisation of the system, flexibility from the implementation team and utilising clinician champions will make the implementation process more efficient. If any components of the EMR system are new or require a new workflow to be introduced, specific attention in training and support contribute to a more effective learning process </w:t>
      </w:r>
      <w:r w:rsidR="00683C15" w:rsidRPr="00176D37">
        <w:rPr>
          <w:noProof/>
        </w:rPr>
        <w:t>(Rizer 2015)</w:t>
      </w:r>
      <w:r w:rsidRPr="00176D37">
        <w:t xml:space="preserve">. This was evident in the survey responses, particularly regarding super users and education being a positive aspect of EMR implementation. </w:t>
      </w:r>
    </w:p>
    <w:p w14:paraId="52201ED7" w14:textId="77777777" w:rsidR="00E9700E" w:rsidRPr="00683C15" w:rsidRDefault="00E9700E" w:rsidP="009742AB">
      <w:pPr>
        <w:pStyle w:val="Heading2"/>
      </w:pPr>
      <w:bookmarkStart w:id="439" w:name="_Toc101285732"/>
      <w:bookmarkStart w:id="440" w:name="_Toc101947753"/>
      <w:bookmarkStart w:id="441" w:name="_Toc104975952"/>
      <w:r w:rsidRPr="00C645E1">
        <w:t>Success factors</w:t>
      </w:r>
      <w:bookmarkEnd w:id="439"/>
      <w:bookmarkEnd w:id="440"/>
      <w:bookmarkEnd w:id="441"/>
    </w:p>
    <w:p w14:paraId="354BF925" w14:textId="77777777" w:rsidR="00E9700E" w:rsidRPr="00176D37" w:rsidRDefault="00E9700E" w:rsidP="00C645E1">
      <w:pPr>
        <w:pStyle w:val="Body"/>
      </w:pPr>
      <w:r w:rsidRPr="00176D37">
        <w:t xml:space="preserve">Barcode or radiofrequency ID (RFID) may reduce errors in patient ID at the time of sample collection and blood administration. </w:t>
      </w:r>
      <w:proofErr w:type="gramStart"/>
      <w:r w:rsidRPr="00176D37">
        <w:t>The majority of</w:t>
      </w:r>
      <w:proofErr w:type="gramEnd"/>
      <w:r w:rsidRPr="00176D37">
        <w:t xml:space="preserve"> health services with an EMR have barcode scanning as an adjunct to positive patient identification at the time of pretransfusion sample collection and blood product administration, although there was variability regarding its relationship to improving safety. </w:t>
      </w:r>
    </w:p>
    <w:p w14:paraId="3EA1CE84" w14:textId="4B888A8B" w:rsidR="00E9700E" w:rsidRPr="00176D37" w:rsidRDefault="00644CA4" w:rsidP="00C645E1">
      <w:pPr>
        <w:pStyle w:val="Body"/>
      </w:pPr>
      <w:r w:rsidRPr="00644CA4">
        <w:t>The use of integrated decision support tools when prescribing and monitoring vital signs may improve clinical transfusion practice. It can provide opportunities to ensure that consent has been obtained, and staff receive best practice reminders.</w:t>
      </w:r>
      <w:r>
        <w:t xml:space="preserve"> </w:t>
      </w:r>
      <w:r w:rsidR="00E9700E" w:rsidRPr="00176D37">
        <w:t xml:space="preserve">Another opportunity for improvement with EMR is the detection of and decision support for managing adverse transfusion reactions </w:t>
      </w:r>
      <w:r w:rsidR="00683C15" w:rsidRPr="00176D37">
        <w:rPr>
          <w:noProof/>
        </w:rPr>
        <w:t>(ANZSBT</w:t>
      </w:r>
      <w:r w:rsidR="00683C15">
        <w:rPr>
          <w:noProof/>
        </w:rPr>
        <w:t xml:space="preserve"> </w:t>
      </w:r>
      <w:r w:rsidR="00683C15" w:rsidRPr="00176D37">
        <w:rPr>
          <w:noProof/>
        </w:rPr>
        <w:t>2021)</w:t>
      </w:r>
      <w:r w:rsidR="00E9700E" w:rsidRPr="00176D37">
        <w:t>. Decision support was evident in some but not all EMR systems. There is evidence of its value and therefore it remains an opportunity for improvement within most health services.</w:t>
      </w:r>
    </w:p>
    <w:p w14:paraId="607C8221" w14:textId="77777777" w:rsidR="00E9700E" w:rsidRPr="00176D37" w:rsidRDefault="00E9700E" w:rsidP="00C645E1">
      <w:pPr>
        <w:pStyle w:val="Body"/>
      </w:pPr>
      <w:r w:rsidRPr="00176D37">
        <w:t>The reduction in paper forms has improved efficiency in some organisations, while it is reported as a desirable improvement by others.</w:t>
      </w:r>
      <w:r w:rsidRPr="00176D37" w:rsidDel="00D42EBA">
        <w:rPr>
          <w:lang w:eastAsia="en-AU"/>
        </w:rPr>
        <w:t xml:space="preserve"> </w:t>
      </w:r>
    </w:p>
    <w:p w14:paraId="23992693" w14:textId="491247DF" w:rsidR="00E9700E" w:rsidRPr="00176D37" w:rsidRDefault="00E9700E" w:rsidP="00C645E1">
      <w:pPr>
        <w:pStyle w:val="Body"/>
      </w:pPr>
      <w:r w:rsidRPr="00176D37">
        <w:t xml:space="preserve">The EMR can be used to facilitate or enforce best practice to improve patient care rather than simply record the events as they occur </w:t>
      </w:r>
      <w:r w:rsidR="00683C15" w:rsidRPr="00176D37">
        <w:rPr>
          <w:noProof/>
        </w:rPr>
        <w:t>(Crispin 2022)</w:t>
      </w:r>
      <w:r w:rsidRPr="00176D37">
        <w:t>. A small number of health services have included the use of alerts and reminders in the EMR. Of these some have included KPIs to monitor their use to improve practice.</w:t>
      </w:r>
    </w:p>
    <w:p w14:paraId="45698F2C" w14:textId="77777777" w:rsidR="00E9700E" w:rsidRPr="00683C15" w:rsidRDefault="00E9700E" w:rsidP="009742AB">
      <w:pPr>
        <w:pStyle w:val="Heading2"/>
      </w:pPr>
      <w:bookmarkStart w:id="442" w:name="_Toc101285733"/>
      <w:bookmarkStart w:id="443" w:name="_Toc101947754"/>
      <w:bookmarkStart w:id="444" w:name="_Toc104975953"/>
      <w:r w:rsidRPr="00C645E1">
        <w:lastRenderedPageBreak/>
        <w:t>Areas for improvement</w:t>
      </w:r>
      <w:bookmarkEnd w:id="442"/>
      <w:bookmarkEnd w:id="443"/>
      <w:bookmarkEnd w:id="444"/>
    </w:p>
    <w:p w14:paraId="7DA6668B" w14:textId="47A202A1" w:rsidR="00E9700E" w:rsidRPr="00176D37" w:rsidRDefault="00E9700E" w:rsidP="00C645E1">
      <w:pPr>
        <w:pStyle w:val="Body"/>
      </w:pPr>
      <w:r w:rsidRPr="00176D37">
        <w:t>Clinical content, the computer</w:t>
      </w:r>
      <w:r w:rsidR="004208EF">
        <w:t>–</w:t>
      </w:r>
      <w:r w:rsidRPr="00176D37">
        <w:t>human interface and human factors are responsible for the largest proportions of contributing factors for reported safety events. Healthcare services and vendors need to consider safety and workflow integration of any proposed hardware and software solutions, promoting best practice, particularly in matters of patient safety. The use of workarounds may offset any potential benefits of patient ID safety systems.</w:t>
      </w:r>
      <w:r w:rsidR="00683C15" w:rsidRPr="00176D37">
        <w:rPr>
          <w:noProof/>
        </w:rPr>
        <w:t xml:space="preserve"> (ANZSBT 2021)</w:t>
      </w:r>
      <w:r w:rsidRPr="00176D37">
        <w:t>.</w:t>
      </w:r>
    </w:p>
    <w:p w14:paraId="73B8E159" w14:textId="26044531" w:rsidR="00E9700E" w:rsidRPr="00176D37" w:rsidRDefault="00E9700E" w:rsidP="00C645E1">
      <w:pPr>
        <w:pStyle w:val="Body"/>
      </w:pPr>
      <w:r w:rsidRPr="00176D37">
        <w:t>Despite health services employing different EMR systems, the difficulties surrounding implementation and clinical transfusion practice are similar. Concerns have been raised that staff are treating EMRs as a safety system that will ensure safe process. Unless these safety systems are deliberately incorporated</w:t>
      </w:r>
      <w:r w:rsidR="004208EF">
        <w:t>,</w:t>
      </w:r>
      <w:r w:rsidRPr="00176D37">
        <w:t xml:space="preserve"> the EMR may simply be a passive documentation tool. This may result in basic principles of patient ID and the correct checking procedures not being followed during specimen collection and blood administration </w:t>
      </w:r>
      <w:r w:rsidR="00683C15" w:rsidRPr="00176D37">
        <w:rPr>
          <w:noProof/>
        </w:rPr>
        <w:t>(Verrall 2019)</w:t>
      </w:r>
      <w:r w:rsidRPr="00176D37">
        <w:t xml:space="preserve">. To enable EMR to shape safe practice, significant integration between information technology systems and human factors must exist. Where a system is perceived by users as contributing to safety, but is not designed to do so, risks are potentially increased </w:t>
      </w:r>
      <w:r w:rsidR="00683C15" w:rsidRPr="00176D37">
        <w:rPr>
          <w:noProof/>
        </w:rPr>
        <w:t>(ANZSBT 2021)</w:t>
      </w:r>
      <w:r w:rsidRPr="00176D37">
        <w:t xml:space="preserve">. </w:t>
      </w:r>
    </w:p>
    <w:p w14:paraId="16AA011B" w14:textId="395958CF" w:rsidR="00E9700E" w:rsidRPr="00176D37" w:rsidRDefault="00E9700E" w:rsidP="00C645E1">
      <w:pPr>
        <w:pStyle w:val="Body"/>
      </w:pPr>
      <w:r w:rsidRPr="00176D37">
        <w:t xml:space="preserve">Many EMR systems implemented in Australia have been developed internationally and implemented without local clinical consultation </w:t>
      </w:r>
      <w:r w:rsidR="00683C15" w:rsidRPr="00176D37">
        <w:rPr>
          <w:noProof/>
        </w:rPr>
        <w:t>(Verrall 2019)</w:t>
      </w:r>
      <w:r w:rsidRPr="00176D37">
        <w:t>. This has led to EMR</w:t>
      </w:r>
      <w:r w:rsidR="004208EF">
        <w:t>s</w:t>
      </w:r>
      <w:r w:rsidRPr="00176D37">
        <w:t xml:space="preserve"> </w:t>
      </w:r>
      <w:r w:rsidR="004208EF">
        <w:t>using</w:t>
      </w:r>
      <w:r w:rsidR="004208EF" w:rsidRPr="00176D37">
        <w:t xml:space="preserve"> </w:t>
      </w:r>
      <w:r w:rsidRPr="00176D37">
        <w:t xml:space="preserve">terminology </w:t>
      </w:r>
      <w:r w:rsidR="004208EF">
        <w:t>that some survey respondents found</w:t>
      </w:r>
      <w:r w:rsidRPr="00176D37">
        <w:t xml:space="preserve"> unfamiliar</w:t>
      </w:r>
      <w:r w:rsidR="004208EF">
        <w:t>,</w:t>
      </w:r>
      <w:r w:rsidRPr="00176D37">
        <w:t xml:space="preserve"> and </w:t>
      </w:r>
      <w:r w:rsidR="004208EF">
        <w:t>forcing them</w:t>
      </w:r>
      <w:r w:rsidRPr="00176D37">
        <w:t xml:space="preserve"> to change their practices and </w:t>
      </w:r>
      <w:r w:rsidR="0063333A" w:rsidRPr="00176D37">
        <w:t>protocols</w:t>
      </w:r>
      <w:r w:rsidR="004208EF">
        <w:t>,</w:t>
      </w:r>
      <w:r w:rsidR="004208EF" w:rsidRPr="00176D37">
        <w:t xml:space="preserve"> </w:t>
      </w:r>
      <w:r w:rsidR="004208EF">
        <w:t>potentially affecting</w:t>
      </w:r>
      <w:r w:rsidRPr="00176D37">
        <w:t xml:space="preserve"> staff comfort with the system and patient care.</w:t>
      </w:r>
    </w:p>
    <w:p w14:paraId="12F92055" w14:textId="77777777" w:rsidR="00E9700E" w:rsidRPr="00683C15" w:rsidRDefault="00E9700E" w:rsidP="009742AB">
      <w:pPr>
        <w:pStyle w:val="Heading2"/>
      </w:pPr>
      <w:bookmarkStart w:id="445" w:name="_Toc101285734"/>
      <w:bookmarkStart w:id="446" w:name="_Toc101947755"/>
      <w:bookmarkStart w:id="447" w:name="_Toc104975954"/>
      <w:r w:rsidRPr="00C645E1">
        <w:t>Conclusion</w:t>
      </w:r>
      <w:bookmarkEnd w:id="445"/>
      <w:bookmarkEnd w:id="446"/>
      <w:bookmarkEnd w:id="447"/>
    </w:p>
    <w:p w14:paraId="7A5A2734" w14:textId="1F1FEFDF" w:rsidR="00E9700E" w:rsidRPr="00176D37" w:rsidRDefault="00E9700E" w:rsidP="00C645E1">
      <w:pPr>
        <w:pStyle w:val="Body"/>
      </w:pPr>
      <w:r w:rsidRPr="00176D37">
        <w:t xml:space="preserve">This survey generated a complex, and at times contradictory, dataset exploring </w:t>
      </w:r>
      <w:r w:rsidR="004208EF" w:rsidRPr="00176D37">
        <w:t>end</w:t>
      </w:r>
      <w:r w:rsidR="004208EF">
        <w:t>-</w:t>
      </w:r>
      <w:r w:rsidRPr="00176D37">
        <w:t xml:space="preserve">user experiences of EMR design, </w:t>
      </w:r>
      <w:proofErr w:type="gramStart"/>
      <w:r w:rsidRPr="00176D37">
        <w:t>implementation</w:t>
      </w:r>
      <w:proofErr w:type="gramEnd"/>
      <w:r w:rsidRPr="00176D37">
        <w:t xml:space="preserve"> and use. </w:t>
      </w:r>
    </w:p>
    <w:p w14:paraId="6F9EFD49" w14:textId="26F72560" w:rsidR="00E9700E" w:rsidRPr="00176D37" w:rsidRDefault="00E9700E" w:rsidP="00C645E1">
      <w:pPr>
        <w:pStyle w:val="Body"/>
      </w:pPr>
      <w:r w:rsidRPr="00176D37">
        <w:t xml:space="preserve">Each health service </w:t>
      </w:r>
      <w:r w:rsidR="00E00070" w:rsidRPr="00176D37">
        <w:t>has</w:t>
      </w:r>
      <w:r w:rsidRPr="00176D37">
        <w:t xml:space="preserve"> unique operating considerations, </w:t>
      </w:r>
      <w:proofErr w:type="gramStart"/>
      <w:r w:rsidRPr="00176D37">
        <w:t>constraints</w:t>
      </w:r>
      <w:proofErr w:type="gramEnd"/>
      <w:r w:rsidRPr="00176D37">
        <w:t xml:space="preserve"> and workflows </w:t>
      </w:r>
      <w:r w:rsidR="004208EF">
        <w:t>that</w:t>
      </w:r>
      <w:r w:rsidR="004208EF" w:rsidRPr="00176D37">
        <w:t xml:space="preserve"> </w:t>
      </w:r>
      <w:r w:rsidR="004208EF">
        <w:t>the implementation of an EMR will affect</w:t>
      </w:r>
      <w:r w:rsidR="004208EF" w:rsidRPr="00176D37">
        <w:t xml:space="preserve"> </w:t>
      </w:r>
      <w:r w:rsidRPr="00176D37">
        <w:t xml:space="preserve">in different ways. Important lessons can be </w:t>
      </w:r>
      <w:r w:rsidR="004208EF">
        <w:t>learned</w:t>
      </w:r>
      <w:r w:rsidR="004208EF" w:rsidRPr="00176D37">
        <w:t xml:space="preserve"> </w:t>
      </w:r>
      <w:r w:rsidRPr="00176D37">
        <w:t xml:space="preserve">from those who generously provided insights into EMR processes and experiences through our survey. Health services </w:t>
      </w:r>
      <w:r w:rsidR="004208EF">
        <w:t>that</w:t>
      </w:r>
      <w:r w:rsidR="004208EF" w:rsidRPr="00176D37">
        <w:t xml:space="preserve"> </w:t>
      </w:r>
      <w:r w:rsidRPr="00176D37">
        <w:t>are yet to implement an EMR can integrate and incorporate these experiences for their own journey.</w:t>
      </w:r>
    </w:p>
    <w:p w14:paraId="4167BC0D" w14:textId="62825BD5" w:rsidR="00E9700E" w:rsidRPr="00176D37" w:rsidRDefault="00E9700E" w:rsidP="00C645E1">
      <w:pPr>
        <w:pStyle w:val="Body"/>
      </w:pPr>
      <w:r w:rsidRPr="00176D37">
        <w:t xml:space="preserve">Wide consultation and collaboration </w:t>
      </w:r>
      <w:r w:rsidR="004208EF">
        <w:t>between</w:t>
      </w:r>
      <w:r w:rsidR="004208EF" w:rsidRPr="00176D37">
        <w:t xml:space="preserve"> </w:t>
      </w:r>
      <w:r w:rsidRPr="00176D37">
        <w:t>all groups in healthcare is vital. Systems must be well planned and tested prior to go-live, with consideration given to established safe workflows, so they are not forced to change to suit the EMR. Education and ongoing training are paramount to efficient implementation, with robust processes in place for accessing timely EMR support.</w:t>
      </w:r>
    </w:p>
    <w:p w14:paraId="43A6132B" w14:textId="77777777" w:rsidR="00E9700E" w:rsidRPr="00176D37" w:rsidRDefault="00E9700E" w:rsidP="00C645E1">
      <w:pPr>
        <w:pStyle w:val="Body"/>
      </w:pPr>
      <w:r w:rsidRPr="00176D37">
        <w:t xml:space="preserve">Optimisation of EMR processes can be enhanced by providing defined pathways for end-user feedback, along with regular review of this feedback and any data associated with alert overrides or system bypass that can identify deficiencies in processes. </w:t>
      </w:r>
    </w:p>
    <w:p w14:paraId="553A274B" w14:textId="74A366A3" w:rsidR="00E9700E" w:rsidRPr="00176D37" w:rsidRDefault="00E9700E" w:rsidP="00C645E1">
      <w:pPr>
        <w:pStyle w:val="Body"/>
      </w:pPr>
      <w:r w:rsidRPr="00176D37">
        <w:t>The benefits of EMR can be immense if designed and implemented well. Awareness around best practice, adherence to guidelines and collaboration between healthcare groups is vital to ensure the EMR adds value to, rather than hinder</w:t>
      </w:r>
      <w:r w:rsidR="004208EF">
        <w:t>s</w:t>
      </w:r>
      <w:r w:rsidRPr="00176D37">
        <w:t>, safe patient care.</w:t>
      </w:r>
    </w:p>
    <w:p w14:paraId="33025DCF" w14:textId="77777777" w:rsidR="00E9700E" w:rsidRPr="00176D37" w:rsidRDefault="00E9700E" w:rsidP="00E9700E">
      <w:pPr>
        <w:spacing w:before="100" w:beforeAutospacing="1" w:line="360" w:lineRule="auto"/>
        <w:rPr>
          <w:rFonts w:cs="Arial"/>
        </w:rPr>
      </w:pPr>
    </w:p>
    <w:p w14:paraId="7CD5A7CF" w14:textId="77777777" w:rsidR="00E9700E" w:rsidRPr="00176D37" w:rsidRDefault="00E9700E" w:rsidP="00E9700E">
      <w:pPr>
        <w:rPr>
          <w:rFonts w:eastAsiaTheme="majorEastAsia" w:cs="Arial"/>
          <w:color w:val="365F91" w:themeColor="accent1" w:themeShade="BF"/>
          <w:sz w:val="32"/>
          <w:szCs w:val="32"/>
        </w:rPr>
      </w:pPr>
      <w:r w:rsidRPr="00176D37">
        <w:rPr>
          <w:rFonts w:cs="Arial"/>
        </w:rPr>
        <w:br w:type="page"/>
      </w:r>
    </w:p>
    <w:bookmarkStart w:id="448" w:name="_Toc101947756" w:displacedByCustomXml="next"/>
    <w:bookmarkStart w:id="449" w:name="_Toc101285735" w:displacedByCustomXml="next"/>
    <w:bookmarkStart w:id="450" w:name="_Toc104975955" w:displacedByCustomXml="next"/>
    <w:sdt>
      <w:sdtPr>
        <w:rPr>
          <w:rFonts w:asciiTheme="minorHAnsi" w:eastAsiaTheme="minorHAnsi" w:hAnsiTheme="minorHAnsi" w:cs="Times New Roman"/>
          <w:bCs w:val="0"/>
          <w:color w:val="auto"/>
          <w:kern w:val="0"/>
          <w:sz w:val="22"/>
          <w:szCs w:val="22"/>
        </w:rPr>
        <w:id w:val="-693691151"/>
        <w:docPartObj>
          <w:docPartGallery w:val="Bibliographies"/>
          <w:docPartUnique/>
        </w:docPartObj>
      </w:sdtPr>
      <w:sdtEndPr>
        <w:rPr>
          <w:rFonts w:ascii="Arial" w:eastAsia="Times" w:hAnsi="Arial"/>
          <w:sz w:val="21"/>
          <w:szCs w:val="20"/>
        </w:rPr>
      </w:sdtEndPr>
      <w:sdtContent>
        <w:p w14:paraId="2B93B9B2" w14:textId="77777777" w:rsidR="00E9700E" w:rsidRPr="00C645E1" w:rsidRDefault="00E9700E" w:rsidP="00E9700E">
          <w:pPr>
            <w:pStyle w:val="Heading1"/>
            <w:spacing w:after="120" w:line="360" w:lineRule="auto"/>
          </w:pPr>
          <w:r w:rsidRPr="00C645E1">
            <w:t>References</w:t>
          </w:r>
          <w:bookmarkEnd w:id="450"/>
          <w:bookmarkEnd w:id="449"/>
          <w:bookmarkEnd w:id="448"/>
        </w:p>
        <w:sdt>
          <w:sdtPr>
            <w:rPr>
              <w:rFonts w:eastAsia="Times New Roman"/>
            </w:rPr>
            <w:id w:val="-2014826619"/>
            <w:bibliography/>
          </w:sdtPr>
          <w:sdtEndPr>
            <w:rPr>
              <w:rFonts w:eastAsia="Times"/>
            </w:rPr>
          </w:sdtEndPr>
          <w:sdtContent>
            <w:p w14:paraId="5D47A120" w14:textId="049639FB" w:rsidR="00E9700E" w:rsidRPr="00176D37" w:rsidRDefault="00E9700E" w:rsidP="00C645E1">
              <w:pPr>
                <w:pStyle w:val="Body"/>
                <w:rPr>
                  <w:noProof/>
                  <w:sz w:val="24"/>
                  <w:szCs w:val="24"/>
                </w:rPr>
              </w:pPr>
              <w:r w:rsidRPr="00176D37">
                <w:rPr>
                  <w:rFonts w:eastAsiaTheme="minorHAnsi"/>
                  <w:sz w:val="22"/>
                  <w:szCs w:val="22"/>
                </w:rPr>
                <w:fldChar w:fldCharType="begin"/>
              </w:r>
              <w:r w:rsidRPr="00176D37">
                <w:instrText xml:space="preserve"> BIBLIOGRAPHY </w:instrText>
              </w:r>
              <w:r w:rsidRPr="00176D37">
                <w:rPr>
                  <w:rFonts w:eastAsiaTheme="minorHAnsi"/>
                  <w:sz w:val="22"/>
                  <w:szCs w:val="22"/>
                </w:rPr>
                <w:fldChar w:fldCharType="separate"/>
              </w:r>
              <w:r w:rsidRPr="00176D37">
                <w:rPr>
                  <w:noProof/>
                </w:rPr>
                <w:t>ACSQHC 2017</w:t>
              </w:r>
              <w:r w:rsidR="004208EF">
                <w:rPr>
                  <w:noProof/>
                </w:rPr>
                <w:t>,</w:t>
              </w:r>
              <w:r w:rsidR="004208EF" w:rsidRPr="00176D37">
                <w:rPr>
                  <w:noProof/>
                </w:rPr>
                <w:t xml:space="preserve"> </w:t>
              </w:r>
              <w:r w:rsidRPr="00176D37">
                <w:rPr>
                  <w:i/>
                  <w:iCs/>
                  <w:noProof/>
                </w:rPr>
                <w:t>National Safety and Quality Health Service (NSQHS) Standards</w:t>
              </w:r>
              <w:r w:rsidR="00A90CFD">
                <w:rPr>
                  <w:i/>
                  <w:iCs/>
                  <w:noProof/>
                </w:rPr>
                <w:t>:</w:t>
              </w:r>
              <w:r w:rsidRPr="00176D37">
                <w:rPr>
                  <w:i/>
                  <w:iCs/>
                  <w:noProof/>
                </w:rPr>
                <w:t xml:space="preserve"> Blood </w:t>
              </w:r>
              <w:r w:rsidR="00447F10">
                <w:rPr>
                  <w:i/>
                  <w:iCs/>
                  <w:noProof/>
                </w:rPr>
                <w:t>m</w:t>
              </w:r>
              <w:r w:rsidR="00447F10" w:rsidRPr="00176D37">
                <w:rPr>
                  <w:i/>
                  <w:iCs/>
                  <w:noProof/>
                </w:rPr>
                <w:t xml:space="preserve">anagement </w:t>
              </w:r>
              <w:r w:rsidR="00447F10">
                <w:rPr>
                  <w:i/>
                  <w:iCs/>
                  <w:noProof/>
                </w:rPr>
                <w:t>s</w:t>
              </w:r>
              <w:r w:rsidR="00447F10" w:rsidRPr="00176D37">
                <w:rPr>
                  <w:i/>
                  <w:iCs/>
                  <w:noProof/>
                </w:rPr>
                <w:t>tandard</w:t>
              </w:r>
              <w:r w:rsidR="00447F10">
                <w:rPr>
                  <w:i/>
                  <w:iCs/>
                  <w:noProof/>
                </w:rPr>
                <w:t xml:space="preserve">, </w:t>
              </w:r>
              <w:r w:rsidRPr="00176D37">
                <w:rPr>
                  <w:noProof/>
                </w:rPr>
                <w:t>ACSQHC</w:t>
              </w:r>
              <w:r w:rsidR="00447F10">
                <w:rPr>
                  <w:noProof/>
                </w:rPr>
                <w:t>,</w:t>
              </w:r>
              <w:r w:rsidR="00447F10" w:rsidRPr="00176D37">
                <w:rPr>
                  <w:noProof/>
                </w:rPr>
                <w:t xml:space="preserve"> </w:t>
              </w:r>
              <w:r w:rsidRPr="00176D37">
                <w:rPr>
                  <w:noProof/>
                </w:rPr>
                <w:t>Sydney</w:t>
              </w:r>
              <w:r w:rsidR="00447F10">
                <w:rPr>
                  <w:noProof/>
                </w:rPr>
                <w:t>, &lt;</w:t>
              </w:r>
              <w:r w:rsidRPr="00176D37">
                <w:rPr>
                  <w:noProof/>
                </w:rPr>
                <w:t>https://www.safetyandquality.gov.au/standards/nsqhs-standards/blood-management-standard</w:t>
              </w:r>
              <w:r w:rsidR="00447F10">
                <w:rPr>
                  <w:noProof/>
                </w:rPr>
                <w:t>&gt;.</w:t>
              </w:r>
            </w:p>
            <w:p w14:paraId="1FFD430F" w14:textId="43503419" w:rsidR="00E9700E" w:rsidRPr="00176D37" w:rsidRDefault="00E9700E" w:rsidP="00C645E1">
              <w:pPr>
                <w:pStyle w:val="Body"/>
                <w:rPr>
                  <w:noProof/>
                </w:rPr>
              </w:pPr>
              <w:r w:rsidRPr="00176D37">
                <w:rPr>
                  <w:noProof/>
                </w:rPr>
                <w:t>ACSQHC</w:t>
              </w:r>
              <w:r w:rsidR="00447F10">
                <w:rPr>
                  <w:noProof/>
                </w:rPr>
                <w:t xml:space="preserve"> </w:t>
              </w:r>
              <w:r w:rsidRPr="00176D37">
                <w:rPr>
                  <w:noProof/>
                </w:rPr>
                <w:t>2021</w:t>
              </w:r>
              <w:r w:rsidR="00447F10">
                <w:rPr>
                  <w:noProof/>
                </w:rPr>
                <w:t>,</w:t>
              </w:r>
              <w:r w:rsidRPr="00176D37">
                <w:rPr>
                  <w:noProof/>
                </w:rPr>
                <w:t xml:space="preserve"> </w:t>
              </w:r>
              <w:r w:rsidRPr="00176D37">
                <w:rPr>
                  <w:i/>
                  <w:iCs/>
                  <w:noProof/>
                </w:rPr>
                <w:t>Fact sheet</w:t>
              </w:r>
              <w:r w:rsidR="00447F10">
                <w:rPr>
                  <w:i/>
                  <w:iCs/>
                  <w:noProof/>
                </w:rPr>
                <w:t>:</w:t>
              </w:r>
              <w:r w:rsidRPr="00176D37">
                <w:rPr>
                  <w:i/>
                  <w:iCs/>
                  <w:noProof/>
                </w:rPr>
                <w:t xml:space="preserve"> informed consent </w:t>
              </w:r>
              <w:r w:rsidR="00447F10">
                <w:rPr>
                  <w:i/>
                  <w:iCs/>
                  <w:noProof/>
                </w:rPr>
                <w:t>–</w:t>
              </w:r>
              <w:r w:rsidRPr="00176D37">
                <w:rPr>
                  <w:i/>
                  <w:iCs/>
                  <w:noProof/>
                </w:rPr>
                <w:t xml:space="preserve"> NSQHS 8.9a</w:t>
              </w:r>
              <w:r w:rsidR="00447F10">
                <w:rPr>
                  <w:i/>
                  <w:iCs/>
                  <w:noProof/>
                </w:rPr>
                <w:t>,</w:t>
              </w:r>
              <w:r w:rsidR="00447F10" w:rsidRPr="00176D37">
                <w:rPr>
                  <w:noProof/>
                </w:rPr>
                <w:t xml:space="preserve"> ACSQHC</w:t>
              </w:r>
              <w:r w:rsidR="00447F10">
                <w:rPr>
                  <w:noProof/>
                </w:rPr>
                <w:t>,</w:t>
              </w:r>
              <w:r w:rsidR="00447F10" w:rsidRPr="00176D37">
                <w:rPr>
                  <w:noProof/>
                </w:rPr>
                <w:t xml:space="preserve"> Sydney</w:t>
              </w:r>
              <w:r w:rsidR="00447F10">
                <w:rPr>
                  <w:noProof/>
                </w:rPr>
                <w:t>, &lt;</w:t>
              </w:r>
              <w:r w:rsidRPr="00176D37">
                <w:rPr>
                  <w:noProof/>
                </w:rPr>
                <w:t>https://www.safetyandquality.gov.au/sites/default/files/2020-09/sq20-030_-_fact_sheet_-_informed_consent_-_nsqhs-8.9a.pdf</w:t>
              </w:r>
              <w:r w:rsidR="00447F10">
                <w:rPr>
                  <w:noProof/>
                </w:rPr>
                <w:t>&gt;.</w:t>
              </w:r>
            </w:p>
            <w:p w14:paraId="520268A5" w14:textId="623D0847" w:rsidR="00E9700E" w:rsidRPr="00176D37" w:rsidRDefault="00E9700E" w:rsidP="00C645E1">
              <w:pPr>
                <w:pStyle w:val="Body"/>
                <w:rPr>
                  <w:noProof/>
                </w:rPr>
              </w:pPr>
              <w:r w:rsidRPr="00176D37">
                <w:rPr>
                  <w:noProof/>
                </w:rPr>
                <w:t>ANZSBT</w:t>
              </w:r>
              <w:r w:rsidR="007866D1">
                <w:rPr>
                  <w:noProof/>
                </w:rPr>
                <w:t xml:space="preserve"> </w:t>
              </w:r>
              <w:r w:rsidRPr="00176D37">
                <w:rPr>
                  <w:noProof/>
                </w:rPr>
                <w:t>2019</w:t>
              </w:r>
              <w:r w:rsidR="007866D1">
                <w:rPr>
                  <w:noProof/>
                </w:rPr>
                <w:t>,</w:t>
              </w:r>
              <w:r w:rsidR="007866D1" w:rsidRPr="00176D37">
                <w:rPr>
                  <w:noProof/>
                </w:rPr>
                <w:t xml:space="preserve"> </w:t>
              </w:r>
              <w:r w:rsidRPr="00176D37">
                <w:rPr>
                  <w:i/>
                  <w:iCs/>
                  <w:noProof/>
                </w:rPr>
                <w:t xml:space="preserve">Guidelines for the </w:t>
              </w:r>
              <w:r w:rsidR="007866D1" w:rsidRPr="00176D37">
                <w:rPr>
                  <w:i/>
                  <w:iCs/>
                  <w:noProof/>
                </w:rPr>
                <w:t>administration of blood pr</w:t>
              </w:r>
              <w:r w:rsidRPr="00176D37">
                <w:rPr>
                  <w:i/>
                  <w:iCs/>
                  <w:noProof/>
                </w:rPr>
                <w:t xml:space="preserve">oducts, </w:t>
              </w:r>
              <w:r w:rsidRPr="009742AB">
                <w:rPr>
                  <w:noProof/>
                </w:rPr>
                <w:t>3rd ed</w:t>
              </w:r>
              <w:r w:rsidR="007866D1">
                <w:rPr>
                  <w:noProof/>
                </w:rPr>
                <w:t>.</w:t>
              </w:r>
              <w:r w:rsidR="007866D1">
                <w:rPr>
                  <w:i/>
                  <w:iCs/>
                  <w:noProof/>
                </w:rPr>
                <w:t>,</w:t>
              </w:r>
              <w:r w:rsidR="007866D1" w:rsidRPr="00176D37">
                <w:rPr>
                  <w:noProof/>
                </w:rPr>
                <w:t xml:space="preserve"> </w:t>
              </w:r>
              <w:r w:rsidR="007866D1">
                <w:rPr>
                  <w:noProof/>
                </w:rPr>
                <w:t>ANZSBT,</w:t>
              </w:r>
              <w:r w:rsidR="007866D1" w:rsidRPr="00176D37">
                <w:rPr>
                  <w:noProof/>
                </w:rPr>
                <w:t xml:space="preserve"> Sydney</w:t>
              </w:r>
              <w:r w:rsidR="007866D1">
                <w:rPr>
                  <w:noProof/>
                </w:rPr>
                <w:t>, &lt;</w:t>
              </w:r>
              <w:r w:rsidRPr="00176D37">
                <w:rPr>
                  <w:noProof/>
                </w:rPr>
                <w:t>https://anzsbt.org.au/guidelines-standards/anzsbt-guidelines/</w:t>
              </w:r>
              <w:r w:rsidR="007866D1">
                <w:rPr>
                  <w:noProof/>
                </w:rPr>
                <w:t>&gt;.</w:t>
              </w:r>
            </w:p>
            <w:p w14:paraId="417565BF" w14:textId="11CF2D7D" w:rsidR="00E9700E" w:rsidRPr="00176D37" w:rsidRDefault="00E9700E" w:rsidP="00C645E1">
              <w:pPr>
                <w:pStyle w:val="Body"/>
                <w:rPr>
                  <w:noProof/>
                </w:rPr>
              </w:pPr>
              <w:r w:rsidRPr="00176D37">
                <w:rPr>
                  <w:noProof/>
                </w:rPr>
                <w:t>ANZSBT</w:t>
              </w:r>
              <w:r w:rsidR="007866D1">
                <w:rPr>
                  <w:noProof/>
                </w:rPr>
                <w:t xml:space="preserve"> </w:t>
              </w:r>
              <w:r w:rsidRPr="00176D37">
                <w:rPr>
                  <w:noProof/>
                </w:rPr>
                <w:t>2020</w:t>
              </w:r>
              <w:r w:rsidR="007866D1">
                <w:rPr>
                  <w:noProof/>
                </w:rPr>
                <w:t>,</w:t>
              </w:r>
              <w:r w:rsidRPr="00176D37">
                <w:rPr>
                  <w:noProof/>
                </w:rPr>
                <w:t xml:space="preserve"> </w:t>
              </w:r>
              <w:r w:rsidRPr="00176D37">
                <w:rPr>
                  <w:i/>
                  <w:iCs/>
                  <w:noProof/>
                </w:rPr>
                <w:t xml:space="preserve">Guildelines for </w:t>
              </w:r>
              <w:r w:rsidR="007866D1" w:rsidRPr="00176D37">
                <w:rPr>
                  <w:i/>
                  <w:iCs/>
                  <w:noProof/>
                </w:rPr>
                <w:t>transfusion and immunohaematology laboratory pra</w:t>
              </w:r>
              <w:r w:rsidRPr="00176D37">
                <w:rPr>
                  <w:i/>
                  <w:iCs/>
                  <w:noProof/>
                </w:rPr>
                <w:t xml:space="preserve">ctice, </w:t>
              </w:r>
              <w:r w:rsidR="007866D1">
                <w:rPr>
                  <w:noProof/>
                </w:rPr>
                <w:t>r</w:t>
              </w:r>
              <w:r w:rsidR="007866D1" w:rsidRPr="009742AB">
                <w:rPr>
                  <w:noProof/>
                </w:rPr>
                <w:t xml:space="preserve">evised </w:t>
              </w:r>
              <w:r w:rsidRPr="009742AB">
                <w:rPr>
                  <w:noProof/>
                </w:rPr>
                <w:t>1st ed</w:t>
              </w:r>
              <w:r w:rsidRPr="00176D37">
                <w:rPr>
                  <w:i/>
                  <w:iCs/>
                  <w:noProof/>
                </w:rPr>
                <w:t>.</w:t>
              </w:r>
              <w:r w:rsidRPr="00176D37">
                <w:rPr>
                  <w:noProof/>
                </w:rPr>
                <w:t xml:space="preserve"> ANZSBT</w:t>
              </w:r>
              <w:r w:rsidR="007866D1">
                <w:rPr>
                  <w:noProof/>
                </w:rPr>
                <w:t>, Sydney, &lt;</w:t>
              </w:r>
              <w:r w:rsidRPr="00176D37">
                <w:rPr>
                  <w:noProof/>
                </w:rPr>
                <w:t>https://anzsbt.org.au/guidelines-standards/anzsbt-guidelines/</w:t>
              </w:r>
              <w:r w:rsidR="007866D1">
                <w:rPr>
                  <w:noProof/>
                </w:rPr>
                <w:t>&gt;.</w:t>
              </w:r>
            </w:p>
            <w:p w14:paraId="4FCD2821" w14:textId="6E78F03A" w:rsidR="00E9700E" w:rsidRPr="00176D37" w:rsidRDefault="00E9700E" w:rsidP="00C645E1">
              <w:pPr>
                <w:pStyle w:val="Body"/>
                <w:rPr>
                  <w:noProof/>
                </w:rPr>
              </w:pPr>
              <w:r w:rsidRPr="00176D37">
                <w:rPr>
                  <w:noProof/>
                </w:rPr>
                <w:t>ANZSBT</w:t>
              </w:r>
              <w:r w:rsidR="007866D1">
                <w:rPr>
                  <w:noProof/>
                </w:rPr>
                <w:t xml:space="preserve"> </w:t>
              </w:r>
              <w:r w:rsidRPr="00176D37">
                <w:rPr>
                  <w:noProof/>
                </w:rPr>
                <w:t>2021</w:t>
              </w:r>
              <w:r w:rsidR="007866D1">
                <w:rPr>
                  <w:noProof/>
                </w:rPr>
                <w:t>,</w:t>
              </w:r>
              <w:r w:rsidRPr="00176D37">
                <w:rPr>
                  <w:noProof/>
                </w:rPr>
                <w:t xml:space="preserve"> </w:t>
              </w:r>
              <w:r w:rsidRPr="00176D37">
                <w:rPr>
                  <w:i/>
                  <w:iCs/>
                  <w:noProof/>
                </w:rPr>
                <w:t>Guidelines for the</w:t>
              </w:r>
              <w:r w:rsidR="007866D1" w:rsidRPr="00176D37">
                <w:rPr>
                  <w:i/>
                  <w:iCs/>
                  <w:noProof/>
                </w:rPr>
                <w:t xml:space="preserve"> implementation and use of electronic medical records for transfusi</w:t>
              </w:r>
              <w:r w:rsidRPr="00176D37">
                <w:rPr>
                  <w:i/>
                  <w:iCs/>
                  <w:noProof/>
                </w:rPr>
                <w:t>on</w:t>
              </w:r>
              <w:r w:rsidR="007866D1">
                <w:rPr>
                  <w:i/>
                  <w:iCs/>
                  <w:noProof/>
                </w:rPr>
                <w:t>,</w:t>
              </w:r>
              <w:r w:rsidR="007866D1" w:rsidRPr="00176D37">
                <w:rPr>
                  <w:noProof/>
                </w:rPr>
                <w:t xml:space="preserve"> </w:t>
              </w:r>
              <w:r w:rsidR="007866D1">
                <w:rPr>
                  <w:noProof/>
                </w:rPr>
                <w:t>ANZSBT,</w:t>
              </w:r>
              <w:r w:rsidR="007866D1" w:rsidRPr="00176D37">
                <w:rPr>
                  <w:noProof/>
                </w:rPr>
                <w:t xml:space="preserve"> Sydney</w:t>
              </w:r>
              <w:r w:rsidR="007866D1">
                <w:rPr>
                  <w:noProof/>
                </w:rPr>
                <w:t>, &lt;</w:t>
              </w:r>
              <w:r w:rsidRPr="00176D37">
                <w:rPr>
                  <w:noProof/>
                </w:rPr>
                <w:t>https://anzsbt.org.au/guidelines-standards/anzsbt-guidelines/</w:t>
              </w:r>
              <w:r w:rsidR="007866D1">
                <w:rPr>
                  <w:noProof/>
                </w:rPr>
                <w:t>&gt;.</w:t>
              </w:r>
            </w:p>
            <w:p w14:paraId="0C89485E" w14:textId="222171BF" w:rsidR="00E9700E" w:rsidRPr="00176D37" w:rsidRDefault="00E9700E" w:rsidP="00C645E1">
              <w:pPr>
                <w:pStyle w:val="Body"/>
                <w:rPr>
                  <w:noProof/>
                </w:rPr>
              </w:pPr>
              <w:r w:rsidRPr="00176D37">
                <w:rPr>
                  <w:noProof/>
                </w:rPr>
                <w:t>Australian Red Cross Lifeblood</w:t>
              </w:r>
              <w:r w:rsidR="007866D1">
                <w:rPr>
                  <w:noProof/>
                </w:rPr>
                <w:t xml:space="preserve"> </w:t>
              </w:r>
              <w:r w:rsidRPr="00176D37">
                <w:rPr>
                  <w:noProof/>
                </w:rPr>
                <w:t>2021</w:t>
              </w:r>
              <w:r w:rsidR="007866D1">
                <w:rPr>
                  <w:noProof/>
                </w:rPr>
                <w:t>a,</w:t>
              </w:r>
              <w:r w:rsidRPr="00176D37">
                <w:rPr>
                  <w:noProof/>
                </w:rPr>
                <w:t xml:space="preserve"> </w:t>
              </w:r>
              <w:r w:rsidRPr="00176D37">
                <w:rPr>
                  <w:i/>
                  <w:iCs/>
                  <w:noProof/>
                </w:rPr>
                <w:t>Emergency provision of red cells</w:t>
              </w:r>
              <w:r w:rsidR="007866D1">
                <w:rPr>
                  <w:noProof/>
                </w:rPr>
                <w:t>,</w:t>
              </w:r>
              <w:r w:rsidR="007866D1" w:rsidRPr="00176D37">
                <w:rPr>
                  <w:noProof/>
                </w:rPr>
                <w:t xml:space="preserve"> </w:t>
              </w:r>
              <w:r w:rsidR="007866D1">
                <w:rPr>
                  <w:noProof/>
                </w:rPr>
                <w:t>Lifeblood, Melbourne, &lt;</w:t>
              </w:r>
              <w:r w:rsidRPr="00176D37">
                <w:rPr>
                  <w:noProof/>
                </w:rPr>
                <w:t>https://www.lifeblood.com.au/health-professionals/inventory-management/emergency-provision-of-red-cells</w:t>
              </w:r>
              <w:r w:rsidR="007866D1">
                <w:rPr>
                  <w:noProof/>
                </w:rPr>
                <w:t>&gt;.</w:t>
              </w:r>
            </w:p>
            <w:p w14:paraId="09A9F17A" w14:textId="6CAD3491" w:rsidR="00E9700E" w:rsidRPr="00176D37" w:rsidRDefault="00E9700E" w:rsidP="00C645E1">
              <w:pPr>
                <w:pStyle w:val="Body"/>
                <w:rPr>
                  <w:noProof/>
                </w:rPr>
              </w:pPr>
              <w:r w:rsidRPr="00176D37">
                <w:rPr>
                  <w:noProof/>
                </w:rPr>
                <w:t>Australian Red Cross Lifeblood 2021</w:t>
              </w:r>
              <w:r w:rsidR="007866D1">
                <w:rPr>
                  <w:noProof/>
                </w:rPr>
                <w:t>b,</w:t>
              </w:r>
              <w:r w:rsidRPr="00176D37">
                <w:rPr>
                  <w:noProof/>
                </w:rPr>
                <w:t xml:space="preserve"> </w:t>
              </w:r>
              <w:r w:rsidRPr="00176D37">
                <w:rPr>
                  <w:i/>
                  <w:iCs/>
                  <w:noProof/>
                </w:rPr>
                <w:t>Massive transfusion</w:t>
              </w:r>
              <w:r w:rsidR="007866D1">
                <w:rPr>
                  <w:noProof/>
                </w:rPr>
                <w:t>,</w:t>
              </w:r>
              <w:r w:rsidRPr="00176D37">
                <w:rPr>
                  <w:noProof/>
                </w:rPr>
                <w:t xml:space="preserve"> </w:t>
              </w:r>
              <w:r w:rsidR="007866D1">
                <w:rPr>
                  <w:noProof/>
                </w:rPr>
                <w:t>Lifeblood, Melbourne, &lt;</w:t>
              </w:r>
              <w:r w:rsidRPr="00176D37">
                <w:rPr>
                  <w:noProof/>
                </w:rPr>
                <w:t>https://www.lifeblood.com.au/health-professionals/clinical-practice/clinical-indications/massive-transfusion</w:t>
              </w:r>
              <w:r w:rsidR="007866D1">
                <w:rPr>
                  <w:noProof/>
                </w:rPr>
                <w:t>&gt;.</w:t>
              </w:r>
            </w:p>
            <w:p w14:paraId="6D798FB7" w14:textId="7DDA1E88" w:rsidR="00E9700E" w:rsidRPr="00176D37" w:rsidRDefault="00E9700E" w:rsidP="00C645E1">
              <w:pPr>
                <w:pStyle w:val="Body"/>
                <w:rPr>
                  <w:noProof/>
                </w:rPr>
              </w:pPr>
              <w:r w:rsidRPr="00176D37">
                <w:rPr>
                  <w:noProof/>
                </w:rPr>
                <w:t>Bowman S</w:t>
              </w:r>
              <w:r w:rsidR="00521EAB">
                <w:rPr>
                  <w:noProof/>
                </w:rPr>
                <w:t xml:space="preserve"> </w:t>
              </w:r>
              <w:r w:rsidRPr="00176D37">
                <w:rPr>
                  <w:noProof/>
                </w:rPr>
                <w:t xml:space="preserve">2013, </w:t>
              </w:r>
              <w:r w:rsidR="00521EAB">
                <w:rPr>
                  <w:noProof/>
                </w:rPr>
                <w:t>'</w:t>
              </w:r>
              <w:r w:rsidRPr="00176D37">
                <w:rPr>
                  <w:noProof/>
                </w:rPr>
                <w:t xml:space="preserve">Impact of </w:t>
              </w:r>
              <w:r w:rsidR="00521EAB" w:rsidRPr="00176D37">
                <w:rPr>
                  <w:noProof/>
                </w:rPr>
                <w:t>electronic health record systems on information integrity: quality and safety implication</w:t>
              </w:r>
              <w:r w:rsidRPr="00176D37">
                <w:rPr>
                  <w:noProof/>
                </w:rPr>
                <w:t>s</w:t>
              </w:r>
              <w:r w:rsidR="00521EAB">
                <w:rPr>
                  <w:noProof/>
                </w:rPr>
                <w:t>',</w:t>
              </w:r>
              <w:r w:rsidRPr="00176D37">
                <w:rPr>
                  <w:noProof/>
                </w:rPr>
                <w:t xml:space="preserve"> </w:t>
              </w:r>
              <w:r w:rsidRPr="00176D37">
                <w:rPr>
                  <w:i/>
                  <w:iCs/>
                  <w:noProof/>
                </w:rPr>
                <w:t>Perspectives in Health Information Management</w:t>
              </w:r>
              <w:r w:rsidR="00521EAB">
                <w:rPr>
                  <w:noProof/>
                </w:rPr>
                <w:t xml:space="preserve">, </w:t>
              </w:r>
              <w:r w:rsidRPr="00176D37">
                <w:rPr>
                  <w:noProof/>
                </w:rPr>
                <w:t>doi:PMID: 24159271</w:t>
              </w:r>
              <w:r w:rsidR="00521EAB">
                <w:rPr>
                  <w:noProof/>
                </w:rPr>
                <w:t>.</w:t>
              </w:r>
            </w:p>
            <w:p w14:paraId="6B8B5351" w14:textId="0A6E514D" w:rsidR="00E9700E" w:rsidRPr="00176D37" w:rsidRDefault="00E9700E" w:rsidP="00C645E1">
              <w:pPr>
                <w:pStyle w:val="Body"/>
                <w:rPr>
                  <w:noProof/>
                </w:rPr>
              </w:pPr>
              <w:r w:rsidRPr="00176D37">
                <w:rPr>
                  <w:noProof/>
                </w:rPr>
                <w:t xml:space="preserve">Cresswell </w:t>
              </w:r>
              <w:r w:rsidR="00521EAB">
                <w:rPr>
                  <w:noProof/>
                </w:rPr>
                <w:t xml:space="preserve">K </w:t>
              </w:r>
              <w:r w:rsidRPr="00176D37">
                <w:rPr>
                  <w:noProof/>
                </w:rPr>
                <w:t>2011</w:t>
              </w:r>
              <w:r w:rsidR="00521EAB">
                <w:rPr>
                  <w:noProof/>
                </w:rPr>
                <w:t>,</w:t>
              </w:r>
              <w:r w:rsidRPr="00176D37">
                <w:rPr>
                  <w:noProof/>
                </w:rPr>
                <w:t xml:space="preserve"> </w:t>
              </w:r>
              <w:r w:rsidR="00521EAB">
                <w:rPr>
                  <w:noProof/>
                </w:rPr>
                <w:t>'</w:t>
              </w:r>
              <w:r w:rsidRPr="00176D37">
                <w:rPr>
                  <w:noProof/>
                </w:rPr>
                <w:t>Anything but engaged: user involvement in the context of a nation electronic health record implementation</w:t>
              </w:r>
              <w:r w:rsidR="00521EAB">
                <w:rPr>
                  <w:noProof/>
                </w:rPr>
                <w:t>',</w:t>
              </w:r>
              <w:r w:rsidRPr="00176D37">
                <w:rPr>
                  <w:noProof/>
                </w:rPr>
                <w:t xml:space="preserve"> </w:t>
              </w:r>
              <w:r w:rsidRPr="00176D37">
                <w:rPr>
                  <w:i/>
                  <w:iCs/>
                  <w:noProof/>
                </w:rPr>
                <w:t>Informatics in Primary Care</w:t>
              </w:r>
              <w:r w:rsidRPr="00176D37">
                <w:rPr>
                  <w:noProof/>
                </w:rPr>
                <w:t xml:space="preserve">, </w:t>
              </w:r>
              <w:r w:rsidR="00521EAB">
                <w:rPr>
                  <w:noProof/>
                </w:rPr>
                <w:t xml:space="preserve">vol. </w:t>
              </w:r>
              <w:r w:rsidRPr="00176D37">
                <w:rPr>
                  <w:noProof/>
                </w:rPr>
                <w:t>19</w:t>
              </w:r>
              <w:r w:rsidR="00521EAB">
                <w:rPr>
                  <w:noProof/>
                </w:rPr>
                <w:t xml:space="preserve">, pp. </w:t>
              </w:r>
              <w:r w:rsidRPr="00176D37">
                <w:rPr>
                  <w:noProof/>
                </w:rPr>
                <w:t>191</w:t>
              </w:r>
              <w:r w:rsidR="00521EAB">
                <w:rPr>
                  <w:noProof/>
                </w:rPr>
                <w:t>–</w:t>
              </w:r>
              <w:r w:rsidRPr="00176D37">
                <w:rPr>
                  <w:noProof/>
                </w:rPr>
                <w:t>206.</w:t>
              </w:r>
            </w:p>
            <w:p w14:paraId="5B0843BC" w14:textId="0A08251B" w:rsidR="00E9700E" w:rsidRPr="00176D37" w:rsidRDefault="00E9700E" w:rsidP="00C645E1">
              <w:pPr>
                <w:pStyle w:val="Body"/>
                <w:rPr>
                  <w:noProof/>
                </w:rPr>
              </w:pPr>
              <w:r w:rsidRPr="00176D37">
                <w:rPr>
                  <w:noProof/>
                </w:rPr>
                <w:t xml:space="preserve">Crispin </w:t>
              </w:r>
              <w:r w:rsidR="00521EAB">
                <w:rPr>
                  <w:noProof/>
                </w:rPr>
                <w:t xml:space="preserve">P </w:t>
              </w:r>
              <w:r w:rsidRPr="00176D37">
                <w:rPr>
                  <w:noProof/>
                </w:rPr>
                <w:t xml:space="preserve">2022, </w:t>
              </w:r>
              <w:r w:rsidR="00521EAB">
                <w:rPr>
                  <w:noProof/>
                </w:rPr>
                <w:t>'</w:t>
              </w:r>
              <w:r w:rsidRPr="00176D37">
                <w:rPr>
                  <w:noProof/>
                </w:rPr>
                <w:t>A review of electronic medical records and safe transfusion practice for guideline development</w:t>
              </w:r>
              <w:r w:rsidR="00521EAB">
                <w:rPr>
                  <w:noProof/>
                </w:rPr>
                <w:t>',</w:t>
              </w:r>
              <w:r w:rsidRPr="00176D37">
                <w:rPr>
                  <w:noProof/>
                </w:rPr>
                <w:t xml:space="preserve"> </w:t>
              </w:r>
              <w:r w:rsidRPr="00176D37">
                <w:rPr>
                  <w:i/>
                  <w:iCs/>
                  <w:noProof/>
                </w:rPr>
                <w:t>Vox Sanguinis</w:t>
              </w:r>
              <w:r w:rsidRPr="00176D37">
                <w:rPr>
                  <w:noProof/>
                </w:rPr>
                <w:t>, 1</w:t>
              </w:r>
              <w:r w:rsidR="00521EAB">
                <w:rPr>
                  <w:noProof/>
                </w:rPr>
                <w:t>–</w:t>
              </w:r>
              <w:r w:rsidRPr="00176D37">
                <w:rPr>
                  <w:noProof/>
                </w:rPr>
                <w:t>8. doi:10.1111/vox.13254</w:t>
              </w:r>
              <w:r w:rsidR="00521EAB">
                <w:rPr>
                  <w:noProof/>
                </w:rPr>
                <w:t>.</w:t>
              </w:r>
            </w:p>
            <w:p w14:paraId="671B6022" w14:textId="7B6D367E" w:rsidR="00E9700E" w:rsidRPr="00176D37" w:rsidRDefault="00E9700E" w:rsidP="00C645E1">
              <w:pPr>
                <w:pStyle w:val="Body"/>
                <w:rPr>
                  <w:noProof/>
                </w:rPr>
              </w:pPr>
              <w:r w:rsidRPr="00176D37">
                <w:rPr>
                  <w:noProof/>
                </w:rPr>
                <w:t>Curry D 2010</w:t>
              </w:r>
              <w:r w:rsidR="00521EAB">
                <w:rPr>
                  <w:noProof/>
                </w:rPr>
                <w:t>–11,</w:t>
              </w:r>
              <w:r w:rsidRPr="00176D37">
                <w:rPr>
                  <w:noProof/>
                </w:rPr>
                <w:t xml:space="preserve"> </w:t>
              </w:r>
              <w:r w:rsidR="00521EAB">
                <w:rPr>
                  <w:noProof/>
                </w:rPr>
                <w:t>'</w:t>
              </w:r>
              <w:r w:rsidRPr="00176D37">
                <w:rPr>
                  <w:noProof/>
                </w:rPr>
                <w:t>Selection and implantation of a simulated electronic medical record (EMR) in a nursing skills lab</w:t>
              </w:r>
              <w:r w:rsidR="00521EAB">
                <w:rPr>
                  <w:noProof/>
                </w:rPr>
                <w:t>',</w:t>
              </w:r>
              <w:r w:rsidRPr="00176D37">
                <w:rPr>
                  <w:noProof/>
                </w:rPr>
                <w:t xml:space="preserve"> </w:t>
              </w:r>
              <w:r w:rsidRPr="00176D37">
                <w:rPr>
                  <w:i/>
                  <w:iCs/>
                  <w:noProof/>
                </w:rPr>
                <w:t>J</w:t>
              </w:r>
              <w:r w:rsidR="00521EAB">
                <w:rPr>
                  <w:i/>
                  <w:iCs/>
                  <w:noProof/>
                </w:rPr>
                <w:t>ournal of</w:t>
              </w:r>
              <w:r w:rsidRPr="00176D37">
                <w:rPr>
                  <w:i/>
                  <w:iCs/>
                  <w:noProof/>
                </w:rPr>
                <w:t xml:space="preserve"> Educational Technology Systems</w:t>
              </w:r>
              <w:r w:rsidRPr="00176D37">
                <w:rPr>
                  <w:noProof/>
                </w:rPr>
                <w:t xml:space="preserve">, </w:t>
              </w:r>
              <w:r w:rsidR="00521EAB">
                <w:rPr>
                  <w:noProof/>
                </w:rPr>
                <w:t>v</w:t>
              </w:r>
              <w:r w:rsidRPr="00176D37">
                <w:rPr>
                  <w:noProof/>
                </w:rPr>
                <w:t>ol. 39</w:t>
              </w:r>
              <w:r w:rsidR="00521EAB">
                <w:rPr>
                  <w:noProof/>
                </w:rPr>
                <w:t xml:space="preserve">, no. </w:t>
              </w:r>
              <w:r w:rsidRPr="00176D37">
                <w:rPr>
                  <w:noProof/>
                </w:rPr>
                <w:t>2</w:t>
              </w:r>
              <w:r w:rsidR="00521EAB">
                <w:rPr>
                  <w:noProof/>
                </w:rPr>
                <w:t xml:space="preserve">, pp. </w:t>
              </w:r>
              <w:r w:rsidRPr="00176D37">
                <w:rPr>
                  <w:noProof/>
                </w:rPr>
                <w:t xml:space="preserve"> 213</w:t>
              </w:r>
              <w:r w:rsidR="00521EAB">
                <w:rPr>
                  <w:noProof/>
                </w:rPr>
                <w:t>–</w:t>
              </w:r>
              <w:r w:rsidRPr="00176D37">
                <w:rPr>
                  <w:noProof/>
                </w:rPr>
                <w:t>218.</w:t>
              </w:r>
            </w:p>
            <w:p w14:paraId="2043D437" w14:textId="4D4EDA5A" w:rsidR="00E9700E" w:rsidRPr="00176D37" w:rsidRDefault="00E9700E" w:rsidP="00C645E1">
              <w:pPr>
                <w:pStyle w:val="Body"/>
                <w:rPr>
                  <w:noProof/>
                </w:rPr>
              </w:pPr>
              <w:r w:rsidRPr="00176D37">
                <w:rPr>
                  <w:noProof/>
                </w:rPr>
                <w:t xml:space="preserve">Dunbar NM 2014, </w:t>
              </w:r>
              <w:r w:rsidR="00521EAB">
                <w:rPr>
                  <w:noProof/>
                </w:rPr>
                <w:t>'</w:t>
              </w:r>
              <w:r w:rsidRPr="00176D37">
                <w:rPr>
                  <w:noProof/>
                </w:rPr>
                <w:t>Hardwiring patient blood management: harnessing information technology to optimize transfusion practice</w:t>
              </w:r>
              <w:r w:rsidR="00521EAB">
                <w:rPr>
                  <w:noProof/>
                </w:rPr>
                <w:t>',</w:t>
              </w:r>
              <w:r w:rsidRPr="00176D37">
                <w:rPr>
                  <w:noProof/>
                </w:rPr>
                <w:t xml:space="preserve"> </w:t>
              </w:r>
              <w:r w:rsidRPr="00176D37">
                <w:rPr>
                  <w:i/>
                  <w:iCs/>
                  <w:noProof/>
                </w:rPr>
                <w:t xml:space="preserve">Current </w:t>
              </w:r>
              <w:r w:rsidR="00521EAB">
                <w:rPr>
                  <w:i/>
                  <w:iCs/>
                  <w:noProof/>
                </w:rPr>
                <w:t>O</w:t>
              </w:r>
              <w:r w:rsidR="00521EAB" w:rsidRPr="00176D37">
                <w:rPr>
                  <w:i/>
                  <w:iCs/>
                  <w:noProof/>
                </w:rPr>
                <w:t xml:space="preserve">pinion </w:t>
              </w:r>
              <w:r w:rsidRPr="00176D37">
                <w:rPr>
                  <w:i/>
                  <w:iCs/>
                  <w:noProof/>
                </w:rPr>
                <w:t xml:space="preserve">in </w:t>
              </w:r>
              <w:r w:rsidR="00521EAB">
                <w:rPr>
                  <w:i/>
                  <w:iCs/>
                  <w:noProof/>
                </w:rPr>
                <w:t>H</w:t>
              </w:r>
              <w:r w:rsidR="00521EAB" w:rsidRPr="00176D37">
                <w:rPr>
                  <w:i/>
                  <w:iCs/>
                  <w:noProof/>
                </w:rPr>
                <w:t>ematology</w:t>
              </w:r>
              <w:r w:rsidRPr="009742AB">
                <w:rPr>
                  <w:noProof/>
                </w:rPr>
                <w:t xml:space="preserve">, </w:t>
              </w:r>
              <w:r w:rsidR="00521EAB">
                <w:rPr>
                  <w:noProof/>
                </w:rPr>
                <w:t xml:space="preserve">vol. </w:t>
              </w:r>
              <w:r w:rsidRPr="009742AB">
                <w:rPr>
                  <w:noProof/>
                </w:rPr>
                <w:t>21</w:t>
              </w:r>
              <w:r w:rsidR="00521EAB">
                <w:rPr>
                  <w:noProof/>
                </w:rPr>
                <w:t xml:space="preserve">, no. </w:t>
              </w:r>
              <w:r w:rsidRPr="00521EAB">
                <w:rPr>
                  <w:noProof/>
                </w:rPr>
                <w:t>6</w:t>
              </w:r>
              <w:r w:rsidRPr="00176D37">
                <w:rPr>
                  <w:noProof/>
                </w:rPr>
                <w:t xml:space="preserve">, </w:t>
              </w:r>
              <w:r w:rsidR="00521EAB">
                <w:rPr>
                  <w:noProof/>
                </w:rPr>
                <w:t xml:space="preserve">pp. </w:t>
              </w:r>
              <w:r w:rsidRPr="00176D37">
                <w:rPr>
                  <w:noProof/>
                </w:rPr>
                <w:t>515</w:t>
              </w:r>
              <w:r w:rsidR="00521EAB">
                <w:rPr>
                  <w:noProof/>
                </w:rPr>
                <w:t>–</w:t>
              </w:r>
              <w:r w:rsidRPr="00176D37">
                <w:rPr>
                  <w:noProof/>
                </w:rPr>
                <w:t>520</w:t>
              </w:r>
              <w:r w:rsidR="00521EAB">
                <w:rPr>
                  <w:noProof/>
                </w:rPr>
                <w:t xml:space="preserve">, </w:t>
              </w:r>
              <w:r w:rsidRPr="00176D37">
                <w:rPr>
                  <w:noProof/>
                </w:rPr>
                <w:t>doi:10.1097/MOH.0000000000000092</w:t>
              </w:r>
              <w:r w:rsidR="00521EAB">
                <w:rPr>
                  <w:noProof/>
                </w:rPr>
                <w:t>.</w:t>
              </w:r>
            </w:p>
            <w:p w14:paraId="65310FFB" w14:textId="7D65B42F" w:rsidR="00E9700E" w:rsidRPr="00176D37" w:rsidRDefault="00E9700E" w:rsidP="00C645E1">
              <w:pPr>
                <w:pStyle w:val="Body"/>
                <w:rPr>
                  <w:noProof/>
                </w:rPr>
              </w:pPr>
              <w:r w:rsidRPr="00176D37">
                <w:rPr>
                  <w:noProof/>
                </w:rPr>
                <w:t>Fragidis L</w:t>
              </w:r>
              <w:r w:rsidR="00EC03C4">
                <w:rPr>
                  <w:noProof/>
                </w:rPr>
                <w:t xml:space="preserve"> </w:t>
              </w:r>
              <w:r w:rsidRPr="00176D37">
                <w:rPr>
                  <w:noProof/>
                </w:rPr>
                <w:t>2018</w:t>
              </w:r>
              <w:r w:rsidR="00EC03C4">
                <w:rPr>
                  <w:noProof/>
                </w:rPr>
                <w:t>, '</w:t>
              </w:r>
              <w:r w:rsidRPr="00176D37">
                <w:rPr>
                  <w:noProof/>
                </w:rPr>
                <w:t>Implementation of a nationwide electronic health record (EHR). The international experience in 13 countries</w:t>
              </w:r>
              <w:r w:rsidR="00EC03C4">
                <w:rPr>
                  <w:noProof/>
                </w:rPr>
                <w:t>',</w:t>
              </w:r>
              <w:r w:rsidRPr="00176D37">
                <w:rPr>
                  <w:noProof/>
                </w:rPr>
                <w:t xml:space="preserve"> </w:t>
              </w:r>
              <w:r w:rsidRPr="00176D37">
                <w:rPr>
                  <w:i/>
                  <w:iCs/>
                  <w:noProof/>
                </w:rPr>
                <w:t>International Journal of Health Care Quality Assurance</w:t>
              </w:r>
              <w:r w:rsidRPr="00176D37">
                <w:rPr>
                  <w:noProof/>
                </w:rPr>
                <w:t xml:space="preserve">, </w:t>
              </w:r>
              <w:r w:rsidR="00EC03C4">
                <w:rPr>
                  <w:noProof/>
                </w:rPr>
                <w:t>v</w:t>
              </w:r>
              <w:r w:rsidRPr="00176D37">
                <w:rPr>
                  <w:noProof/>
                </w:rPr>
                <w:t>ol</w:t>
              </w:r>
              <w:r w:rsidR="00EC03C4">
                <w:rPr>
                  <w:noProof/>
                </w:rPr>
                <w:t xml:space="preserve">. </w:t>
              </w:r>
              <w:r w:rsidRPr="00176D37">
                <w:rPr>
                  <w:noProof/>
                </w:rPr>
                <w:t xml:space="preserve">31, </w:t>
              </w:r>
              <w:r w:rsidR="00EC03C4">
                <w:rPr>
                  <w:noProof/>
                </w:rPr>
                <w:t xml:space="preserve">no. </w:t>
              </w:r>
              <w:r w:rsidRPr="00176D37">
                <w:rPr>
                  <w:noProof/>
                </w:rPr>
                <w:t>2,</w:t>
              </w:r>
              <w:r w:rsidR="00EC03C4">
                <w:rPr>
                  <w:noProof/>
                </w:rPr>
                <w:t xml:space="preserve"> pp. </w:t>
              </w:r>
              <w:r w:rsidRPr="00176D37">
                <w:rPr>
                  <w:noProof/>
                </w:rPr>
                <w:t>1</w:t>
              </w:r>
              <w:r w:rsidR="00EC03C4">
                <w:rPr>
                  <w:noProof/>
                </w:rPr>
                <w:t>–</w:t>
              </w:r>
              <w:r w:rsidRPr="00176D37">
                <w:rPr>
                  <w:noProof/>
                </w:rPr>
                <w:t>130.</w:t>
              </w:r>
            </w:p>
            <w:p w14:paraId="263EED65" w14:textId="11228115" w:rsidR="00E9700E" w:rsidRPr="00176D37" w:rsidRDefault="00E9700E" w:rsidP="00C645E1">
              <w:pPr>
                <w:pStyle w:val="Body"/>
                <w:rPr>
                  <w:noProof/>
                </w:rPr>
              </w:pPr>
              <w:r w:rsidRPr="00176D37">
                <w:rPr>
                  <w:noProof/>
                </w:rPr>
                <w:t>Gagnon M</w:t>
              </w:r>
              <w:r w:rsidR="00EC03C4">
                <w:rPr>
                  <w:noProof/>
                </w:rPr>
                <w:t xml:space="preserve"> 2</w:t>
              </w:r>
              <w:r w:rsidRPr="00176D37">
                <w:rPr>
                  <w:noProof/>
                </w:rPr>
                <w:t>010</w:t>
              </w:r>
              <w:r w:rsidR="00EC03C4">
                <w:rPr>
                  <w:noProof/>
                </w:rPr>
                <w:t>,</w:t>
              </w:r>
              <w:r w:rsidRPr="00176D37">
                <w:rPr>
                  <w:noProof/>
                </w:rPr>
                <w:t xml:space="preserve"> </w:t>
              </w:r>
              <w:r w:rsidR="00EC03C4">
                <w:rPr>
                  <w:noProof/>
                </w:rPr>
                <w:t>'</w:t>
              </w:r>
              <w:r w:rsidRPr="00176D37">
                <w:rPr>
                  <w:noProof/>
                </w:rPr>
                <w:t>Implementation of an electronic medical record in family practice: a case study</w:t>
              </w:r>
              <w:r w:rsidR="00EC03C4">
                <w:rPr>
                  <w:noProof/>
                </w:rPr>
                <w:t>',</w:t>
              </w:r>
              <w:r w:rsidRPr="00176D37">
                <w:rPr>
                  <w:noProof/>
                </w:rPr>
                <w:t xml:space="preserve"> </w:t>
              </w:r>
              <w:r w:rsidRPr="00176D37">
                <w:rPr>
                  <w:i/>
                  <w:iCs/>
                  <w:noProof/>
                </w:rPr>
                <w:t>Informatics in Primary Care</w:t>
              </w:r>
              <w:r w:rsidRPr="009742AB">
                <w:rPr>
                  <w:noProof/>
                </w:rPr>
                <w:t xml:space="preserve">, </w:t>
              </w:r>
              <w:r w:rsidR="00EC03C4">
                <w:rPr>
                  <w:noProof/>
                </w:rPr>
                <w:t xml:space="preserve">vol. </w:t>
              </w:r>
              <w:r w:rsidRPr="009742AB">
                <w:rPr>
                  <w:noProof/>
                </w:rPr>
                <w:t>18</w:t>
              </w:r>
              <w:r w:rsidRPr="00EC03C4">
                <w:rPr>
                  <w:noProof/>
                </w:rPr>
                <w:t>,</w:t>
              </w:r>
              <w:r w:rsidRPr="00176D37">
                <w:rPr>
                  <w:noProof/>
                </w:rPr>
                <w:t xml:space="preserve"> </w:t>
              </w:r>
              <w:r w:rsidR="00EC03C4">
                <w:rPr>
                  <w:noProof/>
                </w:rPr>
                <w:t xml:space="preserve">pp. </w:t>
              </w:r>
              <w:r w:rsidRPr="00176D37">
                <w:rPr>
                  <w:noProof/>
                </w:rPr>
                <w:t>31</w:t>
              </w:r>
              <w:r w:rsidR="00EC03C4">
                <w:rPr>
                  <w:noProof/>
                </w:rPr>
                <w:t>–</w:t>
              </w:r>
              <w:r w:rsidRPr="00176D37">
                <w:rPr>
                  <w:noProof/>
                </w:rPr>
                <w:t>40</w:t>
              </w:r>
              <w:r w:rsidR="00EC03C4">
                <w:rPr>
                  <w:noProof/>
                </w:rPr>
                <w:t>,</w:t>
              </w:r>
              <w:r w:rsidR="00EC03C4" w:rsidRPr="00176D37">
                <w:rPr>
                  <w:noProof/>
                </w:rPr>
                <w:t xml:space="preserve"> </w:t>
              </w:r>
              <w:r w:rsidRPr="00176D37">
                <w:rPr>
                  <w:noProof/>
                </w:rPr>
                <w:t>doi:10.14236/jhi.v18i1.751</w:t>
              </w:r>
              <w:r w:rsidR="00EC03C4">
                <w:rPr>
                  <w:noProof/>
                </w:rPr>
                <w:t>.</w:t>
              </w:r>
            </w:p>
            <w:p w14:paraId="57261408" w14:textId="0EAA281B" w:rsidR="00E9700E" w:rsidRPr="00176D37" w:rsidRDefault="00E9700E" w:rsidP="00C645E1">
              <w:pPr>
                <w:pStyle w:val="Body"/>
                <w:rPr>
                  <w:noProof/>
                </w:rPr>
              </w:pPr>
              <w:r w:rsidRPr="00176D37">
                <w:rPr>
                  <w:noProof/>
                </w:rPr>
                <w:t>Gardner R</w:t>
              </w:r>
              <w:r w:rsidR="00EC03C4">
                <w:rPr>
                  <w:noProof/>
                </w:rPr>
                <w:t xml:space="preserve"> </w:t>
              </w:r>
              <w:r w:rsidRPr="00176D37">
                <w:rPr>
                  <w:noProof/>
                </w:rPr>
                <w:t>2019</w:t>
              </w:r>
              <w:r w:rsidR="00EC03C4">
                <w:rPr>
                  <w:noProof/>
                </w:rPr>
                <w:t>,</w:t>
              </w:r>
              <w:r w:rsidRPr="00176D37">
                <w:rPr>
                  <w:noProof/>
                </w:rPr>
                <w:t xml:space="preserve"> </w:t>
              </w:r>
              <w:r w:rsidR="00EC03C4">
                <w:rPr>
                  <w:noProof/>
                </w:rPr>
                <w:t>'</w:t>
              </w:r>
              <w:r w:rsidRPr="00176D37">
                <w:rPr>
                  <w:noProof/>
                </w:rPr>
                <w:t>Physician stress and burnout: the impact of health information technology</w:t>
              </w:r>
              <w:r w:rsidR="00EC03C4">
                <w:rPr>
                  <w:noProof/>
                </w:rPr>
                <w:t>',</w:t>
              </w:r>
              <w:r w:rsidR="00EC03C4" w:rsidRPr="00176D37">
                <w:rPr>
                  <w:noProof/>
                </w:rPr>
                <w:t xml:space="preserve"> </w:t>
              </w:r>
              <w:r w:rsidRPr="00176D37">
                <w:rPr>
                  <w:i/>
                  <w:iCs/>
                  <w:noProof/>
                </w:rPr>
                <w:t>Journal of the American Informatics Association</w:t>
              </w:r>
              <w:r w:rsidRPr="00EC03C4">
                <w:rPr>
                  <w:noProof/>
                </w:rPr>
                <w:t xml:space="preserve">, </w:t>
              </w:r>
              <w:r w:rsidR="00EC03C4">
                <w:rPr>
                  <w:noProof/>
                </w:rPr>
                <w:t xml:space="preserve">vol. </w:t>
              </w:r>
              <w:r w:rsidRPr="00EC03C4">
                <w:rPr>
                  <w:noProof/>
                </w:rPr>
                <w:t>26</w:t>
              </w:r>
              <w:r w:rsidR="00EC03C4">
                <w:rPr>
                  <w:noProof/>
                </w:rPr>
                <w:t xml:space="preserve">, no. </w:t>
              </w:r>
              <w:r w:rsidRPr="00176D37">
                <w:rPr>
                  <w:noProof/>
                </w:rPr>
                <w:t>2</w:t>
              </w:r>
              <w:r w:rsidR="00EC03C4">
                <w:rPr>
                  <w:noProof/>
                </w:rPr>
                <w:t xml:space="preserve">, pp. </w:t>
              </w:r>
              <w:r w:rsidRPr="00176D37">
                <w:rPr>
                  <w:noProof/>
                </w:rPr>
                <w:t>106</w:t>
              </w:r>
              <w:r w:rsidR="00EC03C4">
                <w:rPr>
                  <w:noProof/>
                </w:rPr>
                <w:t>–</w:t>
              </w:r>
              <w:r w:rsidRPr="00176D37">
                <w:rPr>
                  <w:noProof/>
                </w:rPr>
                <w:t>114.</w:t>
              </w:r>
            </w:p>
            <w:p w14:paraId="6ADB56AA" w14:textId="530847DB" w:rsidR="00E9700E" w:rsidRPr="00176D37" w:rsidRDefault="00E9700E" w:rsidP="00C645E1">
              <w:pPr>
                <w:pStyle w:val="Body"/>
                <w:rPr>
                  <w:noProof/>
                </w:rPr>
              </w:pPr>
              <w:r w:rsidRPr="00176D37">
                <w:rPr>
                  <w:noProof/>
                </w:rPr>
                <w:t>Georgiou A</w:t>
              </w:r>
              <w:r w:rsidR="00EC03C4">
                <w:rPr>
                  <w:noProof/>
                </w:rPr>
                <w:t xml:space="preserve"> </w:t>
              </w:r>
              <w:r w:rsidRPr="00176D37">
                <w:rPr>
                  <w:noProof/>
                </w:rPr>
                <w:t xml:space="preserve">2013, </w:t>
              </w:r>
              <w:r w:rsidR="00EC03C4">
                <w:rPr>
                  <w:noProof/>
                </w:rPr>
                <w:t>'</w:t>
              </w:r>
              <w:r w:rsidRPr="00176D37">
                <w:rPr>
                  <w:noProof/>
                </w:rPr>
                <w:t>Monitoring the impact of the electronic medical record on the quality of laboratory test ordering practices</w:t>
              </w:r>
              <w:r w:rsidR="00EC03C4">
                <w:rPr>
                  <w:noProof/>
                </w:rPr>
                <w:t>',</w:t>
              </w:r>
              <w:r w:rsidRPr="00176D37">
                <w:rPr>
                  <w:noProof/>
                </w:rPr>
                <w:t xml:space="preserve"> </w:t>
              </w:r>
              <w:r w:rsidRPr="00176D37">
                <w:rPr>
                  <w:i/>
                  <w:iCs/>
                  <w:noProof/>
                </w:rPr>
                <w:t xml:space="preserve">Studies in </w:t>
              </w:r>
              <w:r w:rsidR="00EC03C4">
                <w:rPr>
                  <w:i/>
                  <w:iCs/>
                  <w:noProof/>
                </w:rPr>
                <w:t>H</w:t>
              </w:r>
              <w:r w:rsidR="00EC03C4" w:rsidRPr="00176D37">
                <w:rPr>
                  <w:i/>
                  <w:iCs/>
                  <w:noProof/>
                </w:rPr>
                <w:t xml:space="preserve">ealth </w:t>
              </w:r>
              <w:r w:rsidR="00EC03C4">
                <w:rPr>
                  <w:i/>
                  <w:iCs/>
                  <w:noProof/>
                </w:rPr>
                <w:t>T</w:t>
              </w:r>
              <w:r w:rsidRPr="00176D37">
                <w:rPr>
                  <w:i/>
                  <w:iCs/>
                  <w:noProof/>
                </w:rPr>
                <w:t xml:space="preserve">echnology and </w:t>
              </w:r>
              <w:r w:rsidR="00EC03C4">
                <w:rPr>
                  <w:i/>
                  <w:iCs/>
                  <w:noProof/>
                </w:rPr>
                <w:t>I</w:t>
              </w:r>
              <w:r w:rsidR="00EC03C4" w:rsidRPr="00176D37">
                <w:rPr>
                  <w:i/>
                  <w:iCs/>
                  <w:noProof/>
                </w:rPr>
                <w:t>nformatics</w:t>
              </w:r>
              <w:r w:rsidRPr="009742AB">
                <w:rPr>
                  <w:noProof/>
                </w:rPr>
                <w:t xml:space="preserve">, </w:t>
              </w:r>
              <w:r w:rsidR="00EC03C4">
                <w:rPr>
                  <w:noProof/>
                </w:rPr>
                <w:t xml:space="preserve">vol. </w:t>
              </w:r>
              <w:r w:rsidRPr="009742AB">
                <w:rPr>
                  <w:noProof/>
                </w:rPr>
                <w:t>188</w:t>
              </w:r>
              <w:r w:rsidRPr="00EC03C4">
                <w:rPr>
                  <w:noProof/>
                </w:rPr>
                <w:t>,</w:t>
              </w:r>
              <w:r w:rsidRPr="00176D37">
                <w:rPr>
                  <w:noProof/>
                </w:rPr>
                <w:t xml:space="preserve"> </w:t>
              </w:r>
              <w:r w:rsidR="00EC03C4">
                <w:rPr>
                  <w:noProof/>
                </w:rPr>
                <w:t xml:space="preserve">pp. </w:t>
              </w:r>
              <w:r w:rsidRPr="00176D37">
                <w:rPr>
                  <w:noProof/>
                </w:rPr>
                <w:t>33</w:t>
              </w:r>
              <w:r w:rsidR="00EC03C4">
                <w:rPr>
                  <w:noProof/>
                </w:rPr>
                <w:t>–</w:t>
              </w:r>
              <w:r w:rsidRPr="00176D37">
                <w:rPr>
                  <w:noProof/>
                </w:rPr>
                <w:t>38</w:t>
              </w:r>
              <w:r w:rsidR="00EC03C4">
                <w:rPr>
                  <w:noProof/>
                </w:rPr>
                <w:t>,</w:t>
              </w:r>
              <w:r w:rsidRPr="00176D37">
                <w:rPr>
                  <w:noProof/>
                </w:rPr>
                <w:t xml:space="preserve"> doi:10.3233/978-1-61499-266-0-33</w:t>
              </w:r>
              <w:r w:rsidR="00EC03C4">
                <w:rPr>
                  <w:noProof/>
                </w:rPr>
                <w:t>.</w:t>
              </w:r>
            </w:p>
            <w:p w14:paraId="7B9896D7" w14:textId="1DE341E6" w:rsidR="00E9700E" w:rsidRPr="00176D37" w:rsidRDefault="00E9700E" w:rsidP="00C645E1">
              <w:pPr>
                <w:pStyle w:val="Body"/>
                <w:rPr>
                  <w:noProof/>
                </w:rPr>
              </w:pPr>
              <w:r w:rsidRPr="00176D37">
                <w:rPr>
                  <w:noProof/>
                </w:rPr>
                <w:lastRenderedPageBreak/>
                <w:t>Gosbee L</w:t>
              </w:r>
              <w:r w:rsidR="00EC03C4">
                <w:rPr>
                  <w:noProof/>
                </w:rPr>
                <w:t xml:space="preserve"> </w:t>
              </w:r>
              <w:r w:rsidRPr="00176D37">
                <w:rPr>
                  <w:noProof/>
                </w:rPr>
                <w:t>2010</w:t>
              </w:r>
              <w:r w:rsidR="00EC03C4">
                <w:rPr>
                  <w:noProof/>
                </w:rPr>
                <w:t>,</w:t>
              </w:r>
              <w:r w:rsidRPr="00176D37">
                <w:rPr>
                  <w:noProof/>
                </w:rPr>
                <w:t xml:space="preserve"> </w:t>
              </w:r>
              <w:r w:rsidR="00EC03C4">
                <w:rPr>
                  <w:noProof/>
                </w:rPr>
                <w:t>'</w:t>
              </w:r>
              <w:r w:rsidRPr="00176D37">
                <w:rPr>
                  <w:noProof/>
                </w:rPr>
                <w:t xml:space="preserve">Top 10 </w:t>
              </w:r>
              <w:r w:rsidR="00EC03C4" w:rsidRPr="00176D37">
                <w:rPr>
                  <w:noProof/>
                </w:rPr>
                <w:t>ways to easily identify human factors engineering ha</w:t>
              </w:r>
              <w:r w:rsidRPr="00176D37">
                <w:rPr>
                  <w:noProof/>
                </w:rPr>
                <w:t>zards</w:t>
              </w:r>
              <w:r w:rsidR="00EC03C4">
                <w:rPr>
                  <w:noProof/>
                </w:rPr>
                <w:t>',</w:t>
              </w:r>
              <w:r w:rsidRPr="00176D37">
                <w:rPr>
                  <w:noProof/>
                </w:rPr>
                <w:t xml:space="preserve"> </w:t>
              </w:r>
              <w:r w:rsidRPr="00176D37">
                <w:rPr>
                  <w:i/>
                  <w:iCs/>
                  <w:noProof/>
                </w:rPr>
                <w:t>Human Factors Horizons</w:t>
              </w:r>
              <w:r w:rsidRPr="00176D37">
                <w:rPr>
                  <w:noProof/>
                </w:rPr>
                <w:t>.</w:t>
              </w:r>
            </w:p>
            <w:p w14:paraId="4987A74B" w14:textId="5F957E98" w:rsidR="00E9700E" w:rsidRPr="00176D37" w:rsidRDefault="00E9700E" w:rsidP="00C645E1">
              <w:pPr>
                <w:pStyle w:val="Body"/>
                <w:rPr>
                  <w:noProof/>
                </w:rPr>
              </w:pPr>
              <w:r w:rsidRPr="00176D37">
                <w:rPr>
                  <w:noProof/>
                </w:rPr>
                <w:t xml:space="preserve">Harrington L 2011, </w:t>
              </w:r>
              <w:r w:rsidR="00337074">
                <w:rPr>
                  <w:noProof/>
                </w:rPr>
                <w:t>'</w:t>
              </w:r>
              <w:r w:rsidRPr="00176D37">
                <w:rPr>
                  <w:noProof/>
                </w:rPr>
                <w:t xml:space="preserve">Safety </w:t>
              </w:r>
              <w:r w:rsidR="00337074" w:rsidRPr="00176D37">
                <w:rPr>
                  <w:noProof/>
                </w:rPr>
                <w:t>issues related to the electronic medical record</w:t>
              </w:r>
              <w:r w:rsidRPr="00176D37">
                <w:rPr>
                  <w:noProof/>
                </w:rPr>
                <w:t xml:space="preserve"> (EMR): S</w:t>
              </w:r>
              <w:r w:rsidR="00337074" w:rsidRPr="00176D37">
                <w:rPr>
                  <w:noProof/>
                </w:rPr>
                <w:t>ynthesis of the literature from the last decade</w:t>
              </w:r>
              <w:r w:rsidRPr="00176D37">
                <w:rPr>
                  <w:noProof/>
                </w:rPr>
                <w:t>, 2000</w:t>
              </w:r>
              <w:r w:rsidR="00337074">
                <w:rPr>
                  <w:noProof/>
                </w:rPr>
                <w:t>–</w:t>
              </w:r>
              <w:r w:rsidRPr="00176D37">
                <w:rPr>
                  <w:noProof/>
                </w:rPr>
                <w:t xml:space="preserve">2009. </w:t>
              </w:r>
              <w:r w:rsidRPr="00176D37">
                <w:rPr>
                  <w:i/>
                  <w:iCs/>
                  <w:noProof/>
                </w:rPr>
                <w:t>Journal of Healthcare Management</w:t>
              </w:r>
              <w:r w:rsidRPr="009742AB">
                <w:rPr>
                  <w:noProof/>
                </w:rPr>
                <w:t xml:space="preserve">, </w:t>
              </w:r>
              <w:r w:rsidR="00337074">
                <w:rPr>
                  <w:noProof/>
                </w:rPr>
                <w:t xml:space="preserve">vol. </w:t>
              </w:r>
              <w:r w:rsidRPr="009742AB">
                <w:rPr>
                  <w:noProof/>
                </w:rPr>
                <w:t>56</w:t>
              </w:r>
              <w:r w:rsidR="00337074">
                <w:rPr>
                  <w:noProof/>
                </w:rPr>
                <w:t>, no. 1</w:t>
              </w:r>
              <w:r w:rsidRPr="00176D37">
                <w:rPr>
                  <w:noProof/>
                </w:rPr>
                <w:t>, 31</w:t>
              </w:r>
              <w:r w:rsidR="00337074">
                <w:rPr>
                  <w:noProof/>
                </w:rPr>
                <w:t>–</w:t>
              </w:r>
              <w:r w:rsidRPr="00176D37">
                <w:rPr>
                  <w:noProof/>
                </w:rPr>
                <w:t>43</w:t>
              </w:r>
              <w:r w:rsidR="00337074">
                <w:rPr>
                  <w:noProof/>
                </w:rPr>
                <w:t>,</w:t>
              </w:r>
              <w:r w:rsidRPr="00176D37">
                <w:rPr>
                  <w:noProof/>
                </w:rPr>
                <w:t xml:space="preserve"> doi:PMID: 21323026</w:t>
              </w:r>
              <w:r w:rsidR="00337074">
                <w:rPr>
                  <w:noProof/>
                </w:rPr>
                <w:t>.</w:t>
              </w:r>
            </w:p>
            <w:p w14:paraId="7429D38A" w14:textId="47E3A6D9" w:rsidR="00E9700E" w:rsidRDefault="00E9700E" w:rsidP="00C645E1">
              <w:pPr>
                <w:pStyle w:val="Body"/>
                <w:rPr>
                  <w:noProof/>
                </w:rPr>
              </w:pPr>
              <w:r w:rsidRPr="00176D37">
                <w:rPr>
                  <w:noProof/>
                </w:rPr>
                <w:t>Hecht J 2019</w:t>
              </w:r>
              <w:r w:rsidR="00337074">
                <w:rPr>
                  <w:noProof/>
                </w:rPr>
                <w:t>, '</w:t>
              </w:r>
              <w:r w:rsidRPr="00176D37">
                <w:rPr>
                  <w:noProof/>
                </w:rPr>
                <w:t>Fixing a broken record</w:t>
              </w:r>
              <w:r w:rsidR="00337074">
                <w:rPr>
                  <w:noProof/>
                </w:rPr>
                <w:t>',</w:t>
              </w:r>
              <w:r w:rsidRPr="00176D37">
                <w:rPr>
                  <w:noProof/>
                </w:rPr>
                <w:t xml:space="preserve"> </w:t>
              </w:r>
              <w:r w:rsidRPr="00176D37">
                <w:rPr>
                  <w:i/>
                  <w:iCs/>
                  <w:noProof/>
                </w:rPr>
                <w:t>Nature</w:t>
              </w:r>
              <w:r w:rsidRPr="00176D37">
                <w:rPr>
                  <w:noProof/>
                </w:rPr>
                <w:t>, S114</w:t>
              </w:r>
              <w:r w:rsidR="00337074">
                <w:rPr>
                  <w:noProof/>
                </w:rPr>
                <w:t>,</w:t>
              </w:r>
              <w:r w:rsidRPr="00176D37">
                <w:rPr>
                  <w:noProof/>
                </w:rPr>
                <w:t xml:space="preserve"> </w:t>
              </w:r>
              <w:r w:rsidR="00337074">
                <w:rPr>
                  <w:noProof/>
                </w:rPr>
                <w:t>vol.</w:t>
              </w:r>
              <w:r w:rsidR="00337074" w:rsidRPr="00176D37">
                <w:rPr>
                  <w:noProof/>
                </w:rPr>
                <w:t xml:space="preserve"> </w:t>
              </w:r>
              <w:r w:rsidRPr="00176D37">
                <w:rPr>
                  <w:noProof/>
                </w:rPr>
                <w:t>573.</w:t>
              </w:r>
            </w:p>
            <w:p w14:paraId="7C09368A" w14:textId="07C72596" w:rsidR="00521EAB" w:rsidRPr="00176D37" w:rsidRDefault="00521EAB" w:rsidP="00521EAB">
              <w:pPr>
                <w:pStyle w:val="Body"/>
                <w:rPr>
                  <w:noProof/>
                </w:rPr>
              </w:pPr>
              <w:r w:rsidRPr="00176D37">
                <w:rPr>
                  <w:noProof/>
                </w:rPr>
                <w:t xml:space="preserve">Holtz </w:t>
              </w:r>
              <w:r>
                <w:rPr>
                  <w:noProof/>
                </w:rPr>
                <w:t>B</w:t>
              </w:r>
              <w:r w:rsidRPr="00176D37">
                <w:rPr>
                  <w:noProof/>
                </w:rPr>
                <w:t xml:space="preserve"> 2011</w:t>
              </w:r>
              <w:r>
                <w:rPr>
                  <w:noProof/>
                </w:rPr>
                <w:t>,</w:t>
              </w:r>
              <w:r w:rsidRPr="00176D37">
                <w:rPr>
                  <w:noProof/>
                </w:rPr>
                <w:t xml:space="preserve"> </w:t>
              </w:r>
              <w:r w:rsidR="00337074">
                <w:rPr>
                  <w:noProof/>
                </w:rPr>
                <w:t>'</w:t>
              </w:r>
              <w:r w:rsidRPr="00176D37">
                <w:rPr>
                  <w:noProof/>
                </w:rPr>
                <w:t>Understanding</w:t>
              </w:r>
              <w:r w:rsidR="00337074" w:rsidRPr="00176D37">
                <w:rPr>
                  <w:noProof/>
                </w:rPr>
                <w:t xml:space="preserve"> nurse perceptions of a newly implemented electronic medical record system</w:t>
              </w:r>
              <w:r w:rsidR="00337074">
                <w:rPr>
                  <w:noProof/>
                </w:rPr>
                <w:t>',</w:t>
              </w:r>
              <w:r w:rsidRPr="00176D37">
                <w:rPr>
                  <w:noProof/>
                </w:rPr>
                <w:t xml:space="preserve"> </w:t>
              </w:r>
              <w:r w:rsidRPr="00176D37">
                <w:rPr>
                  <w:i/>
                  <w:iCs/>
                  <w:noProof/>
                </w:rPr>
                <w:t>Journal of Technology in Human Services</w:t>
              </w:r>
              <w:r w:rsidRPr="00176D37">
                <w:rPr>
                  <w:noProof/>
                </w:rPr>
                <w:t xml:space="preserve">, </w:t>
              </w:r>
              <w:r w:rsidR="00337074">
                <w:rPr>
                  <w:noProof/>
                </w:rPr>
                <w:t xml:space="preserve">vol. </w:t>
              </w:r>
              <w:r w:rsidRPr="00176D37">
                <w:rPr>
                  <w:noProof/>
                </w:rPr>
                <w:t>29</w:t>
              </w:r>
              <w:r w:rsidR="00337074">
                <w:rPr>
                  <w:noProof/>
                </w:rPr>
                <w:t xml:space="preserve">, pp. </w:t>
              </w:r>
              <w:r w:rsidRPr="00176D37">
                <w:rPr>
                  <w:noProof/>
                </w:rPr>
                <w:t>247</w:t>
              </w:r>
              <w:r w:rsidR="00337074">
                <w:rPr>
                  <w:noProof/>
                </w:rPr>
                <w:t>–</w:t>
              </w:r>
              <w:r w:rsidRPr="00176D37">
                <w:rPr>
                  <w:noProof/>
                </w:rPr>
                <w:t>262.</w:t>
              </w:r>
            </w:p>
            <w:p w14:paraId="03A55989" w14:textId="53BA563B" w:rsidR="00E9700E" w:rsidRPr="00176D37" w:rsidRDefault="00E9700E" w:rsidP="00C645E1">
              <w:pPr>
                <w:pStyle w:val="Body"/>
                <w:rPr>
                  <w:noProof/>
                </w:rPr>
              </w:pPr>
              <w:r w:rsidRPr="00176D37">
                <w:rPr>
                  <w:noProof/>
                </w:rPr>
                <w:t>Jenkins I</w:t>
              </w:r>
              <w:r w:rsidR="00337074">
                <w:rPr>
                  <w:noProof/>
                </w:rPr>
                <w:t xml:space="preserve"> </w:t>
              </w:r>
              <w:r w:rsidRPr="00176D37">
                <w:rPr>
                  <w:noProof/>
                </w:rPr>
                <w:t xml:space="preserve">2017, </w:t>
              </w:r>
              <w:r w:rsidR="00337074">
                <w:rPr>
                  <w:noProof/>
                </w:rPr>
                <w:t>'</w:t>
              </w:r>
              <w:r w:rsidRPr="00176D37">
                <w:rPr>
                  <w:noProof/>
                </w:rPr>
                <w:t xml:space="preserve">Transfusing </w:t>
              </w:r>
              <w:r w:rsidR="00337074" w:rsidRPr="00176D37">
                <w:rPr>
                  <w:noProof/>
                </w:rPr>
                <w:t>wisely: clinical decision support improves blood transfusion practice</w:t>
              </w:r>
              <w:r w:rsidRPr="00176D37">
                <w:rPr>
                  <w:noProof/>
                </w:rPr>
                <w:t>s</w:t>
              </w:r>
              <w:r w:rsidR="00337074">
                <w:rPr>
                  <w:noProof/>
                </w:rPr>
                <w:t>',</w:t>
              </w:r>
              <w:r w:rsidRPr="00176D37">
                <w:rPr>
                  <w:noProof/>
                </w:rPr>
                <w:t xml:space="preserve"> </w:t>
              </w:r>
              <w:r w:rsidRPr="00176D37">
                <w:rPr>
                  <w:i/>
                  <w:iCs/>
                  <w:noProof/>
                </w:rPr>
                <w:t>The Joint Commission Journal on Quality and Patient Safety</w:t>
              </w:r>
              <w:r w:rsidRPr="009742AB">
                <w:rPr>
                  <w:noProof/>
                </w:rPr>
                <w:t xml:space="preserve">, </w:t>
              </w:r>
              <w:r w:rsidR="00337074">
                <w:rPr>
                  <w:noProof/>
                </w:rPr>
                <w:t xml:space="preserve">vol. </w:t>
              </w:r>
              <w:r w:rsidRPr="009742AB">
                <w:rPr>
                  <w:noProof/>
                </w:rPr>
                <w:t>43</w:t>
              </w:r>
              <w:r w:rsidR="00337074">
                <w:rPr>
                  <w:noProof/>
                </w:rPr>
                <w:t xml:space="preserve">, no. </w:t>
              </w:r>
              <w:r w:rsidRPr="00176D37">
                <w:rPr>
                  <w:noProof/>
                </w:rPr>
                <w:t xml:space="preserve">8, </w:t>
              </w:r>
              <w:r w:rsidR="00337074">
                <w:rPr>
                  <w:noProof/>
                </w:rPr>
                <w:t xml:space="preserve">pp. </w:t>
              </w:r>
              <w:r w:rsidRPr="00176D37">
                <w:rPr>
                  <w:noProof/>
                </w:rPr>
                <w:t>389-395. doi:10.1016/j.jcjq.2017.04.003</w:t>
              </w:r>
            </w:p>
            <w:p w14:paraId="79688EBE" w14:textId="452AD183" w:rsidR="00E9700E" w:rsidRPr="00176D37" w:rsidRDefault="00E9700E" w:rsidP="00C645E1">
              <w:pPr>
                <w:pStyle w:val="Body"/>
                <w:rPr>
                  <w:noProof/>
                </w:rPr>
              </w:pPr>
              <w:r w:rsidRPr="00176D37">
                <w:rPr>
                  <w:noProof/>
                </w:rPr>
                <w:t>Kaufman RM</w:t>
              </w:r>
              <w:r w:rsidR="009F1F96">
                <w:rPr>
                  <w:noProof/>
                </w:rPr>
                <w:t xml:space="preserve"> </w:t>
              </w:r>
              <w:r w:rsidRPr="00176D37">
                <w:rPr>
                  <w:noProof/>
                </w:rPr>
                <w:t xml:space="preserve">2019, </w:t>
              </w:r>
              <w:r w:rsidR="009F1F96">
                <w:rPr>
                  <w:noProof/>
                </w:rPr>
                <w:t>'</w:t>
              </w:r>
              <w:r w:rsidRPr="00176D37">
                <w:rPr>
                  <w:noProof/>
                </w:rPr>
                <w:t>Electronic patient identification for sample labeling reduces wrong blood in tube errors</w:t>
              </w:r>
              <w:r w:rsidR="009F1F96">
                <w:rPr>
                  <w:noProof/>
                </w:rPr>
                <w:t>',</w:t>
              </w:r>
              <w:r w:rsidRPr="00176D37">
                <w:rPr>
                  <w:noProof/>
                </w:rPr>
                <w:t xml:space="preserve"> </w:t>
              </w:r>
              <w:r w:rsidRPr="00176D37">
                <w:rPr>
                  <w:i/>
                  <w:iCs/>
                  <w:noProof/>
                </w:rPr>
                <w:t>Transfusion</w:t>
              </w:r>
              <w:r w:rsidRPr="009742AB">
                <w:rPr>
                  <w:noProof/>
                </w:rPr>
                <w:t xml:space="preserve">, </w:t>
              </w:r>
              <w:r w:rsidR="009F1F96">
                <w:rPr>
                  <w:noProof/>
                </w:rPr>
                <w:t xml:space="preserve">vol. </w:t>
              </w:r>
              <w:r w:rsidRPr="009742AB">
                <w:rPr>
                  <w:noProof/>
                </w:rPr>
                <w:t>59</w:t>
              </w:r>
              <w:r w:rsidR="009F1F96">
                <w:rPr>
                  <w:noProof/>
                </w:rPr>
                <w:t xml:space="preserve">, no. </w:t>
              </w:r>
              <w:r w:rsidRPr="00176D37">
                <w:rPr>
                  <w:noProof/>
                </w:rPr>
                <w:t xml:space="preserve">3, </w:t>
              </w:r>
              <w:r w:rsidR="009F1F96">
                <w:rPr>
                  <w:noProof/>
                </w:rPr>
                <w:t xml:space="preserve">pp. </w:t>
              </w:r>
              <w:r w:rsidRPr="00176D37">
                <w:rPr>
                  <w:noProof/>
                </w:rPr>
                <w:t>972</w:t>
              </w:r>
              <w:r w:rsidR="009F1F96">
                <w:rPr>
                  <w:noProof/>
                </w:rPr>
                <w:t>–</w:t>
              </w:r>
              <w:r w:rsidRPr="00176D37">
                <w:rPr>
                  <w:noProof/>
                </w:rPr>
                <w:t>980. doi:10.1111/trf.15102</w:t>
              </w:r>
              <w:r w:rsidR="009F1F96">
                <w:rPr>
                  <w:noProof/>
                </w:rPr>
                <w:t>.</w:t>
              </w:r>
            </w:p>
            <w:p w14:paraId="3B391525" w14:textId="45269B01" w:rsidR="00E9700E" w:rsidRPr="00176D37" w:rsidRDefault="00E9700E" w:rsidP="00C645E1">
              <w:pPr>
                <w:pStyle w:val="Body"/>
                <w:rPr>
                  <w:noProof/>
                </w:rPr>
              </w:pPr>
              <w:r w:rsidRPr="00176D37">
                <w:rPr>
                  <w:noProof/>
                </w:rPr>
                <w:t>Keshavjee K</w:t>
              </w:r>
              <w:r w:rsidR="009F1F96">
                <w:rPr>
                  <w:noProof/>
                </w:rPr>
                <w:t xml:space="preserve"> </w:t>
              </w:r>
              <w:r w:rsidRPr="00176D37">
                <w:rPr>
                  <w:noProof/>
                </w:rPr>
                <w:t>nd</w:t>
              </w:r>
              <w:r w:rsidR="009F1F96">
                <w:rPr>
                  <w:noProof/>
                </w:rPr>
                <w:t>,</w:t>
              </w:r>
              <w:r w:rsidRPr="00176D37">
                <w:rPr>
                  <w:noProof/>
                </w:rPr>
                <w:t xml:space="preserve"> </w:t>
              </w:r>
              <w:r w:rsidRPr="009742AB">
                <w:rPr>
                  <w:i/>
                  <w:iCs/>
                  <w:noProof/>
                </w:rPr>
                <w:t xml:space="preserve">Best </w:t>
              </w:r>
              <w:r w:rsidR="009F1F96">
                <w:rPr>
                  <w:i/>
                  <w:iCs/>
                  <w:noProof/>
                </w:rPr>
                <w:t>p</w:t>
              </w:r>
              <w:r w:rsidR="009F1F96" w:rsidRPr="009742AB">
                <w:rPr>
                  <w:i/>
                  <w:iCs/>
                  <w:noProof/>
                </w:rPr>
                <w:t xml:space="preserve">ractices </w:t>
              </w:r>
              <w:r w:rsidRPr="009742AB">
                <w:rPr>
                  <w:i/>
                  <w:iCs/>
                  <w:noProof/>
                </w:rPr>
                <w:t>in EMR</w:t>
              </w:r>
              <w:r w:rsidR="009F1F96" w:rsidRPr="009F1F96">
                <w:rPr>
                  <w:i/>
                  <w:iCs/>
                  <w:noProof/>
                </w:rPr>
                <w:t xml:space="preserve"> implementation: a systematic review</w:t>
              </w:r>
              <w:r w:rsidRPr="00176D37">
                <w:rPr>
                  <w:noProof/>
                </w:rPr>
                <w:t>.</w:t>
              </w:r>
            </w:p>
            <w:p w14:paraId="17ED0BAE" w14:textId="42B8562C" w:rsidR="00E9700E" w:rsidRPr="00176D37" w:rsidRDefault="00E9700E" w:rsidP="00C645E1">
              <w:pPr>
                <w:pStyle w:val="Body"/>
                <w:rPr>
                  <w:noProof/>
                </w:rPr>
              </w:pPr>
              <w:r w:rsidRPr="00176D37">
                <w:rPr>
                  <w:noProof/>
                </w:rPr>
                <w:t>Harrington L</w:t>
              </w:r>
              <w:r w:rsidR="009F1F96">
                <w:rPr>
                  <w:noProof/>
                </w:rPr>
                <w:t xml:space="preserve"> </w:t>
              </w:r>
              <w:r w:rsidRPr="00176D37">
                <w:rPr>
                  <w:noProof/>
                </w:rPr>
                <w:t>2011</w:t>
              </w:r>
              <w:r w:rsidR="009F1F96">
                <w:rPr>
                  <w:noProof/>
                </w:rPr>
                <w:t>,</w:t>
              </w:r>
              <w:r w:rsidR="009F1F96" w:rsidRPr="00176D37">
                <w:rPr>
                  <w:noProof/>
                </w:rPr>
                <w:t xml:space="preserve"> </w:t>
              </w:r>
              <w:r w:rsidR="009F1F96">
                <w:rPr>
                  <w:noProof/>
                </w:rPr>
                <w:t>'</w:t>
              </w:r>
              <w:r w:rsidRPr="00176D37">
                <w:rPr>
                  <w:noProof/>
                </w:rPr>
                <w:t xml:space="preserve">Realizing </w:t>
              </w:r>
              <w:r w:rsidR="009F1F96" w:rsidRPr="00176D37">
                <w:rPr>
                  <w:noProof/>
                </w:rPr>
                <w:t>electronic medical record benefits. an easy-to-do usability stu</w:t>
              </w:r>
              <w:r w:rsidRPr="00176D37">
                <w:rPr>
                  <w:noProof/>
                </w:rPr>
                <w:t>dy</w:t>
              </w:r>
              <w:r w:rsidR="009F1F96">
                <w:rPr>
                  <w:noProof/>
                </w:rPr>
                <w:t>',</w:t>
              </w:r>
              <w:r w:rsidRPr="00176D37">
                <w:rPr>
                  <w:noProof/>
                </w:rPr>
                <w:t xml:space="preserve"> </w:t>
              </w:r>
              <w:r w:rsidRPr="00176D37">
                <w:rPr>
                  <w:i/>
                  <w:iCs/>
                  <w:noProof/>
                </w:rPr>
                <w:t>The Journal of Nursing Administration (JONA)</w:t>
              </w:r>
              <w:r w:rsidRPr="00176D37">
                <w:rPr>
                  <w:noProof/>
                </w:rPr>
                <w:t xml:space="preserve">, </w:t>
              </w:r>
              <w:r w:rsidR="009F1F96">
                <w:rPr>
                  <w:noProof/>
                </w:rPr>
                <w:t>v</w:t>
              </w:r>
              <w:r w:rsidRPr="00176D37">
                <w:rPr>
                  <w:noProof/>
                </w:rPr>
                <w:t>ol</w:t>
              </w:r>
              <w:r w:rsidR="009F1F96">
                <w:rPr>
                  <w:noProof/>
                </w:rPr>
                <w:t>.</w:t>
              </w:r>
              <w:r w:rsidRPr="00176D37">
                <w:rPr>
                  <w:noProof/>
                </w:rPr>
                <w:t xml:space="preserve"> 41, </w:t>
              </w:r>
              <w:r w:rsidR="009F1F96">
                <w:rPr>
                  <w:noProof/>
                </w:rPr>
                <w:t>n</w:t>
              </w:r>
              <w:r w:rsidR="009F1F96" w:rsidRPr="00176D37">
                <w:rPr>
                  <w:noProof/>
                </w:rPr>
                <w:t>o</w:t>
              </w:r>
              <w:r w:rsidR="009F1F96">
                <w:rPr>
                  <w:noProof/>
                </w:rPr>
                <w:t>.</w:t>
              </w:r>
              <w:r w:rsidR="009F1F96" w:rsidRPr="00176D37">
                <w:rPr>
                  <w:noProof/>
                </w:rPr>
                <w:t xml:space="preserve"> </w:t>
              </w:r>
              <w:r w:rsidRPr="00176D37">
                <w:rPr>
                  <w:noProof/>
                </w:rPr>
                <w:t>7/8, pp</w:t>
              </w:r>
              <w:r w:rsidR="009F1F96">
                <w:rPr>
                  <w:noProof/>
                </w:rPr>
                <w:t xml:space="preserve">. </w:t>
              </w:r>
              <w:r w:rsidRPr="00176D37">
                <w:rPr>
                  <w:noProof/>
                </w:rPr>
                <w:t>331</w:t>
              </w:r>
              <w:r w:rsidR="009F1F96">
                <w:rPr>
                  <w:noProof/>
                </w:rPr>
                <w:t>–</w:t>
              </w:r>
              <w:r w:rsidRPr="00176D37">
                <w:rPr>
                  <w:noProof/>
                </w:rPr>
                <w:t xml:space="preserve">335. </w:t>
              </w:r>
            </w:p>
            <w:p w14:paraId="38176B89" w14:textId="17A351CD" w:rsidR="00E9700E" w:rsidRPr="00176D37" w:rsidRDefault="00E9700E" w:rsidP="00C645E1">
              <w:pPr>
                <w:pStyle w:val="Body"/>
                <w:rPr>
                  <w:noProof/>
                </w:rPr>
              </w:pPr>
              <w:r w:rsidRPr="00176D37">
                <w:rPr>
                  <w:noProof/>
                </w:rPr>
                <w:t xml:space="preserve">Lao WS 2021, </w:t>
              </w:r>
              <w:r w:rsidR="002768A5">
                <w:rPr>
                  <w:noProof/>
                </w:rPr>
                <w:t>'</w:t>
              </w:r>
              <w:r w:rsidRPr="00176D37">
                <w:rPr>
                  <w:noProof/>
                </w:rPr>
                <w:t xml:space="preserve">Massive </w:t>
              </w:r>
              <w:r w:rsidR="002768A5" w:rsidRPr="00176D37">
                <w:rPr>
                  <w:noProof/>
                </w:rPr>
                <w:t>transfusion protocol predictive modeling in the modern electronic medical record</w:t>
              </w:r>
              <w:r w:rsidR="002768A5">
                <w:rPr>
                  <w:noProof/>
                </w:rPr>
                <w:t>',</w:t>
              </w:r>
              <w:r w:rsidRPr="00176D37">
                <w:rPr>
                  <w:noProof/>
                </w:rPr>
                <w:t xml:space="preserve"> </w:t>
              </w:r>
              <w:r w:rsidRPr="00176D37">
                <w:rPr>
                  <w:i/>
                  <w:iCs/>
                  <w:noProof/>
                </w:rPr>
                <w:t>Annals of Surgery</w:t>
              </w:r>
              <w:r w:rsidRPr="009742AB">
                <w:rPr>
                  <w:noProof/>
                </w:rPr>
                <w:t xml:space="preserve">, </w:t>
              </w:r>
              <w:r w:rsidR="002768A5">
                <w:rPr>
                  <w:noProof/>
                </w:rPr>
                <w:t xml:space="preserve">vol. </w:t>
              </w:r>
              <w:r w:rsidRPr="009742AB">
                <w:rPr>
                  <w:noProof/>
                </w:rPr>
                <w:t>2</w:t>
              </w:r>
              <w:r w:rsidR="002768A5">
                <w:rPr>
                  <w:noProof/>
                </w:rPr>
                <w:t xml:space="preserve">, no. </w:t>
              </w:r>
              <w:r w:rsidRPr="00176D37">
                <w:rPr>
                  <w:noProof/>
                </w:rPr>
                <w:t>4, e109. doi:10.1097/AS9.0000000000000109</w:t>
              </w:r>
              <w:r w:rsidR="002768A5">
                <w:rPr>
                  <w:noProof/>
                </w:rPr>
                <w:t>.</w:t>
              </w:r>
            </w:p>
            <w:p w14:paraId="758529AD" w14:textId="2E164B91" w:rsidR="00E9700E" w:rsidRPr="00176D37" w:rsidRDefault="00E9700E" w:rsidP="00C645E1">
              <w:pPr>
                <w:pStyle w:val="Body"/>
                <w:rPr>
                  <w:noProof/>
                </w:rPr>
              </w:pPr>
              <w:r w:rsidRPr="00176D37">
                <w:rPr>
                  <w:noProof/>
                </w:rPr>
                <w:t>Lucas L 2010</w:t>
              </w:r>
              <w:r w:rsidR="002768A5">
                <w:rPr>
                  <w:noProof/>
                </w:rPr>
                <w:t>,</w:t>
              </w:r>
              <w:r w:rsidRPr="00176D37">
                <w:rPr>
                  <w:noProof/>
                </w:rPr>
                <w:t xml:space="preserve"> </w:t>
              </w:r>
              <w:r w:rsidR="002768A5">
                <w:rPr>
                  <w:noProof/>
                </w:rPr>
                <w:t>'</w:t>
              </w:r>
              <w:r w:rsidRPr="00176D37">
                <w:rPr>
                  <w:noProof/>
                </w:rPr>
                <w:t>Partnering to</w:t>
              </w:r>
              <w:r w:rsidR="002768A5" w:rsidRPr="00176D37">
                <w:rPr>
                  <w:noProof/>
                </w:rPr>
                <w:t xml:space="preserve"> enhance the nursing curriculum: electronic medical record accessibility</w:t>
              </w:r>
              <w:r w:rsidR="002768A5">
                <w:rPr>
                  <w:noProof/>
                </w:rPr>
                <w:t>',</w:t>
              </w:r>
              <w:r w:rsidRPr="00176D37">
                <w:rPr>
                  <w:noProof/>
                </w:rPr>
                <w:t xml:space="preserve"> </w:t>
              </w:r>
              <w:r w:rsidRPr="00176D37">
                <w:rPr>
                  <w:i/>
                  <w:iCs/>
                  <w:noProof/>
                </w:rPr>
                <w:t>Clinical Simulation in Nursing</w:t>
              </w:r>
              <w:r w:rsidRPr="00176D37">
                <w:rPr>
                  <w:noProof/>
                </w:rPr>
                <w:t xml:space="preserve">, </w:t>
              </w:r>
              <w:r w:rsidR="002768A5">
                <w:rPr>
                  <w:noProof/>
                </w:rPr>
                <w:t xml:space="preserve">vol. </w:t>
              </w:r>
              <w:r w:rsidRPr="00176D37">
                <w:rPr>
                  <w:noProof/>
                </w:rPr>
                <w:t>6, e97-e102</w:t>
              </w:r>
              <w:r w:rsidR="002768A5">
                <w:rPr>
                  <w:noProof/>
                </w:rPr>
                <w:t>,</w:t>
              </w:r>
              <w:r w:rsidRPr="00176D37">
                <w:rPr>
                  <w:noProof/>
                </w:rPr>
                <w:t xml:space="preserve"> doi:10.1016/j.ecns.2009.07.006</w:t>
              </w:r>
              <w:r w:rsidR="002768A5">
                <w:rPr>
                  <w:noProof/>
                </w:rPr>
                <w:t>.</w:t>
              </w:r>
            </w:p>
            <w:p w14:paraId="109CD9EC" w14:textId="157D31A6" w:rsidR="00E9700E" w:rsidRPr="00176D37" w:rsidRDefault="00E9700E" w:rsidP="00C645E1">
              <w:pPr>
                <w:pStyle w:val="Body"/>
                <w:rPr>
                  <w:noProof/>
                </w:rPr>
              </w:pPr>
              <w:r w:rsidRPr="00176D37">
                <w:rPr>
                  <w:noProof/>
                </w:rPr>
                <w:t>McGinn CA</w:t>
              </w:r>
              <w:r w:rsidR="002768A5">
                <w:rPr>
                  <w:noProof/>
                </w:rPr>
                <w:t xml:space="preserve"> </w:t>
              </w:r>
              <w:r w:rsidRPr="00176D37">
                <w:rPr>
                  <w:noProof/>
                </w:rPr>
                <w:t>2011</w:t>
              </w:r>
              <w:r w:rsidR="002768A5">
                <w:rPr>
                  <w:noProof/>
                </w:rPr>
                <w:t>,</w:t>
              </w:r>
              <w:r w:rsidRPr="00176D37">
                <w:rPr>
                  <w:noProof/>
                </w:rPr>
                <w:t xml:space="preserve"> </w:t>
              </w:r>
              <w:r w:rsidR="002768A5">
                <w:rPr>
                  <w:noProof/>
                </w:rPr>
                <w:t>'</w:t>
              </w:r>
              <w:r w:rsidRPr="00176D37">
                <w:rPr>
                  <w:noProof/>
                </w:rPr>
                <w:t>Comparison of user groups’ perspectives of barriers and facilitators to implementing electronic health records: a systematic review</w:t>
              </w:r>
              <w:r w:rsidR="002768A5">
                <w:rPr>
                  <w:noProof/>
                </w:rPr>
                <w:t>',</w:t>
              </w:r>
              <w:r w:rsidRPr="00176D37">
                <w:rPr>
                  <w:noProof/>
                </w:rPr>
                <w:t xml:space="preserve"> </w:t>
              </w:r>
              <w:r w:rsidRPr="00176D37">
                <w:rPr>
                  <w:i/>
                  <w:iCs/>
                  <w:noProof/>
                </w:rPr>
                <w:t>BioMed Central (BMC Medicine)</w:t>
              </w:r>
              <w:r w:rsidRPr="009742AB">
                <w:rPr>
                  <w:noProof/>
                </w:rPr>
                <w:t xml:space="preserve">, </w:t>
              </w:r>
              <w:r w:rsidR="002768A5">
                <w:rPr>
                  <w:noProof/>
                </w:rPr>
                <w:t xml:space="preserve">vol. </w:t>
              </w:r>
              <w:r w:rsidRPr="009742AB">
                <w:rPr>
                  <w:noProof/>
                </w:rPr>
                <w:t>9</w:t>
              </w:r>
              <w:r w:rsidR="002768A5">
                <w:rPr>
                  <w:noProof/>
                </w:rPr>
                <w:t xml:space="preserve">, no. </w:t>
              </w:r>
              <w:r w:rsidRPr="00176D37">
                <w:rPr>
                  <w:noProof/>
                </w:rPr>
                <w:t>46</w:t>
              </w:r>
              <w:r w:rsidR="002768A5">
                <w:rPr>
                  <w:noProof/>
                </w:rPr>
                <w:t>,</w:t>
              </w:r>
              <w:r w:rsidRPr="00176D37">
                <w:rPr>
                  <w:noProof/>
                </w:rPr>
                <w:t xml:space="preserve"> doi:10.1186/1741-7015-9-46</w:t>
              </w:r>
              <w:r w:rsidR="002768A5">
                <w:rPr>
                  <w:noProof/>
                </w:rPr>
                <w:t>.</w:t>
              </w:r>
            </w:p>
            <w:p w14:paraId="6C60E0D0" w14:textId="256AACFD" w:rsidR="00E9700E" w:rsidRPr="00176D37" w:rsidRDefault="00E9700E" w:rsidP="00C645E1">
              <w:pPr>
                <w:pStyle w:val="Body"/>
                <w:rPr>
                  <w:noProof/>
                </w:rPr>
              </w:pPr>
              <w:r w:rsidRPr="00176D37">
                <w:rPr>
                  <w:noProof/>
                </w:rPr>
                <w:t>McGuire MJ</w:t>
              </w:r>
              <w:r w:rsidR="002768A5">
                <w:rPr>
                  <w:noProof/>
                </w:rPr>
                <w:t xml:space="preserve"> </w:t>
              </w:r>
              <w:r w:rsidRPr="00176D37">
                <w:rPr>
                  <w:noProof/>
                </w:rPr>
                <w:t xml:space="preserve">2013, </w:t>
              </w:r>
              <w:r w:rsidR="002768A5">
                <w:rPr>
                  <w:noProof/>
                </w:rPr>
                <w:t>'</w:t>
              </w:r>
              <w:r w:rsidRPr="00176D37">
                <w:rPr>
                  <w:noProof/>
                </w:rPr>
                <w:t xml:space="preserve">Patient </w:t>
              </w:r>
              <w:r w:rsidR="002768A5" w:rsidRPr="00176D37">
                <w:rPr>
                  <w:noProof/>
                </w:rPr>
                <w:t>safety perceptions of primary care providers after implementation of an electronic medical record syst</w:t>
              </w:r>
              <w:r w:rsidRPr="00176D37">
                <w:rPr>
                  <w:noProof/>
                </w:rPr>
                <w:t>em</w:t>
              </w:r>
              <w:r w:rsidR="002768A5">
                <w:rPr>
                  <w:noProof/>
                </w:rPr>
                <w:t>',</w:t>
              </w:r>
              <w:r w:rsidRPr="00176D37">
                <w:rPr>
                  <w:noProof/>
                </w:rPr>
                <w:t xml:space="preserve"> </w:t>
              </w:r>
              <w:r w:rsidRPr="00176D37">
                <w:rPr>
                  <w:i/>
                  <w:iCs/>
                  <w:noProof/>
                </w:rPr>
                <w:t xml:space="preserve">Journal of </w:t>
              </w:r>
              <w:r w:rsidR="002768A5" w:rsidRPr="00176D37">
                <w:rPr>
                  <w:i/>
                  <w:iCs/>
                  <w:noProof/>
                </w:rPr>
                <w:t>General Internal Medici</w:t>
              </w:r>
              <w:r w:rsidRPr="00176D37">
                <w:rPr>
                  <w:i/>
                  <w:iCs/>
                  <w:noProof/>
                </w:rPr>
                <w:t>ne</w:t>
              </w:r>
              <w:r w:rsidRPr="009742AB">
                <w:rPr>
                  <w:noProof/>
                </w:rPr>
                <w:t xml:space="preserve">, </w:t>
              </w:r>
              <w:r w:rsidR="002768A5">
                <w:rPr>
                  <w:noProof/>
                </w:rPr>
                <w:t xml:space="preserve">vol. </w:t>
              </w:r>
              <w:r w:rsidRPr="009742AB">
                <w:rPr>
                  <w:noProof/>
                </w:rPr>
                <w:t>28</w:t>
              </w:r>
              <w:r w:rsidR="002768A5">
                <w:rPr>
                  <w:noProof/>
                </w:rPr>
                <w:t xml:space="preserve">, no. </w:t>
              </w:r>
              <w:r w:rsidRPr="00176D37">
                <w:rPr>
                  <w:noProof/>
                </w:rPr>
                <w:t xml:space="preserve">2, </w:t>
              </w:r>
              <w:r w:rsidR="002768A5">
                <w:rPr>
                  <w:noProof/>
                </w:rPr>
                <w:t xml:space="preserve">pp. </w:t>
              </w:r>
              <w:r w:rsidRPr="00176D37">
                <w:rPr>
                  <w:noProof/>
                </w:rPr>
                <w:t>184</w:t>
              </w:r>
              <w:r w:rsidR="002768A5">
                <w:rPr>
                  <w:noProof/>
                </w:rPr>
                <w:t>–</w:t>
              </w:r>
              <w:r w:rsidRPr="00176D37">
                <w:rPr>
                  <w:noProof/>
                </w:rPr>
                <w:t>192</w:t>
              </w:r>
              <w:r w:rsidR="002768A5">
                <w:rPr>
                  <w:noProof/>
                </w:rPr>
                <w:t>,</w:t>
              </w:r>
              <w:r w:rsidR="002768A5" w:rsidRPr="00176D37">
                <w:rPr>
                  <w:noProof/>
                </w:rPr>
                <w:t xml:space="preserve"> </w:t>
              </w:r>
              <w:r w:rsidRPr="00176D37">
                <w:rPr>
                  <w:noProof/>
                </w:rPr>
                <w:t>doi:10.1007/s11606-012-2153-y</w:t>
              </w:r>
              <w:r w:rsidR="002768A5">
                <w:rPr>
                  <w:noProof/>
                </w:rPr>
                <w:t>.</w:t>
              </w:r>
            </w:p>
            <w:p w14:paraId="5B9D8099" w14:textId="34EE7D6C" w:rsidR="00E9700E" w:rsidRDefault="00E9700E" w:rsidP="00C645E1">
              <w:pPr>
                <w:pStyle w:val="Body"/>
                <w:rPr>
                  <w:noProof/>
                </w:rPr>
              </w:pPr>
              <w:r w:rsidRPr="00176D37">
                <w:rPr>
                  <w:noProof/>
                </w:rPr>
                <w:t>Murphy M</w:t>
              </w:r>
              <w:r w:rsidR="002768A5">
                <w:rPr>
                  <w:noProof/>
                </w:rPr>
                <w:t xml:space="preserve"> </w:t>
              </w:r>
              <w:r w:rsidRPr="00176D37">
                <w:rPr>
                  <w:noProof/>
                </w:rPr>
                <w:t xml:space="preserve">2012, </w:t>
              </w:r>
              <w:r w:rsidR="002768A5">
                <w:rPr>
                  <w:noProof/>
                </w:rPr>
                <w:t>'</w:t>
              </w:r>
              <w:r w:rsidRPr="00176D37">
                <w:rPr>
                  <w:noProof/>
                </w:rPr>
                <w:t>How do we monitor hospital transfusion practice using an end-to-end electronic transfusion management system?</w:t>
              </w:r>
              <w:r w:rsidR="002768A5">
                <w:rPr>
                  <w:noProof/>
                </w:rPr>
                <w:t>',</w:t>
              </w:r>
              <w:r w:rsidRPr="00176D37">
                <w:rPr>
                  <w:noProof/>
                </w:rPr>
                <w:t xml:space="preserve"> </w:t>
              </w:r>
              <w:r w:rsidRPr="00176D37">
                <w:rPr>
                  <w:i/>
                  <w:iCs/>
                  <w:noProof/>
                </w:rPr>
                <w:t>Transfusion</w:t>
              </w:r>
              <w:r w:rsidRPr="009742AB">
                <w:rPr>
                  <w:noProof/>
                </w:rPr>
                <w:t xml:space="preserve">, </w:t>
              </w:r>
              <w:r w:rsidR="002768A5">
                <w:rPr>
                  <w:noProof/>
                </w:rPr>
                <w:t xml:space="preserve">vol. </w:t>
              </w:r>
              <w:r w:rsidRPr="009742AB">
                <w:rPr>
                  <w:noProof/>
                </w:rPr>
                <w:t>52</w:t>
              </w:r>
              <w:r w:rsidR="002768A5">
                <w:rPr>
                  <w:noProof/>
                </w:rPr>
                <w:t>, no. 1</w:t>
              </w:r>
              <w:r w:rsidRPr="00176D37">
                <w:rPr>
                  <w:noProof/>
                </w:rPr>
                <w:t xml:space="preserve">2, </w:t>
              </w:r>
              <w:r w:rsidR="002768A5">
                <w:rPr>
                  <w:noProof/>
                </w:rPr>
                <w:t xml:space="preserve">pp. </w:t>
              </w:r>
              <w:r w:rsidRPr="00176D37">
                <w:rPr>
                  <w:noProof/>
                </w:rPr>
                <w:t>2502</w:t>
              </w:r>
              <w:r w:rsidR="002768A5">
                <w:rPr>
                  <w:noProof/>
                </w:rPr>
                <w:t>–</w:t>
              </w:r>
              <w:r w:rsidRPr="00176D37">
                <w:rPr>
                  <w:noProof/>
                </w:rPr>
                <w:t>2512</w:t>
              </w:r>
              <w:r w:rsidR="002768A5">
                <w:rPr>
                  <w:noProof/>
                </w:rPr>
                <w:t>,</w:t>
              </w:r>
              <w:r w:rsidR="002768A5" w:rsidRPr="00176D37">
                <w:rPr>
                  <w:noProof/>
                </w:rPr>
                <w:t xml:space="preserve"> </w:t>
              </w:r>
              <w:r w:rsidRPr="00176D37">
                <w:rPr>
                  <w:noProof/>
                </w:rPr>
                <w:t>doi:10.1111/j.1537-2995.2011.03509.x</w:t>
              </w:r>
              <w:r w:rsidR="002768A5">
                <w:rPr>
                  <w:noProof/>
                </w:rPr>
                <w:t>.</w:t>
              </w:r>
            </w:p>
            <w:p w14:paraId="0A3BB03B" w14:textId="3B9AFE76" w:rsidR="00D7621F" w:rsidRPr="00176D37" w:rsidRDefault="00D7621F" w:rsidP="00C645E1">
              <w:pPr>
                <w:pStyle w:val="Body"/>
                <w:rPr>
                  <w:noProof/>
                </w:rPr>
              </w:pPr>
              <w:r>
                <w:rPr>
                  <w:noProof/>
                </w:rPr>
                <w:t>M</w:t>
              </w:r>
              <w:r w:rsidRPr="00176D37">
                <w:rPr>
                  <w:noProof/>
                </w:rPr>
                <w:t>ills</w:t>
              </w:r>
              <w:r>
                <w:rPr>
                  <w:noProof/>
                </w:rPr>
                <w:t xml:space="preserve"> T </w:t>
              </w:r>
              <w:r w:rsidRPr="00176D37">
                <w:rPr>
                  <w:noProof/>
                </w:rPr>
                <w:t xml:space="preserve"> 2010</w:t>
              </w:r>
              <w:r>
                <w:rPr>
                  <w:noProof/>
                </w:rPr>
                <w:t>,</w:t>
              </w:r>
              <w:r w:rsidRPr="00176D37">
                <w:rPr>
                  <w:noProof/>
                </w:rPr>
                <w:t xml:space="preserve"> </w:t>
              </w:r>
              <w:r>
                <w:rPr>
                  <w:noProof/>
                </w:rPr>
                <w:t>'</w:t>
              </w:r>
              <w:r w:rsidRPr="00176D37">
                <w:rPr>
                  <w:noProof/>
                </w:rPr>
                <w:t>Electronic Medical record systems in critical access hospitals: leadership perspectives on anticipated and realized benefits</w:t>
              </w:r>
              <w:r>
                <w:rPr>
                  <w:noProof/>
                </w:rPr>
                <w:t>'</w:t>
              </w:r>
              <w:r w:rsidRPr="00176D37">
                <w:rPr>
                  <w:noProof/>
                </w:rPr>
                <w:t xml:space="preserve">. </w:t>
              </w:r>
              <w:r w:rsidRPr="00176D37">
                <w:rPr>
                  <w:i/>
                  <w:iCs/>
                  <w:noProof/>
                </w:rPr>
                <w:t>Perspectives in Health Information Management</w:t>
              </w:r>
              <w:r w:rsidRPr="00176D37">
                <w:rPr>
                  <w:noProof/>
                </w:rPr>
                <w:t>.</w:t>
              </w:r>
            </w:p>
            <w:p w14:paraId="445B634B" w14:textId="1BDF82AF" w:rsidR="00E9700E" w:rsidRPr="00176D37" w:rsidRDefault="00E9700E" w:rsidP="00C645E1">
              <w:pPr>
                <w:pStyle w:val="Body"/>
                <w:rPr>
                  <w:noProof/>
                </w:rPr>
              </w:pPr>
              <w:r w:rsidRPr="00176D37">
                <w:rPr>
                  <w:noProof/>
                </w:rPr>
                <w:t>Murphy MF</w:t>
              </w:r>
              <w:r w:rsidR="002768A5">
                <w:rPr>
                  <w:noProof/>
                </w:rPr>
                <w:t xml:space="preserve"> </w:t>
              </w:r>
              <w:r w:rsidRPr="00176D37">
                <w:rPr>
                  <w:noProof/>
                </w:rPr>
                <w:t xml:space="preserve">2019, </w:t>
              </w:r>
              <w:r w:rsidR="002768A5">
                <w:rPr>
                  <w:noProof/>
                </w:rPr>
                <w:t>'</w:t>
              </w:r>
              <w:r w:rsidRPr="00176D37">
                <w:rPr>
                  <w:noProof/>
                </w:rPr>
                <w:t>Electronic identification systems reduce the number of wrong components transfused</w:t>
              </w:r>
              <w:r w:rsidR="002768A5">
                <w:rPr>
                  <w:noProof/>
                </w:rPr>
                <w:t>',</w:t>
              </w:r>
              <w:r w:rsidRPr="00176D37">
                <w:rPr>
                  <w:noProof/>
                </w:rPr>
                <w:t xml:space="preserve"> </w:t>
              </w:r>
              <w:r w:rsidRPr="00176D37">
                <w:rPr>
                  <w:i/>
                  <w:iCs/>
                  <w:noProof/>
                </w:rPr>
                <w:t>Transfusion</w:t>
              </w:r>
              <w:r w:rsidRPr="009742AB">
                <w:rPr>
                  <w:noProof/>
                </w:rPr>
                <w:t xml:space="preserve">, </w:t>
              </w:r>
              <w:r w:rsidR="002768A5">
                <w:rPr>
                  <w:noProof/>
                </w:rPr>
                <w:t xml:space="preserve">vol. </w:t>
              </w:r>
              <w:r w:rsidRPr="009742AB">
                <w:rPr>
                  <w:noProof/>
                </w:rPr>
                <w:t>59</w:t>
              </w:r>
              <w:r w:rsidR="002768A5">
                <w:rPr>
                  <w:noProof/>
                </w:rPr>
                <w:t xml:space="preserve">, no. </w:t>
              </w:r>
              <w:r w:rsidRPr="00176D37">
                <w:rPr>
                  <w:noProof/>
                </w:rPr>
                <w:t xml:space="preserve">12, </w:t>
              </w:r>
              <w:r w:rsidR="002768A5">
                <w:rPr>
                  <w:noProof/>
                </w:rPr>
                <w:t xml:space="preserve">pp. </w:t>
              </w:r>
              <w:r w:rsidRPr="00176D37">
                <w:rPr>
                  <w:noProof/>
                </w:rPr>
                <w:t>1</w:t>
              </w:r>
              <w:r w:rsidR="002768A5">
                <w:rPr>
                  <w:noProof/>
                </w:rPr>
                <w:t>–</w:t>
              </w:r>
              <w:r w:rsidRPr="00176D37">
                <w:rPr>
                  <w:noProof/>
                </w:rPr>
                <w:t>7. doi:10.1111/trf.15537</w:t>
              </w:r>
              <w:r w:rsidR="002768A5">
                <w:rPr>
                  <w:noProof/>
                </w:rPr>
                <w:t>.</w:t>
              </w:r>
            </w:p>
            <w:p w14:paraId="00FD1BCD" w14:textId="73115C6A" w:rsidR="00E9700E" w:rsidRPr="00176D37" w:rsidRDefault="00E9700E" w:rsidP="00C645E1">
              <w:pPr>
                <w:pStyle w:val="Body"/>
                <w:rPr>
                  <w:noProof/>
                </w:rPr>
              </w:pPr>
              <w:r w:rsidRPr="00176D37">
                <w:rPr>
                  <w:noProof/>
                </w:rPr>
                <w:t>Murphy MF</w:t>
              </w:r>
              <w:r w:rsidR="002768A5" w:rsidRPr="00176D37" w:rsidDel="002768A5">
                <w:rPr>
                  <w:noProof/>
                </w:rPr>
                <w:t xml:space="preserve"> </w:t>
              </w:r>
              <w:r w:rsidRPr="00176D37">
                <w:rPr>
                  <w:noProof/>
                </w:rPr>
                <w:t xml:space="preserve">2009, </w:t>
              </w:r>
              <w:r w:rsidR="002768A5">
                <w:rPr>
                  <w:noProof/>
                </w:rPr>
                <w:t>'</w:t>
              </w:r>
              <w:r w:rsidRPr="00176D37">
                <w:rPr>
                  <w:noProof/>
                </w:rPr>
                <w:t>How do we approach a major change program using the example of the development, evaluation, and implementation of an electronic transfusion management system</w:t>
              </w:r>
              <w:r w:rsidR="002768A5">
                <w:rPr>
                  <w:noProof/>
                </w:rPr>
                <w:t>',</w:t>
              </w:r>
              <w:r w:rsidRPr="00176D37">
                <w:rPr>
                  <w:noProof/>
                </w:rPr>
                <w:t xml:space="preserve"> </w:t>
              </w:r>
              <w:r w:rsidRPr="00176D37">
                <w:rPr>
                  <w:i/>
                  <w:iCs/>
                  <w:noProof/>
                </w:rPr>
                <w:t>Transfusion</w:t>
              </w:r>
              <w:r w:rsidRPr="009742AB">
                <w:rPr>
                  <w:noProof/>
                </w:rPr>
                <w:t xml:space="preserve">, </w:t>
              </w:r>
              <w:r w:rsidR="002768A5">
                <w:rPr>
                  <w:noProof/>
                </w:rPr>
                <w:t xml:space="preserve">vol. </w:t>
              </w:r>
              <w:r w:rsidRPr="009742AB">
                <w:rPr>
                  <w:noProof/>
                </w:rPr>
                <w:t>49</w:t>
              </w:r>
              <w:r w:rsidR="002768A5">
                <w:rPr>
                  <w:noProof/>
                </w:rPr>
                <w:t xml:space="preserve">, no. </w:t>
              </w:r>
              <w:r w:rsidRPr="00176D37">
                <w:rPr>
                  <w:noProof/>
                </w:rPr>
                <w:t xml:space="preserve">5, </w:t>
              </w:r>
              <w:r w:rsidR="002768A5">
                <w:rPr>
                  <w:noProof/>
                </w:rPr>
                <w:t xml:space="preserve">pp. </w:t>
              </w:r>
              <w:r w:rsidRPr="00176D37">
                <w:rPr>
                  <w:noProof/>
                </w:rPr>
                <w:t>829</w:t>
              </w:r>
              <w:r w:rsidR="002768A5">
                <w:rPr>
                  <w:noProof/>
                </w:rPr>
                <w:t>–</w:t>
              </w:r>
              <w:r w:rsidRPr="00176D37">
                <w:rPr>
                  <w:noProof/>
                </w:rPr>
                <w:t>837</w:t>
              </w:r>
              <w:r w:rsidR="002768A5">
                <w:rPr>
                  <w:noProof/>
                </w:rPr>
                <w:t xml:space="preserve">, </w:t>
              </w:r>
              <w:r w:rsidRPr="00176D37">
                <w:rPr>
                  <w:noProof/>
                </w:rPr>
                <w:t>doi:10.1111/j.1537-2995.2009.02120.x</w:t>
              </w:r>
              <w:r w:rsidR="002768A5">
                <w:rPr>
                  <w:noProof/>
                </w:rPr>
                <w:t>.</w:t>
              </w:r>
            </w:p>
            <w:p w14:paraId="09203C00" w14:textId="4C795801" w:rsidR="00E9700E" w:rsidRDefault="00E9700E" w:rsidP="00C645E1">
              <w:pPr>
                <w:pStyle w:val="Body"/>
                <w:rPr>
                  <w:noProof/>
                </w:rPr>
              </w:pPr>
              <w:r w:rsidRPr="00176D37">
                <w:rPr>
                  <w:noProof/>
                </w:rPr>
                <w:t>NPAAC</w:t>
              </w:r>
              <w:r w:rsidR="002768A5">
                <w:rPr>
                  <w:noProof/>
                </w:rPr>
                <w:t xml:space="preserve"> </w:t>
              </w:r>
              <w:r w:rsidRPr="00176D37">
                <w:rPr>
                  <w:noProof/>
                </w:rPr>
                <w:t>2019</w:t>
              </w:r>
              <w:r w:rsidR="002768A5">
                <w:rPr>
                  <w:noProof/>
                </w:rPr>
                <w:t>,</w:t>
              </w:r>
              <w:r w:rsidRPr="00176D37">
                <w:rPr>
                  <w:noProof/>
                </w:rPr>
                <w:t xml:space="preserve"> </w:t>
              </w:r>
              <w:r w:rsidRPr="00176D37">
                <w:rPr>
                  <w:i/>
                  <w:iCs/>
                  <w:noProof/>
                </w:rPr>
                <w:t>Requirements for Transfusion Laboratory Practice</w:t>
              </w:r>
              <w:r w:rsidR="002768A5">
                <w:rPr>
                  <w:i/>
                  <w:iCs/>
                  <w:noProof/>
                </w:rPr>
                <w:t>,</w:t>
              </w:r>
              <w:r w:rsidRPr="00176D37">
                <w:rPr>
                  <w:i/>
                  <w:iCs/>
                  <w:noProof/>
                </w:rPr>
                <w:t xml:space="preserve"> </w:t>
              </w:r>
              <w:r w:rsidR="002768A5">
                <w:rPr>
                  <w:noProof/>
                </w:rPr>
                <w:t>4th</w:t>
              </w:r>
              <w:r w:rsidRPr="009742AB">
                <w:rPr>
                  <w:noProof/>
                </w:rPr>
                <w:t xml:space="preserve"> </w:t>
              </w:r>
              <w:r w:rsidR="002768A5">
                <w:rPr>
                  <w:noProof/>
                </w:rPr>
                <w:t>e</w:t>
              </w:r>
              <w:r w:rsidR="002768A5" w:rsidRPr="009742AB">
                <w:rPr>
                  <w:noProof/>
                </w:rPr>
                <w:t>d</w:t>
              </w:r>
              <w:r w:rsidR="002768A5">
                <w:rPr>
                  <w:noProof/>
                </w:rPr>
                <w:t>.</w:t>
              </w:r>
            </w:p>
            <w:p w14:paraId="0CAEBAB4" w14:textId="44A1D76B" w:rsidR="009F1F96" w:rsidRPr="00176D37" w:rsidRDefault="009F1F96" w:rsidP="009F1F96">
              <w:pPr>
                <w:pStyle w:val="Body"/>
                <w:rPr>
                  <w:noProof/>
                </w:rPr>
              </w:pPr>
              <w:r>
                <w:rPr>
                  <w:noProof/>
                </w:rPr>
                <w:t>N</w:t>
              </w:r>
              <w:r w:rsidRPr="00176D37">
                <w:rPr>
                  <w:noProof/>
                </w:rPr>
                <w:t>guyen</w:t>
              </w:r>
              <w:r>
                <w:rPr>
                  <w:noProof/>
                </w:rPr>
                <w:t xml:space="preserve"> L </w:t>
              </w:r>
              <w:r w:rsidRPr="00176D37">
                <w:rPr>
                  <w:noProof/>
                </w:rPr>
                <w:t>2014</w:t>
              </w:r>
              <w:r>
                <w:rPr>
                  <w:noProof/>
                </w:rPr>
                <w:t>,</w:t>
              </w:r>
              <w:r w:rsidRPr="00176D37">
                <w:rPr>
                  <w:noProof/>
                </w:rPr>
                <w:t xml:space="preserve"> </w:t>
              </w:r>
              <w:r w:rsidR="002768A5">
                <w:rPr>
                  <w:noProof/>
                </w:rPr>
                <w:t>'</w:t>
              </w:r>
              <w:r w:rsidRPr="00176D37">
                <w:rPr>
                  <w:noProof/>
                </w:rPr>
                <w:t xml:space="preserve">Electronic health records implementation: </w:t>
              </w:r>
              <w:r>
                <w:rPr>
                  <w:noProof/>
                </w:rPr>
                <w:t>a</w:t>
              </w:r>
              <w:r w:rsidRPr="00176D37">
                <w:rPr>
                  <w:noProof/>
                </w:rPr>
                <w:t>n evaluation of information system impact and contingency factors</w:t>
              </w:r>
              <w:r w:rsidR="002768A5">
                <w:rPr>
                  <w:noProof/>
                </w:rPr>
                <w:t>'</w:t>
              </w:r>
              <w:r>
                <w:rPr>
                  <w:noProof/>
                </w:rPr>
                <w:t>,</w:t>
              </w:r>
              <w:r w:rsidRPr="00176D37">
                <w:rPr>
                  <w:noProof/>
                </w:rPr>
                <w:t xml:space="preserve"> </w:t>
              </w:r>
              <w:r w:rsidRPr="00176D37">
                <w:rPr>
                  <w:i/>
                  <w:iCs/>
                  <w:noProof/>
                </w:rPr>
                <w:t>International Journal of Medical Informatics</w:t>
              </w:r>
              <w:r w:rsidRPr="00176D37">
                <w:rPr>
                  <w:noProof/>
                </w:rPr>
                <w:t xml:space="preserve">, </w:t>
              </w:r>
              <w:r>
                <w:rPr>
                  <w:noProof/>
                </w:rPr>
                <w:t>vol. 8</w:t>
              </w:r>
              <w:r w:rsidRPr="00176D37">
                <w:rPr>
                  <w:noProof/>
                </w:rPr>
                <w:t>3</w:t>
              </w:r>
              <w:r>
                <w:rPr>
                  <w:noProof/>
                </w:rPr>
                <w:t xml:space="preserve">, pp. </w:t>
              </w:r>
              <w:r w:rsidRPr="00176D37">
                <w:rPr>
                  <w:noProof/>
                </w:rPr>
                <w:t>779</w:t>
              </w:r>
              <w:r>
                <w:rPr>
                  <w:noProof/>
                </w:rPr>
                <w:t>–</w:t>
              </w:r>
              <w:r w:rsidRPr="00176D37">
                <w:rPr>
                  <w:noProof/>
                </w:rPr>
                <w:t>796.</w:t>
              </w:r>
            </w:p>
            <w:p w14:paraId="34AA8C24" w14:textId="018826D0" w:rsidR="00E9700E" w:rsidRPr="00176D37" w:rsidRDefault="00E9700E" w:rsidP="00C645E1">
              <w:pPr>
                <w:pStyle w:val="Body"/>
                <w:rPr>
                  <w:noProof/>
                </w:rPr>
              </w:pPr>
              <w:r w:rsidRPr="00176D37">
                <w:rPr>
                  <w:noProof/>
                </w:rPr>
                <w:t>O’Brien KL,</w:t>
              </w:r>
              <w:r w:rsidR="002768A5">
                <w:rPr>
                  <w:noProof/>
                </w:rPr>
                <w:t xml:space="preserve"> 2</w:t>
              </w:r>
              <w:r w:rsidRPr="00176D37">
                <w:rPr>
                  <w:noProof/>
                </w:rPr>
                <w:t xml:space="preserve">021, </w:t>
              </w:r>
              <w:r w:rsidR="002768A5">
                <w:rPr>
                  <w:noProof/>
                </w:rPr>
                <w:t>'</w:t>
              </w:r>
              <w:r w:rsidRPr="00176D37">
                <w:rPr>
                  <w:noProof/>
                </w:rPr>
                <w:t>Assessing inpatient platelet ordering practice: evaluation of computer provider order entry overrides</w:t>
              </w:r>
              <w:r w:rsidR="002768A5">
                <w:rPr>
                  <w:noProof/>
                </w:rPr>
                <w:t>',</w:t>
              </w:r>
              <w:r w:rsidRPr="00176D37">
                <w:rPr>
                  <w:noProof/>
                </w:rPr>
                <w:t xml:space="preserve"> </w:t>
              </w:r>
              <w:r w:rsidRPr="00176D37">
                <w:rPr>
                  <w:i/>
                  <w:iCs/>
                  <w:noProof/>
                </w:rPr>
                <w:t>Vox Sanguinis</w:t>
              </w:r>
              <w:r w:rsidRPr="009742AB">
                <w:rPr>
                  <w:noProof/>
                </w:rPr>
                <w:t xml:space="preserve">, </w:t>
              </w:r>
              <w:r w:rsidR="002768A5">
                <w:rPr>
                  <w:noProof/>
                </w:rPr>
                <w:t xml:space="preserve">vol. </w:t>
              </w:r>
              <w:r w:rsidRPr="009742AB">
                <w:rPr>
                  <w:noProof/>
                </w:rPr>
                <w:t>116</w:t>
              </w:r>
              <w:r w:rsidR="002768A5">
                <w:rPr>
                  <w:noProof/>
                </w:rPr>
                <w:t xml:space="preserve">, no. </w:t>
              </w:r>
              <w:r w:rsidRPr="00176D37">
                <w:rPr>
                  <w:noProof/>
                </w:rPr>
                <w:t xml:space="preserve">6, </w:t>
              </w:r>
              <w:r w:rsidR="002768A5">
                <w:rPr>
                  <w:noProof/>
                </w:rPr>
                <w:t xml:space="preserve">pp. </w:t>
              </w:r>
              <w:r w:rsidRPr="00176D37">
                <w:rPr>
                  <w:noProof/>
                </w:rPr>
                <w:t>702</w:t>
              </w:r>
              <w:r w:rsidR="002768A5">
                <w:rPr>
                  <w:noProof/>
                </w:rPr>
                <w:t>–</w:t>
              </w:r>
              <w:r w:rsidRPr="00176D37">
                <w:rPr>
                  <w:noProof/>
                </w:rPr>
                <w:t>-712</w:t>
              </w:r>
              <w:r w:rsidR="002768A5">
                <w:rPr>
                  <w:noProof/>
                </w:rPr>
                <w:t>,</w:t>
              </w:r>
              <w:r w:rsidR="002768A5" w:rsidRPr="00176D37">
                <w:rPr>
                  <w:noProof/>
                </w:rPr>
                <w:t xml:space="preserve"> </w:t>
              </w:r>
              <w:r w:rsidRPr="00176D37">
                <w:rPr>
                  <w:noProof/>
                </w:rPr>
                <w:t>doi:10.1111/vox.13050</w:t>
              </w:r>
              <w:r w:rsidR="002768A5">
                <w:rPr>
                  <w:noProof/>
                </w:rPr>
                <w:t>.</w:t>
              </w:r>
            </w:p>
            <w:p w14:paraId="0DCF12A4" w14:textId="1304C4D2" w:rsidR="00E9700E" w:rsidRPr="00176D37" w:rsidRDefault="00E9700E" w:rsidP="00C645E1">
              <w:pPr>
                <w:pStyle w:val="Body"/>
                <w:rPr>
                  <w:noProof/>
                </w:rPr>
              </w:pPr>
              <w:r w:rsidRPr="00176D37">
                <w:rPr>
                  <w:noProof/>
                </w:rPr>
                <w:lastRenderedPageBreak/>
                <w:t>Payne T 2010</w:t>
              </w:r>
              <w:r w:rsidR="002768A5">
                <w:rPr>
                  <w:noProof/>
                </w:rPr>
                <w:t>,</w:t>
              </w:r>
              <w:r w:rsidRPr="00176D37">
                <w:rPr>
                  <w:noProof/>
                </w:rPr>
                <w:t xml:space="preserve"> </w:t>
              </w:r>
              <w:r w:rsidR="002768A5">
                <w:rPr>
                  <w:noProof/>
                </w:rPr>
                <w:t>'I</w:t>
              </w:r>
              <w:r w:rsidR="002768A5" w:rsidRPr="00176D37">
                <w:rPr>
                  <w:noProof/>
                </w:rPr>
                <w:t xml:space="preserve">mproving </w:t>
              </w:r>
              <w:r w:rsidRPr="00176D37">
                <w:rPr>
                  <w:noProof/>
                </w:rPr>
                <w:t>clinical documentation in an EMR world</w:t>
              </w:r>
              <w:r w:rsidR="002768A5">
                <w:rPr>
                  <w:noProof/>
                </w:rPr>
                <w:t xml:space="preserve">', </w:t>
              </w:r>
              <w:r w:rsidRPr="00176D37">
                <w:rPr>
                  <w:i/>
                  <w:iCs/>
                  <w:noProof/>
                </w:rPr>
                <w:t xml:space="preserve">Healthcare </w:t>
              </w:r>
              <w:r w:rsidR="002768A5">
                <w:rPr>
                  <w:i/>
                  <w:iCs/>
                  <w:noProof/>
                </w:rPr>
                <w:t>F</w:t>
              </w:r>
              <w:r w:rsidR="002768A5" w:rsidRPr="00176D37">
                <w:rPr>
                  <w:i/>
                  <w:iCs/>
                  <w:noProof/>
                </w:rPr>
                <w:t xml:space="preserve">inancial </w:t>
              </w:r>
              <w:r w:rsidR="002768A5">
                <w:rPr>
                  <w:i/>
                  <w:iCs/>
                  <w:noProof/>
                </w:rPr>
                <w:t>M</w:t>
              </w:r>
              <w:r w:rsidR="002768A5" w:rsidRPr="00176D37">
                <w:rPr>
                  <w:i/>
                  <w:iCs/>
                  <w:noProof/>
                </w:rPr>
                <w:t>anagement</w:t>
              </w:r>
              <w:r w:rsidRPr="00176D37">
                <w:rPr>
                  <w:noProof/>
                </w:rPr>
                <w:t>, February 2010</w:t>
              </w:r>
              <w:r w:rsidR="002768A5">
                <w:rPr>
                  <w:noProof/>
                </w:rPr>
                <w:t>,</w:t>
              </w:r>
              <w:r w:rsidRPr="00176D37">
                <w:rPr>
                  <w:noProof/>
                </w:rPr>
                <w:t xml:space="preserve"> </w:t>
              </w:r>
              <w:r w:rsidR="002768A5">
                <w:rPr>
                  <w:noProof/>
                </w:rPr>
                <w:t xml:space="preserve">pp. </w:t>
              </w:r>
              <w:r w:rsidRPr="00176D37">
                <w:rPr>
                  <w:noProof/>
                </w:rPr>
                <w:t>70</w:t>
              </w:r>
              <w:r w:rsidR="002768A5">
                <w:rPr>
                  <w:noProof/>
                </w:rPr>
                <w:t>–</w:t>
              </w:r>
              <w:r w:rsidRPr="00176D37">
                <w:rPr>
                  <w:noProof/>
                </w:rPr>
                <w:t>74.</w:t>
              </w:r>
            </w:p>
            <w:p w14:paraId="5C0AD955" w14:textId="052805BA" w:rsidR="00E9700E" w:rsidRPr="00176D37" w:rsidRDefault="00E9700E" w:rsidP="00C645E1">
              <w:pPr>
                <w:pStyle w:val="Body"/>
                <w:rPr>
                  <w:noProof/>
                </w:rPr>
              </w:pPr>
              <w:r w:rsidRPr="00176D37">
                <w:rPr>
                  <w:noProof/>
                </w:rPr>
                <w:t>Pendry K</w:t>
              </w:r>
              <w:r w:rsidR="009A4429">
                <w:rPr>
                  <w:noProof/>
                </w:rPr>
                <w:t xml:space="preserve"> </w:t>
              </w:r>
              <w:r w:rsidRPr="00176D37">
                <w:rPr>
                  <w:noProof/>
                </w:rPr>
                <w:t xml:space="preserve">2015, </w:t>
              </w:r>
              <w:r w:rsidR="009A4429">
                <w:rPr>
                  <w:noProof/>
                </w:rPr>
                <w:t>'</w:t>
              </w:r>
              <w:r w:rsidRPr="00176D37">
                <w:rPr>
                  <w:noProof/>
                </w:rPr>
                <w:t>The use of big data in transfusion medicine</w:t>
              </w:r>
              <w:r w:rsidR="009A4429">
                <w:rPr>
                  <w:noProof/>
                </w:rPr>
                <w:t>',</w:t>
              </w:r>
              <w:r w:rsidRPr="00176D37">
                <w:rPr>
                  <w:noProof/>
                </w:rPr>
                <w:t xml:space="preserve"> </w:t>
              </w:r>
              <w:r w:rsidRPr="00176D37">
                <w:rPr>
                  <w:i/>
                  <w:iCs/>
                  <w:noProof/>
                </w:rPr>
                <w:t>Transfusion Medicine</w:t>
              </w:r>
              <w:r w:rsidRPr="009742AB">
                <w:rPr>
                  <w:noProof/>
                </w:rPr>
                <w:t xml:space="preserve">, </w:t>
              </w:r>
              <w:r w:rsidR="009A4429">
                <w:rPr>
                  <w:noProof/>
                </w:rPr>
                <w:t xml:space="preserve">vol. </w:t>
              </w:r>
              <w:r w:rsidRPr="009742AB">
                <w:rPr>
                  <w:noProof/>
                </w:rPr>
                <w:t>25</w:t>
              </w:r>
              <w:r w:rsidR="009A4429">
                <w:rPr>
                  <w:noProof/>
                </w:rPr>
                <w:t xml:space="preserve">, no. </w:t>
              </w:r>
              <w:r w:rsidRPr="00176D37">
                <w:rPr>
                  <w:noProof/>
                </w:rPr>
                <w:t xml:space="preserve">3, </w:t>
              </w:r>
              <w:r w:rsidR="009A4429">
                <w:rPr>
                  <w:noProof/>
                </w:rPr>
                <w:t xml:space="preserve">pp. </w:t>
              </w:r>
              <w:r w:rsidRPr="00176D37">
                <w:rPr>
                  <w:noProof/>
                </w:rPr>
                <w:t>129</w:t>
              </w:r>
              <w:r w:rsidR="009A4429">
                <w:rPr>
                  <w:noProof/>
                </w:rPr>
                <w:t>–</w:t>
              </w:r>
              <w:r w:rsidRPr="00176D37">
                <w:rPr>
                  <w:noProof/>
                </w:rPr>
                <w:t>137</w:t>
              </w:r>
              <w:r w:rsidR="009A4429">
                <w:rPr>
                  <w:noProof/>
                </w:rPr>
                <w:t>,</w:t>
              </w:r>
              <w:r w:rsidR="009A4429" w:rsidRPr="00176D37">
                <w:rPr>
                  <w:noProof/>
                </w:rPr>
                <w:t xml:space="preserve"> </w:t>
              </w:r>
              <w:r w:rsidRPr="00176D37">
                <w:rPr>
                  <w:noProof/>
                </w:rPr>
                <w:t>doi:10.1111/tme.12223</w:t>
              </w:r>
              <w:r w:rsidR="009A4429">
                <w:rPr>
                  <w:noProof/>
                </w:rPr>
                <w:t>.</w:t>
              </w:r>
            </w:p>
            <w:p w14:paraId="27407978" w14:textId="3E1A1EFD" w:rsidR="00E9700E" w:rsidRPr="00176D37" w:rsidRDefault="00E9700E" w:rsidP="00C645E1">
              <w:pPr>
                <w:pStyle w:val="Body"/>
                <w:rPr>
                  <w:noProof/>
                </w:rPr>
              </w:pPr>
              <w:r w:rsidRPr="00176D37">
                <w:rPr>
                  <w:noProof/>
                </w:rPr>
                <w:t>PEW Charitable Trusts</w:t>
              </w:r>
              <w:r w:rsidR="009A4429">
                <w:rPr>
                  <w:noProof/>
                </w:rPr>
                <w:t xml:space="preserve"> </w:t>
              </w:r>
              <w:r w:rsidRPr="00176D37">
                <w:rPr>
                  <w:noProof/>
                </w:rPr>
                <w:t>2019</w:t>
              </w:r>
              <w:r w:rsidR="009A4429">
                <w:rPr>
                  <w:noProof/>
                </w:rPr>
                <w:t>,</w:t>
              </w:r>
              <w:r w:rsidR="009A4429" w:rsidRPr="00176D37">
                <w:rPr>
                  <w:noProof/>
                </w:rPr>
                <w:t xml:space="preserve"> </w:t>
              </w:r>
              <w:r w:rsidRPr="00176D37">
                <w:rPr>
                  <w:i/>
                  <w:iCs/>
                  <w:noProof/>
                </w:rPr>
                <w:t xml:space="preserve">Poor </w:t>
              </w:r>
              <w:r w:rsidR="009A4429" w:rsidRPr="00176D37">
                <w:rPr>
                  <w:i/>
                  <w:iCs/>
                  <w:noProof/>
                </w:rPr>
                <w:t>usability of electronic health records can lead to drug errors, jeopardizing pediatric patien</w:t>
              </w:r>
              <w:r w:rsidRPr="00176D37">
                <w:rPr>
                  <w:i/>
                  <w:iCs/>
                  <w:noProof/>
                </w:rPr>
                <w:t>ts</w:t>
              </w:r>
              <w:r w:rsidR="009A4429">
                <w:rPr>
                  <w:i/>
                  <w:iCs/>
                  <w:noProof/>
                </w:rPr>
                <w:t>:</w:t>
              </w:r>
              <w:r w:rsidRPr="00176D37">
                <w:rPr>
                  <w:i/>
                  <w:iCs/>
                  <w:noProof/>
                </w:rPr>
                <w:t xml:space="preserve"> </w:t>
              </w:r>
              <w:r w:rsidR="009A4429">
                <w:rPr>
                  <w:i/>
                  <w:iCs/>
                  <w:noProof/>
                </w:rPr>
                <w:t>a</w:t>
              </w:r>
              <w:r w:rsidRPr="00176D37">
                <w:rPr>
                  <w:i/>
                  <w:iCs/>
                  <w:noProof/>
                </w:rPr>
                <w:t xml:space="preserve"> brief from the PEW Charitable Trusts.</w:t>
              </w:r>
              <w:r w:rsidRPr="00176D37">
                <w:rPr>
                  <w:noProof/>
                </w:rPr>
                <w:t xml:space="preserve"> </w:t>
              </w:r>
            </w:p>
            <w:p w14:paraId="6F80BBD2" w14:textId="247BF270" w:rsidR="00E9700E" w:rsidRPr="00176D37" w:rsidRDefault="00E9700E" w:rsidP="00C645E1">
              <w:pPr>
                <w:pStyle w:val="Body"/>
                <w:rPr>
                  <w:noProof/>
                </w:rPr>
              </w:pPr>
              <w:r w:rsidRPr="00176D37">
                <w:rPr>
                  <w:noProof/>
                </w:rPr>
                <w:t>Pickup L</w:t>
              </w:r>
              <w:r w:rsidR="009A4429">
                <w:rPr>
                  <w:noProof/>
                </w:rPr>
                <w:t xml:space="preserve"> </w:t>
              </w:r>
              <w:r w:rsidRPr="00176D37">
                <w:rPr>
                  <w:noProof/>
                </w:rPr>
                <w:t>2017</w:t>
              </w:r>
              <w:r w:rsidR="009A4429">
                <w:rPr>
                  <w:noProof/>
                </w:rPr>
                <w:t>,</w:t>
              </w:r>
              <w:r w:rsidR="009A4429" w:rsidRPr="00176D37">
                <w:rPr>
                  <w:noProof/>
                </w:rPr>
                <w:t xml:space="preserve"> </w:t>
              </w:r>
              <w:r w:rsidR="009A4429">
                <w:rPr>
                  <w:noProof/>
                </w:rPr>
                <w:t>'</w:t>
              </w:r>
              <w:r w:rsidRPr="00176D37">
                <w:rPr>
                  <w:noProof/>
                </w:rPr>
                <w:t xml:space="preserve">Blood </w:t>
              </w:r>
              <w:r w:rsidR="009A4429" w:rsidRPr="00176D37">
                <w:rPr>
                  <w:noProof/>
                </w:rPr>
                <w:t>sampling</w:t>
              </w:r>
              <w:r w:rsidR="009A4429">
                <w:rPr>
                  <w:noProof/>
                </w:rPr>
                <w:t>:</w:t>
              </w:r>
              <w:r w:rsidR="009A4429" w:rsidRPr="00176D37">
                <w:rPr>
                  <w:noProof/>
                </w:rPr>
                <w:t xml:space="preserve"> two sides t</w:t>
              </w:r>
              <w:r w:rsidRPr="00176D37">
                <w:rPr>
                  <w:noProof/>
                </w:rPr>
                <w:t>o the story</w:t>
              </w:r>
              <w:r w:rsidR="009A4429">
                <w:rPr>
                  <w:noProof/>
                </w:rPr>
                <w:t xml:space="preserve">', </w:t>
              </w:r>
              <w:r w:rsidRPr="00176D37">
                <w:rPr>
                  <w:i/>
                  <w:iCs/>
                  <w:noProof/>
                </w:rPr>
                <w:t>Applied Ergonomics</w:t>
              </w:r>
              <w:r w:rsidRPr="00176D37">
                <w:rPr>
                  <w:noProof/>
                </w:rPr>
                <w:t>, October.</w:t>
              </w:r>
            </w:p>
            <w:p w14:paraId="38B24F37" w14:textId="105D0185" w:rsidR="00E9700E" w:rsidRPr="00176D37" w:rsidRDefault="00E9700E" w:rsidP="00C645E1">
              <w:pPr>
                <w:pStyle w:val="Body"/>
                <w:rPr>
                  <w:noProof/>
                </w:rPr>
              </w:pPr>
              <w:r w:rsidRPr="00176D37">
                <w:rPr>
                  <w:noProof/>
                </w:rPr>
                <w:t>Rizer MK</w:t>
              </w:r>
              <w:r w:rsidR="009A4429">
                <w:rPr>
                  <w:noProof/>
                </w:rPr>
                <w:t xml:space="preserve"> </w:t>
              </w:r>
              <w:r w:rsidRPr="00176D37">
                <w:rPr>
                  <w:noProof/>
                </w:rPr>
                <w:t xml:space="preserve">2015, </w:t>
              </w:r>
              <w:r w:rsidR="009A4429">
                <w:rPr>
                  <w:noProof/>
                </w:rPr>
                <w:t>'</w:t>
              </w:r>
              <w:r w:rsidRPr="00176D37">
                <w:rPr>
                  <w:noProof/>
                </w:rPr>
                <w:t>Top 10</w:t>
              </w:r>
              <w:r w:rsidR="009A4429" w:rsidRPr="00176D37">
                <w:rPr>
                  <w:noProof/>
                </w:rPr>
                <w:t xml:space="preserve"> lessons learned from electronic medical record implementation in a large academic medical cen</w:t>
              </w:r>
              <w:r w:rsidRPr="00176D37">
                <w:rPr>
                  <w:noProof/>
                </w:rPr>
                <w:t>ter</w:t>
              </w:r>
              <w:r w:rsidR="009A4429">
                <w:rPr>
                  <w:noProof/>
                </w:rPr>
                <w:t xml:space="preserve">', </w:t>
              </w:r>
              <w:r w:rsidRPr="00176D37">
                <w:rPr>
                  <w:i/>
                  <w:iCs/>
                  <w:noProof/>
                </w:rPr>
                <w:t>Perspectives in Heath Information Management</w:t>
              </w:r>
              <w:r w:rsidRPr="009742AB">
                <w:rPr>
                  <w:noProof/>
                </w:rPr>
                <w:t xml:space="preserve">, </w:t>
              </w:r>
              <w:r w:rsidR="009A4429">
                <w:rPr>
                  <w:noProof/>
                </w:rPr>
                <w:t xml:space="preserve">vol. </w:t>
              </w:r>
              <w:r w:rsidRPr="009742AB">
                <w:rPr>
                  <w:noProof/>
                </w:rPr>
                <w:t>12</w:t>
              </w:r>
              <w:r w:rsidR="009A4429">
                <w:rPr>
                  <w:noProof/>
                </w:rPr>
                <w:t>,</w:t>
              </w:r>
              <w:r w:rsidR="009A4429" w:rsidRPr="00176D37">
                <w:rPr>
                  <w:noProof/>
                </w:rPr>
                <w:t xml:space="preserve"> </w:t>
              </w:r>
              <w:r w:rsidRPr="00176D37">
                <w:rPr>
                  <w:noProof/>
                </w:rPr>
                <w:t>doi:PMID: 26396558</w:t>
              </w:r>
              <w:r w:rsidR="009A4429">
                <w:rPr>
                  <w:noProof/>
                </w:rPr>
                <w:t>.</w:t>
              </w:r>
            </w:p>
            <w:p w14:paraId="2B95C86C" w14:textId="398A5EBB" w:rsidR="00E9700E" w:rsidRPr="00176D37" w:rsidRDefault="00E9700E" w:rsidP="00C645E1">
              <w:pPr>
                <w:pStyle w:val="Body"/>
                <w:rPr>
                  <w:noProof/>
                </w:rPr>
              </w:pPr>
              <w:r w:rsidRPr="00176D37">
                <w:rPr>
                  <w:noProof/>
                </w:rPr>
                <w:t>Russ A</w:t>
              </w:r>
              <w:r w:rsidR="009A4429">
                <w:rPr>
                  <w:noProof/>
                </w:rPr>
                <w:t xml:space="preserve"> </w:t>
              </w:r>
              <w:r w:rsidRPr="00176D37">
                <w:rPr>
                  <w:noProof/>
                </w:rPr>
                <w:t>2013</w:t>
              </w:r>
              <w:r w:rsidR="009A4429">
                <w:rPr>
                  <w:noProof/>
                </w:rPr>
                <w:t>,</w:t>
              </w:r>
              <w:r w:rsidR="009A4429" w:rsidRPr="00176D37">
                <w:rPr>
                  <w:noProof/>
                </w:rPr>
                <w:t xml:space="preserve"> </w:t>
              </w:r>
              <w:r w:rsidR="009A4429">
                <w:rPr>
                  <w:noProof/>
                </w:rPr>
                <w:t>'</w:t>
              </w:r>
              <w:r w:rsidRPr="00176D37">
                <w:rPr>
                  <w:noProof/>
                </w:rPr>
                <w:t>The science of human factors: separating fact from fiction</w:t>
              </w:r>
              <w:r w:rsidR="009A4429">
                <w:rPr>
                  <w:noProof/>
                </w:rPr>
                <w:t xml:space="preserve">', </w:t>
              </w:r>
              <w:r w:rsidRPr="00176D37">
                <w:rPr>
                  <w:i/>
                  <w:iCs/>
                  <w:noProof/>
                </w:rPr>
                <w:t>BMJ Aual Saf</w:t>
              </w:r>
              <w:r w:rsidR="009A4429">
                <w:rPr>
                  <w:noProof/>
                </w:rPr>
                <w:t xml:space="preserve">, vol. </w:t>
              </w:r>
              <w:r w:rsidRPr="00176D37">
                <w:rPr>
                  <w:noProof/>
                </w:rPr>
                <w:t>22</w:t>
              </w:r>
              <w:r w:rsidR="009A4429">
                <w:rPr>
                  <w:noProof/>
                </w:rPr>
                <w:t xml:space="preserve">, pp. </w:t>
              </w:r>
              <w:r w:rsidRPr="00176D37">
                <w:rPr>
                  <w:noProof/>
                </w:rPr>
                <w:t>802</w:t>
              </w:r>
              <w:r w:rsidR="009A4429">
                <w:rPr>
                  <w:noProof/>
                </w:rPr>
                <w:t>–</w:t>
              </w:r>
              <w:r w:rsidRPr="00176D37">
                <w:rPr>
                  <w:noProof/>
                </w:rPr>
                <w:t>-808.</w:t>
              </w:r>
            </w:p>
            <w:p w14:paraId="2C36B01A" w14:textId="5DEB764B" w:rsidR="00E9700E" w:rsidRPr="00176D37" w:rsidRDefault="00E9700E" w:rsidP="00C645E1">
              <w:pPr>
                <w:pStyle w:val="Body"/>
                <w:rPr>
                  <w:noProof/>
                </w:rPr>
              </w:pPr>
              <w:r w:rsidRPr="00176D37">
                <w:rPr>
                  <w:noProof/>
                </w:rPr>
                <w:t>S Hibbs</w:t>
              </w:r>
              <w:r w:rsidR="009A4429">
                <w:rPr>
                  <w:noProof/>
                </w:rPr>
                <w:t xml:space="preserve"> </w:t>
              </w:r>
              <w:r w:rsidRPr="00176D37">
                <w:rPr>
                  <w:noProof/>
                </w:rPr>
                <w:t>2015</w:t>
              </w:r>
              <w:r w:rsidR="009A4429">
                <w:rPr>
                  <w:noProof/>
                </w:rPr>
                <w:t>,</w:t>
              </w:r>
              <w:r w:rsidR="009A4429" w:rsidRPr="00176D37">
                <w:rPr>
                  <w:noProof/>
                </w:rPr>
                <w:t xml:space="preserve"> </w:t>
              </w:r>
              <w:r w:rsidR="009A4429">
                <w:rPr>
                  <w:noProof/>
                </w:rPr>
                <w:t>'</w:t>
              </w:r>
              <w:r w:rsidRPr="00176D37">
                <w:rPr>
                  <w:noProof/>
                </w:rPr>
                <w:t>The</w:t>
              </w:r>
              <w:r w:rsidR="009A4429" w:rsidRPr="00176D37">
                <w:rPr>
                  <w:noProof/>
                </w:rPr>
                <w:t xml:space="preserve"> impact of electronic decision support on transfusion practice: a systematic revie</w:t>
              </w:r>
              <w:r w:rsidRPr="00176D37">
                <w:rPr>
                  <w:noProof/>
                </w:rPr>
                <w:t>w</w:t>
              </w:r>
              <w:r w:rsidR="009A4429">
                <w:rPr>
                  <w:noProof/>
                </w:rPr>
                <w:t xml:space="preserve">', </w:t>
              </w:r>
              <w:r w:rsidRPr="00176D37">
                <w:rPr>
                  <w:i/>
                  <w:iCs/>
                  <w:noProof/>
                </w:rPr>
                <w:t>Transfusion Medicine Reviews</w:t>
              </w:r>
              <w:r w:rsidRPr="00176D37">
                <w:rPr>
                  <w:noProof/>
                </w:rPr>
                <w:t xml:space="preserve">, </w:t>
              </w:r>
              <w:r w:rsidR="009A4429">
                <w:rPr>
                  <w:noProof/>
                </w:rPr>
                <w:t xml:space="preserve">vol. </w:t>
              </w:r>
              <w:r w:rsidRPr="00176D37">
                <w:rPr>
                  <w:noProof/>
                </w:rPr>
                <w:t>29</w:t>
              </w:r>
              <w:r w:rsidR="009A4429">
                <w:rPr>
                  <w:noProof/>
                </w:rPr>
                <w:t xml:space="preserve"> p. </w:t>
              </w:r>
              <w:r w:rsidRPr="00176D37">
                <w:rPr>
                  <w:noProof/>
                </w:rPr>
                <w:t>14</w:t>
              </w:r>
              <w:r w:rsidR="009A4429">
                <w:rPr>
                  <w:noProof/>
                </w:rPr>
                <w:t>–</w:t>
              </w:r>
              <w:r w:rsidRPr="00176D37">
                <w:rPr>
                  <w:noProof/>
                </w:rPr>
                <w:t>23.</w:t>
              </w:r>
            </w:p>
            <w:p w14:paraId="490E9941" w14:textId="3616D8C1" w:rsidR="00E9700E" w:rsidRDefault="00E9700E" w:rsidP="00C645E1">
              <w:pPr>
                <w:pStyle w:val="Body"/>
                <w:rPr>
                  <w:noProof/>
                </w:rPr>
              </w:pPr>
              <w:r w:rsidRPr="00176D37">
                <w:rPr>
                  <w:noProof/>
                </w:rPr>
                <w:t>Sadana D</w:t>
              </w:r>
              <w:r w:rsidR="009A4429">
                <w:rPr>
                  <w:noProof/>
                </w:rPr>
                <w:t xml:space="preserve"> </w:t>
              </w:r>
              <w:r w:rsidRPr="00176D37">
                <w:rPr>
                  <w:noProof/>
                </w:rPr>
                <w:t>2018</w:t>
              </w:r>
              <w:r w:rsidR="009A4429">
                <w:rPr>
                  <w:noProof/>
                </w:rPr>
                <w:t>,</w:t>
              </w:r>
              <w:r w:rsidR="009A4429" w:rsidRPr="00176D37">
                <w:rPr>
                  <w:noProof/>
                </w:rPr>
                <w:t xml:space="preserve"> </w:t>
              </w:r>
              <w:r w:rsidR="009A4429">
                <w:rPr>
                  <w:noProof/>
                </w:rPr>
                <w:t>'</w:t>
              </w:r>
              <w:r w:rsidRPr="00176D37">
                <w:rPr>
                  <w:noProof/>
                </w:rPr>
                <w:t>Promoting</w:t>
              </w:r>
              <w:r w:rsidR="009A4429" w:rsidRPr="00176D37">
                <w:rPr>
                  <w:noProof/>
                </w:rPr>
                <w:t xml:space="preserve"> high-value practice by reducing unnecessary transfusions with a patient blood management pr</w:t>
              </w:r>
              <w:r w:rsidRPr="00176D37">
                <w:rPr>
                  <w:noProof/>
                </w:rPr>
                <w:t>ogram</w:t>
              </w:r>
              <w:r w:rsidR="009A4429">
                <w:rPr>
                  <w:noProof/>
                </w:rPr>
                <w:t>',</w:t>
              </w:r>
              <w:r w:rsidRPr="00176D37">
                <w:rPr>
                  <w:noProof/>
                </w:rPr>
                <w:t xml:space="preserve"> </w:t>
              </w:r>
              <w:r w:rsidRPr="00176D37">
                <w:rPr>
                  <w:i/>
                  <w:iCs/>
                  <w:noProof/>
                </w:rPr>
                <w:t>JAMA Internal Medicine</w:t>
              </w:r>
              <w:r w:rsidRPr="009742AB">
                <w:rPr>
                  <w:noProof/>
                </w:rPr>
                <w:t xml:space="preserve">, </w:t>
              </w:r>
              <w:r w:rsidR="009A4429">
                <w:rPr>
                  <w:noProof/>
                </w:rPr>
                <w:t xml:space="preserve">vol. </w:t>
              </w:r>
              <w:r w:rsidRPr="009742AB">
                <w:rPr>
                  <w:noProof/>
                </w:rPr>
                <w:t>178</w:t>
              </w:r>
              <w:r w:rsidRPr="00773077">
                <w:rPr>
                  <w:noProof/>
                </w:rPr>
                <w:t>,</w:t>
              </w:r>
              <w:r w:rsidRPr="00176D37">
                <w:rPr>
                  <w:noProof/>
                </w:rPr>
                <w:t xml:space="preserve"> </w:t>
              </w:r>
              <w:r w:rsidR="009A4429">
                <w:rPr>
                  <w:noProof/>
                </w:rPr>
                <w:t xml:space="preserve">pp. </w:t>
              </w:r>
              <w:r w:rsidRPr="00176D37">
                <w:rPr>
                  <w:noProof/>
                </w:rPr>
                <w:t>116</w:t>
              </w:r>
              <w:r w:rsidR="009A4429">
                <w:rPr>
                  <w:noProof/>
                </w:rPr>
                <w:t>–</w:t>
              </w:r>
              <w:r w:rsidRPr="00176D37">
                <w:rPr>
                  <w:noProof/>
                </w:rPr>
                <w:t>122. doi:10.1001/jamainternmed.2017.6369</w:t>
              </w:r>
              <w:r w:rsidR="009A4429">
                <w:rPr>
                  <w:noProof/>
                </w:rPr>
                <w:t>.</w:t>
              </w:r>
            </w:p>
            <w:p w14:paraId="468744B7" w14:textId="08A97693" w:rsidR="00337074" w:rsidRPr="00176D37" w:rsidRDefault="00337074" w:rsidP="009742AB">
              <w:pPr>
                <w:pStyle w:val="Body"/>
                <w:tabs>
                  <w:tab w:val="left" w:pos="426"/>
                </w:tabs>
                <w:rPr>
                  <w:noProof/>
                </w:rPr>
              </w:pPr>
              <w:r w:rsidRPr="00176D37">
                <w:rPr>
                  <w:noProof/>
                </w:rPr>
                <w:t>Safadi</w:t>
              </w:r>
              <w:r>
                <w:rPr>
                  <w:noProof/>
                </w:rPr>
                <w:t xml:space="preserve"> H</w:t>
              </w:r>
              <w:r w:rsidR="009A4429">
                <w:rPr>
                  <w:noProof/>
                </w:rPr>
                <w:t xml:space="preserve"> </w:t>
              </w:r>
              <w:r w:rsidRPr="00176D37">
                <w:rPr>
                  <w:noProof/>
                </w:rPr>
                <w:t>2010</w:t>
              </w:r>
              <w:r>
                <w:rPr>
                  <w:noProof/>
                </w:rPr>
                <w:t>,</w:t>
              </w:r>
              <w:r w:rsidRPr="00176D37">
                <w:rPr>
                  <w:noProof/>
                </w:rPr>
                <w:t xml:space="preserve"> </w:t>
              </w:r>
              <w:r>
                <w:rPr>
                  <w:noProof/>
                </w:rPr>
                <w:t>'</w:t>
              </w:r>
              <w:r w:rsidRPr="00176D37">
                <w:rPr>
                  <w:noProof/>
                </w:rPr>
                <w:t xml:space="preserve">The role of </w:t>
              </w:r>
              <w:r>
                <w:rPr>
                  <w:noProof/>
                </w:rPr>
                <w:t>w</w:t>
              </w:r>
              <w:r w:rsidRPr="00176D37">
                <w:rPr>
                  <w:noProof/>
                </w:rPr>
                <w:t xml:space="preserve">orkarounds during an </w:t>
              </w:r>
              <w:r>
                <w:rPr>
                  <w:noProof/>
                </w:rPr>
                <w:t>o</w:t>
              </w:r>
              <w:r w:rsidRPr="00176D37">
                <w:rPr>
                  <w:noProof/>
                </w:rPr>
                <w:t>pen-</w:t>
              </w:r>
              <w:r>
                <w:rPr>
                  <w:noProof/>
                </w:rPr>
                <w:t>s</w:t>
              </w:r>
              <w:r w:rsidRPr="00176D37">
                <w:rPr>
                  <w:noProof/>
                </w:rPr>
                <w:t>ource electronic medical record system implementation</w:t>
              </w:r>
              <w:r>
                <w:rPr>
                  <w:noProof/>
                </w:rPr>
                <w:t>',</w:t>
              </w:r>
              <w:r w:rsidRPr="00176D37">
                <w:rPr>
                  <w:noProof/>
                </w:rPr>
                <w:t xml:space="preserve"> </w:t>
              </w:r>
              <w:r w:rsidRPr="00176D37">
                <w:rPr>
                  <w:i/>
                  <w:iCs/>
                  <w:noProof/>
                </w:rPr>
                <w:t>Association for Information Systems AIS Electronic Library. International Conference on Information Systems (ICIS) 2010 Proceedings</w:t>
              </w:r>
              <w:r w:rsidRPr="00176D37">
                <w:rPr>
                  <w:noProof/>
                </w:rPr>
                <w:t xml:space="preserve">, </w:t>
              </w:r>
              <w:r>
                <w:rPr>
                  <w:noProof/>
                </w:rPr>
                <w:t xml:space="preserve">1 January </w:t>
              </w:r>
              <w:r w:rsidRPr="00176D37">
                <w:rPr>
                  <w:noProof/>
                </w:rPr>
                <w:t>2010.</w:t>
              </w:r>
            </w:p>
            <w:p w14:paraId="501A3B36" w14:textId="64557358" w:rsidR="00E9700E" w:rsidRPr="00176D37" w:rsidRDefault="00E9700E" w:rsidP="00C645E1">
              <w:pPr>
                <w:pStyle w:val="Body"/>
                <w:rPr>
                  <w:noProof/>
                </w:rPr>
              </w:pPr>
              <w:r w:rsidRPr="00176D37">
                <w:rPr>
                  <w:noProof/>
                </w:rPr>
                <w:t>Sanderson B</w:t>
              </w:r>
              <w:r w:rsidR="009A4429" w:rsidRPr="00176D37" w:rsidDel="009A4429">
                <w:rPr>
                  <w:noProof/>
                </w:rPr>
                <w:t xml:space="preserve"> </w:t>
              </w:r>
              <w:r w:rsidRPr="00176D37">
                <w:rPr>
                  <w:noProof/>
                </w:rPr>
                <w:t xml:space="preserve">2020, </w:t>
              </w:r>
              <w:r w:rsidR="009A4429">
                <w:rPr>
                  <w:noProof/>
                </w:rPr>
                <w:t>'</w:t>
              </w:r>
              <w:r w:rsidRPr="00176D37">
                <w:rPr>
                  <w:noProof/>
                </w:rPr>
                <w:t>How well does your massive transfusion protocol perform? A scoping review of quality indicators</w:t>
              </w:r>
              <w:r w:rsidR="009A4429">
                <w:rPr>
                  <w:noProof/>
                </w:rPr>
                <w:t>',</w:t>
              </w:r>
              <w:r w:rsidRPr="00176D37">
                <w:rPr>
                  <w:noProof/>
                </w:rPr>
                <w:t xml:space="preserve"> </w:t>
              </w:r>
              <w:r w:rsidRPr="00176D37">
                <w:rPr>
                  <w:i/>
                  <w:iCs/>
                  <w:noProof/>
                </w:rPr>
                <w:t>Blood Transfusion,</w:t>
              </w:r>
              <w:r w:rsidRPr="009742AB">
                <w:rPr>
                  <w:noProof/>
                </w:rPr>
                <w:t xml:space="preserve"> </w:t>
              </w:r>
              <w:r w:rsidR="009A4429">
                <w:rPr>
                  <w:noProof/>
                </w:rPr>
                <w:t xml:space="preserve">vol. </w:t>
              </w:r>
              <w:r w:rsidRPr="009742AB">
                <w:rPr>
                  <w:noProof/>
                </w:rPr>
                <w:t>6</w:t>
              </w:r>
              <w:r w:rsidR="009A4429" w:rsidRPr="00773077">
                <w:rPr>
                  <w:noProof/>
                </w:rPr>
                <w:t>,</w:t>
              </w:r>
              <w:r w:rsidR="009A4429">
                <w:rPr>
                  <w:noProof/>
                </w:rPr>
                <w:t xml:space="preserve"> pp. </w:t>
              </w:r>
              <w:r w:rsidRPr="00176D37">
                <w:rPr>
                  <w:noProof/>
                </w:rPr>
                <w:t>423</w:t>
              </w:r>
              <w:r w:rsidR="009A4429">
                <w:rPr>
                  <w:noProof/>
                </w:rPr>
                <w:t>–</w:t>
              </w:r>
              <w:r w:rsidRPr="00176D37">
                <w:rPr>
                  <w:noProof/>
                </w:rPr>
                <w:t>33</w:t>
              </w:r>
              <w:r w:rsidR="009A4429">
                <w:rPr>
                  <w:noProof/>
                </w:rPr>
                <w:t>,</w:t>
              </w:r>
              <w:r w:rsidRPr="00176D37">
                <w:rPr>
                  <w:noProof/>
                </w:rPr>
                <w:t xml:space="preserve"> doi:10.2450/2020.0082-20</w:t>
              </w:r>
              <w:r w:rsidR="009A4429">
                <w:rPr>
                  <w:noProof/>
                </w:rPr>
                <w:t>.</w:t>
              </w:r>
            </w:p>
            <w:p w14:paraId="195E7657" w14:textId="7B89F5ED" w:rsidR="00E9700E" w:rsidRPr="00176D37" w:rsidRDefault="00E9700E" w:rsidP="00C645E1">
              <w:pPr>
                <w:pStyle w:val="Body"/>
                <w:rPr>
                  <w:noProof/>
                </w:rPr>
              </w:pPr>
              <w:r w:rsidRPr="00176D37">
                <w:rPr>
                  <w:noProof/>
                </w:rPr>
                <w:t xml:space="preserve">Sanderson BJ 2021, </w:t>
              </w:r>
              <w:r w:rsidR="009A4429">
                <w:rPr>
                  <w:noProof/>
                </w:rPr>
                <w:t>'</w:t>
              </w:r>
              <w:r w:rsidRPr="00176D37">
                <w:rPr>
                  <w:noProof/>
                </w:rPr>
                <w:t>Massive transfusion experience, current practice and decision support: A survey of Australian and New Zealand anaesthetists</w:t>
              </w:r>
              <w:r w:rsidR="009A4429">
                <w:rPr>
                  <w:noProof/>
                </w:rPr>
                <w:t>',</w:t>
              </w:r>
              <w:r w:rsidRPr="00176D37">
                <w:rPr>
                  <w:noProof/>
                </w:rPr>
                <w:t xml:space="preserve"> </w:t>
              </w:r>
              <w:r w:rsidRPr="00176D37">
                <w:rPr>
                  <w:i/>
                  <w:iCs/>
                  <w:noProof/>
                </w:rPr>
                <w:t>Anaesthesia and Intensive Care</w:t>
              </w:r>
              <w:r w:rsidRPr="009742AB">
                <w:rPr>
                  <w:noProof/>
                </w:rPr>
                <w:t xml:space="preserve">, </w:t>
              </w:r>
              <w:r w:rsidR="009A4429">
                <w:rPr>
                  <w:noProof/>
                </w:rPr>
                <w:t xml:space="preserve">vol. </w:t>
              </w:r>
              <w:r w:rsidRPr="009742AB">
                <w:rPr>
                  <w:noProof/>
                </w:rPr>
                <w:t>49</w:t>
              </w:r>
              <w:r w:rsidR="009A4429">
                <w:rPr>
                  <w:noProof/>
                </w:rPr>
                <w:t xml:space="preserve">, no. </w:t>
              </w:r>
              <w:r w:rsidRPr="00176D37">
                <w:rPr>
                  <w:noProof/>
                </w:rPr>
                <w:t xml:space="preserve">3, </w:t>
              </w:r>
              <w:r w:rsidR="009A4429">
                <w:rPr>
                  <w:noProof/>
                </w:rPr>
                <w:t xml:space="preserve">pp. </w:t>
              </w:r>
              <w:r w:rsidRPr="00176D37">
                <w:rPr>
                  <w:noProof/>
                </w:rPr>
                <w:t>214</w:t>
              </w:r>
              <w:r w:rsidR="009A4429">
                <w:rPr>
                  <w:noProof/>
                </w:rPr>
                <w:t>–</w:t>
              </w:r>
              <w:r w:rsidRPr="00176D37">
                <w:rPr>
                  <w:noProof/>
                </w:rPr>
                <w:t>221. doi:10.1177/0310057X20974035</w:t>
              </w:r>
              <w:r w:rsidR="009A4429">
                <w:rPr>
                  <w:noProof/>
                </w:rPr>
                <w:t>.</w:t>
              </w:r>
            </w:p>
            <w:p w14:paraId="57EE9469" w14:textId="1693496B" w:rsidR="00E9700E" w:rsidRPr="00176D37" w:rsidRDefault="00E9700E" w:rsidP="00C645E1">
              <w:pPr>
                <w:pStyle w:val="Body"/>
                <w:rPr>
                  <w:noProof/>
                </w:rPr>
              </w:pPr>
              <w:r w:rsidRPr="00176D37">
                <w:rPr>
                  <w:noProof/>
                </w:rPr>
                <w:t>Sardar M</w:t>
              </w:r>
              <w:r w:rsidR="009A4429">
                <w:rPr>
                  <w:noProof/>
                </w:rPr>
                <w:t xml:space="preserve"> </w:t>
              </w:r>
              <w:r w:rsidRPr="00176D37">
                <w:rPr>
                  <w:noProof/>
                </w:rPr>
                <w:t xml:space="preserve">2018, </w:t>
              </w:r>
              <w:r w:rsidR="009A4429">
                <w:rPr>
                  <w:noProof/>
                </w:rPr>
                <w:t>'</w:t>
              </w:r>
              <w:r w:rsidRPr="00176D37">
                <w:rPr>
                  <w:noProof/>
                </w:rPr>
                <w:t>I</w:t>
              </w:r>
              <w:r w:rsidR="009A4429" w:rsidRPr="00176D37">
                <w:rPr>
                  <w:noProof/>
                </w:rPr>
                <w:t>mproving blood transfusion practices in a community hospital setting: our experience with real-time clinical decision sup</w:t>
              </w:r>
              <w:r w:rsidRPr="00176D37">
                <w:rPr>
                  <w:noProof/>
                </w:rPr>
                <w:t>port</w:t>
              </w:r>
              <w:r w:rsidR="009A4429">
                <w:rPr>
                  <w:noProof/>
                </w:rPr>
                <w:t>',</w:t>
              </w:r>
              <w:r w:rsidRPr="00176D37">
                <w:rPr>
                  <w:noProof/>
                </w:rPr>
                <w:t xml:space="preserve"> </w:t>
              </w:r>
              <w:r w:rsidRPr="00176D37">
                <w:rPr>
                  <w:i/>
                  <w:iCs/>
                  <w:noProof/>
                </w:rPr>
                <w:t>Medical Sciences</w:t>
              </w:r>
              <w:r w:rsidRPr="009742AB">
                <w:rPr>
                  <w:noProof/>
                </w:rPr>
                <w:t>,</w:t>
              </w:r>
              <w:r w:rsidR="009A4429">
                <w:rPr>
                  <w:noProof/>
                </w:rPr>
                <w:t xml:space="preserve"> vol. </w:t>
              </w:r>
              <w:r w:rsidRPr="009742AB">
                <w:rPr>
                  <w:noProof/>
                </w:rPr>
                <w:t>6</w:t>
              </w:r>
              <w:r w:rsidR="009A4429">
                <w:rPr>
                  <w:noProof/>
                </w:rPr>
                <w:t>, no. 6</w:t>
              </w:r>
              <w:r w:rsidRPr="00176D37">
                <w:rPr>
                  <w:noProof/>
                </w:rPr>
                <w:t>7,</w:t>
              </w:r>
              <w:r w:rsidR="009A4429">
                <w:rPr>
                  <w:noProof/>
                </w:rPr>
                <w:t xml:space="preserve"> p</w:t>
              </w:r>
              <w:r w:rsidRPr="00176D37">
                <w:rPr>
                  <w:noProof/>
                </w:rPr>
                <w:t>doi:10.3390/medsci6030067</w:t>
              </w:r>
              <w:r w:rsidR="009A4429">
                <w:rPr>
                  <w:noProof/>
                </w:rPr>
                <w:t>.</w:t>
              </w:r>
            </w:p>
            <w:p w14:paraId="76C071CF" w14:textId="31B52CB5" w:rsidR="00E9700E" w:rsidRPr="00176D37" w:rsidRDefault="00E9700E" w:rsidP="00C645E1">
              <w:pPr>
                <w:pStyle w:val="Body"/>
                <w:rPr>
                  <w:noProof/>
                </w:rPr>
              </w:pPr>
              <w:r w:rsidRPr="00176D37">
                <w:rPr>
                  <w:noProof/>
                </w:rPr>
                <w:t>Shaw T</w:t>
              </w:r>
              <w:r w:rsidR="009A4429">
                <w:rPr>
                  <w:noProof/>
                </w:rPr>
                <w:t xml:space="preserve"> </w:t>
              </w:r>
              <w:r w:rsidRPr="00176D37">
                <w:rPr>
                  <w:noProof/>
                </w:rPr>
                <w:t>2018</w:t>
              </w:r>
              <w:r w:rsidR="009A4429">
                <w:rPr>
                  <w:noProof/>
                </w:rPr>
                <w:t>,</w:t>
              </w:r>
              <w:r w:rsidRPr="00176D37">
                <w:rPr>
                  <w:noProof/>
                </w:rPr>
                <w:t xml:space="preserve"> </w:t>
              </w:r>
              <w:r w:rsidRPr="00176D37">
                <w:rPr>
                  <w:i/>
                  <w:iCs/>
                  <w:noProof/>
                </w:rPr>
                <w:t>Impact of</w:t>
              </w:r>
              <w:r w:rsidR="009A4429" w:rsidRPr="00176D37">
                <w:rPr>
                  <w:i/>
                  <w:iCs/>
                  <w:noProof/>
                </w:rPr>
                <w:t xml:space="preserve"> digital health on the safety and quality of health ca</w:t>
              </w:r>
              <w:r w:rsidRPr="00176D37">
                <w:rPr>
                  <w:i/>
                  <w:iCs/>
                  <w:noProof/>
                </w:rPr>
                <w:t>re.</w:t>
              </w:r>
              <w:r w:rsidRPr="00176D37">
                <w:rPr>
                  <w:noProof/>
                </w:rPr>
                <w:t xml:space="preserve"> Australian Commission on Safety and Quality in Health Care</w:t>
              </w:r>
              <w:r w:rsidR="009A4429">
                <w:rPr>
                  <w:noProof/>
                </w:rPr>
                <w:t xml:space="preserve">, </w:t>
              </w:r>
              <w:r w:rsidRPr="00176D37">
                <w:rPr>
                  <w:noProof/>
                </w:rPr>
                <w:t>Sydney</w:t>
              </w:r>
              <w:r w:rsidR="009A4429">
                <w:rPr>
                  <w:noProof/>
                </w:rPr>
                <w:t>, &lt;</w:t>
              </w:r>
              <w:r w:rsidRPr="00176D37">
                <w:rPr>
                  <w:noProof/>
                </w:rPr>
                <w:t>https://www.safetyandquality.gov.au/publications-and-resources/resource-library/impact-digital-health-safety-and-quality-health-care</w:t>
              </w:r>
              <w:r w:rsidR="009A4429">
                <w:rPr>
                  <w:noProof/>
                </w:rPr>
                <w:t>&gt;.</w:t>
              </w:r>
            </w:p>
            <w:p w14:paraId="4FDB0118" w14:textId="59831691" w:rsidR="00E9700E" w:rsidRPr="00176D37" w:rsidRDefault="00E9700E" w:rsidP="00C645E1">
              <w:pPr>
                <w:pStyle w:val="Body"/>
                <w:rPr>
                  <w:noProof/>
                </w:rPr>
              </w:pPr>
              <w:r w:rsidRPr="00176D37">
                <w:rPr>
                  <w:noProof/>
                </w:rPr>
                <w:t>Smith M</w:t>
              </w:r>
              <w:r w:rsidR="00773077">
                <w:rPr>
                  <w:noProof/>
                </w:rPr>
                <w:t xml:space="preserve"> </w:t>
              </w:r>
              <w:r w:rsidRPr="00176D37">
                <w:rPr>
                  <w:noProof/>
                </w:rPr>
                <w:t xml:space="preserve">2014, </w:t>
              </w:r>
              <w:r w:rsidR="00773077">
                <w:rPr>
                  <w:noProof/>
                </w:rPr>
                <w:t>'</w:t>
              </w:r>
              <w:r w:rsidRPr="00176D37">
                <w:rPr>
                  <w:noProof/>
                </w:rPr>
                <w:t>Implementation of a simple electronic transfusion alert system decreases inappropriate ordering of packed red blood cells and plasma in a multi-hospital health care system</w:t>
              </w:r>
              <w:r w:rsidR="00773077">
                <w:rPr>
                  <w:noProof/>
                </w:rPr>
                <w:t>',</w:t>
              </w:r>
              <w:r w:rsidRPr="00176D37">
                <w:rPr>
                  <w:noProof/>
                </w:rPr>
                <w:t xml:space="preserve"> </w:t>
              </w:r>
              <w:r w:rsidRPr="00176D37">
                <w:rPr>
                  <w:i/>
                  <w:iCs/>
                  <w:noProof/>
                </w:rPr>
                <w:t>Transfusion and Apheresis science</w:t>
              </w:r>
              <w:r w:rsidRPr="009742AB">
                <w:rPr>
                  <w:noProof/>
                </w:rPr>
                <w:t xml:space="preserve">, </w:t>
              </w:r>
              <w:r w:rsidR="00773077">
                <w:rPr>
                  <w:noProof/>
                </w:rPr>
                <w:t xml:space="preserve">vol. </w:t>
              </w:r>
              <w:r w:rsidRPr="009742AB">
                <w:rPr>
                  <w:noProof/>
                </w:rPr>
                <w:t>51</w:t>
              </w:r>
              <w:r w:rsidR="00773077">
                <w:rPr>
                  <w:noProof/>
                </w:rPr>
                <w:t xml:space="preserve">, no. </w:t>
              </w:r>
              <w:r w:rsidRPr="00176D37">
                <w:rPr>
                  <w:noProof/>
                </w:rPr>
                <w:t xml:space="preserve">3, </w:t>
              </w:r>
              <w:r w:rsidR="00773077">
                <w:rPr>
                  <w:noProof/>
                </w:rPr>
                <w:t xml:space="preserve">pp. </w:t>
              </w:r>
              <w:r w:rsidRPr="00176D37">
                <w:rPr>
                  <w:noProof/>
                </w:rPr>
                <w:t>53</w:t>
              </w:r>
              <w:r w:rsidR="00773077">
                <w:rPr>
                  <w:noProof/>
                </w:rPr>
                <w:t>–</w:t>
              </w:r>
              <w:r w:rsidRPr="00176D37">
                <w:rPr>
                  <w:noProof/>
                </w:rPr>
                <w:t>58</w:t>
              </w:r>
              <w:r w:rsidR="00773077">
                <w:rPr>
                  <w:noProof/>
                </w:rPr>
                <w:t>,</w:t>
              </w:r>
              <w:r w:rsidR="00773077" w:rsidRPr="00176D37">
                <w:rPr>
                  <w:noProof/>
                </w:rPr>
                <w:t xml:space="preserve"> </w:t>
              </w:r>
              <w:r w:rsidRPr="00176D37">
                <w:rPr>
                  <w:noProof/>
                </w:rPr>
                <w:t>doi:0.1016/j.transci.2014.10.022</w:t>
              </w:r>
              <w:r w:rsidR="00773077">
                <w:rPr>
                  <w:noProof/>
                </w:rPr>
                <w:t>.</w:t>
              </w:r>
            </w:p>
            <w:p w14:paraId="1FC5C8F7" w14:textId="4A572154" w:rsidR="00E9700E" w:rsidRPr="00176D37" w:rsidRDefault="00E9700E" w:rsidP="00C645E1">
              <w:pPr>
                <w:pStyle w:val="Body"/>
                <w:rPr>
                  <w:noProof/>
                </w:rPr>
              </w:pPr>
              <w:r w:rsidRPr="00176D37">
                <w:rPr>
                  <w:noProof/>
                </w:rPr>
                <w:t>Spain D</w:t>
              </w:r>
              <w:r w:rsidR="00773077">
                <w:rPr>
                  <w:noProof/>
                </w:rPr>
                <w:t xml:space="preserve"> </w:t>
              </w:r>
              <w:r w:rsidRPr="00176D37">
                <w:rPr>
                  <w:noProof/>
                </w:rPr>
                <w:t xml:space="preserve">2015, </w:t>
              </w:r>
              <w:r w:rsidR="00773077">
                <w:rPr>
                  <w:noProof/>
                </w:rPr>
                <w:t>'</w:t>
              </w:r>
              <w:r w:rsidRPr="00176D37">
                <w:rPr>
                  <w:noProof/>
                </w:rPr>
                <w:t>Can a barcode scanner for blood collection improve patient identification integrity in the emergency department? A prospective before-and-after study</w:t>
              </w:r>
              <w:r w:rsidR="00773077">
                <w:rPr>
                  <w:noProof/>
                </w:rPr>
                <w:t>',</w:t>
              </w:r>
              <w:r w:rsidRPr="00176D37">
                <w:rPr>
                  <w:noProof/>
                </w:rPr>
                <w:t xml:space="preserve"> </w:t>
              </w:r>
              <w:r w:rsidRPr="00176D37">
                <w:rPr>
                  <w:i/>
                  <w:iCs/>
                  <w:noProof/>
                </w:rPr>
                <w:t>Emergency Medicine Australasia (EMA)</w:t>
              </w:r>
              <w:r w:rsidRPr="009742AB">
                <w:rPr>
                  <w:noProof/>
                </w:rPr>
                <w:t xml:space="preserve">, </w:t>
              </w:r>
              <w:r w:rsidR="00773077">
                <w:rPr>
                  <w:noProof/>
                </w:rPr>
                <w:t xml:space="preserve">vol. </w:t>
              </w:r>
              <w:r w:rsidRPr="009742AB">
                <w:rPr>
                  <w:noProof/>
                </w:rPr>
                <w:t>27</w:t>
              </w:r>
              <w:r w:rsidR="00773077">
                <w:rPr>
                  <w:noProof/>
                </w:rPr>
                <w:t xml:space="preserve">, no. </w:t>
              </w:r>
              <w:r w:rsidRPr="00176D37">
                <w:rPr>
                  <w:noProof/>
                </w:rPr>
                <w:t xml:space="preserve">1, </w:t>
              </w:r>
              <w:r w:rsidR="00773077">
                <w:rPr>
                  <w:noProof/>
                </w:rPr>
                <w:t>pp. 4</w:t>
              </w:r>
              <w:r w:rsidR="00773077" w:rsidRPr="00176D37">
                <w:rPr>
                  <w:noProof/>
                </w:rPr>
                <w:t>7</w:t>
              </w:r>
              <w:r w:rsidR="00773077">
                <w:rPr>
                  <w:noProof/>
                </w:rPr>
                <w:t>–</w:t>
              </w:r>
              <w:r w:rsidRPr="00176D37">
                <w:rPr>
                  <w:noProof/>
                </w:rPr>
                <w:t>54. doi:10.1111/1742-6723.12334</w:t>
              </w:r>
              <w:r w:rsidR="00773077">
                <w:rPr>
                  <w:noProof/>
                </w:rPr>
                <w:t>.</w:t>
              </w:r>
            </w:p>
            <w:p w14:paraId="01BB7E02" w14:textId="44CB1315" w:rsidR="00E9700E" w:rsidRPr="00176D37" w:rsidRDefault="00E9700E" w:rsidP="00C645E1">
              <w:pPr>
                <w:pStyle w:val="Body"/>
                <w:rPr>
                  <w:noProof/>
                </w:rPr>
              </w:pPr>
              <w:r w:rsidRPr="00176D37">
                <w:rPr>
                  <w:noProof/>
                </w:rPr>
                <w:t>Sroujieh LS</w:t>
              </w:r>
              <w:r w:rsidR="00773077">
                <w:rPr>
                  <w:noProof/>
                </w:rPr>
                <w:t xml:space="preserve"> </w:t>
              </w:r>
              <w:r w:rsidRPr="00176D37">
                <w:rPr>
                  <w:noProof/>
                </w:rPr>
                <w:t xml:space="preserve">2016, </w:t>
              </w:r>
              <w:r w:rsidR="00773077">
                <w:rPr>
                  <w:noProof/>
                </w:rPr>
                <w:t>'</w:t>
              </w:r>
              <w:r w:rsidRPr="00176D37">
                <w:rPr>
                  <w:noProof/>
                </w:rPr>
                <w:t>U</w:t>
              </w:r>
              <w:r w:rsidR="00773077" w:rsidRPr="00176D37">
                <w:rPr>
                  <w:noProof/>
                </w:rPr>
                <w:t>sing electronic health recor</w:t>
              </w:r>
              <w:r w:rsidRPr="00176D37">
                <w:rPr>
                  <w:noProof/>
                </w:rPr>
                <w:t xml:space="preserve">d (EHR) </w:t>
              </w:r>
              <w:r w:rsidR="00773077" w:rsidRPr="00176D37">
                <w:rPr>
                  <w:noProof/>
                </w:rPr>
                <w:t>best practice aler</w:t>
              </w:r>
              <w:r w:rsidRPr="00176D37">
                <w:rPr>
                  <w:noProof/>
                </w:rPr>
                <w:t>t (BPA) to I</w:t>
              </w:r>
              <w:r w:rsidR="00773077">
                <w:rPr>
                  <w:noProof/>
                </w:rPr>
                <w:t>i</w:t>
              </w:r>
              <w:r w:rsidRPr="00176D37">
                <w:rPr>
                  <w:noProof/>
                </w:rPr>
                <w:t xml:space="preserve">mprove RBC </w:t>
              </w:r>
              <w:r w:rsidR="00773077" w:rsidRPr="00176D37">
                <w:rPr>
                  <w:noProof/>
                </w:rPr>
                <w:t>transfusion practice and adherence to the guide</w:t>
              </w:r>
              <w:r w:rsidRPr="00176D37">
                <w:rPr>
                  <w:noProof/>
                </w:rPr>
                <w:t>lines</w:t>
              </w:r>
              <w:r w:rsidR="00773077">
                <w:rPr>
                  <w:noProof/>
                </w:rPr>
                <w:t>',</w:t>
              </w:r>
              <w:r w:rsidRPr="00176D37">
                <w:rPr>
                  <w:noProof/>
                </w:rPr>
                <w:t xml:space="preserve"> </w:t>
              </w:r>
              <w:r w:rsidRPr="00176D37">
                <w:rPr>
                  <w:i/>
                  <w:iCs/>
                  <w:noProof/>
                </w:rPr>
                <w:t>Chest Journal (American College of Chest Physicians</w:t>
              </w:r>
              <w:r w:rsidRPr="009742AB">
                <w:rPr>
                  <w:noProof/>
                </w:rPr>
                <w:t xml:space="preserve">, </w:t>
              </w:r>
              <w:r w:rsidR="00773077">
                <w:rPr>
                  <w:noProof/>
                </w:rPr>
                <w:t xml:space="preserve">vol. </w:t>
              </w:r>
              <w:r w:rsidRPr="009742AB">
                <w:rPr>
                  <w:noProof/>
                </w:rPr>
                <w:t>140</w:t>
              </w:r>
              <w:r w:rsidR="00773077">
                <w:rPr>
                  <w:noProof/>
                </w:rPr>
                <w:t xml:space="preserve">, no. </w:t>
              </w:r>
              <w:r w:rsidRPr="00176D37">
                <w:rPr>
                  <w:noProof/>
                </w:rPr>
                <w:t xml:space="preserve">5, </w:t>
              </w:r>
              <w:r w:rsidR="00773077">
                <w:rPr>
                  <w:noProof/>
                </w:rPr>
                <w:t>s</w:t>
              </w:r>
              <w:r w:rsidR="00773077" w:rsidRPr="00176D37">
                <w:rPr>
                  <w:noProof/>
                </w:rPr>
                <w:t>upplement</w:t>
              </w:r>
              <w:r w:rsidRPr="00176D37">
                <w:rPr>
                  <w:noProof/>
                </w:rPr>
                <w:t>, 599A. doi:10.1016/j.chest.2016.08.691</w:t>
              </w:r>
              <w:r w:rsidR="00773077">
                <w:rPr>
                  <w:noProof/>
                </w:rPr>
                <w:t>.</w:t>
              </w:r>
            </w:p>
            <w:p w14:paraId="10DDB0C7" w14:textId="2AC32CE4" w:rsidR="00E9700E" w:rsidRPr="00176D37" w:rsidRDefault="00E9700E" w:rsidP="00C645E1">
              <w:pPr>
                <w:pStyle w:val="Body"/>
                <w:rPr>
                  <w:noProof/>
                </w:rPr>
              </w:pPr>
              <w:r w:rsidRPr="00176D37">
                <w:rPr>
                  <w:noProof/>
                </w:rPr>
                <w:t xml:space="preserve">Staples S 2020, </w:t>
              </w:r>
              <w:r w:rsidR="00773077">
                <w:rPr>
                  <w:noProof/>
                </w:rPr>
                <w:t>'</w:t>
              </w:r>
              <w:r w:rsidRPr="00176D37">
                <w:rPr>
                  <w:noProof/>
                </w:rPr>
                <w:t>How do we use electronic clinical decision support and feedback to promote good transfusion practice</w:t>
              </w:r>
              <w:r w:rsidR="00773077">
                <w:rPr>
                  <w:noProof/>
                </w:rPr>
                <w:t>'</w:t>
              </w:r>
              <w:r w:rsidRPr="00176D37">
                <w:rPr>
                  <w:noProof/>
                </w:rPr>
                <w:t xml:space="preserve">. </w:t>
              </w:r>
              <w:r w:rsidRPr="00176D37">
                <w:rPr>
                  <w:i/>
                  <w:iCs/>
                  <w:noProof/>
                </w:rPr>
                <w:t>Transfusion, 60</w:t>
              </w:r>
              <w:r w:rsidRPr="00176D37">
                <w:rPr>
                  <w:noProof/>
                </w:rPr>
                <w:t>(8), 1658-1665. doi:10.1111/trf.15864</w:t>
              </w:r>
              <w:r w:rsidR="00773077">
                <w:rPr>
                  <w:noProof/>
                </w:rPr>
                <w:t>.</w:t>
              </w:r>
            </w:p>
            <w:p w14:paraId="23D36F8E" w14:textId="69DACC7F" w:rsidR="00E9700E" w:rsidRPr="00176D37" w:rsidRDefault="00E9700E" w:rsidP="00C645E1">
              <w:pPr>
                <w:pStyle w:val="Body"/>
                <w:rPr>
                  <w:noProof/>
                </w:rPr>
              </w:pPr>
              <w:r w:rsidRPr="00176D37">
                <w:rPr>
                  <w:noProof/>
                </w:rPr>
                <w:lastRenderedPageBreak/>
                <w:t>State Government Victoria, Department of Health 2012</w:t>
              </w:r>
              <w:r w:rsidR="00773077">
                <w:rPr>
                  <w:noProof/>
                </w:rPr>
                <w:t>,</w:t>
              </w:r>
              <w:r w:rsidRPr="00176D37">
                <w:rPr>
                  <w:noProof/>
                </w:rPr>
                <w:t xml:space="preserve"> </w:t>
              </w:r>
              <w:r w:rsidRPr="00176D37">
                <w:rPr>
                  <w:i/>
                  <w:iCs/>
                  <w:noProof/>
                </w:rPr>
                <w:t>Defining an electronic medical record. The Victorian perspective</w:t>
              </w:r>
              <w:r w:rsidR="00773077">
                <w:rPr>
                  <w:i/>
                  <w:iCs/>
                  <w:noProof/>
                </w:rPr>
                <w:t xml:space="preserve">, </w:t>
              </w:r>
              <w:r w:rsidRPr="00176D37">
                <w:rPr>
                  <w:noProof/>
                </w:rPr>
                <w:t>State Government Victoria, Department of Health</w:t>
              </w:r>
              <w:r w:rsidR="00773077">
                <w:rPr>
                  <w:noProof/>
                </w:rPr>
                <w:t xml:space="preserve"> &lt;</w:t>
              </w:r>
              <w:r w:rsidRPr="00176D37">
                <w:rPr>
                  <w:noProof/>
                </w:rPr>
                <w:t>https://www.health.vic.gov.au/publications/defining-an-electronic-medical-record-the-victorian-perspective</w:t>
              </w:r>
              <w:r w:rsidR="00773077">
                <w:rPr>
                  <w:noProof/>
                </w:rPr>
                <w:t>&gt;.</w:t>
              </w:r>
            </w:p>
            <w:p w14:paraId="016B59FB" w14:textId="04A25910" w:rsidR="00E9700E" w:rsidRPr="00176D37" w:rsidRDefault="00E9700E" w:rsidP="00C645E1">
              <w:pPr>
                <w:pStyle w:val="Body"/>
                <w:rPr>
                  <w:noProof/>
                </w:rPr>
              </w:pPr>
              <w:r w:rsidRPr="00176D37">
                <w:rPr>
                  <w:noProof/>
                </w:rPr>
                <w:t>Sullivan C</w:t>
              </w:r>
              <w:r w:rsidR="00773077">
                <w:rPr>
                  <w:noProof/>
                </w:rPr>
                <w:t xml:space="preserve"> </w:t>
              </w:r>
              <w:r w:rsidRPr="00176D37">
                <w:rPr>
                  <w:noProof/>
                </w:rPr>
                <w:t>2016</w:t>
              </w:r>
              <w:r w:rsidR="00773077">
                <w:rPr>
                  <w:noProof/>
                </w:rPr>
                <w:t>,</w:t>
              </w:r>
              <w:r w:rsidRPr="00176D37">
                <w:rPr>
                  <w:noProof/>
                </w:rPr>
                <w:t xml:space="preserve"> </w:t>
              </w:r>
              <w:r w:rsidR="00773077">
                <w:rPr>
                  <w:noProof/>
                </w:rPr>
                <w:t>'</w:t>
              </w:r>
              <w:r w:rsidRPr="00176D37">
                <w:rPr>
                  <w:noProof/>
                </w:rPr>
                <w:t>Pioneering digital disruption: Australia’s first integrated digital tertiary hospital</w:t>
              </w:r>
              <w:r w:rsidR="00773077">
                <w:rPr>
                  <w:noProof/>
                </w:rPr>
                <w:t>',</w:t>
              </w:r>
              <w:r w:rsidRPr="00176D37">
                <w:rPr>
                  <w:noProof/>
                </w:rPr>
                <w:t xml:space="preserve"> </w:t>
              </w:r>
              <w:r w:rsidRPr="00176D37">
                <w:rPr>
                  <w:i/>
                  <w:iCs/>
                  <w:noProof/>
                </w:rPr>
                <w:t>MJA</w:t>
              </w:r>
              <w:r w:rsidRPr="00176D37">
                <w:rPr>
                  <w:noProof/>
                </w:rPr>
                <w:t xml:space="preserve">, </w:t>
              </w:r>
              <w:r w:rsidR="00773077">
                <w:rPr>
                  <w:noProof/>
                </w:rPr>
                <w:t xml:space="preserve">vol. </w:t>
              </w:r>
              <w:r w:rsidRPr="00176D37">
                <w:rPr>
                  <w:noProof/>
                </w:rPr>
                <w:t>205</w:t>
              </w:r>
              <w:r w:rsidR="00773077">
                <w:rPr>
                  <w:noProof/>
                </w:rPr>
                <w:t>, no.</w:t>
              </w:r>
              <w:r w:rsidRPr="00176D37">
                <w:rPr>
                  <w:noProof/>
                </w:rPr>
                <w:t xml:space="preserve"> 9</w:t>
              </w:r>
              <w:r w:rsidR="00773077">
                <w:rPr>
                  <w:noProof/>
                </w:rPr>
                <w:t>,</w:t>
              </w:r>
              <w:r w:rsidRPr="00176D37">
                <w:rPr>
                  <w:noProof/>
                </w:rPr>
                <w:t xml:space="preserve"> </w:t>
              </w:r>
              <w:r w:rsidR="00773077">
                <w:rPr>
                  <w:noProof/>
                </w:rPr>
                <w:t>pp.</w:t>
              </w:r>
              <w:r w:rsidRPr="00176D37">
                <w:rPr>
                  <w:noProof/>
                </w:rPr>
                <w:t xml:space="preserve"> 386</w:t>
              </w:r>
              <w:r w:rsidR="00773077">
                <w:rPr>
                  <w:noProof/>
                </w:rPr>
                <w:t>–</w:t>
              </w:r>
              <w:r w:rsidRPr="00176D37">
                <w:rPr>
                  <w:noProof/>
                </w:rPr>
                <w:t>389.</w:t>
              </w:r>
            </w:p>
            <w:p w14:paraId="37626C0E" w14:textId="219F706B" w:rsidR="00E9700E" w:rsidRPr="00176D37" w:rsidRDefault="00E9700E" w:rsidP="00C645E1">
              <w:pPr>
                <w:pStyle w:val="Body"/>
                <w:rPr>
                  <w:noProof/>
                </w:rPr>
              </w:pPr>
              <w:r w:rsidRPr="00176D37">
                <w:rPr>
                  <w:noProof/>
                </w:rPr>
                <w:t>Swart N</w:t>
              </w:r>
              <w:r w:rsidR="00D7621F">
                <w:rPr>
                  <w:noProof/>
                </w:rPr>
                <w:t xml:space="preserve"> </w:t>
              </w:r>
              <w:r w:rsidRPr="00176D37">
                <w:rPr>
                  <w:noProof/>
                </w:rPr>
                <w:t xml:space="preserve">2020, </w:t>
              </w:r>
              <w:r w:rsidR="00D7621F">
                <w:rPr>
                  <w:noProof/>
                </w:rPr>
                <w:t>'</w:t>
              </w:r>
              <w:r w:rsidRPr="00176D37">
                <w:rPr>
                  <w:noProof/>
                </w:rPr>
                <w:t>Economic value of clinical decision support allied to direct data feedback to clinicians: blood usage in haematology</w:t>
              </w:r>
              <w:r w:rsidR="00D7621F">
                <w:rPr>
                  <w:noProof/>
                </w:rPr>
                <w:t>'</w:t>
              </w:r>
              <w:r w:rsidRPr="00176D37">
                <w:rPr>
                  <w:noProof/>
                </w:rPr>
                <w:t xml:space="preserve">. </w:t>
              </w:r>
              <w:r w:rsidRPr="00176D37">
                <w:rPr>
                  <w:i/>
                  <w:iCs/>
                  <w:noProof/>
                </w:rPr>
                <w:t>Vox Sanguinis</w:t>
              </w:r>
              <w:r w:rsidRPr="009742AB">
                <w:rPr>
                  <w:noProof/>
                </w:rPr>
                <w:t xml:space="preserve">, </w:t>
              </w:r>
              <w:r w:rsidR="00D7621F">
                <w:rPr>
                  <w:noProof/>
                </w:rPr>
                <w:t xml:space="preserve">vol. </w:t>
              </w:r>
              <w:r w:rsidRPr="009742AB">
                <w:rPr>
                  <w:noProof/>
                </w:rPr>
                <w:t>115</w:t>
              </w:r>
              <w:r w:rsidR="00D7621F">
                <w:rPr>
                  <w:noProof/>
                </w:rPr>
                <w:t xml:space="preserve">, no. </w:t>
              </w:r>
              <w:r w:rsidRPr="00176D37">
                <w:rPr>
                  <w:noProof/>
                </w:rPr>
                <w:t xml:space="preserve">4, </w:t>
              </w:r>
              <w:r w:rsidR="00D7621F">
                <w:rPr>
                  <w:noProof/>
                </w:rPr>
                <w:t xml:space="preserve">pp. </w:t>
              </w:r>
              <w:r w:rsidRPr="00176D37">
                <w:rPr>
                  <w:noProof/>
                </w:rPr>
                <w:t>293</w:t>
              </w:r>
              <w:r w:rsidR="00D7621F">
                <w:rPr>
                  <w:noProof/>
                </w:rPr>
                <w:t>–</w:t>
              </w:r>
              <w:r w:rsidRPr="00176D37">
                <w:rPr>
                  <w:noProof/>
                </w:rPr>
                <w:t>302</w:t>
              </w:r>
              <w:r w:rsidR="00D7621F">
                <w:rPr>
                  <w:noProof/>
                </w:rPr>
                <w:t>,</w:t>
              </w:r>
              <w:r w:rsidR="00D7621F" w:rsidRPr="00176D37">
                <w:rPr>
                  <w:noProof/>
                </w:rPr>
                <w:t xml:space="preserve"> </w:t>
              </w:r>
              <w:r w:rsidRPr="00176D37">
                <w:rPr>
                  <w:noProof/>
                </w:rPr>
                <w:t>doi:10.1111/vox.12880</w:t>
              </w:r>
              <w:r w:rsidR="00D7621F">
                <w:rPr>
                  <w:noProof/>
                </w:rPr>
                <w:t>.</w:t>
              </w:r>
            </w:p>
            <w:p w14:paraId="5EF6799D" w14:textId="126F045A" w:rsidR="00E9700E" w:rsidRPr="00176D37" w:rsidRDefault="00E9700E" w:rsidP="00C645E1">
              <w:pPr>
                <w:pStyle w:val="Body"/>
                <w:rPr>
                  <w:noProof/>
                </w:rPr>
              </w:pPr>
              <w:r w:rsidRPr="009742AB">
                <w:rPr>
                  <w:noProof/>
                </w:rPr>
                <w:t>Verizon</w:t>
              </w:r>
              <w:r w:rsidRPr="00176D37">
                <w:rPr>
                  <w:noProof/>
                </w:rPr>
                <w:t xml:space="preserve"> 2022, </w:t>
              </w:r>
              <w:r w:rsidR="00D7621F">
                <w:rPr>
                  <w:noProof/>
                </w:rPr>
                <w:t>'WiFi', &lt;</w:t>
              </w:r>
              <w:r w:rsidRPr="00176D37">
                <w:rPr>
                  <w:noProof/>
                </w:rPr>
                <w:t>https://www.verizon.com/info/definitions/wifi/</w:t>
              </w:r>
              <w:r w:rsidR="00D7621F">
                <w:rPr>
                  <w:noProof/>
                </w:rPr>
                <w:t>&gt;.</w:t>
              </w:r>
            </w:p>
            <w:p w14:paraId="30A47618" w14:textId="392A4785" w:rsidR="00E9700E" w:rsidRPr="00176D37" w:rsidRDefault="00E9700E" w:rsidP="00C645E1">
              <w:pPr>
                <w:pStyle w:val="Body"/>
                <w:rPr>
                  <w:noProof/>
                </w:rPr>
              </w:pPr>
              <w:r w:rsidRPr="00176D37">
                <w:rPr>
                  <w:noProof/>
                </w:rPr>
                <w:t>Verrall</w:t>
              </w:r>
              <w:r w:rsidR="00D7621F">
                <w:rPr>
                  <w:noProof/>
                </w:rPr>
                <w:t xml:space="preserve"> </w:t>
              </w:r>
              <w:r w:rsidRPr="00176D37">
                <w:rPr>
                  <w:noProof/>
                </w:rPr>
                <w:t>T</w:t>
              </w:r>
              <w:r w:rsidR="00D7621F">
                <w:rPr>
                  <w:noProof/>
                </w:rPr>
                <w:t xml:space="preserve"> </w:t>
              </w:r>
              <w:r w:rsidRPr="00176D37">
                <w:rPr>
                  <w:noProof/>
                </w:rPr>
                <w:t>2019</w:t>
              </w:r>
              <w:r w:rsidR="00D7621F">
                <w:rPr>
                  <w:noProof/>
                </w:rPr>
                <w:t>,</w:t>
              </w:r>
              <w:r w:rsidRPr="00176D37">
                <w:rPr>
                  <w:noProof/>
                </w:rPr>
                <w:t xml:space="preserve"> </w:t>
              </w:r>
              <w:r w:rsidR="00D7621F">
                <w:rPr>
                  <w:noProof/>
                </w:rPr>
                <w:t>'</w:t>
              </w:r>
              <w:r w:rsidRPr="00176D37">
                <w:rPr>
                  <w:noProof/>
                </w:rPr>
                <w:t xml:space="preserve">Electronic </w:t>
              </w:r>
              <w:r w:rsidR="00D7621F" w:rsidRPr="00176D37">
                <w:rPr>
                  <w:noProof/>
                </w:rPr>
                <w:t>medical records: implications for clinical transfusion pr</w:t>
              </w:r>
              <w:r w:rsidRPr="00176D37">
                <w:rPr>
                  <w:noProof/>
                </w:rPr>
                <w:t>actice</w:t>
              </w:r>
              <w:r w:rsidR="00D7621F">
                <w:rPr>
                  <w:noProof/>
                </w:rPr>
                <w:t>',</w:t>
              </w:r>
              <w:r w:rsidRPr="00176D37">
                <w:rPr>
                  <w:noProof/>
                </w:rPr>
                <w:t xml:space="preserve"> </w:t>
              </w:r>
              <w:r w:rsidRPr="00176D37">
                <w:rPr>
                  <w:i/>
                  <w:iCs/>
                  <w:noProof/>
                </w:rPr>
                <w:t>BloodSafe eLearning Australia</w:t>
              </w:r>
              <w:r w:rsidRPr="00176D37">
                <w:rPr>
                  <w:noProof/>
                </w:rPr>
                <w:t>.</w:t>
              </w:r>
            </w:p>
            <w:p w14:paraId="30534C70" w14:textId="0766BAF8" w:rsidR="00E9700E" w:rsidRPr="00176D37" w:rsidRDefault="00E9700E" w:rsidP="00C645E1">
              <w:pPr>
                <w:pStyle w:val="Body"/>
                <w:rPr>
                  <w:noProof/>
                </w:rPr>
              </w:pPr>
              <w:r w:rsidRPr="00176D37">
                <w:rPr>
                  <w:noProof/>
                </w:rPr>
                <w:t>Vuk J</w:t>
              </w:r>
              <w:r w:rsidR="00D7621F">
                <w:rPr>
                  <w:noProof/>
                </w:rPr>
                <w:t xml:space="preserve"> </w:t>
              </w:r>
              <w:r w:rsidRPr="00176D37">
                <w:rPr>
                  <w:noProof/>
                </w:rPr>
                <w:t xml:space="preserve">2015, </w:t>
              </w:r>
              <w:r w:rsidR="00D7621F">
                <w:rPr>
                  <w:noProof/>
                </w:rPr>
                <w:t>'</w:t>
              </w:r>
              <w:r w:rsidRPr="00176D37">
                <w:rPr>
                  <w:noProof/>
                </w:rPr>
                <w:t>Impact of simulation training on self-efficacy of outpatient health care providers to use electronic health records</w:t>
              </w:r>
              <w:r w:rsidR="00D7621F">
                <w:rPr>
                  <w:noProof/>
                </w:rPr>
                <w:t>',</w:t>
              </w:r>
              <w:r w:rsidRPr="00176D37">
                <w:rPr>
                  <w:noProof/>
                </w:rPr>
                <w:t xml:space="preserve"> </w:t>
              </w:r>
              <w:r w:rsidRPr="00176D37">
                <w:rPr>
                  <w:i/>
                  <w:iCs/>
                  <w:noProof/>
                </w:rPr>
                <w:t>International Journal of Medical Informatics</w:t>
              </w:r>
              <w:r w:rsidRPr="009742AB">
                <w:rPr>
                  <w:noProof/>
                </w:rPr>
                <w:t xml:space="preserve">, </w:t>
              </w:r>
              <w:r w:rsidR="00D7621F">
                <w:rPr>
                  <w:noProof/>
                </w:rPr>
                <w:t xml:space="preserve">vol. </w:t>
              </w:r>
              <w:r w:rsidRPr="009742AB">
                <w:rPr>
                  <w:noProof/>
                </w:rPr>
                <w:t>84</w:t>
              </w:r>
              <w:r w:rsidRPr="00881C66">
                <w:rPr>
                  <w:noProof/>
                </w:rPr>
                <w:t>,</w:t>
              </w:r>
              <w:r w:rsidRPr="00176D37">
                <w:rPr>
                  <w:noProof/>
                </w:rPr>
                <w:t xml:space="preserve"> </w:t>
              </w:r>
              <w:r w:rsidR="00D7621F">
                <w:rPr>
                  <w:noProof/>
                </w:rPr>
                <w:t xml:space="preserve">pp. </w:t>
              </w:r>
              <w:r w:rsidRPr="00176D37">
                <w:rPr>
                  <w:noProof/>
                </w:rPr>
                <w:t>423</w:t>
              </w:r>
              <w:r w:rsidR="00D7621F">
                <w:rPr>
                  <w:noProof/>
                </w:rPr>
                <w:t>–</w:t>
              </w:r>
              <w:r w:rsidRPr="00176D37">
                <w:rPr>
                  <w:noProof/>
                </w:rPr>
                <w:t>429 doi:10.1016/j.ijmedinf.2015.02.003</w:t>
              </w:r>
              <w:r w:rsidR="00D7621F">
                <w:rPr>
                  <w:noProof/>
                </w:rPr>
                <w:t>.</w:t>
              </w:r>
            </w:p>
            <w:p w14:paraId="06A836BD" w14:textId="2E366CC3" w:rsidR="00E9700E" w:rsidRPr="00176D37" w:rsidRDefault="00E9700E" w:rsidP="00C645E1">
              <w:pPr>
                <w:pStyle w:val="Body"/>
                <w:rPr>
                  <w:noProof/>
                </w:rPr>
              </w:pPr>
              <w:r w:rsidRPr="00176D37">
                <w:rPr>
                  <w:noProof/>
                </w:rPr>
                <w:t>Zahabi M</w:t>
              </w:r>
              <w:r w:rsidR="00D7621F">
                <w:rPr>
                  <w:noProof/>
                </w:rPr>
                <w:t xml:space="preserve"> 2</w:t>
              </w:r>
              <w:r w:rsidRPr="00176D37">
                <w:rPr>
                  <w:noProof/>
                </w:rPr>
                <w:t>015</w:t>
              </w:r>
              <w:r w:rsidR="00D7621F">
                <w:rPr>
                  <w:noProof/>
                </w:rPr>
                <w:t>,</w:t>
              </w:r>
              <w:r w:rsidRPr="00176D37">
                <w:rPr>
                  <w:noProof/>
                </w:rPr>
                <w:t xml:space="preserve"> </w:t>
              </w:r>
              <w:r w:rsidR="00D7621F">
                <w:rPr>
                  <w:noProof/>
                </w:rPr>
                <w:t>'</w:t>
              </w:r>
              <w:r w:rsidRPr="00176D37">
                <w:rPr>
                  <w:noProof/>
                </w:rPr>
                <w:t>Usability a</w:t>
              </w:r>
              <w:r w:rsidR="00D7621F" w:rsidRPr="00176D37">
                <w:rPr>
                  <w:noProof/>
                </w:rPr>
                <w:t>nd safety in electronic medical records interface design: a review of recent literature and guideline formulatio</w:t>
              </w:r>
              <w:r w:rsidRPr="00176D37">
                <w:rPr>
                  <w:noProof/>
                </w:rPr>
                <w:t>n</w:t>
              </w:r>
              <w:r w:rsidR="00D7621F">
                <w:rPr>
                  <w:noProof/>
                </w:rPr>
                <w:t>',</w:t>
              </w:r>
              <w:r w:rsidR="00D7621F" w:rsidRPr="00176D37">
                <w:rPr>
                  <w:noProof/>
                </w:rPr>
                <w:t xml:space="preserve"> </w:t>
              </w:r>
              <w:r w:rsidRPr="00176D37">
                <w:rPr>
                  <w:i/>
                  <w:iCs/>
                  <w:noProof/>
                </w:rPr>
                <w:t>Human Factors</w:t>
              </w:r>
              <w:r w:rsidRPr="00176D37">
                <w:rPr>
                  <w:noProof/>
                </w:rPr>
                <w:t>, pp</w:t>
              </w:r>
              <w:r w:rsidR="00D7621F">
                <w:rPr>
                  <w:noProof/>
                </w:rPr>
                <w:t xml:space="preserve">. </w:t>
              </w:r>
              <w:r w:rsidRPr="00176D37">
                <w:rPr>
                  <w:noProof/>
                </w:rPr>
                <w:t>1</w:t>
              </w:r>
              <w:r w:rsidR="00D7621F">
                <w:rPr>
                  <w:noProof/>
                </w:rPr>
                <w:t>–</w:t>
              </w:r>
              <w:r w:rsidRPr="00176D37">
                <w:rPr>
                  <w:noProof/>
                </w:rPr>
                <w:t>30</w:t>
              </w:r>
              <w:r w:rsidR="00D7621F">
                <w:rPr>
                  <w:noProof/>
                </w:rPr>
                <w:t>,</w:t>
              </w:r>
              <w:r w:rsidRPr="00176D37">
                <w:rPr>
                  <w:noProof/>
                </w:rPr>
                <w:t xml:space="preserve"> </w:t>
              </w:r>
              <w:r w:rsidR="00D7621F">
                <w:rPr>
                  <w:noProof/>
                </w:rPr>
                <w:t>doi</w:t>
              </w:r>
              <w:r w:rsidRPr="00176D37">
                <w:rPr>
                  <w:noProof/>
                </w:rPr>
                <w:t>: 10.1177/0018720815576827).</w:t>
              </w:r>
            </w:p>
            <w:p w14:paraId="7E48A029" w14:textId="77777777" w:rsidR="00E9700E" w:rsidRPr="00176D37" w:rsidRDefault="00E9700E" w:rsidP="00C645E1">
              <w:pPr>
                <w:pStyle w:val="Body"/>
              </w:pPr>
              <w:r w:rsidRPr="00176D37">
                <w:rPr>
                  <w:b/>
                  <w:bCs/>
                  <w:noProof/>
                </w:rPr>
                <w:fldChar w:fldCharType="end"/>
              </w:r>
            </w:p>
          </w:sdtContent>
        </w:sdt>
      </w:sdtContent>
    </w:sdt>
    <w:p w14:paraId="43354B3E" w14:textId="77777777" w:rsidR="00E9700E" w:rsidRPr="00176D37" w:rsidRDefault="00E9700E" w:rsidP="00E9700E">
      <w:pPr>
        <w:spacing w:line="360" w:lineRule="auto"/>
        <w:rPr>
          <w:rFonts w:eastAsiaTheme="majorEastAsia" w:cs="Arial"/>
          <w:color w:val="0070C0"/>
          <w:sz w:val="32"/>
          <w:szCs w:val="32"/>
        </w:rPr>
      </w:pPr>
      <w:r w:rsidRPr="00176D37">
        <w:rPr>
          <w:rFonts w:cs="Arial"/>
          <w:color w:val="0070C0"/>
        </w:rPr>
        <w:br w:type="page"/>
      </w:r>
    </w:p>
    <w:p w14:paraId="6E945739" w14:textId="3DC6D21B" w:rsidR="00E9700E" w:rsidRPr="00C645E1" w:rsidRDefault="00E9700E" w:rsidP="00C645E1">
      <w:pPr>
        <w:pStyle w:val="Heading1"/>
      </w:pPr>
      <w:bookmarkStart w:id="451" w:name="_Toc101285736"/>
      <w:bookmarkStart w:id="452" w:name="_Toc101947757"/>
      <w:bookmarkStart w:id="453" w:name="_Toc104975956"/>
      <w:r w:rsidRPr="00C645E1">
        <w:lastRenderedPageBreak/>
        <w:t>Appendix 1</w:t>
      </w:r>
      <w:r w:rsidR="00A90CFD">
        <w:t>:</w:t>
      </w:r>
      <w:r w:rsidRPr="00C645E1">
        <w:t xml:space="preserve"> Improvements suggested by individual respondents</w:t>
      </w:r>
      <w:bookmarkEnd w:id="451"/>
      <w:bookmarkEnd w:id="452"/>
      <w:bookmarkEnd w:id="453"/>
    </w:p>
    <w:p w14:paraId="4BE30D68" w14:textId="77777777" w:rsidR="00E9700E" w:rsidRPr="00C645E1" w:rsidRDefault="00E9700E" w:rsidP="00C645E1">
      <w:pPr>
        <w:pStyle w:val="Heading2"/>
      </w:pPr>
      <w:bookmarkStart w:id="454" w:name="_Toc101285737"/>
      <w:bookmarkStart w:id="455" w:name="_Toc101947758"/>
      <w:bookmarkStart w:id="456" w:name="_Toc104448498"/>
      <w:bookmarkStart w:id="457" w:name="_Toc104975957"/>
      <w:r w:rsidRPr="00C645E1">
        <w:t>Workflow</w:t>
      </w:r>
      <w:bookmarkEnd w:id="454"/>
      <w:bookmarkEnd w:id="455"/>
      <w:bookmarkEnd w:id="456"/>
      <w:bookmarkEnd w:id="457"/>
    </w:p>
    <w:p w14:paraId="6086379B" w14:textId="77777777" w:rsidR="00E9700E" w:rsidRPr="00176D37" w:rsidRDefault="00E9700E" w:rsidP="00C645E1">
      <w:pPr>
        <w:pStyle w:val="Bullet1"/>
      </w:pPr>
      <w:r w:rsidRPr="00176D37">
        <w:rPr>
          <w:lang w:eastAsia="en-AU"/>
        </w:rPr>
        <w:t>Thoroughly work through the transfusion workflows and recognise that it is a circular workflow.</w:t>
      </w:r>
    </w:p>
    <w:p w14:paraId="18101392" w14:textId="77777777" w:rsidR="00E9700E" w:rsidRPr="00176D37" w:rsidRDefault="00E9700E" w:rsidP="00C645E1">
      <w:pPr>
        <w:pStyle w:val="Bullet1"/>
      </w:pPr>
      <w:r w:rsidRPr="00176D37">
        <w:rPr>
          <w:lang w:eastAsia="en-AU"/>
        </w:rPr>
        <w:t xml:space="preserve">Clear workflow development pre-implementation to direct staff education. </w:t>
      </w:r>
    </w:p>
    <w:p w14:paraId="3BCB8ED9" w14:textId="77777777" w:rsidR="00E9700E" w:rsidRPr="00176D37" w:rsidRDefault="00E9700E" w:rsidP="00C645E1">
      <w:pPr>
        <w:pStyle w:val="Bullet1"/>
        <w:rPr>
          <w:lang w:eastAsia="en-AU"/>
        </w:rPr>
      </w:pPr>
      <w:r w:rsidRPr="00176D37">
        <w:rPr>
          <w:lang w:eastAsia="en-AU"/>
        </w:rPr>
        <w:t>Plan early and that it is a complicated workflow that you must pay attention to.</w:t>
      </w:r>
    </w:p>
    <w:p w14:paraId="0B33E743" w14:textId="77777777" w:rsidR="00E9700E" w:rsidRPr="00176D37" w:rsidRDefault="00E9700E" w:rsidP="00C645E1">
      <w:pPr>
        <w:pStyle w:val="Bullet1"/>
        <w:rPr>
          <w:lang w:eastAsia="en-AU"/>
        </w:rPr>
      </w:pPr>
      <w:r w:rsidRPr="00176D37">
        <w:rPr>
          <w:lang w:eastAsia="en-AU"/>
        </w:rPr>
        <w:t>Longer lead-in time to adequately test the workflows, re-design workflows, if necessary, re-test. Testing of the hardware to ensure functionality and integration with existing systems.</w:t>
      </w:r>
    </w:p>
    <w:p w14:paraId="613BB34E" w14:textId="77777777" w:rsidR="00E9700E" w:rsidRPr="00176D37" w:rsidRDefault="00E9700E" w:rsidP="00C645E1">
      <w:pPr>
        <w:pStyle w:val="Bullet1"/>
        <w:rPr>
          <w:lang w:eastAsia="en-AU"/>
        </w:rPr>
      </w:pPr>
      <w:r w:rsidRPr="00176D37">
        <w:rPr>
          <w:lang w:eastAsia="en-AU"/>
        </w:rPr>
        <w:t>Improving the workflow, the hybrid system and the different workflows for blood products, there is one for fresh products, another for batched and another for stem cell therapies.</w:t>
      </w:r>
    </w:p>
    <w:p w14:paraId="4A5A997E" w14:textId="7F25A9B3" w:rsidR="00E9700E" w:rsidRPr="00176D37" w:rsidRDefault="00E9700E" w:rsidP="00C645E1">
      <w:pPr>
        <w:pStyle w:val="Bullet1"/>
        <w:rPr>
          <w:lang w:eastAsia="en-AU"/>
        </w:rPr>
      </w:pPr>
      <w:r w:rsidRPr="00176D37">
        <w:rPr>
          <w:lang w:eastAsia="en-AU"/>
        </w:rPr>
        <w:t>Has been hit and miss as to when it works</w:t>
      </w:r>
      <w:r w:rsidR="007C43FA">
        <w:rPr>
          <w:lang w:eastAsia="en-AU"/>
        </w:rPr>
        <w:t>,</w:t>
      </w:r>
      <w:r w:rsidRPr="00176D37">
        <w:rPr>
          <w:lang w:eastAsia="en-AU"/>
        </w:rPr>
        <w:t xml:space="preserve"> so changing between EMR and an alternative electronic system required. Planning to include transfusion (and anything else that requires consent) into next phase of development. Very messy to audit/trace etc</w:t>
      </w:r>
      <w:r w:rsidR="007C43FA">
        <w:rPr>
          <w:lang w:eastAsia="en-AU"/>
        </w:rPr>
        <w:t>.</w:t>
      </w:r>
      <w:r w:rsidRPr="00176D37">
        <w:rPr>
          <w:lang w:eastAsia="en-AU"/>
        </w:rPr>
        <w:t xml:space="preserve"> having EMR and not all documents etc</w:t>
      </w:r>
      <w:r w:rsidR="007C43FA">
        <w:rPr>
          <w:lang w:eastAsia="en-AU"/>
        </w:rPr>
        <w:t>.</w:t>
      </w:r>
      <w:r w:rsidRPr="00176D37">
        <w:rPr>
          <w:lang w:eastAsia="en-AU"/>
        </w:rPr>
        <w:t xml:space="preserve"> used with it. Need to wait for things to be scanned in and often these go missing.</w:t>
      </w:r>
    </w:p>
    <w:p w14:paraId="10BF4EAB" w14:textId="77777777" w:rsidR="00E9700E" w:rsidRPr="00176D37" w:rsidRDefault="00E9700E" w:rsidP="00C645E1">
      <w:pPr>
        <w:pStyle w:val="Bullet1"/>
        <w:rPr>
          <w:lang w:eastAsia="en-AU"/>
        </w:rPr>
      </w:pPr>
      <w:r w:rsidRPr="00176D37">
        <w:rPr>
          <w:lang w:eastAsia="en-AU"/>
        </w:rPr>
        <w:t>Auditing now takes a lot longer trying to wade through all sections on EMR as well as things sometimes being scanned into wrong place.</w:t>
      </w:r>
    </w:p>
    <w:p w14:paraId="1639AC13" w14:textId="77777777" w:rsidR="00E9700E" w:rsidRPr="00C645E1" w:rsidRDefault="00E9700E" w:rsidP="00C645E1">
      <w:pPr>
        <w:pStyle w:val="Heading2"/>
      </w:pPr>
      <w:bookmarkStart w:id="458" w:name="_Toc101285738"/>
      <w:bookmarkStart w:id="459" w:name="_Toc101947759"/>
      <w:bookmarkStart w:id="460" w:name="_Toc104448499"/>
      <w:bookmarkStart w:id="461" w:name="_Toc104975958"/>
      <w:r w:rsidRPr="00C645E1">
        <w:t>Support</w:t>
      </w:r>
      <w:bookmarkEnd w:id="458"/>
      <w:bookmarkEnd w:id="459"/>
      <w:bookmarkEnd w:id="460"/>
      <w:bookmarkEnd w:id="461"/>
    </w:p>
    <w:p w14:paraId="3D8AFFFD" w14:textId="699CCE49" w:rsidR="00E9700E" w:rsidRPr="00176D37" w:rsidRDefault="00E9700E" w:rsidP="00C645E1">
      <w:pPr>
        <w:pStyle w:val="Bullet1"/>
        <w:rPr>
          <w:lang w:eastAsia="en-AU"/>
        </w:rPr>
      </w:pPr>
      <w:r w:rsidRPr="00176D37">
        <w:rPr>
          <w:lang w:eastAsia="en-AU"/>
        </w:rPr>
        <w:t xml:space="preserve">The </w:t>
      </w:r>
      <w:r w:rsidR="007C43FA">
        <w:rPr>
          <w:lang w:eastAsia="en-AU"/>
        </w:rPr>
        <w:t>l</w:t>
      </w:r>
      <w:r w:rsidR="007C43FA" w:rsidRPr="00176D37">
        <w:rPr>
          <w:lang w:eastAsia="en-AU"/>
        </w:rPr>
        <w:t xml:space="preserve">aboratory </w:t>
      </w:r>
      <w:r w:rsidRPr="00176D37">
        <w:rPr>
          <w:lang w:eastAsia="en-AU"/>
        </w:rPr>
        <w:t xml:space="preserve">staff do not know how to generate EMR requests, so cannot help clinicians if they are having problems </w:t>
      </w:r>
      <w:r w:rsidR="007C43FA">
        <w:rPr>
          <w:lang w:eastAsia="en-AU"/>
        </w:rPr>
        <w:t>–</w:t>
      </w:r>
      <w:r w:rsidR="007C43FA" w:rsidRPr="00176D37">
        <w:rPr>
          <w:lang w:eastAsia="en-AU"/>
        </w:rPr>
        <w:t xml:space="preserve"> </w:t>
      </w:r>
      <w:r w:rsidRPr="00176D37">
        <w:rPr>
          <w:lang w:eastAsia="en-AU"/>
        </w:rPr>
        <w:t>ongoing education for clinical staff is important.</w:t>
      </w:r>
    </w:p>
    <w:p w14:paraId="188B5166" w14:textId="5037CDDD" w:rsidR="00E9700E" w:rsidRPr="00176D37" w:rsidRDefault="00E9700E" w:rsidP="00C645E1">
      <w:pPr>
        <w:pStyle w:val="Bullet1"/>
        <w:rPr>
          <w:lang w:eastAsia="en-AU"/>
        </w:rPr>
      </w:pPr>
      <w:r w:rsidRPr="00176D37">
        <w:rPr>
          <w:lang w:eastAsia="en-AU"/>
        </w:rPr>
        <w:t>Different practices around the hospital. Need a lot of support after implementation.</w:t>
      </w:r>
    </w:p>
    <w:p w14:paraId="33BE6A48" w14:textId="77777777" w:rsidR="00E9700E" w:rsidRPr="00176D37" w:rsidRDefault="00E9700E" w:rsidP="00C645E1">
      <w:pPr>
        <w:pStyle w:val="Bullet1"/>
        <w:rPr>
          <w:lang w:eastAsia="en-AU"/>
        </w:rPr>
      </w:pPr>
      <w:r w:rsidRPr="00176D37">
        <w:rPr>
          <w:lang w:eastAsia="en-AU"/>
        </w:rPr>
        <w:t>Good contracts for ongoing improvements in systems.</w:t>
      </w:r>
    </w:p>
    <w:p w14:paraId="2B0016C9" w14:textId="61164B3E" w:rsidR="00E9700E" w:rsidRPr="00176D37" w:rsidRDefault="00E9700E" w:rsidP="00C645E1">
      <w:pPr>
        <w:pStyle w:val="Bullet1"/>
        <w:rPr>
          <w:lang w:eastAsia="en-AU"/>
        </w:rPr>
      </w:pPr>
      <w:r w:rsidRPr="00176D37">
        <w:rPr>
          <w:lang w:eastAsia="en-AU"/>
        </w:rPr>
        <w:t xml:space="preserve">Like with all IT projects </w:t>
      </w:r>
      <w:r w:rsidR="007C43FA">
        <w:rPr>
          <w:lang w:eastAsia="en-AU"/>
        </w:rPr>
        <w:t>–</w:t>
      </w:r>
      <w:r w:rsidR="007C43FA" w:rsidRPr="00176D37">
        <w:rPr>
          <w:lang w:eastAsia="en-AU"/>
        </w:rPr>
        <w:t xml:space="preserve"> </w:t>
      </w:r>
      <w:r w:rsidRPr="00176D37">
        <w:rPr>
          <w:lang w:eastAsia="en-AU"/>
        </w:rPr>
        <w:t>they need a lot of work post</w:t>
      </w:r>
      <w:r w:rsidR="007C43FA">
        <w:rPr>
          <w:lang w:eastAsia="en-AU"/>
        </w:rPr>
        <w:t>-</w:t>
      </w:r>
      <w:r w:rsidRPr="00176D37">
        <w:rPr>
          <w:lang w:eastAsia="en-AU"/>
        </w:rPr>
        <w:t>implementation and lots of ongoing resources.</w:t>
      </w:r>
    </w:p>
    <w:p w14:paraId="3D76F390" w14:textId="77777777" w:rsidR="00E9700E" w:rsidRPr="00176D37" w:rsidRDefault="00E9700E" w:rsidP="00C645E1">
      <w:pPr>
        <w:pStyle w:val="Bullet1"/>
      </w:pPr>
      <w:r w:rsidRPr="00176D37">
        <w:rPr>
          <w:lang w:eastAsia="en-AU"/>
        </w:rPr>
        <w:t>Not enough mobile printers ordered or supplied has meant rollout onto wards has been delayed so only used in one department.</w:t>
      </w:r>
    </w:p>
    <w:p w14:paraId="176AAD49" w14:textId="77777777" w:rsidR="00E9700E" w:rsidRPr="00C645E1" w:rsidRDefault="00E9700E" w:rsidP="00C645E1">
      <w:pPr>
        <w:pStyle w:val="Heading2"/>
      </w:pPr>
      <w:bookmarkStart w:id="462" w:name="_Toc101285739"/>
      <w:bookmarkStart w:id="463" w:name="_Toc101947760"/>
      <w:bookmarkStart w:id="464" w:name="_Toc104448500"/>
      <w:bookmarkStart w:id="465" w:name="_Toc104975959"/>
      <w:r w:rsidRPr="00C645E1">
        <w:t>Education</w:t>
      </w:r>
      <w:bookmarkEnd w:id="462"/>
      <w:bookmarkEnd w:id="463"/>
      <w:bookmarkEnd w:id="464"/>
      <w:bookmarkEnd w:id="465"/>
    </w:p>
    <w:p w14:paraId="7286986B" w14:textId="77777777" w:rsidR="00E9700E" w:rsidRPr="00176D37" w:rsidRDefault="00E9700E" w:rsidP="00C645E1">
      <w:pPr>
        <w:pStyle w:val="Bullet1"/>
        <w:rPr>
          <w:lang w:eastAsia="en-AU"/>
        </w:rPr>
      </w:pPr>
      <w:r w:rsidRPr="00176D37">
        <w:rPr>
          <w:lang w:eastAsia="en-AU"/>
        </w:rPr>
        <w:t>Provide adequate training to the transfusion nurses and ensure they are fully equipped to provide the necessary education to staff post go-live.</w:t>
      </w:r>
    </w:p>
    <w:p w14:paraId="309224FA" w14:textId="2F516CA8" w:rsidR="00E9700E" w:rsidRPr="00176D37" w:rsidRDefault="00E9700E" w:rsidP="00C645E1">
      <w:pPr>
        <w:pStyle w:val="Bullet1"/>
        <w:rPr>
          <w:lang w:eastAsia="en-AU"/>
        </w:rPr>
      </w:pPr>
      <w:r w:rsidRPr="00176D37">
        <w:rPr>
          <w:lang w:eastAsia="en-AU"/>
        </w:rPr>
        <w:t xml:space="preserve">Integrate the SMEs with training so the workflows are taught to completion/as intended (we had staff being told different things, two different lab processes </w:t>
      </w:r>
      <w:r w:rsidR="00D035C4" w:rsidRPr="00176D37">
        <w:rPr>
          <w:lang w:eastAsia="en-AU"/>
        </w:rPr>
        <w:t>were</w:t>
      </w:r>
      <w:r w:rsidRPr="00176D37">
        <w:rPr>
          <w:lang w:eastAsia="en-AU"/>
        </w:rPr>
        <w:t xml:space="preserve"> </w:t>
      </w:r>
      <w:proofErr w:type="gramStart"/>
      <w:r w:rsidRPr="00176D37">
        <w:rPr>
          <w:lang w:eastAsia="en-AU"/>
        </w:rPr>
        <w:t>confusing</w:t>
      </w:r>
      <w:proofErr w:type="gramEnd"/>
      <w:r w:rsidRPr="00176D37">
        <w:rPr>
          <w:lang w:eastAsia="en-AU"/>
        </w:rPr>
        <w:t xml:space="preserve"> and trainers occasionally got mixed up/mixed messages).</w:t>
      </w:r>
    </w:p>
    <w:p w14:paraId="71A15812" w14:textId="77777777" w:rsidR="00E9700E" w:rsidRPr="00176D37" w:rsidRDefault="00E9700E" w:rsidP="00C645E1">
      <w:pPr>
        <w:pStyle w:val="Bullet1"/>
        <w:rPr>
          <w:lang w:eastAsia="en-AU"/>
        </w:rPr>
      </w:pPr>
      <w:r w:rsidRPr="00176D37">
        <w:rPr>
          <w:lang w:eastAsia="en-AU"/>
        </w:rPr>
        <w:t>Allow your quality and safety staff to train, we had a simple chart review session, and it was inadequate.</w:t>
      </w:r>
    </w:p>
    <w:p w14:paraId="55BC8ECB" w14:textId="77777777" w:rsidR="00E9700E" w:rsidRPr="00176D37" w:rsidRDefault="00E9700E" w:rsidP="00C645E1">
      <w:pPr>
        <w:pStyle w:val="Bullet1"/>
        <w:rPr>
          <w:lang w:eastAsia="en-AU"/>
        </w:rPr>
      </w:pPr>
      <w:r w:rsidRPr="00176D37">
        <w:rPr>
          <w:lang w:eastAsia="en-AU"/>
        </w:rPr>
        <w:t>Lots of training and lots of personnel on the flow teaching for months.</w:t>
      </w:r>
    </w:p>
    <w:p w14:paraId="3DBEDD16" w14:textId="77777777" w:rsidR="00E9700E" w:rsidRPr="00176D37" w:rsidRDefault="00E9700E" w:rsidP="00C645E1">
      <w:pPr>
        <w:pStyle w:val="Bullet1"/>
        <w:rPr>
          <w:lang w:eastAsia="en-AU"/>
        </w:rPr>
      </w:pPr>
      <w:r w:rsidRPr="00176D37">
        <w:rPr>
          <w:lang w:eastAsia="en-AU"/>
        </w:rPr>
        <w:t>Adequately train staff, including simulated training, where possible.</w:t>
      </w:r>
    </w:p>
    <w:p w14:paraId="5E345893" w14:textId="61C2286B" w:rsidR="00E9700E" w:rsidRPr="00176D37" w:rsidRDefault="00E9700E" w:rsidP="00C645E1">
      <w:pPr>
        <w:pStyle w:val="Bullet1"/>
        <w:rPr>
          <w:lang w:eastAsia="en-AU"/>
        </w:rPr>
      </w:pPr>
      <w:r w:rsidRPr="00176D37">
        <w:rPr>
          <w:lang w:eastAsia="en-AU"/>
        </w:rPr>
        <w:t>I would suggest much more in depth and widespread education</w:t>
      </w:r>
    </w:p>
    <w:p w14:paraId="1936F977" w14:textId="77777777" w:rsidR="00E9700E" w:rsidRPr="00176D37" w:rsidRDefault="00E9700E" w:rsidP="00C645E1">
      <w:pPr>
        <w:pStyle w:val="Bullet1"/>
      </w:pPr>
      <w:r w:rsidRPr="00176D37">
        <w:rPr>
          <w:lang w:eastAsia="en-AU"/>
        </w:rPr>
        <w:t>Ability to simulate and test would be very useful. Multidisciplinary development and training.</w:t>
      </w:r>
    </w:p>
    <w:p w14:paraId="6D0CF995" w14:textId="70958455" w:rsidR="00E9700E" w:rsidRPr="00176D37" w:rsidRDefault="00E9700E" w:rsidP="00C645E1">
      <w:pPr>
        <w:pStyle w:val="Bullet1"/>
        <w:rPr>
          <w:lang w:eastAsia="en-AU"/>
        </w:rPr>
      </w:pPr>
      <w:r w:rsidRPr="00176D37">
        <w:rPr>
          <w:lang w:eastAsia="en-AU"/>
        </w:rPr>
        <w:t xml:space="preserve">Have the scanners used in training </w:t>
      </w:r>
      <w:r w:rsidR="007C43FA">
        <w:rPr>
          <w:lang w:eastAsia="en-AU"/>
        </w:rPr>
        <w:t>match</w:t>
      </w:r>
      <w:r w:rsidRPr="00176D37">
        <w:rPr>
          <w:lang w:eastAsia="en-AU"/>
        </w:rPr>
        <w:t xml:space="preserve"> how the scanners work in the clinical setting. </w:t>
      </w:r>
      <w:proofErr w:type="gramStart"/>
      <w:r w:rsidRPr="00176D37">
        <w:rPr>
          <w:lang w:eastAsia="en-AU"/>
        </w:rPr>
        <w:t>i.e.</w:t>
      </w:r>
      <w:proofErr w:type="gramEnd"/>
      <w:r w:rsidRPr="00176D37">
        <w:rPr>
          <w:lang w:eastAsia="en-AU"/>
        </w:rPr>
        <w:t xml:space="preserve"> the scanners are programmed to do a sweeping/all in one scan to pick up the barcodes required; in training we still have to demonstrate using the one bar code at a time method.</w:t>
      </w:r>
    </w:p>
    <w:p w14:paraId="25CFC18A" w14:textId="77777777" w:rsidR="00E9700E" w:rsidRPr="00176D37" w:rsidRDefault="00E9700E" w:rsidP="00C645E1">
      <w:pPr>
        <w:pStyle w:val="Bullet1"/>
        <w:rPr>
          <w:lang w:eastAsia="en-AU"/>
        </w:rPr>
      </w:pPr>
      <w:r w:rsidRPr="00176D37">
        <w:rPr>
          <w:lang w:eastAsia="en-AU"/>
        </w:rPr>
        <w:lastRenderedPageBreak/>
        <w:t>Transfusion laboratory staff training in product administration will assist in answering some of the questions nursing staff have regarding product administration.</w:t>
      </w:r>
    </w:p>
    <w:p w14:paraId="2E40A114" w14:textId="77777777" w:rsidR="00E9700E" w:rsidRPr="00176D37" w:rsidRDefault="00E9700E" w:rsidP="00C645E1">
      <w:pPr>
        <w:pStyle w:val="Bullet1"/>
        <w:rPr>
          <w:lang w:eastAsia="en-AU"/>
        </w:rPr>
      </w:pPr>
      <w:r w:rsidRPr="00176D37">
        <w:rPr>
          <w:lang w:eastAsia="en-AU"/>
        </w:rPr>
        <w:t>Lab staff have largely been left out of EMR education as they do not directly need to use the EMR, however the EMR is a source of lots of information about the patient that can be useful for laboratory staff to know.</w:t>
      </w:r>
    </w:p>
    <w:p w14:paraId="00703CDC" w14:textId="77777777" w:rsidR="00E9700E" w:rsidRPr="001528D0" w:rsidRDefault="00E9700E" w:rsidP="001528D0">
      <w:pPr>
        <w:pStyle w:val="Heading2"/>
      </w:pPr>
      <w:bookmarkStart w:id="466" w:name="_Toc101285740"/>
      <w:bookmarkStart w:id="467" w:name="_Toc101947761"/>
      <w:bookmarkStart w:id="468" w:name="_Toc104448501"/>
      <w:bookmarkStart w:id="469" w:name="_Toc104975960"/>
      <w:r w:rsidRPr="001528D0">
        <w:t>EMR and transfusion module</w:t>
      </w:r>
      <w:bookmarkEnd w:id="466"/>
      <w:bookmarkEnd w:id="467"/>
      <w:bookmarkEnd w:id="468"/>
      <w:bookmarkEnd w:id="469"/>
    </w:p>
    <w:p w14:paraId="6CDB6710" w14:textId="3302AD90" w:rsidR="00E9700E" w:rsidRPr="00176D37" w:rsidRDefault="00E9700E" w:rsidP="001528D0">
      <w:pPr>
        <w:pStyle w:val="Bullet1"/>
        <w:rPr>
          <w:lang w:eastAsia="en-AU"/>
        </w:rPr>
      </w:pPr>
      <w:r w:rsidRPr="00176D37">
        <w:rPr>
          <w:lang w:eastAsia="en-AU"/>
        </w:rPr>
        <w:t>Have the prepare order separate to the transfuse order. The prepare order is the laboratory order to crossmatch blood and the transfuse order is the administration order for the clinician to administer the blood.</w:t>
      </w:r>
    </w:p>
    <w:p w14:paraId="380DB1EC" w14:textId="07E1692F" w:rsidR="00E9700E" w:rsidRPr="00176D37" w:rsidRDefault="00E9700E" w:rsidP="001528D0">
      <w:pPr>
        <w:pStyle w:val="Bullet1"/>
        <w:rPr>
          <w:lang w:eastAsia="en-AU"/>
        </w:rPr>
      </w:pPr>
      <w:r w:rsidRPr="00176D37">
        <w:rPr>
          <w:lang w:eastAsia="en-AU"/>
        </w:rPr>
        <w:t>We implemented the EMR without including the Blood Module</w:t>
      </w:r>
      <w:r w:rsidR="00644CA4">
        <w:rPr>
          <w:lang w:eastAsia="en-AU"/>
        </w:rPr>
        <w:t>.</w:t>
      </w:r>
      <w:r w:rsidRPr="00176D37">
        <w:rPr>
          <w:lang w:eastAsia="en-AU"/>
        </w:rPr>
        <w:t xml:space="preserve"> All pretransfusion ordering / testing / and blood product requests / issue are paper based. All results are transferred to the EMR, and blood product availability is visible via the EMR, but there is no electronic means of requesting tests or blood components at present.</w:t>
      </w:r>
      <w:r w:rsidR="007C43FA">
        <w:rPr>
          <w:lang w:eastAsia="en-AU"/>
        </w:rPr>
        <w:t xml:space="preserve"> </w:t>
      </w:r>
      <w:r w:rsidRPr="00176D37">
        <w:rPr>
          <w:lang w:eastAsia="en-AU"/>
        </w:rPr>
        <w:t xml:space="preserve">If there </w:t>
      </w:r>
      <w:r w:rsidR="007C43FA">
        <w:rPr>
          <w:lang w:eastAsia="en-AU"/>
        </w:rPr>
        <w:t>was</w:t>
      </w:r>
      <w:r w:rsidR="007C43FA" w:rsidRPr="00176D37">
        <w:rPr>
          <w:lang w:eastAsia="en-AU"/>
        </w:rPr>
        <w:t xml:space="preserve"> </w:t>
      </w:r>
      <w:r w:rsidRPr="00176D37">
        <w:rPr>
          <w:lang w:eastAsia="en-AU"/>
        </w:rPr>
        <w:t xml:space="preserve">any advice it would be to include the Blood Module / or IV Module in the initial EMR implementation. The cost to implement now </w:t>
      </w:r>
      <w:r w:rsidR="007C43FA">
        <w:rPr>
          <w:lang w:eastAsia="en-AU"/>
        </w:rPr>
        <w:t>–</w:t>
      </w:r>
      <w:r w:rsidR="007C43FA" w:rsidRPr="00176D37">
        <w:rPr>
          <w:lang w:eastAsia="en-AU"/>
        </w:rPr>
        <w:t xml:space="preserve"> </w:t>
      </w:r>
      <w:r w:rsidRPr="00176D37">
        <w:rPr>
          <w:lang w:eastAsia="en-AU"/>
        </w:rPr>
        <w:t xml:space="preserve">10yrs afterwards is very expensive and requires funding proposals to be made to DHHS. </w:t>
      </w:r>
      <w:proofErr w:type="gramStart"/>
      <w:r w:rsidRPr="00176D37">
        <w:rPr>
          <w:lang w:eastAsia="en-AU"/>
        </w:rPr>
        <w:t>As a consequence</w:t>
      </w:r>
      <w:proofErr w:type="gramEnd"/>
      <w:r w:rsidRPr="00176D37">
        <w:rPr>
          <w:lang w:eastAsia="en-AU"/>
        </w:rPr>
        <w:t>, we have an incomplete EMR with no clear timeframe for full implementation.</w:t>
      </w:r>
    </w:p>
    <w:p w14:paraId="006F7957" w14:textId="77777777" w:rsidR="00E9700E" w:rsidRPr="00176D37" w:rsidRDefault="00E9700E" w:rsidP="001528D0">
      <w:pPr>
        <w:pStyle w:val="Bullet1"/>
        <w:rPr>
          <w:lang w:eastAsia="en-AU"/>
        </w:rPr>
      </w:pPr>
      <w:r w:rsidRPr="00176D37">
        <w:rPr>
          <w:lang w:eastAsia="en-AU"/>
        </w:rPr>
        <w:t xml:space="preserve">Recommend specific blood management module. </w:t>
      </w:r>
    </w:p>
    <w:p w14:paraId="4F8EA079" w14:textId="77777777" w:rsidR="00E9700E" w:rsidRPr="00176D37" w:rsidRDefault="00E9700E" w:rsidP="001528D0">
      <w:pPr>
        <w:pStyle w:val="Bullet1"/>
        <w:rPr>
          <w:lang w:eastAsia="en-AU"/>
        </w:rPr>
      </w:pPr>
      <w:r w:rsidRPr="00176D37">
        <w:rPr>
          <w:lang w:eastAsia="en-AU"/>
        </w:rPr>
        <w:t>ID scanning for administration of blood products.</w:t>
      </w:r>
    </w:p>
    <w:p w14:paraId="2DAF1FB2" w14:textId="77777777" w:rsidR="00E9700E" w:rsidRPr="00176D37" w:rsidRDefault="00E9700E" w:rsidP="001528D0">
      <w:pPr>
        <w:pStyle w:val="Bullet1"/>
        <w:rPr>
          <w:lang w:eastAsia="en-AU"/>
        </w:rPr>
      </w:pPr>
      <w:r w:rsidRPr="00176D37">
        <w:rPr>
          <w:lang w:eastAsia="en-AU"/>
        </w:rPr>
        <w:t>Clear visibility of order at point of administration.</w:t>
      </w:r>
    </w:p>
    <w:p w14:paraId="325FB785" w14:textId="77777777" w:rsidR="00E9700E" w:rsidRPr="00176D37" w:rsidRDefault="00E9700E" w:rsidP="001528D0">
      <w:pPr>
        <w:pStyle w:val="Bullet1"/>
        <w:rPr>
          <w:lang w:eastAsia="en-AU"/>
        </w:rPr>
      </w:pPr>
      <w:r w:rsidRPr="00176D37">
        <w:rPr>
          <w:lang w:eastAsia="en-AU"/>
        </w:rPr>
        <w:t>Include blood &amp; blood product consent, blood component ordering, transfusion requests (Cross match and group &amp; screen) ordering in the EMR, as well as bedside patient ID confirmation scanning prior to blood sampling and ID scanning of patient, blood component and request as part of ID blood component administration process.</w:t>
      </w:r>
    </w:p>
    <w:p w14:paraId="1D104A93" w14:textId="485EC980" w:rsidR="00E9700E" w:rsidRPr="00176D37" w:rsidRDefault="00E9700E" w:rsidP="001528D0">
      <w:pPr>
        <w:pStyle w:val="Bullet1"/>
        <w:rPr>
          <w:lang w:eastAsia="en-AU"/>
        </w:rPr>
      </w:pPr>
      <w:r w:rsidRPr="00176D37">
        <w:rPr>
          <w:lang w:eastAsia="en-AU"/>
        </w:rPr>
        <w:t>Early involvement. Important to get the right system with good interface and basing decisions on evidence base. We are in process of introducing EMR for blood administration for fresh products as system recommended at time of EMR rollout was not felt to be safe for fresh products. It was introduced for derivative products, and this works quite well. Would be better to have introduced an EMR for fresh products administration earlier as this is the riskiest blood administration process.</w:t>
      </w:r>
    </w:p>
    <w:p w14:paraId="1509BA67" w14:textId="7A111C09" w:rsidR="00E9700E" w:rsidRPr="00176D37" w:rsidRDefault="00E9700E" w:rsidP="001528D0">
      <w:pPr>
        <w:pStyle w:val="Bullet1"/>
        <w:rPr>
          <w:lang w:eastAsia="en-AU"/>
        </w:rPr>
      </w:pPr>
      <w:r w:rsidRPr="00176D37">
        <w:rPr>
          <w:lang w:eastAsia="en-AU"/>
        </w:rPr>
        <w:t>EMR has been implemented but does not include transfusion practice other than pathology collection. This has also been an issue along with IT issues with EMR talking to other systems.</w:t>
      </w:r>
    </w:p>
    <w:p w14:paraId="3140C275" w14:textId="77777777" w:rsidR="00E9700E" w:rsidRPr="00176D37" w:rsidRDefault="00E9700E" w:rsidP="001528D0">
      <w:pPr>
        <w:pStyle w:val="Bullet1"/>
        <w:rPr>
          <w:lang w:eastAsia="en-AU"/>
        </w:rPr>
      </w:pPr>
      <w:r w:rsidRPr="00176D37">
        <w:rPr>
          <w:lang w:eastAsia="en-AU"/>
        </w:rPr>
        <w:t>Auditing now takes a lot longer trying to wade through all sections on EMR as well as things sometimes being scanned into wrong place.</w:t>
      </w:r>
    </w:p>
    <w:p w14:paraId="1C70CF75" w14:textId="2E6A151A" w:rsidR="00E9700E" w:rsidRPr="00176D37" w:rsidRDefault="00E9700E" w:rsidP="001528D0">
      <w:pPr>
        <w:pStyle w:val="Bullet1"/>
        <w:rPr>
          <w:lang w:eastAsia="en-AU"/>
        </w:rPr>
      </w:pPr>
      <w:r w:rsidRPr="00176D37">
        <w:rPr>
          <w:lang w:eastAsia="en-AU"/>
        </w:rPr>
        <w:t xml:space="preserve">Blood barcode scanning is a challenging workflow and requires significant collaborative effort from </w:t>
      </w:r>
      <w:proofErr w:type="gramStart"/>
      <w:r w:rsidRPr="00176D37">
        <w:rPr>
          <w:lang w:eastAsia="en-AU"/>
        </w:rPr>
        <w:t>a number of</w:t>
      </w:r>
      <w:proofErr w:type="gramEnd"/>
      <w:r w:rsidRPr="00176D37">
        <w:rPr>
          <w:lang w:eastAsia="en-AU"/>
        </w:rPr>
        <w:t xml:space="preserve"> team</w:t>
      </w:r>
      <w:r w:rsidR="00772087">
        <w:rPr>
          <w:lang w:eastAsia="en-AU"/>
        </w:rPr>
        <w:t>s</w:t>
      </w:r>
      <w:r w:rsidRPr="00176D37">
        <w:rPr>
          <w:lang w:eastAsia="en-AU"/>
        </w:rPr>
        <w:t xml:space="preserve"> including technical, laboratory, point of care equipment, clinical and EMR.</w:t>
      </w:r>
    </w:p>
    <w:p w14:paraId="2ED383E3" w14:textId="7D6D6FE4" w:rsidR="00E9700E" w:rsidRPr="00176D37" w:rsidRDefault="00E9700E" w:rsidP="001528D0">
      <w:pPr>
        <w:pStyle w:val="Bullet1"/>
        <w:rPr>
          <w:lang w:eastAsia="en-AU"/>
        </w:rPr>
      </w:pPr>
      <w:r w:rsidRPr="00176D37">
        <w:rPr>
          <w:lang w:eastAsia="en-AU"/>
        </w:rPr>
        <w:t xml:space="preserve">Do not tailor the EMR to different areas/different views </w:t>
      </w:r>
      <w:r w:rsidR="00772087">
        <w:rPr>
          <w:lang w:eastAsia="en-AU"/>
        </w:rPr>
        <w:t>–</w:t>
      </w:r>
      <w:r w:rsidR="00772087" w:rsidRPr="00176D37">
        <w:rPr>
          <w:lang w:eastAsia="en-AU"/>
        </w:rPr>
        <w:t xml:space="preserve"> </w:t>
      </w:r>
      <w:r w:rsidRPr="00176D37">
        <w:rPr>
          <w:lang w:eastAsia="en-AU"/>
        </w:rPr>
        <w:t xml:space="preserve">KISS principle! This just adds confusion. </w:t>
      </w:r>
    </w:p>
    <w:p w14:paraId="037760C7" w14:textId="6A6A69F3" w:rsidR="00E9700E" w:rsidRPr="00176D37" w:rsidRDefault="00E9700E" w:rsidP="001528D0">
      <w:pPr>
        <w:pStyle w:val="Bullet1"/>
        <w:rPr>
          <w:lang w:eastAsia="en-AU"/>
        </w:rPr>
      </w:pPr>
      <w:proofErr w:type="gramStart"/>
      <w:r w:rsidRPr="00176D37">
        <w:rPr>
          <w:lang w:eastAsia="en-AU"/>
        </w:rPr>
        <w:t>Don't</w:t>
      </w:r>
      <w:proofErr w:type="gramEnd"/>
      <w:r w:rsidRPr="00176D37">
        <w:rPr>
          <w:lang w:eastAsia="en-AU"/>
        </w:rPr>
        <w:t xml:space="preserve"> tailor the system –</w:t>
      </w:r>
      <w:r w:rsidR="00772087">
        <w:rPr>
          <w:lang w:eastAsia="en-AU"/>
        </w:rPr>
        <w:t xml:space="preserve"> </w:t>
      </w:r>
      <w:r w:rsidRPr="00176D37">
        <w:rPr>
          <w:lang w:eastAsia="en-AU"/>
        </w:rPr>
        <w:t xml:space="preserve">too much </w:t>
      </w:r>
      <w:r w:rsidR="00772087">
        <w:rPr>
          <w:lang w:eastAsia="en-AU"/>
        </w:rPr>
        <w:t>–</w:t>
      </w:r>
      <w:r w:rsidR="00772087" w:rsidRPr="00176D37">
        <w:rPr>
          <w:lang w:eastAsia="en-AU"/>
        </w:rPr>
        <w:t xml:space="preserve"> </w:t>
      </w:r>
      <w:r w:rsidRPr="00176D37">
        <w:rPr>
          <w:lang w:eastAsia="en-AU"/>
        </w:rPr>
        <w:t>keep it</w:t>
      </w:r>
      <w:r w:rsidR="00772087">
        <w:rPr>
          <w:lang w:eastAsia="en-AU"/>
        </w:rPr>
        <w:t>s</w:t>
      </w:r>
      <w:r w:rsidRPr="00176D37">
        <w:rPr>
          <w:lang w:eastAsia="en-AU"/>
        </w:rPr>
        <w:t xml:space="preserve"> blood ordering process standard across the different clinical areas.</w:t>
      </w:r>
    </w:p>
    <w:p w14:paraId="15C86672" w14:textId="77777777" w:rsidR="00E9700E" w:rsidRPr="00176D37" w:rsidRDefault="00E9700E" w:rsidP="001528D0">
      <w:pPr>
        <w:pStyle w:val="Bullet1"/>
        <w:rPr>
          <w:lang w:eastAsia="en-AU"/>
        </w:rPr>
      </w:pPr>
      <w:r w:rsidRPr="00176D37">
        <w:rPr>
          <w:lang w:eastAsia="en-AU"/>
        </w:rPr>
        <w:t>A complete integration of the remaining paper-based documents into the EMR (we have EMR, but not for blood component/product administration.</w:t>
      </w:r>
    </w:p>
    <w:p w14:paraId="440EE713" w14:textId="40C16E54" w:rsidR="00E9700E" w:rsidRPr="00176D37" w:rsidRDefault="00E9700E" w:rsidP="001528D0">
      <w:pPr>
        <w:pStyle w:val="Bullet1"/>
      </w:pPr>
      <w:r w:rsidRPr="00176D37">
        <w:rPr>
          <w:lang w:eastAsia="en-AU"/>
        </w:rPr>
        <w:t xml:space="preserve">A better scanning system that is less prone to user error. Perhaps a </w:t>
      </w:r>
      <w:proofErr w:type="spellStart"/>
      <w:r w:rsidRPr="00176D37">
        <w:rPr>
          <w:lang w:eastAsia="en-AU"/>
        </w:rPr>
        <w:t>multiscanner</w:t>
      </w:r>
      <w:proofErr w:type="spellEnd"/>
      <w:r w:rsidRPr="00176D37">
        <w:rPr>
          <w:lang w:eastAsia="en-AU"/>
        </w:rPr>
        <w:t xml:space="preserve"> that does not require a specific scanning technique which is a common point of error. A less step</w:t>
      </w:r>
      <w:r w:rsidR="00772087">
        <w:rPr>
          <w:lang w:eastAsia="en-AU"/>
        </w:rPr>
        <w:t>-</w:t>
      </w:r>
      <w:r w:rsidRPr="00176D37">
        <w:rPr>
          <w:lang w:eastAsia="en-AU"/>
        </w:rPr>
        <w:t>intensive workflow to obtain intra-op blood.</w:t>
      </w:r>
    </w:p>
    <w:p w14:paraId="0AC39E92" w14:textId="77777777" w:rsidR="00E9700E" w:rsidRPr="001528D0" w:rsidRDefault="00E9700E" w:rsidP="001528D0">
      <w:pPr>
        <w:pStyle w:val="Heading2"/>
      </w:pPr>
      <w:bookmarkStart w:id="470" w:name="_Toc101285741"/>
      <w:bookmarkStart w:id="471" w:name="_Toc101947762"/>
      <w:bookmarkStart w:id="472" w:name="_Toc104448502"/>
      <w:bookmarkStart w:id="473" w:name="_Toc104975961"/>
      <w:r w:rsidRPr="001528D0">
        <w:lastRenderedPageBreak/>
        <w:t>Set-up and testing</w:t>
      </w:r>
      <w:bookmarkEnd w:id="470"/>
      <w:bookmarkEnd w:id="471"/>
      <w:bookmarkEnd w:id="472"/>
      <w:bookmarkEnd w:id="473"/>
    </w:p>
    <w:p w14:paraId="0DA6F247" w14:textId="77777777" w:rsidR="00E9700E" w:rsidRPr="00176D37" w:rsidRDefault="00E9700E" w:rsidP="001528D0">
      <w:pPr>
        <w:pStyle w:val="Bullet1"/>
        <w:rPr>
          <w:lang w:eastAsia="en-AU"/>
        </w:rPr>
      </w:pPr>
      <w:r w:rsidRPr="00176D37">
        <w:rPr>
          <w:lang w:eastAsia="en-AU"/>
        </w:rPr>
        <w:t>Making the system more focused on the patient’s needs.</w:t>
      </w:r>
    </w:p>
    <w:p w14:paraId="58A939DA" w14:textId="57B2654E" w:rsidR="00E9700E" w:rsidRPr="00176D37" w:rsidRDefault="00E9700E" w:rsidP="001528D0">
      <w:pPr>
        <w:pStyle w:val="Bullet1"/>
        <w:rPr>
          <w:lang w:eastAsia="en-AU"/>
        </w:rPr>
      </w:pPr>
      <w:r w:rsidRPr="00176D37">
        <w:rPr>
          <w:lang w:eastAsia="en-AU"/>
        </w:rPr>
        <w:t>The interaction between the LIS and the EMR is pivotal.</w:t>
      </w:r>
    </w:p>
    <w:p w14:paraId="6F1D328A" w14:textId="77777777" w:rsidR="00E9700E" w:rsidRPr="00176D37" w:rsidRDefault="00E9700E" w:rsidP="001528D0">
      <w:pPr>
        <w:pStyle w:val="Bullet1"/>
        <w:rPr>
          <w:lang w:eastAsia="en-AU"/>
        </w:rPr>
      </w:pPr>
      <w:r w:rsidRPr="00176D37">
        <w:rPr>
          <w:lang w:eastAsia="en-AU"/>
        </w:rPr>
        <w:t>Clinical notes will be very important.</w:t>
      </w:r>
    </w:p>
    <w:p w14:paraId="4E28C9E0" w14:textId="77777777" w:rsidR="00E9700E" w:rsidRPr="00176D37" w:rsidRDefault="00E9700E" w:rsidP="001528D0">
      <w:pPr>
        <w:pStyle w:val="Bullet1"/>
        <w:rPr>
          <w:lang w:eastAsia="en-AU"/>
        </w:rPr>
      </w:pPr>
      <w:r w:rsidRPr="00176D37">
        <w:rPr>
          <w:lang w:eastAsia="en-AU"/>
        </w:rPr>
        <w:t>Spend lots of time working with clinicians and SMEs to ensure it meets requirements of the end user and the laboratory.</w:t>
      </w:r>
    </w:p>
    <w:p w14:paraId="0DD56607" w14:textId="77777777" w:rsidR="00E9700E" w:rsidRPr="00176D37" w:rsidRDefault="00E9700E" w:rsidP="001528D0">
      <w:pPr>
        <w:pStyle w:val="Bullet1"/>
        <w:rPr>
          <w:lang w:eastAsia="en-AU"/>
        </w:rPr>
      </w:pPr>
      <w:r w:rsidRPr="00176D37">
        <w:rPr>
          <w:lang w:eastAsia="en-AU"/>
        </w:rPr>
        <w:t>Ensure as many scenarios are tested and you know exactly what the paper requests look like from each workflow, have all details as required.</w:t>
      </w:r>
    </w:p>
    <w:p w14:paraId="4EB7D13D" w14:textId="77777777" w:rsidR="00E9700E" w:rsidRPr="00176D37" w:rsidRDefault="00E9700E" w:rsidP="001528D0">
      <w:pPr>
        <w:pStyle w:val="Bullet1"/>
        <w:rPr>
          <w:lang w:eastAsia="en-AU"/>
        </w:rPr>
      </w:pPr>
      <w:r w:rsidRPr="00176D37">
        <w:rPr>
          <w:lang w:eastAsia="en-AU"/>
        </w:rPr>
        <w:t>Seek consultation widely from all involved in the development of transfusion modules.</w:t>
      </w:r>
    </w:p>
    <w:p w14:paraId="7CE301ED" w14:textId="77777777" w:rsidR="00E9700E" w:rsidRPr="00176D37" w:rsidRDefault="00E9700E" w:rsidP="001528D0">
      <w:pPr>
        <w:pStyle w:val="Bullet1"/>
        <w:rPr>
          <w:lang w:eastAsia="en-AU"/>
        </w:rPr>
      </w:pPr>
      <w:r w:rsidRPr="00176D37">
        <w:rPr>
          <w:lang w:eastAsia="en-AU"/>
        </w:rPr>
        <w:t>Recommend Transfusion Nurse Consultant are part of the EMR team.</w:t>
      </w:r>
    </w:p>
    <w:p w14:paraId="2BCDC91A" w14:textId="77777777" w:rsidR="00E9700E" w:rsidRPr="00176D37" w:rsidRDefault="00E9700E" w:rsidP="001528D0">
      <w:pPr>
        <w:pStyle w:val="Bullet1"/>
        <w:rPr>
          <w:lang w:eastAsia="en-AU"/>
        </w:rPr>
      </w:pPr>
      <w:r w:rsidRPr="00176D37">
        <w:rPr>
          <w:lang w:eastAsia="en-AU"/>
        </w:rPr>
        <w:t>Involvement of Transfusion staff with the implementation.</w:t>
      </w:r>
    </w:p>
    <w:p w14:paraId="10A8A26C" w14:textId="77777777" w:rsidR="00E9700E" w:rsidRPr="00176D37" w:rsidRDefault="00E9700E" w:rsidP="001528D0">
      <w:pPr>
        <w:pStyle w:val="Bullet1"/>
        <w:rPr>
          <w:lang w:eastAsia="en-AU"/>
        </w:rPr>
      </w:pPr>
      <w:r w:rsidRPr="00176D37">
        <w:rPr>
          <w:lang w:eastAsia="en-AU"/>
        </w:rPr>
        <w:t>Longer lead-in time to adequately test the workflows, re-design workflows, if necessary, re-test. Testing of the hardware to ensure functionality and integration with existing systems.</w:t>
      </w:r>
    </w:p>
    <w:p w14:paraId="306BB0A6" w14:textId="7D05D773" w:rsidR="00E9700E" w:rsidRPr="00176D37" w:rsidRDefault="00E9700E" w:rsidP="001528D0">
      <w:pPr>
        <w:pStyle w:val="Bullet1"/>
        <w:rPr>
          <w:lang w:eastAsia="en-AU"/>
        </w:rPr>
      </w:pPr>
      <w:r w:rsidRPr="00176D37">
        <w:rPr>
          <w:lang w:eastAsia="en-AU"/>
        </w:rPr>
        <w:t xml:space="preserve">Involve the </w:t>
      </w:r>
      <w:r w:rsidR="00772087" w:rsidRPr="00176D37">
        <w:rPr>
          <w:lang w:eastAsia="en-AU"/>
        </w:rPr>
        <w:t>blood management /</w:t>
      </w:r>
      <w:r w:rsidR="00772087">
        <w:rPr>
          <w:lang w:eastAsia="en-AU"/>
        </w:rPr>
        <w:t xml:space="preserve"> </w:t>
      </w:r>
      <w:r w:rsidR="00772087" w:rsidRPr="00176D37">
        <w:rPr>
          <w:lang w:eastAsia="en-AU"/>
        </w:rPr>
        <w:t xml:space="preserve">transfusion nurse </w:t>
      </w:r>
      <w:r w:rsidRPr="00176D37">
        <w:rPr>
          <w:lang w:eastAsia="en-AU"/>
        </w:rPr>
        <w:t xml:space="preserve">in the implementation. </w:t>
      </w:r>
    </w:p>
    <w:p w14:paraId="2E64989D" w14:textId="77777777" w:rsidR="00E9700E" w:rsidRPr="00176D37" w:rsidRDefault="00E9700E" w:rsidP="001528D0">
      <w:pPr>
        <w:pStyle w:val="Bullet1"/>
        <w:rPr>
          <w:lang w:eastAsia="en-AU"/>
        </w:rPr>
      </w:pPr>
      <w:r w:rsidRPr="00176D37">
        <w:rPr>
          <w:lang w:eastAsia="en-AU"/>
        </w:rPr>
        <w:t>More consultation with different areas of the health organisation. I think utilising coal face staff members more in the initial phases would be very helpful.</w:t>
      </w:r>
    </w:p>
    <w:p w14:paraId="643F7D60" w14:textId="03834EDC" w:rsidR="00E9700E" w:rsidRPr="00176D37" w:rsidRDefault="00E9700E" w:rsidP="001528D0">
      <w:pPr>
        <w:pStyle w:val="Bullet1"/>
        <w:rPr>
          <w:lang w:eastAsia="en-AU"/>
        </w:rPr>
      </w:pPr>
      <w:r w:rsidRPr="00176D37">
        <w:rPr>
          <w:lang w:eastAsia="en-AU"/>
        </w:rPr>
        <w:t xml:space="preserve">Have as integrated systems as possible that can be maintained. Ensure multidisciplinary input into all stages of implementation including design, development, testing, training, go-live </w:t>
      </w:r>
      <w:proofErr w:type="gramStart"/>
      <w:r w:rsidRPr="00176D37">
        <w:rPr>
          <w:lang w:eastAsia="en-AU"/>
        </w:rPr>
        <w:t>support</w:t>
      </w:r>
      <w:proofErr w:type="gramEnd"/>
      <w:r w:rsidRPr="00176D37">
        <w:rPr>
          <w:lang w:eastAsia="en-AU"/>
        </w:rPr>
        <w:t xml:space="preserve"> and follow</w:t>
      </w:r>
      <w:r w:rsidR="00B4635A">
        <w:rPr>
          <w:lang w:eastAsia="en-AU"/>
        </w:rPr>
        <w:t>-</w:t>
      </w:r>
      <w:r w:rsidRPr="00176D37">
        <w:rPr>
          <w:lang w:eastAsia="en-AU"/>
        </w:rPr>
        <w:t>up maintenance.</w:t>
      </w:r>
    </w:p>
    <w:p w14:paraId="72B9AA82" w14:textId="5F74F09D" w:rsidR="00E9700E" w:rsidRPr="00176D37" w:rsidRDefault="00E9700E" w:rsidP="001528D0">
      <w:pPr>
        <w:pStyle w:val="Bullet1"/>
      </w:pPr>
      <w:r w:rsidRPr="00176D37">
        <w:rPr>
          <w:lang w:eastAsia="en-AU"/>
        </w:rPr>
        <w:t xml:space="preserve">EMR implementation is not necessarily a single event and often involves implementation of </w:t>
      </w:r>
      <w:proofErr w:type="gramStart"/>
      <w:r w:rsidRPr="00176D37">
        <w:rPr>
          <w:lang w:eastAsia="en-AU"/>
        </w:rPr>
        <w:t>a number of</w:t>
      </w:r>
      <w:proofErr w:type="gramEnd"/>
      <w:r w:rsidRPr="00176D37">
        <w:rPr>
          <w:lang w:eastAsia="en-AU"/>
        </w:rPr>
        <w:t xml:space="preserve"> solutions over time. At our health service we have been on our EMR implementation for over 20 years, and only have a partial EMR for bloods </w:t>
      </w:r>
      <w:proofErr w:type="gramStart"/>
      <w:r w:rsidRPr="00176D37">
        <w:rPr>
          <w:lang w:eastAsia="en-AU"/>
        </w:rPr>
        <w:t>at the moment</w:t>
      </w:r>
      <w:proofErr w:type="gramEnd"/>
      <w:r w:rsidRPr="00176D37">
        <w:rPr>
          <w:lang w:eastAsia="en-AU"/>
        </w:rPr>
        <w:t>.</w:t>
      </w:r>
    </w:p>
    <w:p w14:paraId="57CF26E0" w14:textId="77777777" w:rsidR="00E9700E" w:rsidRPr="00176D37" w:rsidRDefault="00E9700E" w:rsidP="001528D0">
      <w:pPr>
        <w:pStyle w:val="Bullet1"/>
        <w:rPr>
          <w:lang w:eastAsia="en-AU"/>
        </w:rPr>
      </w:pPr>
      <w:r w:rsidRPr="00176D37">
        <w:rPr>
          <w:lang w:eastAsia="en-AU"/>
        </w:rPr>
        <w:t>Easy for all clinicians to use and to navigate especially in times of Massive Transfusion Protocols.</w:t>
      </w:r>
    </w:p>
    <w:p w14:paraId="41133DB6" w14:textId="77777777" w:rsidR="00E9700E" w:rsidRPr="00176D37" w:rsidRDefault="00E9700E" w:rsidP="001528D0">
      <w:pPr>
        <w:pStyle w:val="Bullet1"/>
        <w:rPr>
          <w:lang w:eastAsia="en-AU"/>
        </w:rPr>
      </w:pPr>
      <w:r w:rsidRPr="00176D37">
        <w:rPr>
          <w:lang w:eastAsia="en-AU"/>
        </w:rPr>
        <w:t xml:space="preserve">Buy an EMR system that is integrated with the laboratory LIS. </w:t>
      </w:r>
    </w:p>
    <w:p w14:paraId="1A333CE5" w14:textId="77777777" w:rsidR="00E9700E" w:rsidRPr="00176D37" w:rsidRDefault="00E9700E" w:rsidP="001528D0">
      <w:pPr>
        <w:pStyle w:val="Bullet1"/>
        <w:rPr>
          <w:lang w:eastAsia="en-AU"/>
        </w:rPr>
      </w:pPr>
      <w:r w:rsidRPr="00176D37">
        <w:rPr>
          <w:lang w:eastAsia="en-AU"/>
        </w:rPr>
        <w:t>Reduce hybrid records.</w:t>
      </w:r>
    </w:p>
    <w:p w14:paraId="3AB3E57F" w14:textId="77777777" w:rsidR="00E9700E" w:rsidRPr="00176D37" w:rsidRDefault="00E9700E" w:rsidP="001528D0">
      <w:pPr>
        <w:pStyle w:val="Bullet1"/>
        <w:rPr>
          <w:lang w:eastAsia="en-AU"/>
        </w:rPr>
      </w:pPr>
      <w:r w:rsidRPr="00176D37">
        <w:rPr>
          <w:lang w:eastAsia="en-AU"/>
        </w:rPr>
        <w:t>Integration of the laboratory system to simplify workflows.</w:t>
      </w:r>
    </w:p>
    <w:p w14:paraId="22781DD8" w14:textId="77777777" w:rsidR="00E9700E" w:rsidRPr="00176D37" w:rsidRDefault="00E9700E" w:rsidP="001528D0">
      <w:pPr>
        <w:pStyle w:val="Bullet1"/>
        <w:rPr>
          <w:lang w:eastAsia="en-AU"/>
        </w:rPr>
      </w:pPr>
      <w:r w:rsidRPr="00176D37">
        <w:rPr>
          <w:lang w:eastAsia="en-AU"/>
        </w:rPr>
        <w:t>Eliminating paper were possible by moving fresh blood products onto the EMR. Improved device functionality which we are working on.</w:t>
      </w:r>
    </w:p>
    <w:p w14:paraId="751D9FBD" w14:textId="243F94B3" w:rsidR="00E9700E" w:rsidRPr="00176D37" w:rsidRDefault="00E9700E" w:rsidP="001528D0">
      <w:pPr>
        <w:pStyle w:val="Bullet1"/>
        <w:rPr>
          <w:lang w:eastAsia="en-AU"/>
        </w:rPr>
      </w:pPr>
      <w:r w:rsidRPr="00176D37">
        <w:rPr>
          <w:lang w:eastAsia="en-AU"/>
        </w:rPr>
        <w:t xml:space="preserve">Request form to have options for unusual circumstances </w:t>
      </w:r>
      <w:r w:rsidR="007C43FA">
        <w:rPr>
          <w:lang w:eastAsia="en-AU"/>
        </w:rPr>
        <w:t>–</w:t>
      </w:r>
      <w:r w:rsidR="007C43FA" w:rsidRPr="00176D37">
        <w:rPr>
          <w:lang w:eastAsia="en-AU"/>
        </w:rPr>
        <w:t xml:space="preserve"> </w:t>
      </w:r>
      <w:proofErr w:type="gramStart"/>
      <w:r w:rsidRPr="00176D37">
        <w:rPr>
          <w:lang w:eastAsia="en-AU"/>
        </w:rPr>
        <w:t>e.g.</w:t>
      </w:r>
      <w:proofErr w:type="gramEnd"/>
      <w:r w:rsidRPr="00176D37">
        <w:rPr>
          <w:lang w:eastAsia="en-AU"/>
        </w:rPr>
        <w:t xml:space="preserve"> when extra tubes need to be collected for certain conditions, or collected at 37</w:t>
      </w:r>
      <w:r w:rsidR="00772087">
        <w:rPr>
          <w:lang w:eastAsia="en-AU"/>
        </w:rPr>
        <w:t xml:space="preserve"> degrees </w:t>
      </w:r>
      <w:r w:rsidRPr="00176D37">
        <w:rPr>
          <w:lang w:eastAsia="en-AU"/>
        </w:rPr>
        <w:t>C.</w:t>
      </w:r>
    </w:p>
    <w:p w14:paraId="0C85FF50" w14:textId="77777777" w:rsidR="00E9700E" w:rsidRPr="001528D0" w:rsidRDefault="00E9700E" w:rsidP="001528D0">
      <w:pPr>
        <w:pStyle w:val="Heading2"/>
      </w:pPr>
      <w:bookmarkStart w:id="474" w:name="_Toc101285742"/>
      <w:bookmarkStart w:id="475" w:name="_Toc101947763"/>
      <w:bookmarkStart w:id="476" w:name="_Toc104448503"/>
      <w:bookmarkStart w:id="477" w:name="_Toc104975962"/>
      <w:r w:rsidRPr="001528D0">
        <w:t>Safety (including downtime)</w:t>
      </w:r>
      <w:bookmarkEnd w:id="474"/>
      <w:bookmarkEnd w:id="475"/>
      <w:bookmarkEnd w:id="476"/>
      <w:bookmarkEnd w:id="477"/>
    </w:p>
    <w:p w14:paraId="0BA0580A" w14:textId="456E0A51" w:rsidR="00E9700E" w:rsidRPr="00176D37" w:rsidRDefault="00E9700E" w:rsidP="001528D0">
      <w:pPr>
        <w:pStyle w:val="Bullet1"/>
        <w:rPr>
          <w:lang w:eastAsia="en-AU"/>
        </w:rPr>
      </w:pPr>
      <w:r w:rsidRPr="00176D37">
        <w:rPr>
          <w:lang w:eastAsia="en-AU"/>
        </w:rPr>
        <w:t>Always log out</w:t>
      </w:r>
      <w:r w:rsidR="00772087">
        <w:rPr>
          <w:lang w:eastAsia="en-AU"/>
        </w:rPr>
        <w:t>. S</w:t>
      </w:r>
      <w:r w:rsidRPr="00176D37">
        <w:rPr>
          <w:lang w:eastAsia="en-AU"/>
        </w:rPr>
        <w:t xml:space="preserve">taff leave PC open with their </w:t>
      </w:r>
      <w:proofErr w:type="gramStart"/>
      <w:r w:rsidRPr="00176D37">
        <w:rPr>
          <w:lang w:eastAsia="en-AU"/>
        </w:rPr>
        <w:t>log</w:t>
      </w:r>
      <w:r w:rsidR="00072283">
        <w:rPr>
          <w:lang w:eastAsia="en-AU"/>
        </w:rPr>
        <w:t>-</w:t>
      </w:r>
      <w:r w:rsidRPr="00176D37">
        <w:rPr>
          <w:lang w:eastAsia="en-AU"/>
        </w:rPr>
        <w:t>ins</w:t>
      </w:r>
      <w:proofErr w:type="gramEnd"/>
      <w:r w:rsidRPr="00176D37">
        <w:rPr>
          <w:lang w:eastAsia="en-AU"/>
        </w:rPr>
        <w:t xml:space="preserve"> and others jump in and use the wrong ID</w:t>
      </w:r>
      <w:r w:rsidR="00772087">
        <w:rPr>
          <w:lang w:eastAsia="en-AU"/>
        </w:rPr>
        <w:t xml:space="preserve"> / doctors</w:t>
      </w:r>
      <w:r w:rsidRPr="00176D37">
        <w:rPr>
          <w:lang w:eastAsia="en-AU"/>
        </w:rPr>
        <w:t xml:space="preserve"> leaving charts open and they have prescribing rights.</w:t>
      </w:r>
    </w:p>
    <w:p w14:paraId="215E1F0C" w14:textId="77777777" w:rsidR="00E9700E" w:rsidRPr="00176D37" w:rsidRDefault="00E9700E" w:rsidP="001528D0">
      <w:pPr>
        <w:pStyle w:val="Bullet1"/>
      </w:pPr>
      <w:r w:rsidRPr="00176D37">
        <w:rPr>
          <w:lang w:eastAsia="en-AU"/>
        </w:rPr>
        <w:t>Ensure your downtime plans are well known before go-live for all as unplanned downtime occurs suddenly.</w:t>
      </w:r>
    </w:p>
    <w:p w14:paraId="32D9D7AB" w14:textId="77777777" w:rsidR="00E9700E" w:rsidRPr="001528D0" w:rsidRDefault="00E9700E" w:rsidP="001528D0">
      <w:pPr>
        <w:pStyle w:val="Heading2"/>
      </w:pPr>
      <w:bookmarkStart w:id="478" w:name="_Toc101285743"/>
      <w:bookmarkStart w:id="479" w:name="_Toc101947764"/>
      <w:bookmarkStart w:id="480" w:name="_Toc104448504"/>
      <w:bookmarkStart w:id="481" w:name="_Toc104975963"/>
      <w:r w:rsidRPr="001528D0">
        <w:t>Quality reports/key performance indicators</w:t>
      </w:r>
      <w:bookmarkEnd w:id="478"/>
      <w:bookmarkEnd w:id="479"/>
      <w:bookmarkEnd w:id="480"/>
      <w:bookmarkEnd w:id="481"/>
    </w:p>
    <w:p w14:paraId="6A337976" w14:textId="77777777" w:rsidR="00E9700E" w:rsidRPr="00176D37" w:rsidRDefault="00E9700E" w:rsidP="001528D0">
      <w:pPr>
        <w:pStyle w:val="Bullet1"/>
      </w:pPr>
      <w:r w:rsidRPr="00176D37">
        <w:rPr>
          <w:lang w:eastAsia="en-AU"/>
        </w:rPr>
        <w:t>Ensure you have requested reports to pull data out and know how to use the tools, very hard to set these up without support.</w:t>
      </w:r>
    </w:p>
    <w:p w14:paraId="53C78280" w14:textId="77777777" w:rsidR="00E9700E" w:rsidRPr="00176D37" w:rsidRDefault="00E9700E" w:rsidP="00E9700E">
      <w:pPr>
        <w:pStyle w:val="Rae"/>
        <w:rPr>
          <w:rFonts w:cs="Arial"/>
        </w:rPr>
      </w:pPr>
    </w:p>
    <w:p w14:paraId="49EA59FD" w14:textId="77777777" w:rsidR="00E9700E" w:rsidRPr="00176D37" w:rsidRDefault="00E9700E" w:rsidP="00E9700E">
      <w:pPr>
        <w:rPr>
          <w:rFonts w:cs="Arial"/>
        </w:rPr>
      </w:pPr>
      <w:r w:rsidRPr="00176D37">
        <w:rPr>
          <w:rFonts w:cs="Arial"/>
        </w:rPr>
        <w:br w:type="page"/>
      </w:r>
    </w:p>
    <w:p w14:paraId="3E8B251D" w14:textId="298E9D65" w:rsidR="00E9700E" w:rsidRPr="00BA67B0" w:rsidRDefault="00E9700E" w:rsidP="00BA67B0">
      <w:pPr>
        <w:pStyle w:val="Heading1"/>
      </w:pPr>
      <w:bookmarkStart w:id="482" w:name="_Toc101285744"/>
      <w:bookmarkStart w:id="483" w:name="_Toc101947765"/>
      <w:bookmarkStart w:id="484" w:name="_Toc104975964"/>
      <w:r w:rsidRPr="00BA67B0">
        <w:lastRenderedPageBreak/>
        <w:t>Appendix 2</w:t>
      </w:r>
      <w:r w:rsidR="00A90CFD">
        <w:t>:</w:t>
      </w:r>
      <w:r w:rsidRPr="00BA67B0">
        <w:t xml:space="preserve"> Definitions/glossary</w:t>
      </w:r>
      <w:bookmarkEnd w:id="482"/>
      <w:bookmarkEnd w:id="483"/>
      <w:bookmarkEnd w:id="484"/>
    </w:p>
    <w:tbl>
      <w:tblPr>
        <w:tblStyle w:val="TableGrid"/>
        <w:tblW w:w="8926" w:type="dxa"/>
        <w:tblLook w:val="04A0" w:firstRow="1" w:lastRow="0" w:firstColumn="1" w:lastColumn="0" w:noHBand="0" w:noVBand="1"/>
      </w:tblPr>
      <w:tblGrid>
        <w:gridCol w:w="3114"/>
        <w:gridCol w:w="5812"/>
      </w:tblGrid>
      <w:tr w:rsidR="00E525F8" w:rsidRPr="00176D37" w14:paraId="77D709AF" w14:textId="77777777" w:rsidTr="0063333A">
        <w:tc>
          <w:tcPr>
            <w:tcW w:w="3114" w:type="dxa"/>
          </w:tcPr>
          <w:p w14:paraId="11F8B5AD" w14:textId="77777777" w:rsidR="00E525F8" w:rsidRPr="00176D37" w:rsidRDefault="00E525F8" w:rsidP="00874C65">
            <w:pPr>
              <w:pStyle w:val="Tabletext"/>
            </w:pPr>
            <w:r w:rsidRPr="00176D37">
              <w:t>Barcode</w:t>
            </w:r>
          </w:p>
        </w:tc>
        <w:tc>
          <w:tcPr>
            <w:tcW w:w="5812" w:type="dxa"/>
          </w:tcPr>
          <w:p w14:paraId="0D5E5B08" w14:textId="77777777" w:rsidR="00E525F8" w:rsidRPr="00176D37" w:rsidRDefault="00E525F8" w:rsidP="00874C65">
            <w:pPr>
              <w:pStyle w:val="Tabletext"/>
            </w:pPr>
            <w:r w:rsidRPr="00176D37">
              <w:t xml:space="preserve">A visual representation of data that may be scanned to read complex identifying information </w:t>
            </w:r>
            <w:r w:rsidRPr="00176D37">
              <w:rPr>
                <w:noProof/>
              </w:rPr>
              <w:t>(ANZSBT 2021)</w:t>
            </w:r>
            <w:r w:rsidRPr="00176D37">
              <w:t>.</w:t>
            </w:r>
          </w:p>
        </w:tc>
      </w:tr>
      <w:tr w:rsidR="00E525F8" w:rsidRPr="00176D37" w14:paraId="1393275A" w14:textId="77777777" w:rsidTr="0063333A">
        <w:tc>
          <w:tcPr>
            <w:tcW w:w="3114" w:type="dxa"/>
          </w:tcPr>
          <w:p w14:paraId="0F9B7F3B" w14:textId="77777777" w:rsidR="00E525F8" w:rsidRPr="00874C65" w:rsidRDefault="00E525F8" w:rsidP="00874C65">
            <w:pPr>
              <w:pStyle w:val="Tabletext"/>
            </w:pPr>
            <w:r w:rsidRPr="00874C65">
              <w:t>Batch product</w:t>
            </w:r>
          </w:p>
        </w:tc>
        <w:tc>
          <w:tcPr>
            <w:tcW w:w="5812" w:type="dxa"/>
          </w:tcPr>
          <w:p w14:paraId="5B6CA943" w14:textId="77777777" w:rsidR="00E525F8" w:rsidRPr="00874C65" w:rsidRDefault="00E525F8" w:rsidP="00874C65">
            <w:pPr>
              <w:pStyle w:val="Tabletext"/>
            </w:pPr>
            <w:r w:rsidRPr="00874C65">
              <w:t>Plasma-derivatives and recombinant products</w:t>
            </w:r>
          </w:p>
          <w:p w14:paraId="72A65D55" w14:textId="77777777" w:rsidR="00E525F8" w:rsidRPr="00874C65" w:rsidRDefault="00E525F8" w:rsidP="00874C65">
            <w:pPr>
              <w:pStyle w:val="Tabletext"/>
            </w:pPr>
            <w:r w:rsidRPr="00874C65">
              <w:t>Albumin</w:t>
            </w:r>
          </w:p>
          <w:p w14:paraId="73577897" w14:textId="77777777" w:rsidR="00E525F8" w:rsidRPr="00874C65" w:rsidRDefault="00E525F8" w:rsidP="00874C65">
            <w:pPr>
              <w:pStyle w:val="Tabletext"/>
            </w:pPr>
            <w:r w:rsidRPr="00874C65">
              <w:t>Factor concentrates</w:t>
            </w:r>
          </w:p>
          <w:p w14:paraId="7DBA3CA7" w14:textId="77777777" w:rsidR="00E525F8" w:rsidRPr="00874C65" w:rsidRDefault="00E525F8" w:rsidP="00874C65">
            <w:pPr>
              <w:pStyle w:val="Tabletext"/>
            </w:pPr>
            <w:r w:rsidRPr="00874C65">
              <w:t>Immunoglobulins, including immunoglobulin replacement therapy (</w:t>
            </w:r>
            <w:proofErr w:type="gramStart"/>
            <w:r w:rsidRPr="00874C65">
              <w:t>e.g.</w:t>
            </w:r>
            <w:proofErr w:type="gramEnd"/>
            <w:r w:rsidRPr="00874C65">
              <w:t xml:space="preserve"> IVIg and SCIg) and hyperimmune globulins</w:t>
            </w:r>
          </w:p>
          <w:p w14:paraId="6CB5BFFC" w14:textId="77777777" w:rsidR="00E525F8" w:rsidRPr="00874C65" w:rsidRDefault="00E525F8" w:rsidP="00874C65">
            <w:pPr>
              <w:pStyle w:val="Tabletext"/>
            </w:pPr>
            <w:r w:rsidRPr="00874C65">
              <w:t xml:space="preserve">Also referred to as </w:t>
            </w:r>
            <w:proofErr w:type="spellStart"/>
            <w:r>
              <w:t>‘b</w:t>
            </w:r>
            <w:r w:rsidRPr="00874C65">
              <w:t>lood</w:t>
            </w:r>
            <w:proofErr w:type="spellEnd"/>
            <w:r w:rsidRPr="00874C65">
              <w:t xml:space="preserve"> products</w:t>
            </w:r>
            <w:r>
              <w:t>’</w:t>
            </w:r>
          </w:p>
        </w:tc>
      </w:tr>
      <w:tr w:rsidR="00E525F8" w:rsidRPr="00176D37" w14:paraId="33A2B5B9" w14:textId="77777777" w:rsidTr="0063333A">
        <w:tc>
          <w:tcPr>
            <w:tcW w:w="3114" w:type="dxa"/>
          </w:tcPr>
          <w:p w14:paraId="0F596477" w14:textId="77777777" w:rsidR="00E525F8" w:rsidRPr="00874C65" w:rsidRDefault="00E525F8" w:rsidP="00874C65">
            <w:pPr>
              <w:pStyle w:val="Tabletext"/>
            </w:pPr>
            <w:r w:rsidRPr="00874C65">
              <w:t>Blood component</w:t>
            </w:r>
          </w:p>
        </w:tc>
        <w:tc>
          <w:tcPr>
            <w:tcW w:w="5812" w:type="dxa"/>
          </w:tcPr>
          <w:p w14:paraId="736FE89E" w14:textId="77777777" w:rsidR="00E525F8" w:rsidRPr="00874C65" w:rsidRDefault="00E525F8" w:rsidP="00874C65">
            <w:pPr>
              <w:pStyle w:val="Tabletext"/>
            </w:pPr>
            <w:r w:rsidRPr="00874C65">
              <w:t>Fresh blood components which are derived directly from donated whole blood</w:t>
            </w:r>
          </w:p>
          <w:p w14:paraId="273BE8DD" w14:textId="77777777" w:rsidR="00E525F8" w:rsidRPr="00874C65" w:rsidRDefault="00E525F8" w:rsidP="00874C65">
            <w:pPr>
              <w:pStyle w:val="Tabletext"/>
            </w:pPr>
            <w:r w:rsidRPr="00874C65">
              <w:t>Red blood cells (RBC)</w:t>
            </w:r>
          </w:p>
          <w:p w14:paraId="40613CAE" w14:textId="77777777" w:rsidR="00E525F8" w:rsidRPr="00874C65" w:rsidRDefault="00E525F8" w:rsidP="00874C65">
            <w:pPr>
              <w:pStyle w:val="Tabletext"/>
            </w:pPr>
            <w:r w:rsidRPr="00874C65">
              <w:t>Platelets</w:t>
            </w:r>
          </w:p>
          <w:p w14:paraId="6D61A33E" w14:textId="77777777" w:rsidR="00E525F8" w:rsidRPr="00874C65" w:rsidRDefault="00E525F8" w:rsidP="00874C65">
            <w:pPr>
              <w:pStyle w:val="Tabletext"/>
            </w:pPr>
            <w:r w:rsidRPr="00874C65">
              <w:t>Fresh frozen plasma (FFP)</w:t>
            </w:r>
          </w:p>
          <w:p w14:paraId="55C07F07" w14:textId="77777777" w:rsidR="00E525F8" w:rsidRPr="00874C65" w:rsidRDefault="00E525F8" w:rsidP="00874C65">
            <w:pPr>
              <w:pStyle w:val="Tabletext"/>
            </w:pPr>
            <w:proofErr w:type="spellStart"/>
            <w:r w:rsidRPr="00874C65">
              <w:t>Cyroprecipitate</w:t>
            </w:r>
            <w:proofErr w:type="spellEnd"/>
          </w:p>
          <w:p w14:paraId="54D612F9" w14:textId="77777777" w:rsidR="00E525F8" w:rsidRPr="00874C65" w:rsidRDefault="00E525F8" w:rsidP="00874C65">
            <w:pPr>
              <w:pStyle w:val="Tabletext"/>
            </w:pPr>
            <w:proofErr w:type="spellStart"/>
            <w:r w:rsidRPr="00874C65">
              <w:t>Cryodepleted</w:t>
            </w:r>
            <w:proofErr w:type="spellEnd"/>
            <w:r w:rsidRPr="00874C65">
              <w:t xml:space="preserve"> plasma</w:t>
            </w:r>
          </w:p>
        </w:tc>
      </w:tr>
      <w:tr w:rsidR="00E525F8" w:rsidRPr="00176D37" w14:paraId="3016412E" w14:textId="77777777" w:rsidTr="0063333A">
        <w:tc>
          <w:tcPr>
            <w:tcW w:w="3114" w:type="dxa"/>
          </w:tcPr>
          <w:p w14:paraId="042236D4" w14:textId="77777777" w:rsidR="00E525F8" w:rsidRPr="00874C65" w:rsidRDefault="00E525F8" w:rsidP="00874C65">
            <w:pPr>
              <w:pStyle w:val="Tabletext"/>
            </w:pPr>
            <w:r w:rsidRPr="00874C65">
              <w:t>Blood product</w:t>
            </w:r>
          </w:p>
        </w:tc>
        <w:tc>
          <w:tcPr>
            <w:tcW w:w="5812" w:type="dxa"/>
          </w:tcPr>
          <w:p w14:paraId="2F9E1478" w14:textId="77777777" w:rsidR="00E525F8" w:rsidRPr="00874C65" w:rsidRDefault="00E525F8" w:rsidP="00874C65">
            <w:pPr>
              <w:pStyle w:val="Tabletext"/>
            </w:pPr>
            <w:r w:rsidRPr="00874C65">
              <w:t>Plasma-derivatives and recombinant products</w:t>
            </w:r>
          </w:p>
          <w:p w14:paraId="5E8414EF" w14:textId="77777777" w:rsidR="00E525F8" w:rsidRPr="00874C65" w:rsidRDefault="00E525F8" w:rsidP="00874C65">
            <w:pPr>
              <w:pStyle w:val="Tabletext"/>
            </w:pPr>
            <w:r w:rsidRPr="00874C65">
              <w:t>Albumin</w:t>
            </w:r>
          </w:p>
          <w:p w14:paraId="0C2410C2" w14:textId="77777777" w:rsidR="00E525F8" w:rsidRPr="00874C65" w:rsidRDefault="00E525F8" w:rsidP="00874C65">
            <w:pPr>
              <w:pStyle w:val="Tabletext"/>
            </w:pPr>
            <w:r w:rsidRPr="00874C65">
              <w:t>Factor concentrates</w:t>
            </w:r>
          </w:p>
          <w:p w14:paraId="5EA3A696" w14:textId="77777777" w:rsidR="00E525F8" w:rsidRPr="00874C65" w:rsidRDefault="00E525F8" w:rsidP="00874C65">
            <w:pPr>
              <w:pStyle w:val="Tabletext"/>
            </w:pPr>
            <w:r w:rsidRPr="00874C65">
              <w:t>Immunoglobulins, including immunoglobulin replacement therapy (</w:t>
            </w:r>
            <w:proofErr w:type="gramStart"/>
            <w:r w:rsidRPr="00874C65">
              <w:t>e.g.</w:t>
            </w:r>
            <w:proofErr w:type="gramEnd"/>
            <w:r w:rsidRPr="00874C65">
              <w:t xml:space="preserve"> IVIg and SCIg) and hyperimmune globulins</w:t>
            </w:r>
          </w:p>
          <w:p w14:paraId="473AA69A" w14:textId="77777777" w:rsidR="00E525F8" w:rsidRPr="00874C65" w:rsidRDefault="00E525F8" w:rsidP="00874C65">
            <w:pPr>
              <w:pStyle w:val="Tabletext"/>
            </w:pPr>
            <w:r w:rsidRPr="00874C65">
              <w:t xml:space="preserve">Also referred to as </w:t>
            </w:r>
            <w:r>
              <w:t>‘b</w:t>
            </w:r>
            <w:r w:rsidRPr="00874C65">
              <w:t>atch products</w:t>
            </w:r>
            <w:r>
              <w:t>’</w:t>
            </w:r>
          </w:p>
        </w:tc>
      </w:tr>
      <w:tr w:rsidR="00E525F8" w:rsidRPr="00176D37" w14:paraId="3E39BB5A" w14:textId="77777777" w:rsidTr="0063333A">
        <w:tc>
          <w:tcPr>
            <w:tcW w:w="3114" w:type="dxa"/>
          </w:tcPr>
          <w:p w14:paraId="60CF5661" w14:textId="77777777" w:rsidR="00E525F8" w:rsidRPr="00176D37" w:rsidRDefault="00E525F8" w:rsidP="00874C65">
            <w:pPr>
              <w:pStyle w:val="Tabletext"/>
            </w:pPr>
            <w:r w:rsidRPr="00176D37">
              <w:t>Consent</w:t>
            </w:r>
          </w:p>
        </w:tc>
        <w:tc>
          <w:tcPr>
            <w:tcW w:w="5812" w:type="dxa"/>
          </w:tcPr>
          <w:p w14:paraId="0D31AAD2" w14:textId="77777777" w:rsidR="00E525F8" w:rsidRPr="00176D37" w:rsidRDefault="00E525F8" w:rsidP="00874C65">
            <w:pPr>
              <w:pStyle w:val="Tabletext"/>
            </w:pPr>
            <w:r w:rsidRPr="00176D37">
              <w:t xml:space="preserve">Informed consent is a person’s decision, given voluntarily, to agree to a healthcare treatment, procedure or other intervention that is made: </w:t>
            </w:r>
          </w:p>
          <w:p w14:paraId="4572FD20" w14:textId="77777777" w:rsidR="00E525F8" w:rsidRPr="007C43FA" w:rsidRDefault="00E525F8" w:rsidP="009742AB">
            <w:pPr>
              <w:pStyle w:val="Tablebullet1"/>
            </w:pPr>
            <w:r>
              <w:t>f</w:t>
            </w:r>
            <w:r w:rsidRPr="007C43FA">
              <w:t>ollowing the provision of accurate and relevant information about the healthcare intervention and alternative options available</w:t>
            </w:r>
            <w:r>
              <w:t>,</w:t>
            </w:r>
            <w:r w:rsidRPr="007C43FA">
              <w:t xml:space="preserve"> and </w:t>
            </w:r>
          </w:p>
          <w:p w14:paraId="67658F5C" w14:textId="77777777" w:rsidR="00E525F8" w:rsidRPr="00176D37" w:rsidRDefault="00E525F8" w:rsidP="009742AB">
            <w:pPr>
              <w:pStyle w:val="Tablebullet1"/>
            </w:pPr>
            <w:r>
              <w:t>w</w:t>
            </w:r>
            <w:r w:rsidRPr="007C43FA">
              <w:t xml:space="preserve">ith adequate knowledge and understanding of the benefits and material risks of the proposed intervention relevant to the person who would be having the treatment, </w:t>
            </w:r>
            <w:proofErr w:type="gramStart"/>
            <w:r w:rsidRPr="007C43FA">
              <w:t>procedure</w:t>
            </w:r>
            <w:proofErr w:type="gramEnd"/>
            <w:r w:rsidRPr="007C43FA">
              <w:t xml:space="preserve"> or other intervention </w:t>
            </w:r>
            <w:r w:rsidRPr="009742AB">
              <w:t>(ACSQHC 2021)</w:t>
            </w:r>
            <w:r w:rsidRPr="007C43FA">
              <w:t>.</w:t>
            </w:r>
          </w:p>
        </w:tc>
      </w:tr>
      <w:tr w:rsidR="00E525F8" w:rsidRPr="00176D37" w14:paraId="68799747" w14:textId="77777777" w:rsidTr="0063333A">
        <w:tc>
          <w:tcPr>
            <w:tcW w:w="3114" w:type="dxa"/>
          </w:tcPr>
          <w:p w14:paraId="47D539FF" w14:textId="77777777" w:rsidR="00E525F8" w:rsidRPr="00176D37" w:rsidRDefault="00E525F8" w:rsidP="00874C65">
            <w:pPr>
              <w:pStyle w:val="Tabletext"/>
            </w:pPr>
            <w:r w:rsidRPr="00176D37">
              <w:t>Double independent check</w:t>
            </w:r>
          </w:p>
        </w:tc>
        <w:tc>
          <w:tcPr>
            <w:tcW w:w="5812" w:type="dxa"/>
          </w:tcPr>
          <w:p w14:paraId="5A1EBE5B" w14:textId="77777777" w:rsidR="00E525F8" w:rsidRPr="00176D37" w:rsidRDefault="00E525F8" w:rsidP="00874C65">
            <w:pPr>
              <w:pStyle w:val="Tabletext"/>
            </w:pPr>
            <w:r w:rsidRPr="00176D37">
              <w:t xml:space="preserve">The process of confirming patient ID whereby two professionals independently confirm, and take responsibility for confirming patient ID, prescription and product issued immediately prior to transfusion at the patient’s side in line with ANZSBT </w:t>
            </w:r>
            <w:r w:rsidRPr="00176D37">
              <w:rPr>
                <w:i/>
              </w:rPr>
              <w:t xml:space="preserve">Guidelines for the Administration of Blood Products </w:t>
            </w:r>
            <w:r w:rsidRPr="00176D37">
              <w:rPr>
                <w:noProof/>
              </w:rPr>
              <w:t>(ANZSBT 2021)</w:t>
            </w:r>
            <w:r w:rsidRPr="00176D37">
              <w:t>.</w:t>
            </w:r>
          </w:p>
        </w:tc>
      </w:tr>
      <w:tr w:rsidR="00E525F8" w:rsidRPr="00176D37" w14:paraId="7B77B13E" w14:textId="77777777" w:rsidTr="0063333A">
        <w:tc>
          <w:tcPr>
            <w:tcW w:w="3114" w:type="dxa"/>
          </w:tcPr>
          <w:p w14:paraId="1BAD600D" w14:textId="77777777" w:rsidR="00E525F8" w:rsidRPr="00874C65" w:rsidRDefault="00E525F8" w:rsidP="00874C65">
            <w:pPr>
              <w:pStyle w:val="Tabletext"/>
            </w:pPr>
            <w:r w:rsidRPr="00874C65">
              <w:t xml:space="preserve">Electronic </w:t>
            </w:r>
            <w:r>
              <w:t>m</w:t>
            </w:r>
            <w:r w:rsidRPr="00874C65">
              <w:t xml:space="preserve">edical </w:t>
            </w:r>
            <w:r>
              <w:t>r</w:t>
            </w:r>
            <w:r w:rsidRPr="00874C65">
              <w:t xml:space="preserve">ecord (EMR) </w:t>
            </w:r>
          </w:p>
        </w:tc>
        <w:tc>
          <w:tcPr>
            <w:tcW w:w="5812" w:type="dxa"/>
          </w:tcPr>
          <w:p w14:paraId="654AA3B8" w14:textId="77777777" w:rsidR="00E525F8" w:rsidRPr="00874C65" w:rsidRDefault="00E525F8" w:rsidP="00874C65">
            <w:pPr>
              <w:pStyle w:val="Tabletext"/>
            </w:pPr>
            <w:r w:rsidRPr="00874C65">
              <w:t xml:space="preserve">Computer system used by healthcare providers for patient documentation, </w:t>
            </w:r>
            <w:proofErr w:type="gramStart"/>
            <w:r w:rsidRPr="00874C65">
              <w:t>monitoring</w:t>
            </w:r>
            <w:proofErr w:type="gramEnd"/>
            <w:r w:rsidRPr="00874C65">
              <w:t xml:space="preserve"> and management without using paper. Includes both stand-alone systems and those interfaced with other systems in the healthcare service. </w:t>
            </w:r>
          </w:p>
        </w:tc>
      </w:tr>
      <w:tr w:rsidR="00E525F8" w:rsidRPr="00176D37" w14:paraId="2998BA97" w14:textId="77777777" w:rsidTr="0063333A">
        <w:tc>
          <w:tcPr>
            <w:tcW w:w="3114" w:type="dxa"/>
          </w:tcPr>
          <w:p w14:paraId="39D78AD7" w14:textId="77777777" w:rsidR="00E525F8" w:rsidRPr="00176D37" w:rsidRDefault="00E525F8" w:rsidP="00874C65">
            <w:pPr>
              <w:pStyle w:val="Tabletext"/>
            </w:pPr>
            <w:r w:rsidRPr="00176D37">
              <w:t>Emergency transfusion/ critical bleeding</w:t>
            </w:r>
          </w:p>
        </w:tc>
        <w:tc>
          <w:tcPr>
            <w:tcW w:w="5812" w:type="dxa"/>
          </w:tcPr>
          <w:p w14:paraId="1CF62290" w14:textId="77777777" w:rsidR="00E525F8" w:rsidRPr="00176D37" w:rsidRDefault="00E525F8" w:rsidP="00874C65">
            <w:pPr>
              <w:pStyle w:val="Tabletext"/>
            </w:pPr>
            <w:r w:rsidRPr="00176D37">
              <w:t xml:space="preserve">Transfusion in extreme or life-threatening situations where the immediate correction of blood loss or anaemia </w:t>
            </w:r>
            <w:r w:rsidRPr="00176D37">
              <w:lastRenderedPageBreak/>
              <w:t xml:space="preserve">outweighs the potential risk of delaying transfusion </w:t>
            </w:r>
            <w:sdt>
              <w:sdtPr>
                <w:id w:val="1296563014"/>
                <w:citation/>
              </w:sdtPr>
              <w:sdtEndPr/>
              <w:sdtContent>
                <w:r w:rsidRPr="00176D37">
                  <w:fldChar w:fldCharType="begin"/>
                </w:r>
                <w:r w:rsidRPr="00176D37">
                  <w:instrText xml:space="preserve"> CITATION Aus21 \l 3081 </w:instrText>
                </w:r>
                <w:r w:rsidRPr="00176D37">
                  <w:fldChar w:fldCharType="separate"/>
                </w:r>
                <w:r w:rsidRPr="00176D37">
                  <w:rPr>
                    <w:noProof/>
                  </w:rPr>
                  <w:t>(Australian Red Cross Lifeblood, 2021)</w:t>
                </w:r>
                <w:r w:rsidRPr="00176D37">
                  <w:fldChar w:fldCharType="end"/>
                </w:r>
              </w:sdtContent>
            </w:sdt>
            <w:r w:rsidRPr="00176D37">
              <w:t>.</w:t>
            </w:r>
          </w:p>
        </w:tc>
      </w:tr>
      <w:tr w:rsidR="00E525F8" w:rsidRPr="00176D37" w14:paraId="79B7E7A8" w14:textId="77777777" w:rsidTr="0063333A">
        <w:tc>
          <w:tcPr>
            <w:tcW w:w="3114" w:type="dxa"/>
          </w:tcPr>
          <w:p w14:paraId="633B093F" w14:textId="77777777" w:rsidR="00E525F8" w:rsidRPr="00176D37" w:rsidRDefault="00E525F8" w:rsidP="00874C65">
            <w:pPr>
              <w:pStyle w:val="Tabletext"/>
              <w:rPr>
                <w:rFonts w:cs="Arial"/>
              </w:rPr>
            </w:pPr>
            <w:r w:rsidRPr="00176D37">
              <w:rPr>
                <w:rFonts w:cs="Arial"/>
              </w:rPr>
              <w:lastRenderedPageBreak/>
              <w:t>Go-live</w:t>
            </w:r>
          </w:p>
        </w:tc>
        <w:tc>
          <w:tcPr>
            <w:tcW w:w="5812" w:type="dxa"/>
          </w:tcPr>
          <w:p w14:paraId="6ADEA048" w14:textId="77777777" w:rsidR="00E525F8" w:rsidRPr="00176D37" w:rsidRDefault="00E525F8" w:rsidP="00874C65">
            <w:pPr>
              <w:pStyle w:val="Tabletext"/>
              <w:rPr>
                <w:rFonts w:cs="Arial"/>
              </w:rPr>
            </w:pPr>
            <w:r w:rsidRPr="00176D37">
              <w:rPr>
                <w:rFonts w:cs="Arial"/>
              </w:rPr>
              <w:t>The date that EMR was initially utilised at the health service.</w:t>
            </w:r>
          </w:p>
        </w:tc>
      </w:tr>
      <w:tr w:rsidR="00E525F8" w:rsidRPr="00176D37" w14:paraId="573EB1DC" w14:textId="77777777" w:rsidTr="0063333A">
        <w:tc>
          <w:tcPr>
            <w:tcW w:w="3114" w:type="dxa"/>
          </w:tcPr>
          <w:p w14:paraId="1F3F21D4" w14:textId="77777777" w:rsidR="00E525F8" w:rsidRPr="00176D37" w:rsidRDefault="00E525F8" w:rsidP="00874C65">
            <w:pPr>
              <w:pStyle w:val="Tabletext"/>
            </w:pPr>
            <w:r w:rsidRPr="00176D37">
              <w:t>Interface</w:t>
            </w:r>
          </w:p>
        </w:tc>
        <w:tc>
          <w:tcPr>
            <w:tcW w:w="5812" w:type="dxa"/>
          </w:tcPr>
          <w:p w14:paraId="540176FD" w14:textId="77777777" w:rsidR="00E525F8" w:rsidRPr="00176D37" w:rsidRDefault="00E525F8" w:rsidP="00874C65">
            <w:pPr>
              <w:pStyle w:val="Tabletext"/>
            </w:pPr>
            <w:r w:rsidRPr="00176D37">
              <w:t xml:space="preserve">A connection between two separate software components within EMRs, often provided by different vendors, or to external information systems </w:t>
            </w:r>
            <w:r w:rsidRPr="00176D37">
              <w:rPr>
                <w:noProof/>
              </w:rPr>
              <w:t>(ANZSBT 2021)</w:t>
            </w:r>
            <w:r w:rsidRPr="00176D37">
              <w:t>.</w:t>
            </w:r>
          </w:p>
        </w:tc>
      </w:tr>
      <w:tr w:rsidR="00E525F8" w:rsidRPr="00176D37" w14:paraId="0F1BBFF3" w14:textId="77777777" w:rsidTr="0063333A">
        <w:tc>
          <w:tcPr>
            <w:tcW w:w="3114" w:type="dxa"/>
          </w:tcPr>
          <w:p w14:paraId="1B3A189F" w14:textId="0FBBB1B6" w:rsidR="00E525F8" w:rsidRPr="00176D37" w:rsidRDefault="00E525F8" w:rsidP="00874C65">
            <w:pPr>
              <w:pStyle w:val="Tabletext"/>
            </w:pPr>
            <w:r w:rsidRPr="00176D37">
              <w:t xml:space="preserve">Laboratory </w:t>
            </w:r>
            <w:r w:rsidR="00C92B22">
              <w:t>i</w:t>
            </w:r>
            <w:r w:rsidRPr="00176D37">
              <w:t xml:space="preserve">nformation </w:t>
            </w:r>
            <w:r w:rsidR="00C92B22">
              <w:t>s</w:t>
            </w:r>
            <w:r w:rsidRPr="00176D37">
              <w:t>ystem (LIS)</w:t>
            </w:r>
          </w:p>
        </w:tc>
        <w:tc>
          <w:tcPr>
            <w:tcW w:w="5812" w:type="dxa"/>
          </w:tcPr>
          <w:p w14:paraId="1ECF3B1E" w14:textId="77777777" w:rsidR="00E525F8" w:rsidRPr="00176D37" w:rsidRDefault="00E525F8" w:rsidP="00874C65">
            <w:pPr>
              <w:pStyle w:val="Tabletext"/>
            </w:pPr>
            <w:r w:rsidRPr="00176D37">
              <w:t xml:space="preserve">The electronic system in the transfusion laboratory for managing requests, blood products and results. This is a subset of an EMR </w:t>
            </w:r>
            <w:r w:rsidRPr="00176D37">
              <w:rPr>
                <w:noProof/>
              </w:rPr>
              <w:t>(ANZSBT 2021)</w:t>
            </w:r>
            <w:r w:rsidRPr="00176D37">
              <w:t>.</w:t>
            </w:r>
          </w:p>
        </w:tc>
      </w:tr>
      <w:tr w:rsidR="00E525F8" w:rsidRPr="00176D37" w14:paraId="7B8A3533" w14:textId="77777777" w:rsidTr="0063333A">
        <w:tc>
          <w:tcPr>
            <w:tcW w:w="3114" w:type="dxa"/>
          </w:tcPr>
          <w:p w14:paraId="369F7CC8" w14:textId="77777777" w:rsidR="00E525F8" w:rsidRPr="00176D37" w:rsidRDefault="00E525F8" w:rsidP="00874C65">
            <w:pPr>
              <w:pStyle w:val="Tabletext"/>
              <w:rPr>
                <w:rFonts w:cs="Arial"/>
              </w:rPr>
            </w:pPr>
            <w:r w:rsidRPr="00176D37">
              <w:rPr>
                <w:rFonts w:cs="Arial"/>
              </w:rPr>
              <w:t>Lifeblood</w:t>
            </w:r>
          </w:p>
        </w:tc>
        <w:tc>
          <w:tcPr>
            <w:tcW w:w="5812" w:type="dxa"/>
          </w:tcPr>
          <w:p w14:paraId="1F82E4A4" w14:textId="77777777" w:rsidR="00E525F8" w:rsidRPr="00176D37" w:rsidRDefault="00E525F8" w:rsidP="00874C65">
            <w:pPr>
              <w:pStyle w:val="Tabletext"/>
              <w:rPr>
                <w:rFonts w:cs="Arial"/>
              </w:rPr>
            </w:pPr>
            <w:r w:rsidRPr="00176D37">
              <w:rPr>
                <w:rFonts w:cs="Arial"/>
              </w:rPr>
              <w:t>Australian Red Cross Lifeblood</w:t>
            </w:r>
          </w:p>
        </w:tc>
      </w:tr>
      <w:tr w:rsidR="00E525F8" w:rsidRPr="00176D37" w14:paraId="3D431B2A" w14:textId="77777777" w:rsidTr="0063333A">
        <w:tc>
          <w:tcPr>
            <w:tcW w:w="3114" w:type="dxa"/>
          </w:tcPr>
          <w:p w14:paraId="0027ECA1" w14:textId="77777777" w:rsidR="00E525F8" w:rsidRPr="00176D37" w:rsidRDefault="00E525F8" w:rsidP="00874C65">
            <w:pPr>
              <w:pStyle w:val="Tabletext"/>
            </w:pPr>
            <w:r w:rsidRPr="00176D37">
              <w:t>Massive transfusion</w:t>
            </w:r>
          </w:p>
        </w:tc>
        <w:tc>
          <w:tcPr>
            <w:tcW w:w="5812" w:type="dxa"/>
          </w:tcPr>
          <w:p w14:paraId="16AD7CC9" w14:textId="77777777" w:rsidR="00E525F8" w:rsidRPr="00176D37" w:rsidRDefault="00E525F8" w:rsidP="00874C65">
            <w:pPr>
              <w:pStyle w:val="Tabletext"/>
            </w:pPr>
            <w:r w:rsidRPr="00176D37">
              <w:t>Defined, in adults, as replacement of &gt;1 blood volume in 24 hours or &gt;50% blood volume in 4 hours.</w:t>
            </w:r>
          </w:p>
          <w:p w14:paraId="1898E984" w14:textId="77777777" w:rsidR="00E525F8" w:rsidRPr="00176D37" w:rsidRDefault="00E525F8" w:rsidP="00874C65">
            <w:pPr>
              <w:pStyle w:val="Tabletext"/>
            </w:pPr>
            <w:r w:rsidRPr="00176D37">
              <w:t>In children, it is defined as transfusion of &gt;</w:t>
            </w:r>
            <w:r>
              <w:t> </w:t>
            </w:r>
            <w:r w:rsidRPr="00176D37">
              <w:t>40</w:t>
            </w:r>
            <w:r>
              <w:t> </w:t>
            </w:r>
            <w:r w:rsidRPr="00176D37">
              <w:t xml:space="preserve">mL/kg </w:t>
            </w:r>
            <w:r w:rsidRPr="00176D37">
              <w:rPr>
                <w:noProof/>
              </w:rPr>
              <w:t>(Australian Red Cross Lifeblood 2021)</w:t>
            </w:r>
            <w:r w:rsidRPr="00176D37">
              <w:t>.</w:t>
            </w:r>
          </w:p>
        </w:tc>
      </w:tr>
      <w:tr w:rsidR="00E525F8" w:rsidRPr="00176D37" w14:paraId="54CC8379" w14:textId="77777777" w:rsidTr="0063333A">
        <w:tc>
          <w:tcPr>
            <w:tcW w:w="3114" w:type="dxa"/>
          </w:tcPr>
          <w:p w14:paraId="5275FEB8" w14:textId="77777777" w:rsidR="00E525F8" w:rsidRPr="00176D37" w:rsidRDefault="00E525F8" w:rsidP="00874C65">
            <w:pPr>
              <w:pStyle w:val="Tabletext"/>
            </w:pPr>
            <w:r w:rsidRPr="00176D37">
              <w:t>Organisation</w:t>
            </w:r>
          </w:p>
        </w:tc>
        <w:tc>
          <w:tcPr>
            <w:tcW w:w="5812" w:type="dxa"/>
          </w:tcPr>
          <w:p w14:paraId="13B9AA72" w14:textId="77777777" w:rsidR="00E525F8" w:rsidRPr="00176D37" w:rsidRDefault="00E525F8" w:rsidP="00874C65">
            <w:pPr>
              <w:pStyle w:val="Tabletext"/>
            </w:pPr>
            <w:r w:rsidRPr="00176D37">
              <w:t xml:space="preserve">The health </w:t>
            </w:r>
            <w:proofErr w:type="gramStart"/>
            <w:r w:rsidRPr="00176D37">
              <w:t>service as a whole</w:t>
            </w:r>
            <w:proofErr w:type="gramEnd"/>
            <w:r w:rsidRPr="00176D37">
              <w:t>. All areas/wards/campuses of the health service.</w:t>
            </w:r>
          </w:p>
        </w:tc>
      </w:tr>
      <w:tr w:rsidR="00E525F8" w:rsidRPr="00176D37" w14:paraId="2E170DFB" w14:textId="77777777" w:rsidTr="0063333A">
        <w:tc>
          <w:tcPr>
            <w:tcW w:w="3114" w:type="dxa"/>
          </w:tcPr>
          <w:p w14:paraId="44DC8B4E" w14:textId="77777777" w:rsidR="00E525F8" w:rsidRPr="00176D37" w:rsidRDefault="00E525F8" w:rsidP="00874C65">
            <w:pPr>
              <w:pStyle w:val="Tabletext"/>
            </w:pPr>
            <w:r w:rsidRPr="00176D37">
              <w:t>Override</w:t>
            </w:r>
          </w:p>
        </w:tc>
        <w:tc>
          <w:tcPr>
            <w:tcW w:w="5812" w:type="dxa"/>
          </w:tcPr>
          <w:p w14:paraId="5BD8FAB6" w14:textId="77777777" w:rsidR="00E525F8" w:rsidRPr="00176D37" w:rsidRDefault="00E525F8" w:rsidP="00874C65">
            <w:pPr>
              <w:pStyle w:val="Tabletext"/>
            </w:pPr>
            <w:r w:rsidRPr="00176D37">
              <w:t xml:space="preserve">Bypassing a process designed to assist with safety and quality within an EMR. The ability to override may be built into system designs to enable a process to proceed in the event of a simple step in a process failing (for example, a failed barcode or RFID read) and usually requires and alternate process </w:t>
            </w:r>
            <w:r w:rsidRPr="00176D37">
              <w:rPr>
                <w:noProof/>
              </w:rPr>
              <w:t>(ANZSBT 2021)</w:t>
            </w:r>
            <w:r w:rsidRPr="00176D37">
              <w:t>.</w:t>
            </w:r>
          </w:p>
        </w:tc>
      </w:tr>
      <w:tr w:rsidR="00E525F8" w:rsidRPr="00176D37" w14:paraId="64138938" w14:textId="77777777" w:rsidTr="0063333A">
        <w:tc>
          <w:tcPr>
            <w:tcW w:w="3114" w:type="dxa"/>
          </w:tcPr>
          <w:p w14:paraId="4580254F" w14:textId="6B650411" w:rsidR="00E525F8" w:rsidRPr="00176D37" w:rsidRDefault="00E525F8" w:rsidP="00874C65">
            <w:pPr>
              <w:pStyle w:val="Tabletext"/>
            </w:pPr>
            <w:r w:rsidRPr="00176D37">
              <w:t xml:space="preserve">Patient </w:t>
            </w:r>
            <w:r w:rsidR="00C92B22">
              <w:t>b</w:t>
            </w:r>
            <w:r w:rsidRPr="00176D37">
              <w:t xml:space="preserve">lood </w:t>
            </w:r>
            <w:r w:rsidR="00C92B22">
              <w:t>m</w:t>
            </w:r>
            <w:r w:rsidRPr="00176D37">
              <w:t>anagement</w:t>
            </w:r>
          </w:p>
        </w:tc>
        <w:tc>
          <w:tcPr>
            <w:tcW w:w="5812" w:type="dxa"/>
          </w:tcPr>
          <w:p w14:paraId="60241A58" w14:textId="77777777" w:rsidR="00E525F8" w:rsidRPr="00176D37" w:rsidRDefault="00E525F8" w:rsidP="00874C65">
            <w:pPr>
              <w:pStyle w:val="Tabletext"/>
            </w:pPr>
            <w:r w:rsidRPr="00176D37">
              <w:t xml:space="preserve">The timely application of evidence-based medical and surgical concepts designed to maintain haemoglobin concentration, optimise </w:t>
            </w:r>
            <w:proofErr w:type="gramStart"/>
            <w:r w:rsidRPr="00176D37">
              <w:t>haemostasis</w:t>
            </w:r>
            <w:proofErr w:type="gramEnd"/>
            <w:r w:rsidRPr="00176D37">
              <w:t xml:space="preserve"> and minimise blood loss in an effort to improve patient outcome </w:t>
            </w:r>
            <w:r w:rsidRPr="00176D37">
              <w:rPr>
                <w:noProof/>
              </w:rPr>
              <w:t>(ANZSBT 2021)</w:t>
            </w:r>
            <w:r w:rsidRPr="00176D37">
              <w:t>.</w:t>
            </w:r>
          </w:p>
        </w:tc>
      </w:tr>
      <w:tr w:rsidR="00E525F8" w:rsidRPr="00176D37" w14:paraId="114172F1" w14:textId="77777777" w:rsidTr="0063333A">
        <w:tc>
          <w:tcPr>
            <w:tcW w:w="3114" w:type="dxa"/>
          </w:tcPr>
          <w:p w14:paraId="5C840EB8" w14:textId="77777777" w:rsidR="00E525F8" w:rsidRPr="00176D37" w:rsidRDefault="00E525F8" w:rsidP="00874C65">
            <w:pPr>
              <w:pStyle w:val="Tabletext"/>
            </w:pPr>
            <w:r w:rsidRPr="00176D37">
              <w:t>Precinct</w:t>
            </w:r>
          </w:p>
        </w:tc>
        <w:tc>
          <w:tcPr>
            <w:tcW w:w="5812" w:type="dxa"/>
          </w:tcPr>
          <w:p w14:paraId="51359FD4" w14:textId="77777777" w:rsidR="00E525F8" w:rsidRPr="00176D37" w:rsidRDefault="00E525F8" w:rsidP="00874C65">
            <w:pPr>
              <w:pStyle w:val="Tabletext"/>
            </w:pPr>
            <w:r w:rsidRPr="00176D37">
              <w:t>More than one health service grouped together by location/proximity. A means to share facilities and resources.</w:t>
            </w:r>
          </w:p>
        </w:tc>
      </w:tr>
      <w:tr w:rsidR="00E525F8" w:rsidRPr="00176D37" w14:paraId="02AD4E29" w14:textId="77777777" w:rsidTr="0063333A">
        <w:tc>
          <w:tcPr>
            <w:tcW w:w="3114" w:type="dxa"/>
          </w:tcPr>
          <w:p w14:paraId="16E342BF" w14:textId="77777777" w:rsidR="00E525F8" w:rsidRPr="00176D37" w:rsidRDefault="00E525F8" w:rsidP="00874C65">
            <w:pPr>
              <w:pStyle w:val="Tabletext"/>
            </w:pPr>
            <w:r w:rsidRPr="00176D37">
              <w:t>Prescription</w:t>
            </w:r>
          </w:p>
        </w:tc>
        <w:tc>
          <w:tcPr>
            <w:tcW w:w="5812" w:type="dxa"/>
          </w:tcPr>
          <w:p w14:paraId="27845FE5" w14:textId="77777777" w:rsidR="00E525F8" w:rsidRPr="00176D37" w:rsidRDefault="00E525F8" w:rsidP="00874C65">
            <w:pPr>
              <w:pStyle w:val="Tabletext"/>
            </w:pPr>
            <w:r w:rsidRPr="00176D37">
              <w:t>The prescription is the written authorisation to administer the blood product.</w:t>
            </w:r>
          </w:p>
          <w:p w14:paraId="1C5FAB1C" w14:textId="77777777" w:rsidR="00E525F8" w:rsidRPr="00176D37" w:rsidRDefault="00E525F8" w:rsidP="00874C65">
            <w:pPr>
              <w:pStyle w:val="Tabletext"/>
            </w:pPr>
            <w:r w:rsidRPr="00176D37">
              <w:t>Blood or blood products must be prescribed by a health professional accredited to prescribe blood products.</w:t>
            </w:r>
          </w:p>
          <w:p w14:paraId="1D341FA0" w14:textId="77777777" w:rsidR="00E525F8" w:rsidRPr="00176D37" w:rsidRDefault="00E525F8" w:rsidP="00874C65">
            <w:pPr>
              <w:pStyle w:val="Tabletext"/>
            </w:pPr>
            <w:r w:rsidRPr="00176D37">
              <w:t>The prescription must contain:</w:t>
            </w:r>
          </w:p>
          <w:p w14:paraId="73ADF76B" w14:textId="77777777" w:rsidR="00E525F8" w:rsidRPr="00176D37" w:rsidRDefault="00E525F8" w:rsidP="00874C65">
            <w:pPr>
              <w:pStyle w:val="Tablebullet1"/>
            </w:pPr>
            <w:r>
              <w:t>p</w:t>
            </w:r>
            <w:r w:rsidRPr="00176D37">
              <w:t>atient ID details</w:t>
            </w:r>
          </w:p>
          <w:p w14:paraId="73F9A9D8" w14:textId="77777777" w:rsidR="00E525F8" w:rsidRPr="00176D37" w:rsidRDefault="00E525F8" w:rsidP="00874C65">
            <w:pPr>
              <w:pStyle w:val="Tablebullet1"/>
            </w:pPr>
            <w:r>
              <w:t>d</w:t>
            </w:r>
            <w:r w:rsidRPr="00176D37">
              <w:t xml:space="preserve">ate, </w:t>
            </w:r>
            <w:proofErr w:type="gramStart"/>
            <w:r w:rsidRPr="00176D37">
              <w:t>timing</w:t>
            </w:r>
            <w:proofErr w:type="gramEnd"/>
            <w:r w:rsidRPr="00176D37">
              <w:t xml:space="preserve"> and urgency of the transfusion</w:t>
            </w:r>
          </w:p>
          <w:p w14:paraId="4BF5CBEA" w14:textId="77777777" w:rsidR="00E525F8" w:rsidRPr="00176D37" w:rsidRDefault="00E525F8" w:rsidP="00874C65">
            <w:pPr>
              <w:pStyle w:val="Tablebullet1"/>
            </w:pPr>
            <w:r>
              <w:t>t</w:t>
            </w:r>
            <w:r w:rsidRPr="00176D37">
              <w:t>he route and rate of administration</w:t>
            </w:r>
          </w:p>
          <w:p w14:paraId="2F9CA102" w14:textId="77777777" w:rsidR="00E525F8" w:rsidRPr="00176D37" w:rsidRDefault="00E525F8" w:rsidP="00874C65">
            <w:pPr>
              <w:pStyle w:val="Tablebullet1"/>
            </w:pPr>
            <w:r>
              <w:t>t</w:t>
            </w:r>
            <w:r w:rsidRPr="00176D37">
              <w:t>he number of units or dose of blood product to be given</w:t>
            </w:r>
          </w:p>
          <w:p w14:paraId="26D98AC4" w14:textId="77777777" w:rsidR="00E525F8" w:rsidRPr="00176D37" w:rsidRDefault="00E525F8" w:rsidP="00874C65">
            <w:pPr>
              <w:pStyle w:val="Tablebullet1"/>
            </w:pPr>
            <w:r>
              <w:t>t</w:t>
            </w:r>
            <w:r w:rsidRPr="00176D37">
              <w:t>he product type and any special requirements (</w:t>
            </w:r>
            <w:proofErr w:type="gramStart"/>
            <w:r w:rsidRPr="00176D37">
              <w:t>e.g.</w:t>
            </w:r>
            <w:proofErr w:type="gramEnd"/>
            <w:r w:rsidRPr="00176D37">
              <w:t xml:space="preserve"> irradiation) </w:t>
            </w:r>
            <w:r w:rsidRPr="00176D37">
              <w:rPr>
                <w:noProof/>
              </w:rPr>
              <w:t>(ANZSBT 2019)</w:t>
            </w:r>
            <w:r w:rsidRPr="00176D37">
              <w:t>.</w:t>
            </w:r>
          </w:p>
        </w:tc>
      </w:tr>
      <w:tr w:rsidR="00E525F8" w:rsidRPr="00176D37" w14:paraId="5890DCA2" w14:textId="77777777" w:rsidTr="0063333A">
        <w:tc>
          <w:tcPr>
            <w:tcW w:w="3114" w:type="dxa"/>
          </w:tcPr>
          <w:p w14:paraId="4D9C1CE9" w14:textId="77777777" w:rsidR="00E525F8" w:rsidRPr="00176D37" w:rsidRDefault="00E525F8" w:rsidP="00874C65">
            <w:pPr>
              <w:pStyle w:val="Tabletext"/>
            </w:pPr>
            <w:r w:rsidRPr="00176D37">
              <w:t>Pretransfusion specimen</w:t>
            </w:r>
          </w:p>
        </w:tc>
        <w:tc>
          <w:tcPr>
            <w:tcW w:w="5812" w:type="dxa"/>
          </w:tcPr>
          <w:p w14:paraId="790E0251" w14:textId="77777777" w:rsidR="00E525F8" w:rsidRPr="00176D37" w:rsidRDefault="00E525F8" w:rsidP="00874C65">
            <w:pPr>
              <w:pStyle w:val="Tabletext"/>
            </w:pPr>
            <w:r w:rsidRPr="00176D37">
              <w:t>Specimen taken before transfusion whereby the laboratory performs analysis to determine:</w:t>
            </w:r>
          </w:p>
          <w:p w14:paraId="297BCEF2" w14:textId="77777777" w:rsidR="00E525F8" w:rsidRPr="00176D37" w:rsidRDefault="00E525F8" w:rsidP="00874C65">
            <w:pPr>
              <w:pStyle w:val="Tabletext"/>
            </w:pPr>
            <w:r w:rsidRPr="00176D37">
              <w:t>Group and screen</w:t>
            </w:r>
          </w:p>
          <w:p w14:paraId="0DBED496" w14:textId="77777777" w:rsidR="00E525F8" w:rsidRPr="00176D37" w:rsidRDefault="00E525F8" w:rsidP="00874C65">
            <w:pPr>
              <w:pStyle w:val="Tablebullet1"/>
            </w:pPr>
            <w:r>
              <w:t>p</w:t>
            </w:r>
            <w:r w:rsidRPr="00176D37">
              <w:t>atient’s ABO and RhD group</w:t>
            </w:r>
          </w:p>
          <w:p w14:paraId="6CEE3A95" w14:textId="77777777" w:rsidR="00E525F8" w:rsidRPr="00176D37" w:rsidRDefault="00E525F8" w:rsidP="00874C65">
            <w:pPr>
              <w:pStyle w:val="Tablebullet1"/>
            </w:pPr>
            <w:r>
              <w:t>a</w:t>
            </w:r>
            <w:r w:rsidRPr="00176D37">
              <w:t>ntibody screen to detect antibodies in patient’s plasma</w:t>
            </w:r>
          </w:p>
          <w:p w14:paraId="0A4A59E6" w14:textId="77777777" w:rsidR="00E525F8" w:rsidRPr="00176D37" w:rsidRDefault="00E525F8" w:rsidP="00874C65">
            <w:pPr>
              <w:pStyle w:val="Tablebullet1"/>
            </w:pPr>
            <w:r w:rsidRPr="00176D37">
              <w:lastRenderedPageBreak/>
              <w:t>ID of red cell antibodies (performed if positive antibody screen detected)</w:t>
            </w:r>
            <w:r>
              <w:t>.</w:t>
            </w:r>
          </w:p>
          <w:p w14:paraId="61677218" w14:textId="77777777" w:rsidR="00E525F8" w:rsidRPr="00176D37" w:rsidRDefault="00E525F8" w:rsidP="00874C65">
            <w:pPr>
              <w:pStyle w:val="Body"/>
              <w:spacing w:before="120"/>
            </w:pPr>
            <w:r w:rsidRPr="00176D37">
              <w:t>Crossmatching appropriate donor red blood cells if required.</w:t>
            </w:r>
          </w:p>
        </w:tc>
      </w:tr>
      <w:tr w:rsidR="00E525F8" w:rsidRPr="00176D37" w14:paraId="3E7A9299" w14:textId="77777777" w:rsidTr="0063333A">
        <w:tc>
          <w:tcPr>
            <w:tcW w:w="3114" w:type="dxa"/>
          </w:tcPr>
          <w:p w14:paraId="486D0B7E" w14:textId="77777777" w:rsidR="00E525F8" w:rsidRPr="00176D37" w:rsidRDefault="00E525F8" w:rsidP="00874C65">
            <w:pPr>
              <w:pStyle w:val="Tabletext"/>
            </w:pPr>
            <w:r w:rsidRPr="00176D37">
              <w:lastRenderedPageBreak/>
              <w:t>Radiofrequency ID (RFID)</w:t>
            </w:r>
          </w:p>
        </w:tc>
        <w:tc>
          <w:tcPr>
            <w:tcW w:w="5812" w:type="dxa"/>
          </w:tcPr>
          <w:p w14:paraId="1A5EB60B" w14:textId="77777777" w:rsidR="00E525F8" w:rsidRPr="00176D37" w:rsidRDefault="00E525F8" w:rsidP="00874C65">
            <w:pPr>
              <w:pStyle w:val="Tabletext"/>
            </w:pPr>
            <w:r w:rsidRPr="00176D37">
              <w:t xml:space="preserve">The process of detecting and identifying the close presence of an object or individual using an attached electronic chip that can be detected by radiofrequency detectors in </w:t>
            </w:r>
            <w:proofErr w:type="gramStart"/>
            <w:r w:rsidRPr="00176D37">
              <w:t>close proximity</w:t>
            </w:r>
            <w:proofErr w:type="gramEnd"/>
            <w:r w:rsidRPr="00176D37">
              <w:t xml:space="preserve"> </w:t>
            </w:r>
            <w:r w:rsidRPr="00176D37">
              <w:rPr>
                <w:noProof/>
              </w:rPr>
              <w:t>(ANZSBT</w:t>
            </w:r>
            <w:r>
              <w:rPr>
                <w:noProof/>
              </w:rPr>
              <w:t xml:space="preserve"> </w:t>
            </w:r>
            <w:r w:rsidRPr="00176D37">
              <w:rPr>
                <w:noProof/>
              </w:rPr>
              <w:t>2021)</w:t>
            </w:r>
            <w:r w:rsidRPr="00176D37">
              <w:t>.</w:t>
            </w:r>
          </w:p>
        </w:tc>
      </w:tr>
      <w:tr w:rsidR="00E525F8" w:rsidRPr="00176D37" w14:paraId="0A8C8272" w14:textId="77777777" w:rsidTr="0063333A">
        <w:tc>
          <w:tcPr>
            <w:tcW w:w="3114" w:type="dxa"/>
          </w:tcPr>
          <w:p w14:paraId="7F56BFCF" w14:textId="77777777" w:rsidR="00E525F8" w:rsidRPr="00176D37" w:rsidRDefault="00E525F8" w:rsidP="00874C65">
            <w:pPr>
              <w:pStyle w:val="Tabletext"/>
              <w:rPr>
                <w:rFonts w:cs="Arial"/>
              </w:rPr>
            </w:pPr>
            <w:r w:rsidRPr="00176D37">
              <w:rPr>
                <w:rFonts w:cs="Arial"/>
              </w:rPr>
              <w:t>Transfusion</w:t>
            </w:r>
          </w:p>
        </w:tc>
        <w:tc>
          <w:tcPr>
            <w:tcW w:w="5812" w:type="dxa"/>
          </w:tcPr>
          <w:p w14:paraId="3E096C4C" w14:textId="77777777" w:rsidR="00E525F8" w:rsidRPr="00176D37" w:rsidRDefault="00E525F8" w:rsidP="00874C65">
            <w:pPr>
              <w:pStyle w:val="Tabletext"/>
              <w:rPr>
                <w:rFonts w:cs="Arial"/>
              </w:rPr>
            </w:pPr>
            <w:r w:rsidRPr="00176D37">
              <w:rPr>
                <w:rFonts w:cs="Arial"/>
              </w:rPr>
              <w:t xml:space="preserve">The administration of all blood components and products regardless of their route of administration. Includes blood components and blood products </w:t>
            </w:r>
            <w:r w:rsidRPr="00176D37">
              <w:rPr>
                <w:rFonts w:cs="Arial"/>
                <w:noProof/>
              </w:rPr>
              <w:t>(ACSQHC 2017)</w:t>
            </w:r>
            <w:r w:rsidRPr="00176D37">
              <w:rPr>
                <w:rFonts w:cs="Arial"/>
              </w:rPr>
              <w:t>.</w:t>
            </w:r>
          </w:p>
        </w:tc>
      </w:tr>
      <w:tr w:rsidR="00E525F8" w:rsidRPr="00176D37" w14:paraId="535C0B2D" w14:textId="77777777" w:rsidTr="0063333A">
        <w:tc>
          <w:tcPr>
            <w:tcW w:w="3114" w:type="dxa"/>
          </w:tcPr>
          <w:p w14:paraId="4B74F2EE" w14:textId="77777777" w:rsidR="00E525F8" w:rsidRPr="00176D37" w:rsidRDefault="00E525F8" w:rsidP="00874C65">
            <w:pPr>
              <w:pStyle w:val="Tabletext"/>
            </w:pPr>
            <w:r w:rsidRPr="00176D37">
              <w:t>Usability</w:t>
            </w:r>
          </w:p>
        </w:tc>
        <w:tc>
          <w:tcPr>
            <w:tcW w:w="5812" w:type="dxa"/>
          </w:tcPr>
          <w:p w14:paraId="6098720B" w14:textId="77777777" w:rsidR="00E525F8" w:rsidRPr="00176D37" w:rsidRDefault="00E525F8" w:rsidP="00874C65">
            <w:pPr>
              <w:pStyle w:val="Tabletext"/>
              <w:rPr>
                <w:color w:val="0070C0"/>
              </w:rPr>
            </w:pPr>
            <w:r w:rsidRPr="00176D37">
              <w:t>Useability is a general term concerning the effectiveness, efficiency, and satisfaction with which users achieve goals with an interface (International Organization for Standardization 1998).</w:t>
            </w:r>
          </w:p>
        </w:tc>
      </w:tr>
      <w:tr w:rsidR="00E525F8" w:rsidRPr="00176D37" w14:paraId="44B16703" w14:textId="77777777" w:rsidTr="0063333A">
        <w:tc>
          <w:tcPr>
            <w:tcW w:w="3114" w:type="dxa"/>
          </w:tcPr>
          <w:p w14:paraId="0D25AEDE" w14:textId="77777777" w:rsidR="00E525F8" w:rsidRPr="00176D37" w:rsidRDefault="00E525F8" w:rsidP="00874C65">
            <w:pPr>
              <w:pStyle w:val="Tabletext"/>
            </w:pPr>
            <w:r w:rsidRPr="00176D37">
              <w:t>Wi-Fi</w:t>
            </w:r>
          </w:p>
        </w:tc>
        <w:tc>
          <w:tcPr>
            <w:tcW w:w="5812" w:type="dxa"/>
          </w:tcPr>
          <w:p w14:paraId="79B2353D" w14:textId="77777777" w:rsidR="00E525F8" w:rsidRPr="00176D37" w:rsidRDefault="00E525F8" w:rsidP="00874C65">
            <w:pPr>
              <w:pStyle w:val="Tabletext"/>
            </w:pPr>
            <w:r w:rsidRPr="00176D37">
              <w:t xml:space="preserve">W-Fi is the wireless technology used to connect computers, tablets, </w:t>
            </w:r>
            <w:proofErr w:type="gramStart"/>
            <w:r w:rsidRPr="00176D37">
              <w:t>smartphones</w:t>
            </w:r>
            <w:proofErr w:type="gramEnd"/>
            <w:r w:rsidRPr="00176D37">
              <w:t xml:space="preserve"> and other devices to the internet </w:t>
            </w:r>
            <w:r w:rsidRPr="00176D37">
              <w:rPr>
                <w:noProof/>
              </w:rPr>
              <w:t>(Verizon 2022)</w:t>
            </w:r>
            <w:r w:rsidRPr="00176D37">
              <w:t>.</w:t>
            </w:r>
          </w:p>
        </w:tc>
      </w:tr>
    </w:tbl>
    <w:p w14:paraId="6BC2CB82" w14:textId="77777777" w:rsidR="0063333A" w:rsidRPr="00A90CFD" w:rsidRDefault="0063333A" w:rsidP="009742AB">
      <w:pPr>
        <w:pStyle w:val="Body"/>
      </w:pPr>
      <w:bookmarkStart w:id="485" w:name="_Toc101285745"/>
      <w:bookmarkStart w:id="486" w:name="_Toc101947766"/>
    </w:p>
    <w:p w14:paraId="29471C59" w14:textId="77777777" w:rsidR="0063333A" w:rsidRDefault="0063333A">
      <w:pPr>
        <w:spacing w:after="0" w:line="240" w:lineRule="auto"/>
        <w:rPr>
          <w:rFonts w:eastAsia="MS Gothic" w:cs="Arial"/>
          <w:bCs/>
          <w:color w:val="AF272F"/>
          <w:kern w:val="32"/>
          <w:sz w:val="44"/>
          <w:szCs w:val="44"/>
        </w:rPr>
      </w:pPr>
      <w:r>
        <w:br w:type="page"/>
      </w:r>
    </w:p>
    <w:p w14:paraId="6760BFD6" w14:textId="53D3E2DF" w:rsidR="00E9700E" w:rsidRPr="00BA67B0" w:rsidRDefault="00E9700E" w:rsidP="00BA67B0">
      <w:pPr>
        <w:pStyle w:val="Heading1"/>
      </w:pPr>
      <w:bookmarkStart w:id="487" w:name="_Toc104975965"/>
      <w:r w:rsidRPr="00BA67B0">
        <w:lastRenderedPageBreak/>
        <w:t>Appendix 3</w:t>
      </w:r>
      <w:r w:rsidR="00A90CFD">
        <w:t>:</w:t>
      </w:r>
      <w:r w:rsidRPr="00BA67B0">
        <w:t xml:space="preserve"> Abbreviations</w:t>
      </w:r>
      <w:bookmarkEnd w:id="485"/>
      <w:bookmarkEnd w:id="486"/>
      <w:bookmarkEnd w:id="487"/>
    </w:p>
    <w:tbl>
      <w:tblPr>
        <w:tblStyle w:val="TableGrid"/>
        <w:tblW w:w="9351" w:type="dxa"/>
        <w:tblLook w:val="04A0" w:firstRow="1" w:lastRow="0" w:firstColumn="1" w:lastColumn="0" w:noHBand="0" w:noVBand="1"/>
      </w:tblPr>
      <w:tblGrid>
        <w:gridCol w:w="3200"/>
        <w:gridCol w:w="6151"/>
      </w:tblGrid>
      <w:tr w:rsidR="00E525F8" w:rsidRPr="00176D37" w14:paraId="7A9DE39C" w14:textId="77777777" w:rsidTr="0063333A">
        <w:tc>
          <w:tcPr>
            <w:tcW w:w="3200" w:type="dxa"/>
          </w:tcPr>
          <w:p w14:paraId="518B2E18" w14:textId="77777777" w:rsidR="00E525F8" w:rsidRPr="00176D37" w:rsidRDefault="00E525F8" w:rsidP="00874C65">
            <w:pPr>
              <w:pStyle w:val="Tabletext"/>
            </w:pPr>
            <w:r w:rsidRPr="00176D37">
              <w:t>ABO</w:t>
            </w:r>
          </w:p>
        </w:tc>
        <w:tc>
          <w:tcPr>
            <w:tcW w:w="6151" w:type="dxa"/>
          </w:tcPr>
          <w:p w14:paraId="63742AE1" w14:textId="77777777" w:rsidR="00E525F8" w:rsidRPr="00176D37" w:rsidRDefault="00E525F8" w:rsidP="00874C65">
            <w:pPr>
              <w:pStyle w:val="Tabletext"/>
            </w:pPr>
            <w:r w:rsidRPr="00176D37">
              <w:t>ABO blood group system</w:t>
            </w:r>
          </w:p>
        </w:tc>
      </w:tr>
      <w:tr w:rsidR="00E525F8" w:rsidRPr="00176D37" w14:paraId="1D5508E3" w14:textId="77777777" w:rsidTr="0063333A">
        <w:tc>
          <w:tcPr>
            <w:tcW w:w="3200" w:type="dxa"/>
          </w:tcPr>
          <w:p w14:paraId="1631CAC4" w14:textId="77777777" w:rsidR="00E525F8" w:rsidRPr="00176D37" w:rsidRDefault="00E525F8" w:rsidP="00874C65">
            <w:pPr>
              <w:pStyle w:val="Tabletext"/>
            </w:pPr>
            <w:r w:rsidRPr="00176D37">
              <w:t>ACSQHC</w:t>
            </w:r>
          </w:p>
        </w:tc>
        <w:tc>
          <w:tcPr>
            <w:tcW w:w="6151" w:type="dxa"/>
          </w:tcPr>
          <w:p w14:paraId="0F3C74AF" w14:textId="77777777" w:rsidR="00E525F8" w:rsidRPr="00176D37" w:rsidRDefault="00E525F8" w:rsidP="00874C65">
            <w:pPr>
              <w:pStyle w:val="Tabletext"/>
            </w:pPr>
            <w:r w:rsidRPr="00176D37">
              <w:t>Australian Commission on Safety and Quality in Healthcare</w:t>
            </w:r>
          </w:p>
        </w:tc>
      </w:tr>
      <w:tr w:rsidR="00E525F8" w:rsidRPr="00176D37" w14:paraId="206192C1" w14:textId="77777777" w:rsidTr="0063333A">
        <w:tc>
          <w:tcPr>
            <w:tcW w:w="3200" w:type="dxa"/>
          </w:tcPr>
          <w:p w14:paraId="62429F7D" w14:textId="77777777" w:rsidR="00E525F8" w:rsidRPr="00176D37" w:rsidRDefault="00E525F8" w:rsidP="00874C65">
            <w:pPr>
              <w:pStyle w:val="Tabletext"/>
            </w:pPr>
            <w:r w:rsidRPr="00176D37">
              <w:t>ANZSBT</w:t>
            </w:r>
          </w:p>
        </w:tc>
        <w:tc>
          <w:tcPr>
            <w:tcW w:w="6151" w:type="dxa"/>
          </w:tcPr>
          <w:p w14:paraId="30ED7300" w14:textId="77777777" w:rsidR="00E525F8" w:rsidRPr="00176D37" w:rsidRDefault="00E525F8" w:rsidP="00874C65">
            <w:pPr>
              <w:pStyle w:val="Tabletext"/>
            </w:pPr>
            <w:r w:rsidRPr="00176D37">
              <w:t>Australian and New Zealand Society of Blood Transfusion</w:t>
            </w:r>
          </w:p>
        </w:tc>
      </w:tr>
      <w:tr w:rsidR="00E525F8" w:rsidRPr="00176D37" w14:paraId="76E771AD" w14:textId="77777777" w:rsidTr="0063333A">
        <w:tc>
          <w:tcPr>
            <w:tcW w:w="3200" w:type="dxa"/>
          </w:tcPr>
          <w:p w14:paraId="5A47C217" w14:textId="77777777" w:rsidR="00E525F8" w:rsidRPr="00176D37" w:rsidRDefault="00E525F8" w:rsidP="00874C65">
            <w:pPr>
              <w:pStyle w:val="Tabletext"/>
            </w:pPr>
            <w:r w:rsidRPr="00176D37">
              <w:t>BEST Collaborative</w:t>
            </w:r>
          </w:p>
        </w:tc>
        <w:tc>
          <w:tcPr>
            <w:tcW w:w="6151" w:type="dxa"/>
          </w:tcPr>
          <w:p w14:paraId="0DEDCD3E" w14:textId="77777777" w:rsidR="00E525F8" w:rsidRPr="00176D37" w:rsidRDefault="00E525F8" w:rsidP="00874C65">
            <w:pPr>
              <w:pStyle w:val="Tabletext"/>
            </w:pPr>
            <w:r w:rsidRPr="00176D37">
              <w:t>Biomedical Excellence for Safer Transfusion Collaborative</w:t>
            </w:r>
          </w:p>
        </w:tc>
      </w:tr>
      <w:tr w:rsidR="00E525F8" w:rsidRPr="00176D37" w14:paraId="28833013" w14:textId="77777777" w:rsidTr="0063333A">
        <w:tc>
          <w:tcPr>
            <w:tcW w:w="3200" w:type="dxa"/>
          </w:tcPr>
          <w:p w14:paraId="2800F5DB" w14:textId="77777777" w:rsidR="00E525F8" w:rsidRPr="00176D37" w:rsidRDefault="00E525F8" w:rsidP="00874C65">
            <w:pPr>
              <w:pStyle w:val="Tabletext"/>
            </w:pPr>
            <w:r w:rsidRPr="00176D37">
              <w:t>CPOE</w:t>
            </w:r>
          </w:p>
        </w:tc>
        <w:tc>
          <w:tcPr>
            <w:tcW w:w="6151" w:type="dxa"/>
          </w:tcPr>
          <w:p w14:paraId="47E49DB6" w14:textId="77777777" w:rsidR="00E525F8" w:rsidRPr="00176D37" w:rsidRDefault="00E525F8" w:rsidP="00874C65">
            <w:pPr>
              <w:pStyle w:val="Tabletext"/>
            </w:pPr>
            <w:r w:rsidRPr="00176D37">
              <w:t>Computerised physician order entry</w:t>
            </w:r>
          </w:p>
        </w:tc>
      </w:tr>
      <w:tr w:rsidR="00E525F8" w:rsidRPr="00176D37" w14:paraId="0FFD33A7" w14:textId="77777777" w:rsidTr="0063333A">
        <w:tc>
          <w:tcPr>
            <w:tcW w:w="3200" w:type="dxa"/>
          </w:tcPr>
          <w:p w14:paraId="4BD82464" w14:textId="77777777" w:rsidR="00E525F8" w:rsidRPr="00176D37" w:rsidRDefault="00E525F8" w:rsidP="00874C65">
            <w:pPr>
              <w:pStyle w:val="Tabletext"/>
            </w:pPr>
            <w:r w:rsidRPr="00176D37">
              <w:t>EHR</w:t>
            </w:r>
          </w:p>
        </w:tc>
        <w:tc>
          <w:tcPr>
            <w:tcW w:w="6151" w:type="dxa"/>
          </w:tcPr>
          <w:p w14:paraId="3DF8E1DA" w14:textId="5BA0C782" w:rsidR="00E525F8" w:rsidRPr="00176D37" w:rsidRDefault="00E525F8" w:rsidP="00874C65">
            <w:pPr>
              <w:pStyle w:val="Tabletext"/>
            </w:pPr>
            <w:r w:rsidRPr="00176D37">
              <w:t xml:space="preserve">Electronic </w:t>
            </w:r>
            <w:r w:rsidR="002B159A">
              <w:t>h</w:t>
            </w:r>
            <w:r w:rsidRPr="00176D37">
              <w:t xml:space="preserve">ealth </w:t>
            </w:r>
            <w:r w:rsidR="002B159A">
              <w:t>r</w:t>
            </w:r>
            <w:r w:rsidRPr="00176D37">
              <w:t>ecord</w:t>
            </w:r>
          </w:p>
        </w:tc>
      </w:tr>
      <w:tr w:rsidR="00E525F8" w:rsidRPr="00176D37" w14:paraId="61E566EB" w14:textId="77777777" w:rsidTr="0063333A">
        <w:tc>
          <w:tcPr>
            <w:tcW w:w="3200" w:type="dxa"/>
          </w:tcPr>
          <w:p w14:paraId="7FB33DC5" w14:textId="77777777" w:rsidR="00E525F8" w:rsidRPr="00176D37" w:rsidRDefault="00E525F8" w:rsidP="00874C65">
            <w:pPr>
              <w:pStyle w:val="Tabletext"/>
            </w:pPr>
            <w:r w:rsidRPr="00176D37">
              <w:t>EIS</w:t>
            </w:r>
          </w:p>
        </w:tc>
        <w:tc>
          <w:tcPr>
            <w:tcW w:w="6151" w:type="dxa"/>
          </w:tcPr>
          <w:p w14:paraId="1A559FEF" w14:textId="77777777" w:rsidR="00E525F8" w:rsidRPr="00176D37" w:rsidRDefault="00E525F8" w:rsidP="00874C65">
            <w:pPr>
              <w:pStyle w:val="Tabletext"/>
            </w:pPr>
            <w:r w:rsidRPr="00176D37">
              <w:t>Electronic identification system</w:t>
            </w:r>
          </w:p>
        </w:tc>
      </w:tr>
      <w:tr w:rsidR="00E525F8" w:rsidRPr="00176D37" w14:paraId="2F9EFDAC" w14:textId="77777777" w:rsidTr="0063333A">
        <w:tc>
          <w:tcPr>
            <w:tcW w:w="3200" w:type="dxa"/>
          </w:tcPr>
          <w:p w14:paraId="38AA3012" w14:textId="77777777" w:rsidR="00E525F8" w:rsidRPr="00176D37" w:rsidRDefault="00E525F8" w:rsidP="00874C65">
            <w:pPr>
              <w:pStyle w:val="Tabletext"/>
            </w:pPr>
            <w:r w:rsidRPr="00176D37">
              <w:t>EMR</w:t>
            </w:r>
          </w:p>
        </w:tc>
        <w:tc>
          <w:tcPr>
            <w:tcW w:w="6151" w:type="dxa"/>
          </w:tcPr>
          <w:p w14:paraId="7402EF30" w14:textId="1526CEDE" w:rsidR="00E525F8" w:rsidRPr="00176D37" w:rsidRDefault="00E525F8" w:rsidP="00874C65">
            <w:pPr>
              <w:pStyle w:val="Tabletext"/>
            </w:pPr>
            <w:r w:rsidRPr="00176D37">
              <w:t xml:space="preserve">Electronic </w:t>
            </w:r>
            <w:r w:rsidR="002B159A">
              <w:t>m</w:t>
            </w:r>
            <w:r w:rsidRPr="00176D37">
              <w:t xml:space="preserve">edical </w:t>
            </w:r>
            <w:r w:rsidR="002B159A">
              <w:t>r</w:t>
            </w:r>
            <w:r w:rsidRPr="00176D37">
              <w:t>ecord</w:t>
            </w:r>
          </w:p>
        </w:tc>
      </w:tr>
      <w:tr w:rsidR="00E525F8" w:rsidRPr="00176D37" w14:paraId="2CE823BB" w14:textId="77777777" w:rsidTr="0063333A">
        <w:tc>
          <w:tcPr>
            <w:tcW w:w="3200" w:type="dxa"/>
          </w:tcPr>
          <w:p w14:paraId="0176856E" w14:textId="77777777" w:rsidR="00E525F8" w:rsidRPr="00176D37" w:rsidRDefault="00E525F8" w:rsidP="00874C65">
            <w:pPr>
              <w:pStyle w:val="Tabletext"/>
            </w:pPr>
            <w:r w:rsidRPr="00176D37">
              <w:t>HIT</w:t>
            </w:r>
          </w:p>
        </w:tc>
        <w:tc>
          <w:tcPr>
            <w:tcW w:w="6151" w:type="dxa"/>
          </w:tcPr>
          <w:p w14:paraId="3AE98D8D" w14:textId="7D910ED6" w:rsidR="00E525F8" w:rsidRPr="00176D37" w:rsidRDefault="00E525F8" w:rsidP="00874C65">
            <w:pPr>
              <w:pStyle w:val="Tabletext"/>
            </w:pPr>
            <w:r w:rsidRPr="00176D37">
              <w:t>Health</w:t>
            </w:r>
            <w:r w:rsidR="002B159A">
              <w:t xml:space="preserve"> i</w:t>
            </w:r>
            <w:r w:rsidRPr="00176D37">
              <w:t xml:space="preserve">nformation </w:t>
            </w:r>
            <w:r w:rsidR="002B159A">
              <w:t>t</w:t>
            </w:r>
            <w:r w:rsidRPr="00176D37">
              <w:t>echnology</w:t>
            </w:r>
          </w:p>
        </w:tc>
      </w:tr>
      <w:tr w:rsidR="00644CA4" w:rsidRPr="00176D37" w14:paraId="2FD3E597" w14:textId="77777777" w:rsidTr="0063333A">
        <w:tc>
          <w:tcPr>
            <w:tcW w:w="3200" w:type="dxa"/>
          </w:tcPr>
          <w:p w14:paraId="7DBC3BCE" w14:textId="10076656" w:rsidR="00644CA4" w:rsidRPr="00176D37" w:rsidRDefault="00644CA4" w:rsidP="00874C65">
            <w:pPr>
              <w:pStyle w:val="Tabletext"/>
            </w:pPr>
            <w:r>
              <w:t>ID</w:t>
            </w:r>
          </w:p>
        </w:tc>
        <w:tc>
          <w:tcPr>
            <w:tcW w:w="6151" w:type="dxa"/>
          </w:tcPr>
          <w:p w14:paraId="394F3C95" w14:textId="0D26D12C" w:rsidR="00644CA4" w:rsidRPr="00176D37" w:rsidRDefault="00644CA4" w:rsidP="00874C65">
            <w:pPr>
              <w:pStyle w:val="Tabletext"/>
            </w:pPr>
            <w:r>
              <w:t>Identification</w:t>
            </w:r>
          </w:p>
        </w:tc>
      </w:tr>
      <w:tr w:rsidR="00E525F8" w:rsidRPr="00176D37" w14:paraId="61ABBCFB" w14:textId="77777777" w:rsidTr="0063333A">
        <w:tc>
          <w:tcPr>
            <w:tcW w:w="3200" w:type="dxa"/>
          </w:tcPr>
          <w:p w14:paraId="60AF8324" w14:textId="77777777" w:rsidR="00E525F8" w:rsidRPr="00176D37" w:rsidDel="00510FB6" w:rsidRDefault="00E525F8" w:rsidP="00874C65">
            <w:pPr>
              <w:pStyle w:val="Tabletext"/>
            </w:pPr>
            <w:r w:rsidRPr="00176D37">
              <w:t>IT</w:t>
            </w:r>
          </w:p>
        </w:tc>
        <w:tc>
          <w:tcPr>
            <w:tcW w:w="6151" w:type="dxa"/>
          </w:tcPr>
          <w:p w14:paraId="4846DD7C" w14:textId="77777777" w:rsidR="00E525F8" w:rsidRPr="00176D37" w:rsidDel="00510FB6" w:rsidRDefault="00E525F8" w:rsidP="00874C65">
            <w:pPr>
              <w:pStyle w:val="Tabletext"/>
            </w:pPr>
            <w:r w:rsidRPr="00176D37">
              <w:t>Information technology</w:t>
            </w:r>
          </w:p>
        </w:tc>
      </w:tr>
      <w:tr w:rsidR="00E525F8" w:rsidRPr="00176D37" w14:paraId="7A8F78D2" w14:textId="77777777" w:rsidTr="0063333A">
        <w:tc>
          <w:tcPr>
            <w:tcW w:w="3200" w:type="dxa"/>
          </w:tcPr>
          <w:p w14:paraId="147DC858" w14:textId="77777777" w:rsidR="00E525F8" w:rsidRPr="00176D37" w:rsidRDefault="00E525F8" w:rsidP="00874C65">
            <w:pPr>
              <w:pStyle w:val="Tabletext"/>
            </w:pPr>
            <w:r w:rsidRPr="00176D37">
              <w:t>LIS</w:t>
            </w:r>
          </w:p>
        </w:tc>
        <w:tc>
          <w:tcPr>
            <w:tcW w:w="6151" w:type="dxa"/>
          </w:tcPr>
          <w:p w14:paraId="387BA5AC" w14:textId="77777777" w:rsidR="00E525F8" w:rsidRPr="00176D37" w:rsidRDefault="00E525F8" w:rsidP="00874C65">
            <w:pPr>
              <w:pStyle w:val="Tabletext"/>
            </w:pPr>
            <w:r w:rsidRPr="00176D37">
              <w:t>Laboratory information system</w:t>
            </w:r>
          </w:p>
        </w:tc>
      </w:tr>
      <w:tr w:rsidR="00E525F8" w:rsidRPr="00176D37" w14:paraId="597557DC" w14:textId="77777777" w:rsidTr="0063333A">
        <w:tc>
          <w:tcPr>
            <w:tcW w:w="3200" w:type="dxa"/>
          </w:tcPr>
          <w:p w14:paraId="6D1AF91C" w14:textId="77777777" w:rsidR="00E525F8" w:rsidRPr="00176D37" w:rsidRDefault="00E525F8" w:rsidP="00874C65">
            <w:pPr>
              <w:pStyle w:val="Tabletext"/>
            </w:pPr>
            <w:r w:rsidRPr="00176D37">
              <w:t>MTP</w:t>
            </w:r>
          </w:p>
        </w:tc>
        <w:tc>
          <w:tcPr>
            <w:tcW w:w="6151" w:type="dxa"/>
          </w:tcPr>
          <w:p w14:paraId="3ED3ABDF" w14:textId="77777777" w:rsidR="00E525F8" w:rsidRPr="00176D37" w:rsidRDefault="00E525F8" w:rsidP="00874C65">
            <w:pPr>
              <w:pStyle w:val="Tabletext"/>
            </w:pPr>
            <w:r w:rsidRPr="00176D37">
              <w:t>Massive transfusion protocol</w:t>
            </w:r>
          </w:p>
        </w:tc>
      </w:tr>
      <w:tr w:rsidR="00E525F8" w:rsidRPr="00176D37" w14:paraId="40765E6A" w14:textId="77777777" w:rsidTr="0063333A">
        <w:tc>
          <w:tcPr>
            <w:tcW w:w="3200" w:type="dxa"/>
          </w:tcPr>
          <w:p w14:paraId="05B88890" w14:textId="77777777" w:rsidR="00E525F8" w:rsidRPr="00176D37" w:rsidRDefault="00E525F8" w:rsidP="00874C65">
            <w:pPr>
              <w:pStyle w:val="Tabletext"/>
            </w:pPr>
            <w:r w:rsidRPr="00176D37">
              <w:t>N/A</w:t>
            </w:r>
          </w:p>
        </w:tc>
        <w:tc>
          <w:tcPr>
            <w:tcW w:w="6151" w:type="dxa"/>
          </w:tcPr>
          <w:p w14:paraId="135BB689" w14:textId="77777777" w:rsidR="00E525F8" w:rsidRPr="00176D37" w:rsidRDefault="00E525F8" w:rsidP="00874C65">
            <w:pPr>
              <w:pStyle w:val="Tabletext"/>
            </w:pPr>
            <w:r w:rsidRPr="00176D37">
              <w:t>Not applicable</w:t>
            </w:r>
          </w:p>
        </w:tc>
      </w:tr>
      <w:tr w:rsidR="00E525F8" w:rsidRPr="00176D37" w14:paraId="74B4CFD2" w14:textId="77777777" w:rsidTr="0063333A">
        <w:tc>
          <w:tcPr>
            <w:tcW w:w="3200" w:type="dxa"/>
          </w:tcPr>
          <w:p w14:paraId="1810EEA3" w14:textId="77777777" w:rsidR="00E525F8" w:rsidRPr="00176D37" w:rsidRDefault="00E525F8" w:rsidP="00874C65">
            <w:pPr>
              <w:pStyle w:val="Tabletext"/>
            </w:pPr>
            <w:r w:rsidRPr="00176D37">
              <w:t>PBM</w:t>
            </w:r>
          </w:p>
        </w:tc>
        <w:tc>
          <w:tcPr>
            <w:tcW w:w="6151" w:type="dxa"/>
          </w:tcPr>
          <w:p w14:paraId="5C9FACCB" w14:textId="6885B78A" w:rsidR="00E525F8" w:rsidRPr="00176D37" w:rsidRDefault="00E525F8" w:rsidP="00874C65">
            <w:pPr>
              <w:pStyle w:val="Tabletext"/>
            </w:pPr>
            <w:r w:rsidRPr="00176D37">
              <w:t xml:space="preserve">Patient </w:t>
            </w:r>
            <w:r w:rsidR="002B159A">
              <w:t>b</w:t>
            </w:r>
            <w:r w:rsidRPr="00176D37">
              <w:t xml:space="preserve">lood </w:t>
            </w:r>
            <w:r w:rsidR="002B159A">
              <w:t>m</w:t>
            </w:r>
            <w:r w:rsidRPr="00176D37">
              <w:t>anagement</w:t>
            </w:r>
          </w:p>
        </w:tc>
      </w:tr>
      <w:tr w:rsidR="00E525F8" w:rsidRPr="00176D37" w14:paraId="5E37BA0E" w14:textId="77777777" w:rsidTr="0063333A">
        <w:tc>
          <w:tcPr>
            <w:tcW w:w="3200" w:type="dxa"/>
          </w:tcPr>
          <w:p w14:paraId="57959097" w14:textId="77777777" w:rsidR="00E525F8" w:rsidRPr="00176D37" w:rsidRDefault="00E525F8" w:rsidP="00874C65">
            <w:pPr>
              <w:pStyle w:val="Tabletext"/>
            </w:pPr>
            <w:r w:rsidRPr="00176D37">
              <w:t>PPID</w:t>
            </w:r>
          </w:p>
        </w:tc>
        <w:tc>
          <w:tcPr>
            <w:tcW w:w="6151" w:type="dxa"/>
          </w:tcPr>
          <w:p w14:paraId="1FD8E0E0" w14:textId="77777777" w:rsidR="00E525F8" w:rsidRPr="00176D37" w:rsidRDefault="00E525F8" w:rsidP="00874C65">
            <w:pPr>
              <w:pStyle w:val="Tabletext"/>
            </w:pPr>
            <w:r w:rsidRPr="00176D37">
              <w:t>Positive patient identification</w:t>
            </w:r>
          </w:p>
        </w:tc>
      </w:tr>
      <w:tr w:rsidR="00E525F8" w:rsidRPr="00176D37" w14:paraId="63186D3D" w14:textId="77777777" w:rsidTr="0063333A">
        <w:tc>
          <w:tcPr>
            <w:tcW w:w="3200" w:type="dxa"/>
          </w:tcPr>
          <w:p w14:paraId="1AE98C45" w14:textId="77777777" w:rsidR="00E525F8" w:rsidRPr="00176D37" w:rsidRDefault="00E525F8" w:rsidP="00874C65">
            <w:pPr>
              <w:pStyle w:val="Tabletext"/>
            </w:pPr>
            <w:r w:rsidRPr="00176D37">
              <w:t>QI</w:t>
            </w:r>
          </w:p>
        </w:tc>
        <w:tc>
          <w:tcPr>
            <w:tcW w:w="6151" w:type="dxa"/>
          </w:tcPr>
          <w:p w14:paraId="0CB6FD19" w14:textId="77777777" w:rsidR="00E525F8" w:rsidRPr="00176D37" w:rsidRDefault="00E525F8" w:rsidP="00874C65">
            <w:pPr>
              <w:pStyle w:val="Tabletext"/>
            </w:pPr>
            <w:r w:rsidRPr="00176D37">
              <w:t>Quality indicators</w:t>
            </w:r>
          </w:p>
        </w:tc>
      </w:tr>
      <w:tr w:rsidR="00644CA4" w:rsidRPr="00176D37" w14:paraId="3352A5C4" w14:textId="77777777" w:rsidTr="0063333A">
        <w:tc>
          <w:tcPr>
            <w:tcW w:w="3200" w:type="dxa"/>
          </w:tcPr>
          <w:p w14:paraId="2DCFF1F8" w14:textId="28871A0F" w:rsidR="00644CA4" w:rsidRPr="00176D37" w:rsidRDefault="00644CA4" w:rsidP="00874C65">
            <w:pPr>
              <w:pStyle w:val="Tabletext"/>
            </w:pPr>
            <w:r>
              <w:t>QR</w:t>
            </w:r>
          </w:p>
        </w:tc>
        <w:tc>
          <w:tcPr>
            <w:tcW w:w="6151" w:type="dxa"/>
          </w:tcPr>
          <w:p w14:paraId="1D8285C5" w14:textId="4FD0904B" w:rsidR="00644CA4" w:rsidRPr="00176D37" w:rsidRDefault="00644CA4" w:rsidP="00874C65">
            <w:pPr>
              <w:pStyle w:val="Tabletext"/>
            </w:pPr>
            <w:r>
              <w:t>Quick response</w:t>
            </w:r>
          </w:p>
        </w:tc>
      </w:tr>
      <w:tr w:rsidR="00E525F8" w:rsidRPr="00176D37" w14:paraId="0265AD40" w14:textId="77777777" w:rsidTr="0063333A">
        <w:tc>
          <w:tcPr>
            <w:tcW w:w="3200" w:type="dxa"/>
          </w:tcPr>
          <w:p w14:paraId="3B23B01A" w14:textId="77777777" w:rsidR="00E525F8" w:rsidRPr="00176D37" w:rsidRDefault="00E525F8" w:rsidP="00874C65">
            <w:pPr>
              <w:pStyle w:val="Tabletext"/>
            </w:pPr>
            <w:r w:rsidRPr="00176D37">
              <w:t>RFID</w:t>
            </w:r>
          </w:p>
        </w:tc>
        <w:tc>
          <w:tcPr>
            <w:tcW w:w="6151" w:type="dxa"/>
          </w:tcPr>
          <w:p w14:paraId="6327A159" w14:textId="77777777" w:rsidR="00E525F8" w:rsidRPr="00176D37" w:rsidRDefault="00E525F8" w:rsidP="00874C65">
            <w:pPr>
              <w:pStyle w:val="Tabletext"/>
            </w:pPr>
            <w:r w:rsidRPr="00176D37">
              <w:t>Radiofrequency identification</w:t>
            </w:r>
          </w:p>
        </w:tc>
      </w:tr>
      <w:tr w:rsidR="00E525F8" w:rsidRPr="00176D37" w14:paraId="200464AB" w14:textId="77777777" w:rsidTr="0063333A">
        <w:tc>
          <w:tcPr>
            <w:tcW w:w="3200" w:type="dxa"/>
          </w:tcPr>
          <w:p w14:paraId="11B42288" w14:textId="77777777" w:rsidR="00E525F8" w:rsidRPr="00176D37" w:rsidRDefault="00E525F8" w:rsidP="00874C65">
            <w:pPr>
              <w:pStyle w:val="Tabletext"/>
            </w:pPr>
            <w:r w:rsidRPr="00176D37">
              <w:t>SHOT</w:t>
            </w:r>
          </w:p>
        </w:tc>
        <w:tc>
          <w:tcPr>
            <w:tcW w:w="6151" w:type="dxa"/>
          </w:tcPr>
          <w:p w14:paraId="469D6A50" w14:textId="77777777" w:rsidR="00E525F8" w:rsidRPr="00176D37" w:rsidRDefault="00E525F8" w:rsidP="00874C65">
            <w:pPr>
              <w:pStyle w:val="Tabletext"/>
            </w:pPr>
            <w:r w:rsidRPr="00176D37">
              <w:t>Serious Hazards of Transfusion</w:t>
            </w:r>
          </w:p>
        </w:tc>
      </w:tr>
      <w:tr w:rsidR="00E525F8" w:rsidRPr="00176D37" w14:paraId="7BE99FF1" w14:textId="77777777" w:rsidTr="0063333A">
        <w:tc>
          <w:tcPr>
            <w:tcW w:w="3200" w:type="dxa"/>
          </w:tcPr>
          <w:p w14:paraId="6396B349" w14:textId="77777777" w:rsidR="00E525F8" w:rsidRPr="00176D37" w:rsidRDefault="00E525F8" w:rsidP="00874C65">
            <w:pPr>
              <w:pStyle w:val="Tabletext"/>
            </w:pPr>
            <w:r w:rsidRPr="00176D37">
              <w:t>STIR</w:t>
            </w:r>
          </w:p>
        </w:tc>
        <w:tc>
          <w:tcPr>
            <w:tcW w:w="6151" w:type="dxa"/>
          </w:tcPr>
          <w:p w14:paraId="2768D615" w14:textId="77777777" w:rsidR="00E525F8" w:rsidRPr="00176D37" w:rsidRDefault="00E525F8" w:rsidP="00874C65">
            <w:pPr>
              <w:pStyle w:val="Tabletext"/>
            </w:pPr>
            <w:r w:rsidRPr="00176D37">
              <w:t xml:space="preserve">Serious Transfusion Incident Reporting </w:t>
            </w:r>
          </w:p>
        </w:tc>
      </w:tr>
      <w:tr w:rsidR="00E525F8" w:rsidRPr="00176D37" w14:paraId="14383F0F" w14:textId="77777777" w:rsidTr="0063333A">
        <w:tc>
          <w:tcPr>
            <w:tcW w:w="3200" w:type="dxa"/>
          </w:tcPr>
          <w:p w14:paraId="4CA9E938" w14:textId="77777777" w:rsidR="00E525F8" w:rsidRPr="00176D37" w:rsidRDefault="00E525F8" w:rsidP="00874C65">
            <w:pPr>
              <w:pStyle w:val="Tabletext"/>
            </w:pPr>
            <w:r w:rsidRPr="00176D37">
              <w:t>VHIMS</w:t>
            </w:r>
          </w:p>
        </w:tc>
        <w:tc>
          <w:tcPr>
            <w:tcW w:w="6151" w:type="dxa"/>
          </w:tcPr>
          <w:p w14:paraId="2D64EF2C" w14:textId="77777777" w:rsidR="00E525F8" w:rsidRPr="00176D37" w:rsidRDefault="00E525F8" w:rsidP="00874C65">
            <w:pPr>
              <w:pStyle w:val="Tabletext"/>
            </w:pPr>
            <w:r w:rsidRPr="00176D37">
              <w:t>Victorian Health Incident Management System</w:t>
            </w:r>
          </w:p>
        </w:tc>
      </w:tr>
      <w:tr w:rsidR="00E525F8" w:rsidRPr="00176D37" w14:paraId="51004C1C" w14:textId="77777777" w:rsidTr="0063333A">
        <w:tc>
          <w:tcPr>
            <w:tcW w:w="3200" w:type="dxa"/>
          </w:tcPr>
          <w:p w14:paraId="4CD7CE48" w14:textId="77777777" w:rsidR="00E525F8" w:rsidRPr="00176D37" w:rsidRDefault="00E525F8" w:rsidP="00874C65">
            <w:pPr>
              <w:pStyle w:val="Tabletext"/>
            </w:pPr>
            <w:r w:rsidRPr="00176D37">
              <w:t>WBIT</w:t>
            </w:r>
          </w:p>
        </w:tc>
        <w:tc>
          <w:tcPr>
            <w:tcW w:w="6151" w:type="dxa"/>
          </w:tcPr>
          <w:p w14:paraId="0E1183F7" w14:textId="77777777" w:rsidR="00E525F8" w:rsidRPr="00176D37" w:rsidRDefault="00E525F8" w:rsidP="00874C65">
            <w:pPr>
              <w:pStyle w:val="Tabletext"/>
            </w:pPr>
            <w:r w:rsidRPr="00176D37">
              <w:t>Wrong blood in tube</w:t>
            </w:r>
          </w:p>
        </w:tc>
      </w:tr>
      <w:tr w:rsidR="00E525F8" w:rsidRPr="00176D37" w14:paraId="3D9E64F5" w14:textId="77777777" w:rsidTr="0063333A">
        <w:tc>
          <w:tcPr>
            <w:tcW w:w="3200" w:type="dxa"/>
          </w:tcPr>
          <w:p w14:paraId="13749C8D" w14:textId="77777777" w:rsidR="00E525F8" w:rsidRPr="00176D37" w:rsidRDefault="00E525F8" w:rsidP="00874C65">
            <w:pPr>
              <w:pStyle w:val="Tabletext"/>
            </w:pPr>
            <w:r w:rsidRPr="00176D37">
              <w:t>WCT</w:t>
            </w:r>
          </w:p>
        </w:tc>
        <w:tc>
          <w:tcPr>
            <w:tcW w:w="6151" w:type="dxa"/>
          </w:tcPr>
          <w:p w14:paraId="7BA6808C" w14:textId="77777777" w:rsidR="00E525F8" w:rsidRPr="00176D37" w:rsidRDefault="00E525F8" w:rsidP="00874C65">
            <w:pPr>
              <w:pStyle w:val="Tabletext"/>
            </w:pPr>
            <w:r w:rsidRPr="00176D37">
              <w:t>Wrong component transfused</w:t>
            </w:r>
          </w:p>
        </w:tc>
      </w:tr>
      <w:tr w:rsidR="00E525F8" w:rsidRPr="00176D37" w14:paraId="3BA9B719" w14:textId="77777777" w:rsidTr="0063333A">
        <w:tc>
          <w:tcPr>
            <w:tcW w:w="3200" w:type="dxa"/>
          </w:tcPr>
          <w:p w14:paraId="0093ECA4" w14:textId="77777777" w:rsidR="00E525F8" w:rsidRPr="00176D37" w:rsidRDefault="00E525F8" w:rsidP="00874C65">
            <w:pPr>
              <w:pStyle w:val="Tabletext"/>
            </w:pPr>
            <w:r w:rsidRPr="00176D37">
              <w:t>WHO</w:t>
            </w:r>
          </w:p>
        </w:tc>
        <w:tc>
          <w:tcPr>
            <w:tcW w:w="6151" w:type="dxa"/>
          </w:tcPr>
          <w:p w14:paraId="45E9F6B1" w14:textId="77777777" w:rsidR="00E525F8" w:rsidRPr="00176D37" w:rsidRDefault="00E525F8" w:rsidP="00874C65">
            <w:pPr>
              <w:pStyle w:val="Tabletext"/>
            </w:pPr>
            <w:r w:rsidRPr="00176D37">
              <w:t>World Health Organisation</w:t>
            </w:r>
          </w:p>
        </w:tc>
      </w:tr>
    </w:tbl>
    <w:p w14:paraId="23972A76" w14:textId="77777777" w:rsidR="00E9700E" w:rsidRPr="00176D37" w:rsidRDefault="00E9700E" w:rsidP="00E9700E">
      <w:pPr>
        <w:rPr>
          <w:rFonts w:eastAsiaTheme="majorEastAsia" w:cs="Arial"/>
          <w:color w:val="365F91" w:themeColor="accent1" w:themeShade="BF"/>
          <w:sz w:val="32"/>
          <w:szCs w:val="32"/>
        </w:rPr>
      </w:pPr>
    </w:p>
    <w:p w14:paraId="7944C409" w14:textId="77777777" w:rsidR="00E9700E" w:rsidRPr="00176D37" w:rsidRDefault="00E9700E" w:rsidP="00E9700E">
      <w:pPr>
        <w:rPr>
          <w:rFonts w:eastAsiaTheme="majorEastAsia" w:cs="Arial"/>
          <w:color w:val="365F91" w:themeColor="accent1" w:themeShade="BF"/>
          <w:sz w:val="32"/>
          <w:szCs w:val="32"/>
        </w:rPr>
      </w:pPr>
      <w:r w:rsidRPr="00176D37">
        <w:rPr>
          <w:rFonts w:eastAsiaTheme="majorEastAsia" w:cs="Arial"/>
          <w:color w:val="365F91" w:themeColor="accent1" w:themeShade="BF"/>
          <w:sz w:val="32"/>
          <w:szCs w:val="32"/>
        </w:rPr>
        <w:br w:type="page"/>
      </w:r>
    </w:p>
    <w:p w14:paraId="551A14C8" w14:textId="5C44EFC3" w:rsidR="00400BC3" w:rsidRDefault="00E9700E" w:rsidP="00BA67B0">
      <w:pPr>
        <w:pStyle w:val="Heading1"/>
      </w:pPr>
      <w:bookmarkStart w:id="488" w:name="_Toc104975966"/>
      <w:bookmarkStart w:id="489" w:name="_Toc101285746"/>
      <w:bookmarkStart w:id="490" w:name="_Toc101947768"/>
      <w:r w:rsidRPr="00BA67B0">
        <w:lastRenderedPageBreak/>
        <w:t xml:space="preserve">Appendix </w:t>
      </w:r>
      <w:r w:rsidR="00400BC3">
        <w:t>4</w:t>
      </w:r>
      <w:r w:rsidR="006526B5">
        <w:t>:</w:t>
      </w:r>
      <w:r w:rsidRPr="00BA67B0">
        <w:t xml:space="preserve"> Summary of Australian and New Zealand Society of Blood Transfusion practical guidelines</w:t>
      </w:r>
      <w:bookmarkEnd w:id="488"/>
      <w:r w:rsidRPr="00BA67B0">
        <w:t xml:space="preserve"> </w:t>
      </w:r>
    </w:p>
    <w:p w14:paraId="5C8C96F5" w14:textId="208C8700" w:rsidR="00E9700E" w:rsidRPr="00BA67B0" w:rsidRDefault="00400BC3" w:rsidP="009742AB">
      <w:pPr>
        <w:pStyle w:val="Body"/>
      </w:pPr>
      <w:r>
        <w:t xml:space="preserve">Source: Crispin 2022, </w:t>
      </w:r>
      <w:r w:rsidR="00E9700E" w:rsidRPr="00BA67B0">
        <w:t xml:space="preserve">Table 1 </w:t>
      </w:r>
      <w:bookmarkEnd w:id="489"/>
      <w:bookmarkEnd w:id="490"/>
      <w:r w:rsidR="00E9700E" w:rsidRPr="00BA67B0">
        <w:t xml:space="preserve"> </w:t>
      </w:r>
    </w:p>
    <w:tbl>
      <w:tblPr>
        <w:tblStyle w:val="TableGrid"/>
        <w:tblW w:w="0" w:type="auto"/>
        <w:tblLook w:val="04A0" w:firstRow="1" w:lastRow="0" w:firstColumn="1" w:lastColumn="0" w:noHBand="0" w:noVBand="1"/>
      </w:tblPr>
      <w:tblGrid>
        <w:gridCol w:w="2263"/>
        <w:gridCol w:w="7025"/>
      </w:tblGrid>
      <w:tr w:rsidR="00E9700E" w:rsidRPr="00176D37" w14:paraId="30B0ED8B" w14:textId="77777777" w:rsidTr="00FF50F2">
        <w:trPr>
          <w:tblHeader/>
        </w:trPr>
        <w:tc>
          <w:tcPr>
            <w:tcW w:w="2263" w:type="dxa"/>
          </w:tcPr>
          <w:p w14:paraId="18882985" w14:textId="77777777" w:rsidR="00E9700E" w:rsidRPr="00176D37" w:rsidRDefault="00E9700E" w:rsidP="00BA67B0">
            <w:pPr>
              <w:pStyle w:val="Tablecolhead"/>
            </w:pPr>
            <w:r w:rsidRPr="00176D37">
              <w:t>Transfusion process</w:t>
            </w:r>
          </w:p>
        </w:tc>
        <w:tc>
          <w:tcPr>
            <w:tcW w:w="7025" w:type="dxa"/>
          </w:tcPr>
          <w:p w14:paraId="3AAD981A" w14:textId="77777777" w:rsidR="00E9700E" w:rsidRPr="00176D37" w:rsidRDefault="00E9700E" w:rsidP="00BA67B0">
            <w:pPr>
              <w:pStyle w:val="Tablecolhead"/>
            </w:pPr>
            <w:r w:rsidRPr="00176D37">
              <w:t>Summary of guidance</w:t>
            </w:r>
          </w:p>
        </w:tc>
      </w:tr>
      <w:tr w:rsidR="00E9700E" w:rsidRPr="00176D37" w14:paraId="1C3F3254" w14:textId="77777777" w:rsidTr="00FF50F2">
        <w:tc>
          <w:tcPr>
            <w:tcW w:w="2263" w:type="dxa"/>
          </w:tcPr>
          <w:p w14:paraId="0E95CE02" w14:textId="77777777" w:rsidR="00E9700E" w:rsidRPr="00176D37" w:rsidRDefault="00E9700E" w:rsidP="00BA67B0">
            <w:pPr>
              <w:pStyle w:val="Tabletext"/>
            </w:pPr>
            <w:r w:rsidRPr="00176D37">
              <w:t>Decision to transfuse</w:t>
            </w:r>
          </w:p>
        </w:tc>
        <w:tc>
          <w:tcPr>
            <w:tcW w:w="7025" w:type="dxa"/>
          </w:tcPr>
          <w:p w14:paraId="240CD468" w14:textId="77777777" w:rsidR="00E9700E" w:rsidRPr="00176D37" w:rsidRDefault="00E9700E" w:rsidP="00BA67B0">
            <w:pPr>
              <w:pStyle w:val="Tabletext"/>
            </w:pPr>
            <w:r w:rsidRPr="00176D37">
              <w:t>Prescription of blood products through an EMR is an opportunity to offer decision support.</w:t>
            </w:r>
          </w:p>
          <w:p w14:paraId="1B3D5DAB" w14:textId="4A23C871" w:rsidR="00E9700E" w:rsidRPr="00176D37" w:rsidRDefault="00E9700E" w:rsidP="00BA67B0">
            <w:pPr>
              <w:pStyle w:val="Tabletext"/>
            </w:pPr>
            <w:r w:rsidRPr="00176D37">
              <w:t xml:space="preserve">Decision support, </w:t>
            </w:r>
            <w:r w:rsidR="006526B5" w:rsidRPr="00176D37">
              <w:t>standardi</w:t>
            </w:r>
            <w:r w:rsidR="006526B5">
              <w:t>s</w:t>
            </w:r>
            <w:r w:rsidR="006526B5" w:rsidRPr="00176D37">
              <w:t xml:space="preserve">ed </w:t>
            </w:r>
            <w:r w:rsidRPr="00176D37">
              <w:t>prescription protocols and product information need to be regularly reviewed and updated by transfusion professionals.</w:t>
            </w:r>
          </w:p>
        </w:tc>
      </w:tr>
      <w:tr w:rsidR="00E9700E" w:rsidRPr="00176D37" w14:paraId="2C4E2D64" w14:textId="77777777" w:rsidTr="00FF50F2">
        <w:tc>
          <w:tcPr>
            <w:tcW w:w="2263" w:type="dxa"/>
          </w:tcPr>
          <w:p w14:paraId="3F7A85C0" w14:textId="77777777" w:rsidR="00E9700E" w:rsidRPr="00176D37" w:rsidRDefault="00E9700E" w:rsidP="00BA67B0">
            <w:pPr>
              <w:pStyle w:val="Tabletext"/>
            </w:pPr>
            <w:r w:rsidRPr="00176D37">
              <w:t>Consent</w:t>
            </w:r>
          </w:p>
        </w:tc>
        <w:tc>
          <w:tcPr>
            <w:tcW w:w="7025" w:type="dxa"/>
          </w:tcPr>
          <w:p w14:paraId="5A69EA4B" w14:textId="77777777" w:rsidR="00E9700E" w:rsidRPr="00176D37" w:rsidRDefault="00E9700E" w:rsidP="00BA67B0">
            <w:pPr>
              <w:pStyle w:val="Tabletext"/>
            </w:pPr>
            <w:r w:rsidRPr="00176D37">
              <w:t>EMRs must have a process for documenting informed consent or refusal in line with institutional policies.</w:t>
            </w:r>
          </w:p>
        </w:tc>
      </w:tr>
      <w:tr w:rsidR="00E9700E" w:rsidRPr="00176D37" w14:paraId="4B96DF5D" w14:textId="77777777" w:rsidTr="00FF50F2">
        <w:tc>
          <w:tcPr>
            <w:tcW w:w="2263" w:type="dxa"/>
          </w:tcPr>
          <w:p w14:paraId="4E302F9E" w14:textId="77777777" w:rsidR="00E9700E" w:rsidRPr="00176D37" w:rsidRDefault="00E9700E" w:rsidP="00BA67B0">
            <w:pPr>
              <w:pStyle w:val="Tabletext"/>
            </w:pPr>
            <w:r w:rsidRPr="00176D37">
              <w:t>Blood product</w:t>
            </w:r>
          </w:p>
          <w:p w14:paraId="299F9585" w14:textId="77777777" w:rsidR="00E9700E" w:rsidRPr="00176D37" w:rsidRDefault="00E9700E" w:rsidP="00BA67B0">
            <w:pPr>
              <w:pStyle w:val="Tabletext"/>
            </w:pPr>
            <w:r w:rsidRPr="00176D37">
              <w:t>prescription</w:t>
            </w:r>
          </w:p>
        </w:tc>
        <w:tc>
          <w:tcPr>
            <w:tcW w:w="7025" w:type="dxa"/>
          </w:tcPr>
          <w:p w14:paraId="6A37CFFA" w14:textId="77777777" w:rsidR="00E9700E" w:rsidRPr="00176D37" w:rsidRDefault="00E9700E" w:rsidP="00BA67B0">
            <w:pPr>
              <w:pStyle w:val="Tabletext"/>
            </w:pPr>
            <w:r w:rsidRPr="00176D37">
              <w:t>Prescriptions must be in accordance with national guidelines.</w:t>
            </w:r>
          </w:p>
          <w:p w14:paraId="7A32A0A7" w14:textId="455B2947" w:rsidR="00E9700E" w:rsidRPr="00176D37" w:rsidRDefault="00E9700E" w:rsidP="00BA67B0">
            <w:pPr>
              <w:pStyle w:val="Tabletext"/>
            </w:pPr>
            <w:r w:rsidRPr="00176D37">
              <w:t xml:space="preserve">The EMR must have a complete and up-to-date list of blood products, to be prescribed by the product form (e.g., units of red cells) or </w:t>
            </w:r>
            <w:r w:rsidR="00A560D3" w:rsidRPr="00176D37">
              <w:t>weight</w:t>
            </w:r>
            <w:r w:rsidR="00A560D3">
              <w:t>-based</w:t>
            </w:r>
            <w:r w:rsidR="00F15DC5">
              <w:t xml:space="preserve"> dosing</w:t>
            </w:r>
            <w:r w:rsidRPr="00176D37">
              <w:t>.</w:t>
            </w:r>
          </w:p>
          <w:p w14:paraId="034A2A05" w14:textId="77777777" w:rsidR="00E9700E" w:rsidRPr="00176D37" w:rsidRDefault="00E9700E" w:rsidP="00BA67B0">
            <w:pPr>
              <w:pStyle w:val="Tabletext"/>
            </w:pPr>
            <w:r w:rsidRPr="00176D37">
              <w:t>EMRs should alert prescribers to special transfusion requirements.</w:t>
            </w:r>
          </w:p>
          <w:p w14:paraId="4F3AC554" w14:textId="77777777" w:rsidR="00E9700E" w:rsidRPr="00176D37" w:rsidRDefault="00E9700E" w:rsidP="00BA67B0">
            <w:pPr>
              <w:pStyle w:val="Tabletext"/>
            </w:pPr>
            <w:r w:rsidRPr="00176D37">
              <w:t>Special transfusion requirements should be communicated between clinical and laboratory systems.</w:t>
            </w:r>
          </w:p>
          <w:p w14:paraId="1CB0F43F" w14:textId="77777777" w:rsidR="00E9700E" w:rsidRPr="00176D37" w:rsidRDefault="00E9700E" w:rsidP="00BA67B0">
            <w:pPr>
              <w:pStyle w:val="Tabletext"/>
            </w:pPr>
            <w:r w:rsidRPr="00176D37">
              <w:t>EMRs may use standardized prescriptions for rates of administration but need to maintain flexibility for individual patient needs.</w:t>
            </w:r>
          </w:p>
        </w:tc>
      </w:tr>
      <w:tr w:rsidR="00E9700E" w:rsidRPr="00176D37" w14:paraId="31EFFB61" w14:textId="77777777" w:rsidTr="00FF50F2">
        <w:tc>
          <w:tcPr>
            <w:tcW w:w="2263" w:type="dxa"/>
          </w:tcPr>
          <w:p w14:paraId="7603E1C0" w14:textId="77777777" w:rsidR="00E9700E" w:rsidRPr="00176D37" w:rsidRDefault="00E9700E" w:rsidP="00BA67B0">
            <w:pPr>
              <w:pStyle w:val="Tabletext"/>
            </w:pPr>
            <w:r w:rsidRPr="00176D37">
              <w:t>Electronic requests</w:t>
            </w:r>
          </w:p>
        </w:tc>
        <w:tc>
          <w:tcPr>
            <w:tcW w:w="7025" w:type="dxa"/>
          </w:tcPr>
          <w:p w14:paraId="0DF88355" w14:textId="77777777" w:rsidR="00E9700E" w:rsidRPr="00176D37" w:rsidRDefault="00E9700E" w:rsidP="00BA67B0">
            <w:pPr>
              <w:pStyle w:val="Tabletext"/>
            </w:pPr>
            <w:r w:rsidRPr="00176D37">
              <w:t>Requests may include requests for blood sample collection and testing, requests for blood products to be prepared or requests for blood to be delivered.</w:t>
            </w:r>
          </w:p>
          <w:p w14:paraId="11D2FBAB" w14:textId="77777777" w:rsidR="00E9700E" w:rsidRPr="00176D37" w:rsidRDefault="00E9700E" w:rsidP="00BA67B0">
            <w:pPr>
              <w:pStyle w:val="Tabletext"/>
            </w:pPr>
            <w:r w:rsidRPr="00176D37">
              <w:t>Sample collection requires positive patient identification and labelling at the bedside immediately after collection.</w:t>
            </w:r>
          </w:p>
          <w:p w14:paraId="660D93E7" w14:textId="77777777" w:rsidR="00E9700E" w:rsidRPr="00176D37" w:rsidRDefault="00E9700E" w:rsidP="00BA67B0">
            <w:pPr>
              <w:pStyle w:val="Tabletext"/>
            </w:pPr>
            <w:r w:rsidRPr="00176D37">
              <w:t>Where EMRs assist with patient identification, they must be identified by a barcode or radio frequency identification chip specific to the patient and distinguishing them from the patient record.</w:t>
            </w:r>
          </w:p>
        </w:tc>
      </w:tr>
      <w:tr w:rsidR="00E9700E" w:rsidRPr="00176D37" w14:paraId="53A9D2D8" w14:textId="77777777" w:rsidTr="00FF50F2">
        <w:tc>
          <w:tcPr>
            <w:tcW w:w="2263" w:type="dxa"/>
          </w:tcPr>
          <w:p w14:paraId="5E8B98BF" w14:textId="77777777" w:rsidR="00E9700E" w:rsidRPr="00176D37" w:rsidRDefault="00E9700E" w:rsidP="00BA67B0">
            <w:pPr>
              <w:pStyle w:val="Tabletext"/>
            </w:pPr>
            <w:r w:rsidRPr="00176D37">
              <w:t>Storage and collection</w:t>
            </w:r>
          </w:p>
        </w:tc>
        <w:tc>
          <w:tcPr>
            <w:tcW w:w="7025" w:type="dxa"/>
          </w:tcPr>
          <w:p w14:paraId="2C6FAF6E" w14:textId="77777777" w:rsidR="00E9700E" w:rsidRPr="00176D37" w:rsidRDefault="00E9700E" w:rsidP="00BA67B0">
            <w:pPr>
              <w:pStyle w:val="Tabletext"/>
            </w:pPr>
            <w:r w:rsidRPr="00176D37">
              <w:t>Where blood is issued to a refrigerator external to the laboratory, processes for blood product tracking, identification and collection are required.</w:t>
            </w:r>
          </w:p>
        </w:tc>
      </w:tr>
      <w:tr w:rsidR="00E9700E" w:rsidRPr="00176D37" w14:paraId="429BB0D8" w14:textId="77777777" w:rsidTr="00FF50F2">
        <w:tc>
          <w:tcPr>
            <w:tcW w:w="2263" w:type="dxa"/>
          </w:tcPr>
          <w:p w14:paraId="350A980A" w14:textId="77777777" w:rsidR="00E9700E" w:rsidRPr="00176D37" w:rsidRDefault="00E9700E" w:rsidP="00BA67B0">
            <w:pPr>
              <w:pStyle w:val="Tabletext"/>
            </w:pPr>
            <w:r w:rsidRPr="00176D37">
              <w:t>Blood product</w:t>
            </w:r>
          </w:p>
          <w:p w14:paraId="72777CDD" w14:textId="77777777" w:rsidR="00E9700E" w:rsidRPr="00176D37" w:rsidRDefault="00E9700E" w:rsidP="00BA67B0">
            <w:pPr>
              <w:pStyle w:val="Tabletext"/>
            </w:pPr>
            <w:r w:rsidRPr="00176D37">
              <w:t>administration</w:t>
            </w:r>
          </w:p>
          <w:p w14:paraId="6CFE2431" w14:textId="77777777" w:rsidR="00E9700E" w:rsidRPr="00176D37" w:rsidRDefault="00E9700E" w:rsidP="00BA67B0">
            <w:pPr>
              <w:pStyle w:val="Tabletext"/>
            </w:pPr>
          </w:p>
        </w:tc>
        <w:tc>
          <w:tcPr>
            <w:tcW w:w="7025" w:type="dxa"/>
          </w:tcPr>
          <w:p w14:paraId="6CBF5A05" w14:textId="77777777" w:rsidR="00E9700E" w:rsidRPr="00176D37" w:rsidRDefault="00E9700E" w:rsidP="00BA67B0">
            <w:pPr>
              <w:pStyle w:val="Tabletext"/>
            </w:pPr>
            <w:r w:rsidRPr="00176D37">
              <w:t>Positive patient identification is required prior to administration of blood products.</w:t>
            </w:r>
          </w:p>
          <w:p w14:paraId="03ED5327" w14:textId="77777777" w:rsidR="00E9700E" w:rsidRPr="00176D37" w:rsidRDefault="00E9700E" w:rsidP="00BA67B0">
            <w:pPr>
              <w:pStyle w:val="Tabletext"/>
            </w:pPr>
            <w:r w:rsidRPr="00176D37">
              <w:t>Independent confirmation of patient and product identification needs to be performed by a second practitioner or the EMR. If performed by the EMR, it must be able to identify the patient, confirm the blood product and group and that it has been specifically issued to the patient.</w:t>
            </w:r>
          </w:p>
        </w:tc>
      </w:tr>
      <w:tr w:rsidR="00E9700E" w:rsidRPr="00176D37" w14:paraId="71A01BF4" w14:textId="77777777" w:rsidTr="00FF50F2">
        <w:tc>
          <w:tcPr>
            <w:tcW w:w="2263" w:type="dxa"/>
          </w:tcPr>
          <w:p w14:paraId="69DC38B7" w14:textId="77777777" w:rsidR="00E9700E" w:rsidRPr="00176D37" w:rsidRDefault="00E9700E" w:rsidP="00BA67B0">
            <w:pPr>
              <w:pStyle w:val="Tabletext"/>
            </w:pPr>
            <w:r w:rsidRPr="00176D37">
              <w:t>Special circumstances</w:t>
            </w:r>
          </w:p>
        </w:tc>
        <w:tc>
          <w:tcPr>
            <w:tcW w:w="7025" w:type="dxa"/>
          </w:tcPr>
          <w:p w14:paraId="4078B40D" w14:textId="77777777" w:rsidR="00E9700E" w:rsidRPr="00176D37" w:rsidRDefault="00E9700E" w:rsidP="00BA67B0">
            <w:pPr>
              <w:pStyle w:val="Tabletext"/>
            </w:pPr>
            <w:r w:rsidRPr="00176D37">
              <w:t>Processes must be in place for issuing un-crossmatched emergency blood for critical bleeding and massive transfusion.</w:t>
            </w:r>
          </w:p>
        </w:tc>
      </w:tr>
      <w:tr w:rsidR="00E9700E" w:rsidRPr="00176D37" w14:paraId="36161313" w14:textId="77777777" w:rsidTr="00FF50F2">
        <w:tc>
          <w:tcPr>
            <w:tcW w:w="2263" w:type="dxa"/>
          </w:tcPr>
          <w:p w14:paraId="265D598D" w14:textId="77777777" w:rsidR="00E9700E" w:rsidRPr="00176D37" w:rsidRDefault="00E9700E" w:rsidP="00BA67B0">
            <w:pPr>
              <w:pStyle w:val="Tabletext"/>
            </w:pPr>
            <w:r w:rsidRPr="00176D37">
              <w:t>Adverse events</w:t>
            </w:r>
          </w:p>
        </w:tc>
        <w:tc>
          <w:tcPr>
            <w:tcW w:w="7025" w:type="dxa"/>
          </w:tcPr>
          <w:p w14:paraId="6FF76685" w14:textId="0747A39D" w:rsidR="00E9700E" w:rsidRPr="00176D37" w:rsidRDefault="00E9700E" w:rsidP="00BA67B0">
            <w:pPr>
              <w:pStyle w:val="Tabletext"/>
            </w:pPr>
            <w:r w:rsidRPr="00176D37">
              <w:t xml:space="preserve">Adverse events should be recorded in the </w:t>
            </w:r>
            <w:proofErr w:type="gramStart"/>
            <w:r w:rsidRPr="00176D37">
              <w:t>EMR</w:t>
            </w:r>
            <w:proofErr w:type="gramEnd"/>
            <w:r w:rsidRPr="00176D37">
              <w:t xml:space="preserve"> and warnings provided to clinicians where a patient has special transfusion</w:t>
            </w:r>
            <w:r w:rsidR="00F15DC5">
              <w:t xml:space="preserve"> </w:t>
            </w:r>
            <w:r w:rsidRPr="00176D37">
              <w:t>risks.</w:t>
            </w:r>
          </w:p>
          <w:p w14:paraId="0124F3AE" w14:textId="77777777" w:rsidR="00E9700E" w:rsidRPr="00176D37" w:rsidRDefault="00E9700E" w:rsidP="00BA67B0">
            <w:pPr>
              <w:pStyle w:val="Tabletext"/>
            </w:pPr>
            <w:r w:rsidRPr="00176D37">
              <w:t>Decision support for adverse transfusion reactions should be considered.</w:t>
            </w:r>
          </w:p>
          <w:p w14:paraId="01A51B54" w14:textId="77777777" w:rsidR="00E9700E" w:rsidRPr="00176D37" w:rsidRDefault="00E9700E" w:rsidP="00BA67B0">
            <w:pPr>
              <w:pStyle w:val="Tabletext"/>
            </w:pPr>
            <w:r w:rsidRPr="00176D37">
              <w:lastRenderedPageBreak/>
              <w:t>The role of EMRs in adverse events should be captured and evaluated to determine whether systemic improvements are required.</w:t>
            </w:r>
          </w:p>
        </w:tc>
      </w:tr>
    </w:tbl>
    <w:p w14:paraId="07E68FAA" w14:textId="77777777" w:rsidR="00E9700E" w:rsidRPr="00176D37" w:rsidRDefault="00E9700E" w:rsidP="00E9700E">
      <w:pPr>
        <w:rPr>
          <w:rFonts w:eastAsiaTheme="majorEastAsia" w:cs="Arial"/>
          <w:color w:val="365F91" w:themeColor="accent1" w:themeShade="BF"/>
          <w:sz w:val="32"/>
          <w:szCs w:val="32"/>
        </w:rPr>
      </w:pPr>
      <w:r w:rsidRPr="00176D37">
        <w:rPr>
          <w:rFonts w:cs="Arial"/>
        </w:rPr>
        <w:lastRenderedPageBreak/>
        <w:br w:type="page"/>
      </w:r>
    </w:p>
    <w:p w14:paraId="7C8C1609" w14:textId="3920301F" w:rsidR="006526B5" w:rsidRDefault="00E9700E" w:rsidP="00BA67B0">
      <w:pPr>
        <w:pStyle w:val="Heading1"/>
      </w:pPr>
      <w:bookmarkStart w:id="491" w:name="_Toc104975967"/>
      <w:bookmarkStart w:id="492" w:name="_Toc101285747"/>
      <w:bookmarkStart w:id="493" w:name="_Toc101947769"/>
      <w:r w:rsidRPr="00BA67B0">
        <w:lastRenderedPageBreak/>
        <w:t xml:space="preserve">Appendix </w:t>
      </w:r>
      <w:r w:rsidR="00CF4604">
        <w:t>5</w:t>
      </w:r>
      <w:r w:rsidR="006526B5">
        <w:t>:</w:t>
      </w:r>
      <w:r w:rsidRPr="00BA67B0">
        <w:t xml:space="preserve"> Summary of clinical governance recommendations for EMRs</w:t>
      </w:r>
      <w:bookmarkEnd w:id="491"/>
      <w:r w:rsidRPr="00BA67B0">
        <w:t xml:space="preserve"> </w:t>
      </w:r>
    </w:p>
    <w:p w14:paraId="33222A20" w14:textId="133D96C8" w:rsidR="00E9700E" w:rsidRPr="00400BC3" w:rsidRDefault="00400BC3" w:rsidP="009742AB">
      <w:pPr>
        <w:pStyle w:val="Body"/>
      </w:pPr>
      <w:r w:rsidRPr="009742AB">
        <w:t xml:space="preserve">Source: Crispin 2022, </w:t>
      </w:r>
      <w:r w:rsidR="00E9700E" w:rsidRPr="00400BC3">
        <w:t xml:space="preserve">Table 2 </w:t>
      </w:r>
      <w:bookmarkEnd w:id="492"/>
      <w:bookmarkEnd w:id="493"/>
    </w:p>
    <w:tbl>
      <w:tblPr>
        <w:tblStyle w:val="TableGrid"/>
        <w:tblW w:w="0" w:type="auto"/>
        <w:tblLook w:val="04A0" w:firstRow="1" w:lastRow="0" w:firstColumn="1" w:lastColumn="0" w:noHBand="0" w:noVBand="1"/>
      </w:tblPr>
      <w:tblGrid>
        <w:gridCol w:w="2630"/>
        <w:gridCol w:w="6658"/>
      </w:tblGrid>
      <w:tr w:rsidR="00E9700E" w:rsidRPr="00176D37" w14:paraId="4A97D064" w14:textId="77777777" w:rsidTr="00A173F8">
        <w:tc>
          <w:tcPr>
            <w:tcW w:w="2830" w:type="dxa"/>
          </w:tcPr>
          <w:p w14:paraId="40B6DE66" w14:textId="77777777" w:rsidR="00E9700E" w:rsidRPr="00874C65" w:rsidRDefault="00E9700E" w:rsidP="00874C65">
            <w:pPr>
              <w:pStyle w:val="Tabletext"/>
            </w:pPr>
            <w:r w:rsidRPr="00874C65">
              <w:t>User roles</w:t>
            </w:r>
          </w:p>
        </w:tc>
        <w:tc>
          <w:tcPr>
            <w:tcW w:w="7626" w:type="dxa"/>
          </w:tcPr>
          <w:p w14:paraId="427EC18D" w14:textId="77777777" w:rsidR="00E9700E" w:rsidRPr="00874C65" w:rsidRDefault="00E9700E" w:rsidP="00874C65">
            <w:pPr>
              <w:pStyle w:val="Tabletext"/>
            </w:pPr>
            <w:r w:rsidRPr="00874C65">
              <w:t>User roles must be defined and limited to functions for which users are qualified and authorized.</w:t>
            </w:r>
          </w:p>
          <w:p w14:paraId="13D4178A" w14:textId="77777777" w:rsidR="00E9700E" w:rsidRPr="00874C65" w:rsidRDefault="00E9700E" w:rsidP="00874C65">
            <w:pPr>
              <w:pStyle w:val="Tabletext"/>
            </w:pPr>
            <w:r w:rsidRPr="00874C65">
              <w:t>EMRs must record the fate of blood products and maintain traceability of each unit.</w:t>
            </w:r>
          </w:p>
        </w:tc>
      </w:tr>
      <w:tr w:rsidR="00E9700E" w:rsidRPr="00176D37" w14:paraId="6A762778" w14:textId="77777777" w:rsidTr="00A173F8">
        <w:tc>
          <w:tcPr>
            <w:tcW w:w="2830" w:type="dxa"/>
          </w:tcPr>
          <w:p w14:paraId="3D225C34" w14:textId="77777777" w:rsidR="00E9700E" w:rsidRPr="00874C65" w:rsidRDefault="00E9700E" w:rsidP="00874C65">
            <w:pPr>
              <w:pStyle w:val="Tabletext"/>
            </w:pPr>
            <w:r w:rsidRPr="00874C65">
              <w:t>Common functions and processes</w:t>
            </w:r>
          </w:p>
        </w:tc>
        <w:tc>
          <w:tcPr>
            <w:tcW w:w="7626" w:type="dxa"/>
          </w:tcPr>
          <w:p w14:paraId="6A38027E" w14:textId="77777777" w:rsidR="00E9700E" w:rsidRPr="00874C65" w:rsidRDefault="00E9700E" w:rsidP="00874C65">
            <w:pPr>
              <w:pStyle w:val="Tabletext"/>
            </w:pPr>
            <w:r w:rsidRPr="00874C65">
              <w:t>Sample and product labels must always have written identification in addition to machine-readable identification.</w:t>
            </w:r>
          </w:p>
          <w:p w14:paraId="01C4802E" w14:textId="77777777" w:rsidR="00E9700E" w:rsidRPr="00874C65" w:rsidRDefault="00E9700E" w:rsidP="00874C65">
            <w:pPr>
              <w:pStyle w:val="Tabletext"/>
            </w:pPr>
            <w:r w:rsidRPr="00874C65">
              <w:t>Each process should be indelibly recorded. Where a process has more than one operator, all should be recorded.</w:t>
            </w:r>
          </w:p>
        </w:tc>
      </w:tr>
      <w:tr w:rsidR="00E9700E" w:rsidRPr="00176D37" w14:paraId="6D17F87A" w14:textId="77777777" w:rsidTr="00A173F8">
        <w:tc>
          <w:tcPr>
            <w:tcW w:w="2830" w:type="dxa"/>
          </w:tcPr>
          <w:p w14:paraId="51D520BA" w14:textId="77777777" w:rsidR="00E9700E" w:rsidRPr="00874C65" w:rsidRDefault="00E9700E" w:rsidP="00874C65">
            <w:pPr>
              <w:pStyle w:val="Tabletext"/>
            </w:pPr>
            <w:r w:rsidRPr="00874C65">
              <w:t>Overrides</w:t>
            </w:r>
          </w:p>
        </w:tc>
        <w:tc>
          <w:tcPr>
            <w:tcW w:w="7626" w:type="dxa"/>
          </w:tcPr>
          <w:p w14:paraId="78557342" w14:textId="77777777" w:rsidR="00E9700E" w:rsidRPr="00874C65" w:rsidRDefault="00E9700E" w:rsidP="00874C65">
            <w:pPr>
              <w:pStyle w:val="Tabletext"/>
            </w:pPr>
            <w:r w:rsidRPr="00874C65">
              <w:t>Overrides should be recorded when they are needed.</w:t>
            </w:r>
          </w:p>
          <w:p w14:paraId="01339634" w14:textId="77777777" w:rsidR="00E9700E" w:rsidRPr="00874C65" w:rsidRDefault="00E9700E" w:rsidP="00874C65">
            <w:pPr>
              <w:pStyle w:val="Tabletext"/>
            </w:pPr>
            <w:r w:rsidRPr="00874C65">
              <w:t>All overrides should be evaluated to determine whether systemic improvements are required.</w:t>
            </w:r>
          </w:p>
          <w:p w14:paraId="3315F9AC" w14:textId="77777777" w:rsidR="00E9700E" w:rsidRPr="00874C65" w:rsidRDefault="00E9700E" w:rsidP="00874C65">
            <w:pPr>
              <w:pStyle w:val="Tabletext"/>
            </w:pPr>
            <w:r w:rsidRPr="00874C65">
              <w:t>Wherever possible, overrides should not create a process that is easier for the electronic process to avoid shortcuts that may affect safety.</w:t>
            </w:r>
          </w:p>
        </w:tc>
      </w:tr>
      <w:tr w:rsidR="00E9700E" w:rsidRPr="00176D37" w14:paraId="583A2548" w14:textId="77777777" w:rsidTr="00A173F8">
        <w:tc>
          <w:tcPr>
            <w:tcW w:w="2830" w:type="dxa"/>
          </w:tcPr>
          <w:p w14:paraId="4BA4401E" w14:textId="77777777" w:rsidR="00E9700E" w:rsidRPr="00874C65" w:rsidRDefault="00E9700E" w:rsidP="00874C65">
            <w:pPr>
              <w:pStyle w:val="Tabletext"/>
            </w:pPr>
            <w:r w:rsidRPr="00874C65">
              <w:t>Implementation</w:t>
            </w:r>
          </w:p>
        </w:tc>
        <w:tc>
          <w:tcPr>
            <w:tcW w:w="7626" w:type="dxa"/>
          </w:tcPr>
          <w:p w14:paraId="773C8E65" w14:textId="77777777" w:rsidR="00E9700E" w:rsidRPr="00874C65" w:rsidRDefault="00E9700E" w:rsidP="00874C65">
            <w:pPr>
              <w:pStyle w:val="Tabletext"/>
            </w:pPr>
            <w:r w:rsidRPr="00874C65">
              <w:t>Implementation must include integration into human healthcare systems, including the following:</w:t>
            </w:r>
          </w:p>
          <w:p w14:paraId="692FAE2D" w14:textId="3CCE2A0F" w:rsidR="00E9700E" w:rsidRPr="006526B5" w:rsidRDefault="00E9700E" w:rsidP="009742AB">
            <w:pPr>
              <w:pStyle w:val="Tablebullet1"/>
            </w:pPr>
            <w:r w:rsidRPr="006526B5">
              <w:t xml:space="preserve">Clear policies and standard operating </w:t>
            </w:r>
            <w:proofErr w:type="gramStart"/>
            <w:r w:rsidRPr="006526B5">
              <w:t>procedures;</w:t>
            </w:r>
            <w:proofErr w:type="gramEnd"/>
          </w:p>
          <w:p w14:paraId="6539ED5B" w14:textId="4C304C27" w:rsidR="00E9700E" w:rsidRPr="006526B5" w:rsidRDefault="00E9700E" w:rsidP="009742AB">
            <w:pPr>
              <w:pStyle w:val="Tablebullet1"/>
            </w:pPr>
            <w:r w:rsidRPr="006526B5">
              <w:t xml:space="preserve">Directions within the EMR to guide correct performance of </w:t>
            </w:r>
            <w:proofErr w:type="gramStart"/>
            <w:r w:rsidRPr="006526B5">
              <w:t>processes;</w:t>
            </w:r>
            <w:proofErr w:type="gramEnd"/>
          </w:p>
          <w:p w14:paraId="7A53A34E" w14:textId="73E651AD" w:rsidR="00E9700E" w:rsidRPr="006526B5" w:rsidRDefault="00E9700E" w:rsidP="009742AB">
            <w:pPr>
              <w:pStyle w:val="Tablebullet1"/>
            </w:pPr>
            <w:r w:rsidRPr="006526B5">
              <w:t xml:space="preserve">Involvement of users in design and </w:t>
            </w:r>
            <w:proofErr w:type="gramStart"/>
            <w:r w:rsidRPr="006526B5">
              <w:t>implementation;</w:t>
            </w:r>
            <w:proofErr w:type="gramEnd"/>
          </w:p>
          <w:p w14:paraId="75ACF313" w14:textId="65D84E0F" w:rsidR="00E9700E" w:rsidRPr="006526B5" w:rsidRDefault="00E9700E" w:rsidP="009742AB">
            <w:pPr>
              <w:pStyle w:val="Tablebullet1"/>
            </w:pPr>
            <w:r w:rsidRPr="006526B5">
              <w:t>Maintaining downtime procedures.</w:t>
            </w:r>
          </w:p>
          <w:p w14:paraId="06F616F8" w14:textId="77777777" w:rsidR="00E9700E" w:rsidRPr="00874C65" w:rsidRDefault="00E9700E" w:rsidP="00874C65">
            <w:pPr>
              <w:pStyle w:val="Tabletext"/>
            </w:pPr>
            <w:r w:rsidRPr="00874C65">
              <w:t>Systems must be designed for safety, mandating best practice where possible.</w:t>
            </w:r>
          </w:p>
          <w:p w14:paraId="29DBCD56" w14:textId="77777777" w:rsidR="00E9700E" w:rsidRPr="00874C65" w:rsidRDefault="00E9700E" w:rsidP="00874C65">
            <w:pPr>
              <w:pStyle w:val="Tabletext"/>
            </w:pPr>
            <w:r w:rsidRPr="00874C65">
              <w:t>Appropriate education and training should be provided, but critical safety features should be designed and not dependent on EMR-specific training to maintain safety.</w:t>
            </w:r>
          </w:p>
          <w:p w14:paraId="70611A48" w14:textId="77777777" w:rsidR="00E9700E" w:rsidRPr="00874C65" w:rsidRDefault="00E9700E" w:rsidP="00874C65">
            <w:pPr>
              <w:pStyle w:val="Tabletext"/>
            </w:pPr>
            <w:r w:rsidRPr="00874C65">
              <w:t>Integration between electronic systems should be bidirectional to minimize the chance of error.</w:t>
            </w:r>
          </w:p>
        </w:tc>
      </w:tr>
      <w:tr w:rsidR="00E9700E" w:rsidRPr="00176D37" w14:paraId="269560EA" w14:textId="77777777" w:rsidTr="00A173F8">
        <w:tc>
          <w:tcPr>
            <w:tcW w:w="2830" w:type="dxa"/>
          </w:tcPr>
          <w:p w14:paraId="49B50F00" w14:textId="77777777" w:rsidR="00E9700E" w:rsidRPr="00874C65" w:rsidRDefault="00E9700E" w:rsidP="00874C65">
            <w:pPr>
              <w:pStyle w:val="Tabletext"/>
            </w:pPr>
            <w:r w:rsidRPr="00874C65">
              <w:t>Validation and maintenance</w:t>
            </w:r>
          </w:p>
        </w:tc>
        <w:tc>
          <w:tcPr>
            <w:tcW w:w="7626" w:type="dxa"/>
          </w:tcPr>
          <w:p w14:paraId="420D56A8" w14:textId="77777777" w:rsidR="00E9700E" w:rsidRPr="00874C65" w:rsidRDefault="00E9700E" w:rsidP="00874C65">
            <w:pPr>
              <w:pStyle w:val="Tabletext"/>
            </w:pPr>
            <w:r w:rsidRPr="00874C65">
              <w:t>Validation is required for all transfusion processes.</w:t>
            </w:r>
          </w:p>
          <w:p w14:paraId="14C234D7" w14:textId="77777777" w:rsidR="00E9700E" w:rsidRPr="00874C65" w:rsidRDefault="00E9700E" w:rsidP="00874C65">
            <w:pPr>
              <w:pStyle w:val="Tabletext"/>
            </w:pPr>
            <w:r w:rsidRPr="00874C65">
              <w:t>Interfaces between electronic systems must be specifically validated.</w:t>
            </w:r>
          </w:p>
          <w:p w14:paraId="7971CC5B" w14:textId="77777777" w:rsidR="00E9700E" w:rsidRPr="00874C65" w:rsidRDefault="00E9700E" w:rsidP="00874C65">
            <w:pPr>
              <w:pStyle w:val="Tabletext"/>
            </w:pPr>
            <w:r w:rsidRPr="00874C65">
              <w:t xml:space="preserve">Validation needs to consider software, hardware and integration into the healthcare setting, </w:t>
            </w:r>
            <w:proofErr w:type="gramStart"/>
            <w:r w:rsidRPr="00874C65">
              <w:t>workflow</w:t>
            </w:r>
            <w:proofErr w:type="gramEnd"/>
            <w:r w:rsidRPr="00874C65">
              <w:t xml:space="preserve"> and culture.</w:t>
            </w:r>
          </w:p>
          <w:p w14:paraId="1DB9BE5D" w14:textId="77777777" w:rsidR="00E9700E" w:rsidRPr="00874C65" w:rsidRDefault="00E9700E" w:rsidP="00874C65">
            <w:pPr>
              <w:pStyle w:val="Tabletext"/>
            </w:pPr>
            <w:r w:rsidRPr="00874C65">
              <w:t>Validation should ensure that forcing functions operate within a clinical workflow to achieve the intended aims.</w:t>
            </w:r>
          </w:p>
          <w:p w14:paraId="79C8C0A3" w14:textId="77777777" w:rsidR="00E9700E" w:rsidRPr="00874C65" w:rsidRDefault="00E9700E" w:rsidP="00874C65">
            <w:pPr>
              <w:pStyle w:val="Tabletext"/>
            </w:pPr>
            <w:r w:rsidRPr="00874C65">
              <w:t>Validation should include override and partial system failure procedures.</w:t>
            </w:r>
          </w:p>
          <w:p w14:paraId="1725F785" w14:textId="4338375B" w:rsidR="00E9700E" w:rsidRPr="00874C65" w:rsidRDefault="00E9700E" w:rsidP="006526B5">
            <w:pPr>
              <w:pStyle w:val="Tabletext"/>
            </w:pPr>
            <w:r w:rsidRPr="00874C65">
              <w:t>Maintenance and review of policies and procedures should occur regularly and involve staff in all stages of the</w:t>
            </w:r>
            <w:r w:rsidR="006526B5">
              <w:t xml:space="preserve"> </w:t>
            </w:r>
            <w:r w:rsidRPr="00874C65">
              <w:t>transfusion process.</w:t>
            </w:r>
          </w:p>
        </w:tc>
      </w:tr>
      <w:bookmarkEnd w:id="366"/>
      <w:bookmarkEnd w:id="370"/>
    </w:tbl>
    <w:p w14:paraId="194D9E62" w14:textId="4EAC1D1D" w:rsidR="00B4042B" w:rsidRPr="00B4042B" w:rsidRDefault="00B4042B" w:rsidP="001D693A">
      <w:pPr>
        <w:pStyle w:val="Accessibilitypara"/>
      </w:pPr>
    </w:p>
    <w:sectPr w:rsidR="00B4042B" w:rsidRPr="00B4042B" w:rsidSect="00454A7D">
      <w:headerReference w:type="even" r:id="rId18"/>
      <w:headerReference w:type="default" r:id="rId19"/>
      <w:footerReference w:type="even" r:id="rId20"/>
      <w:footerReference w:type="default" r:id="rId21"/>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33CC" w14:textId="77777777" w:rsidR="003925ED" w:rsidRDefault="003925ED">
      <w:r>
        <w:separator/>
      </w:r>
    </w:p>
    <w:p w14:paraId="0540F98C" w14:textId="77777777" w:rsidR="003925ED" w:rsidRDefault="003925ED"/>
  </w:endnote>
  <w:endnote w:type="continuationSeparator" w:id="0">
    <w:p w14:paraId="53B21B0B" w14:textId="77777777" w:rsidR="003925ED" w:rsidRDefault="003925ED">
      <w:r>
        <w:continuationSeparator/>
      </w:r>
    </w:p>
    <w:p w14:paraId="72C46430" w14:textId="77777777" w:rsidR="003925ED" w:rsidRDefault="00392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B59F"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05E6CF85" wp14:editId="02B3C489">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BA35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E6CF85"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B2BA35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55C2"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5877D7B" wp14:editId="79E5BCF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F09CF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877D7B"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7F09CF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47C8"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7D901690" wp14:editId="1BBE9ECE">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C12CE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901690"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0C12CE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47AE"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7ADF0E7D" wp14:editId="5A3BC074">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12ECF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DF0E7D"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912ECF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E0BD"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41530379" wp14:editId="28B910ED">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AD3EFB"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530379"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9AD3EFB"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5ECB1103" wp14:editId="2F5893C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647C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ECB1103"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E0647C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2C94" w14:textId="77777777" w:rsidR="003925ED" w:rsidRDefault="003925ED" w:rsidP="00207717">
      <w:pPr>
        <w:spacing w:before="120"/>
      </w:pPr>
      <w:r>
        <w:separator/>
      </w:r>
    </w:p>
  </w:footnote>
  <w:footnote w:type="continuationSeparator" w:id="0">
    <w:p w14:paraId="5E057C20" w14:textId="77777777" w:rsidR="003925ED" w:rsidRDefault="003925ED">
      <w:r>
        <w:continuationSeparator/>
      </w:r>
    </w:p>
    <w:p w14:paraId="1377BCC8" w14:textId="77777777" w:rsidR="003925ED" w:rsidRDefault="003925ED"/>
  </w:footnote>
  <w:footnote w:id="1">
    <w:p w14:paraId="7C4CDEB7" w14:textId="63029507" w:rsidR="00E9700E" w:rsidRPr="001F333D" w:rsidRDefault="00E9700E" w:rsidP="00E9700E">
      <w:pPr>
        <w:pStyle w:val="FootnoteText"/>
      </w:pPr>
      <w:r w:rsidRPr="002F4081">
        <w:rPr>
          <w:rStyle w:val="FootnoteReference"/>
        </w:rPr>
        <w:footnoteRef/>
      </w:r>
      <w:r w:rsidRPr="002F4081">
        <w:t xml:space="preserve"> More than one response could be selected</w:t>
      </w:r>
      <w:r w:rsidR="007A0348">
        <w:t>.</w:t>
      </w:r>
    </w:p>
  </w:footnote>
  <w:footnote w:id="2">
    <w:p w14:paraId="2C0902B9" w14:textId="2F08176C" w:rsidR="00E9700E" w:rsidRPr="00E00070" w:rsidRDefault="00E9700E" w:rsidP="00E9700E">
      <w:pPr>
        <w:spacing w:after="0" w:line="240" w:lineRule="auto"/>
        <w:rPr>
          <w:rFonts w:cs="Arial"/>
          <w:sz w:val="18"/>
          <w:szCs w:val="18"/>
        </w:rPr>
      </w:pPr>
      <w:r w:rsidRPr="00E00070">
        <w:rPr>
          <w:rStyle w:val="FootnoteReference"/>
          <w:rFonts w:cs="Arial"/>
          <w:sz w:val="18"/>
          <w:szCs w:val="18"/>
        </w:rPr>
        <w:footnoteRef/>
      </w:r>
      <w:r w:rsidRPr="00E00070">
        <w:rPr>
          <w:rFonts w:cs="Arial"/>
          <w:sz w:val="18"/>
          <w:szCs w:val="18"/>
        </w:rPr>
        <w:t xml:space="preserve"> Two health services were unable to provide a year of implementation as the respondent was not working at the</w:t>
      </w:r>
      <w:r w:rsidR="00DB1164">
        <w:rPr>
          <w:rFonts w:cs="Arial"/>
          <w:sz w:val="18"/>
          <w:szCs w:val="18"/>
        </w:rPr>
        <w:t xml:space="preserve"> health service at the</w:t>
      </w:r>
      <w:r w:rsidRPr="00E00070">
        <w:rPr>
          <w:rFonts w:cs="Arial"/>
          <w:sz w:val="18"/>
          <w:szCs w:val="18"/>
        </w:rPr>
        <w:t xml:space="preserve"> time of implementation</w:t>
      </w:r>
    </w:p>
  </w:footnote>
  <w:footnote w:id="3">
    <w:p w14:paraId="70BA50F1" w14:textId="77777777" w:rsidR="00E9700E" w:rsidRPr="00E00070" w:rsidRDefault="00E9700E" w:rsidP="00E9700E">
      <w:pPr>
        <w:pStyle w:val="FootnoteText"/>
        <w:rPr>
          <w:szCs w:val="18"/>
        </w:rPr>
      </w:pPr>
      <w:r w:rsidRPr="00E00070">
        <w:rPr>
          <w:rStyle w:val="FootnoteReference"/>
          <w:szCs w:val="18"/>
        </w:rPr>
        <w:footnoteRef/>
      </w:r>
      <w:r w:rsidRPr="00E00070">
        <w:rPr>
          <w:szCs w:val="18"/>
        </w:rPr>
        <w:t xml:space="preserve"> More than one response could be selected</w:t>
      </w:r>
    </w:p>
  </w:footnote>
  <w:footnote w:id="4">
    <w:p w14:paraId="36C0104F" w14:textId="77777777" w:rsidR="00E9700E" w:rsidRPr="001F333D" w:rsidRDefault="00E9700E" w:rsidP="00E9700E">
      <w:pPr>
        <w:pStyle w:val="FootnoteText"/>
      </w:pPr>
      <w:r w:rsidRPr="00E00070">
        <w:rPr>
          <w:rStyle w:val="FootnoteReference"/>
          <w:szCs w:val="18"/>
        </w:rPr>
        <w:footnoteRef/>
      </w:r>
      <w:r w:rsidRPr="00E00070">
        <w:rPr>
          <w:szCs w:val="18"/>
        </w:rPr>
        <w:t xml:space="preserve"> Other roles: Extracorporeal life support clinical nurse consultant (ECLS CNC), EMR team, Nurse unit manager, EMR nursing team</w:t>
      </w:r>
    </w:p>
  </w:footnote>
  <w:footnote w:id="5">
    <w:p w14:paraId="013E69C4" w14:textId="674D8DB5" w:rsidR="00E9700E" w:rsidRPr="001F333D" w:rsidRDefault="00E9700E" w:rsidP="00E9700E">
      <w:pPr>
        <w:pStyle w:val="FootnoteText"/>
      </w:pPr>
      <w:r w:rsidRPr="002F4081">
        <w:rPr>
          <w:rStyle w:val="FootnoteReference"/>
        </w:rPr>
        <w:footnoteRef/>
      </w:r>
      <w:r w:rsidRPr="002F4081">
        <w:t xml:space="preserve"> </w:t>
      </w:r>
      <w:bookmarkStart w:id="70" w:name="_Hlk99022064"/>
      <w:r w:rsidRPr="002F4081">
        <w:t>Cumulative responses from 51 respondents, that is at least one respondent per health service</w:t>
      </w:r>
      <w:r w:rsidR="00C16807">
        <w:t>.</w:t>
      </w:r>
      <w:bookmarkEnd w:id="70"/>
    </w:p>
  </w:footnote>
  <w:footnote w:id="6">
    <w:p w14:paraId="526C271E" w14:textId="77777777" w:rsidR="00E9700E" w:rsidRPr="001F333D" w:rsidRDefault="00E9700E" w:rsidP="00E9700E">
      <w:pPr>
        <w:pStyle w:val="FootnoteText"/>
      </w:pPr>
      <w:r w:rsidRPr="002F4081">
        <w:rPr>
          <w:rStyle w:val="FootnoteReference"/>
        </w:rPr>
        <w:footnoteRef/>
      </w:r>
      <w:r w:rsidRPr="002F4081">
        <w:t xml:space="preserve"> More than one response could be selected.</w:t>
      </w:r>
    </w:p>
  </w:footnote>
  <w:footnote w:id="7">
    <w:p w14:paraId="1A259C78" w14:textId="77777777" w:rsidR="00E9700E" w:rsidRPr="002F4081" w:rsidRDefault="00E9700E" w:rsidP="00E9700E">
      <w:pPr>
        <w:pStyle w:val="FootnoteText"/>
      </w:pPr>
      <w:r w:rsidRPr="002F4081">
        <w:rPr>
          <w:rStyle w:val="FootnoteReference"/>
        </w:rPr>
        <w:footnoteRef/>
      </w:r>
      <w:r w:rsidRPr="002F4081">
        <w:t xml:space="preserve"> </w:t>
      </w:r>
      <w:r w:rsidRPr="00B271B7">
        <w:t>Cumulative responses, that is at least one respondent per health service. More than one response could be selected.</w:t>
      </w:r>
    </w:p>
  </w:footnote>
  <w:footnote w:id="8">
    <w:p w14:paraId="2FF05C1F" w14:textId="77777777" w:rsidR="00E9700E" w:rsidRPr="002F4081" w:rsidRDefault="00E9700E" w:rsidP="00E9700E">
      <w:pPr>
        <w:pStyle w:val="FootnoteText"/>
      </w:pPr>
      <w:r w:rsidRPr="002F4081">
        <w:rPr>
          <w:rStyle w:val="FootnoteReference"/>
        </w:rPr>
        <w:footnoteRef/>
      </w:r>
      <w:r w:rsidRPr="002F4081">
        <w:t xml:space="preserve"> More than one response could be selected.</w:t>
      </w:r>
    </w:p>
  </w:footnote>
  <w:footnote w:id="9">
    <w:p w14:paraId="330AD167" w14:textId="503C7DBC" w:rsidR="00E9700E" w:rsidRPr="0049506A" w:rsidRDefault="00E9700E" w:rsidP="00E9700E">
      <w:pPr>
        <w:spacing w:after="0" w:line="240" w:lineRule="auto"/>
        <w:rPr>
          <w:rFonts w:cs="Arial"/>
          <w:sz w:val="18"/>
          <w:szCs w:val="18"/>
        </w:rPr>
      </w:pPr>
      <w:r w:rsidRPr="0049506A">
        <w:rPr>
          <w:rStyle w:val="FootnoteReference"/>
          <w:rFonts w:cs="Arial"/>
          <w:sz w:val="18"/>
          <w:szCs w:val="18"/>
        </w:rPr>
        <w:footnoteRef/>
      </w:r>
      <w:r w:rsidRPr="0049506A">
        <w:rPr>
          <w:rFonts w:cs="Arial"/>
          <w:sz w:val="18"/>
          <w:szCs w:val="18"/>
        </w:rPr>
        <w:t xml:space="preserve"> Health service count based on majority rules</w:t>
      </w:r>
      <w:r w:rsidR="005D3D83">
        <w:rPr>
          <w:rFonts w:cs="Arial"/>
          <w:sz w:val="18"/>
          <w:szCs w:val="18"/>
        </w:rPr>
        <w:t>.</w:t>
      </w:r>
    </w:p>
  </w:footnote>
  <w:footnote w:id="10">
    <w:p w14:paraId="4110227A" w14:textId="1A1EDC5E" w:rsidR="00E9700E" w:rsidRPr="0049506A" w:rsidRDefault="00E9700E" w:rsidP="00E9700E">
      <w:pPr>
        <w:pStyle w:val="FootnoteText"/>
        <w:rPr>
          <w:szCs w:val="18"/>
        </w:rPr>
      </w:pPr>
      <w:r w:rsidRPr="0049506A">
        <w:rPr>
          <w:rStyle w:val="FootnoteReference"/>
          <w:szCs w:val="18"/>
        </w:rPr>
        <w:footnoteRef/>
      </w:r>
      <w:r w:rsidRPr="0049506A">
        <w:rPr>
          <w:szCs w:val="18"/>
        </w:rPr>
        <w:t xml:space="preserve"> </w:t>
      </w:r>
      <w:r w:rsidRPr="0049506A">
        <w:rPr>
          <w:szCs w:val="18"/>
          <w:shd w:val="clear" w:color="auto" w:fill="FFFFFF"/>
        </w:rPr>
        <w:t>Blood components are RBC, FFP, platelets and cryoprecipitate. Blood products are manufactured or batch products</w:t>
      </w:r>
      <w:r w:rsidR="005D3D83">
        <w:rPr>
          <w:szCs w:val="18"/>
          <w:shd w:val="clear" w:color="auto" w:fill="FFFFFF"/>
        </w:rPr>
        <w:t>.</w:t>
      </w:r>
    </w:p>
  </w:footnote>
  <w:footnote w:id="11">
    <w:p w14:paraId="230775CB" w14:textId="77777777" w:rsidR="00E9700E" w:rsidRPr="007647EE" w:rsidRDefault="00E9700E" w:rsidP="00E9700E">
      <w:pPr>
        <w:pStyle w:val="FootnoteText"/>
        <w:rPr>
          <w:szCs w:val="18"/>
        </w:rPr>
      </w:pPr>
      <w:r w:rsidRPr="0049506A">
        <w:rPr>
          <w:rStyle w:val="FootnoteReference"/>
          <w:szCs w:val="18"/>
        </w:rPr>
        <w:footnoteRef/>
      </w:r>
      <w:r w:rsidRPr="0049506A">
        <w:rPr>
          <w:szCs w:val="18"/>
        </w:rPr>
        <w:t xml:space="preserve"> </w:t>
      </w:r>
      <w:r w:rsidRPr="0049506A">
        <w:rPr>
          <w:szCs w:val="18"/>
          <w:shd w:val="clear" w:color="auto" w:fill="FFFFFF"/>
        </w:rPr>
        <w:t>Decision support in this context would include things such as: alerts; best practice advisories (BPA); and/or mandatory questions that lead to a suggested action</w:t>
      </w:r>
    </w:p>
  </w:footnote>
  <w:footnote w:id="12">
    <w:p w14:paraId="703EAD8E" w14:textId="77777777" w:rsidR="00E9700E" w:rsidRPr="00B63A61" w:rsidRDefault="00E9700E" w:rsidP="00E9700E">
      <w:pPr>
        <w:rPr>
          <w:rFonts w:cs="Arial"/>
          <w:sz w:val="18"/>
          <w:szCs w:val="18"/>
        </w:rPr>
      </w:pPr>
      <w:r w:rsidRPr="00B63A61">
        <w:rPr>
          <w:rStyle w:val="FootnoteReference"/>
          <w:rFonts w:cs="Arial"/>
          <w:sz w:val="18"/>
          <w:szCs w:val="18"/>
        </w:rPr>
        <w:footnoteRef/>
      </w:r>
      <w:r w:rsidRPr="00B63A61">
        <w:rPr>
          <w:rFonts w:cs="Arial"/>
          <w:sz w:val="18"/>
          <w:szCs w:val="18"/>
        </w:rPr>
        <w:t xml:space="preserve"> Cumulative responses, that is at least one respondent per health service </w:t>
      </w:r>
    </w:p>
    <w:p w14:paraId="2F95255C" w14:textId="77777777" w:rsidR="00E9700E" w:rsidRPr="001F333D" w:rsidRDefault="00E9700E" w:rsidP="00E9700E">
      <w:pPr>
        <w:pStyle w:val="FootnoteText"/>
      </w:pPr>
      <w:r>
        <w:t xml:space="preserve"> </w:t>
      </w:r>
    </w:p>
  </w:footnote>
  <w:footnote w:id="13">
    <w:p w14:paraId="07C70F2B" w14:textId="3D95BA48" w:rsidR="00E9700E" w:rsidRPr="001F333D" w:rsidRDefault="00E9700E" w:rsidP="00E9700E">
      <w:pPr>
        <w:pStyle w:val="FootnoteText"/>
      </w:pPr>
      <w:r w:rsidRPr="002F4081">
        <w:rPr>
          <w:rStyle w:val="FootnoteReference"/>
        </w:rPr>
        <w:footnoteRef/>
      </w:r>
      <w:r w:rsidRPr="002F4081">
        <w:t xml:space="preserve"> </w:t>
      </w:r>
      <w:bookmarkStart w:id="126" w:name="_Hlk99022257"/>
      <w:r w:rsidRPr="00B63A61">
        <w:t>Individual responses reported</w:t>
      </w:r>
      <w:bookmarkEnd w:id="126"/>
      <w:r w:rsidR="001D3FB5">
        <w:t>.</w:t>
      </w:r>
    </w:p>
  </w:footnote>
  <w:footnote w:id="14">
    <w:p w14:paraId="7A9DA8CD" w14:textId="732C6A40" w:rsidR="00E9700E" w:rsidRPr="005B1CFD" w:rsidRDefault="00E9700E" w:rsidP="00E9700E">
      <w:pPr>
        <w:pStyle w:val="FootnoteText"/>
        <w:rPr>
          <w:szCs w:val="18"/>
        </w:rPr>
      </w:pPr>
      <w:r w:rsidRPr="005B1CFD">
        <w:rPr>
          <w:rStyle w:val="FootnoteReference"/>
          <w:szCs w:val="18"/>
        </w:rPr>
        <w:footnoteRef/>
      </w:r>
      <w:r w:rsidRPr="005B1CFD">
        <w:rPr>
          <w:szCs w:val="18"/>
        </w:rPr>
        <w:t xml:space="preserve"> Health service count based on majority rules</w:t>
      </w:r>
      <w:r w:rsidR="005C7ADA">
        <w:rPr>
          <w:szCs w:val="18"/>
        </w:rPr>
        <w:t>.</w:t>
      </w:r>
    </w:p>
  </w:footnote>
  <w:footnote w:id="15">
    <w:p w14:paraId="0D61CBEB" w14:textId="77777777" w:rsidR="00E9700E" w:rsidRPr="00D5653D" w:rsidRDefault="00E9700E" w:rsidP="00E9700E">
      <w:pPr>
        <w:spacing w:after="0"/>
        <w:rPr>
          <w:rFonts w:cs="Arial"/>
          <w:sz w:val="20"/>
        </w:rPr>
      </w:pPr>
      <w:r w:rsidRPr="005B1CFD">
        <w:rPr>
          <w:rStyle w:val="FootnoteReference"/>
          <w:rFonts w:cs="Arial"/>
          <w:sz w:val="18"/>
          <w:szCs w:val="18"/>
        </w:rPr>
        <w:footnoteRef/>
      </w:r>
      <w:r w:rsidRPr="005B1CFD">
        <w:rPr>
          <w:rFonts w:cs="Arial"/>
          <w:sz w:val="18"/>
          <w:szCs w:val="18"/>
        </w:rPr>
        <w:t xml:space="preserve"> Cumulative responses, that is at least one respondent per health service. More than one response could be selected.</w:t>
      </w:r>
    </w:p>
  </w:footnote>
  <w:footnote w:id="16">
    <w:p w14:paraId="7BD8AB31" w14:textId="1C18DBDD" w:rsidR="00E9700E" w:rsidRPr="00EB2069" w:rsidRDefault="00E9700E" w:rsidP="00E9700E">
      <w:pPr>
        <w:pStyle w:val="FootnoteText"/>
      </w:pPr>
      <w:r w:rsidRPr="00D5653D">
        <w:rPr>
          <w:rStyle w:val="FootnoteReference"/>
        </w:rPr>
        <w:footnoteRef/>
      </w:r>
      <w:r w:rsidRPr="00D5653D">
        <w:t xml:space="preserve"> Number of individual responses</w:t>
      </w:r>
      <w:r w:rsidR="005C7ADA">
        <w:t>.</w:t>
      </w:r>
    </w:p>
  </w:footnote>
  <w:footnote w:id="17">
    <w:p w14:paraId="422C792D" w14:textId="799B6BDE" w:rsidR="00E9700E" w:rsidRDefault="00E9700E" w:rsidP="00E9700E">
      <w:pPr>
        <w:pStyle w:val="FootnoteText"/>
      </w:pPr>
      <w:r w:rsidRPr="00EB2069">
        <w:rPr>
          <w:rStyle w:val="FootnoteReference"/>
        </w:rPr>
        <w:footnoteRef/>
      </w:r>
      <w:r w:rsidRPr="00EB2069">
        <w:t xml:space="preserve"> Battery life only asked </w:t>
      </w:r>
      <w:r w:rsidR="005C7ADA">
        <w:t>of</w:t>
      </w:r>
      <w:r w:rsidR="005C7ADA" w:rsidRPr="00EB2069">
        <w:t xml:space="preserve"> </w:t>
      </w:r>
      <w:r w:rsidRPr="00EB2069">
        <w:t xml:space="preserve">respondents from </w:t>
      </w:r>
      <w:r w:rsidR="005C7ADA">
        <w:t>seven</w:t>
      </w:r>
      <w:r w:rsidRPr="00EB2069">
        <w:t xml:space="preserve"> health services who use mobile printers (1 clinical, 4 </w:t>
      </w:r>
      <w:proofErr w:type="gramStart"/>
      <w:r w:rsidRPr="00EB2069">
        <w:t>medical</w:t>
      </w:r>
      <w:proofErr w:type="gramEnd"/>
      <w:r w:rsidRPr="00EB2069">
        <w:t>, 7 quality)</w:t>
      </w:r>
      <w:r w:rsidR="005C7ADA">
        <w:t>.</w:t>
      </w:r>
    </w:p>
  </w:footnote>
  <w:footnote w:id="18">
    <w:p w14:paraId="3F318F49" w14:textId="468FB4BE" w:rsidR="00E9700E" w:rsidRPr="002F4081" w:rsidRDefault="00E9700E" w:rsidP="00E9700E">
      <w:pPr>
        <w:pStyle w:val="FootnoteText"/>
      </w:pPr>
      <w:r w:rsidRPr="002F4081">
        <w:rPr>
          <w:rStyle w:val="FootnoteReference"/>
        </w:rPr>
        <w:footnoteRef/>
      </w:r>
      <w:r w:rsidRPr="002F4081">
        <w:t xml:space="preserve"> Number of individual responses</w:t>
      </w:r>
      <w:r w:rsidR="00011362">
        <w:t>.</w:t>
      </w:r>
    </w:p>
  </w:footnote>
  <w:footnote w:id="19">
    <w:p w14:paraId="6B52B87C" w14:textId="77777777" w:rsidR="00E9700E" w:rsidRPr="00E52DB1" w:rsidRDefault="00E9700E" w:rsidP="00E9700E">
      <w:pPr>
        <w:pStyle w:val="FootnoteText"/>
        <w:rPr>
          <w:szCs w:val="18"/>
        </w:rPr>
      </w:pPr>
      <w:r w:rsidRPr="002F4081">
        <w:rPr>
          <w:rStyle w:val="FootnoteReference"/>
        </w:rPr>
        <w:footnoteRef/>
      </w:r>
      <w:r w:rsidRPr="002F4081">
        <w:rPr>
          <w:rFonts w:eastAsia="Times New Roman"/>
          <w:lang w:eastAsia="en-AU"/>
        </w:rPr>
        <w:t xml:space="preserve"> Paper form</w:t>
      </w:r>
    </w:p>
  </w:footnote>
  <w:footnote w:id="20">
    <w:p w14:paraId="5F7C6C80" w14:textId="7C224BB4" w:rsidR="00E9700E" w:rsidRPr="00693434" w:rsidRDefault="00E9700E" w:rsidP="00E9700E">
      <w:pPr>
        <w:pStyle w:val="FootnoteText"/>
      </w:pPr>
      <w:r w:rsidRPr="00693434">
        <w:rPr>
          <w:rStyle w:val="FootnoteReference"/>
        </w:rPr>
        <w:footnoteRef/>
      </w:r>
      <w:r w:rsidRPr="00693434">
        <w:t xml:space="preserve"> Health service count based on majority rules</w:t>
      </w:r>
      <w:r w:rsidR="00E60AED">
        <w:t>.</w:t>
      </w:r>
    </w:p>
  </w:footnote>
  <w:footnote w:id="21">
    <w:p w14:paraId="435B434A" w14:textId="479E880F" w:rsidR="00E9700E" w:rsidRPr="002F4081" w:rsidRDefault="00E9700E" w:rsidP="00E9700E">
      <w:pPr>
        <w:pStyle w:val="FootnoteText"/>
      </w:pPr>
      <w:r w:rsidRPr="002F4081">
        <w:rPr>
          <w:rStyle w:val="FootnoteReference"/>
        </w:rPr>
        <w:footnoteRef/>
      </w:r>
      <w:r w:rsidRPr="002F4081">
        <w:t xml:space="preserve"> Health service count based on majority rules</w:t>
      </w:r>
      <w:r w:rsidR="00E60AED">
        <w:t>.</w:t>
      </w:r>
    </w:p>
  </w:footnote>
  <w:footnote w:id="22">
    <w:p w14:paraId="1F315117" w14:textId="77777777" w:rsidR="00E9700E" w:rsidRPr="001F333D" w:rsidRDefault="00E9700E" w:rsidP="00E9700E">
      <w:pPr>
        <w:pStyle w:val="FootnoteText"/>
      </w:pPr>
      <w:r w:rsidRPr="002F4081">
        <w:rPr>
          <w:rStyle w:val="FootnoteReference"/>
        </w:rPr>
        <w:footnoteRef/>
      </w:r>
      <w:r w:rsidRPr="002F4081">
        <w:t xml:space="preserve"> Cumulative responses, that is at least one respondent per health service</w:t>
      </w:r>
      <w:r>
        <w:t>. More than one response could be selected.</w:t>
      </w:r>
    </w:p>
    <w:p w14:paraId="4200A5B7" w14:textId="77777777" w:rsidR="00E9700E" w:rsidRPr="001F333D" w:rsidRDefault="00E9700E" w:rsidP="00E9700E">
      <w:pPr>
        <w:pStyle w:val="FootnoteText"/>
      </w:pPr>
    </w:p>
  </w:footnote>
  <w:footnote w:id="23">
    <w:p w14:paraId="2DE22676" w14:textId="4E121E59" w:rsidR="00E9700E" w:rsidRPr="001F333D" w:rsidRDefault="00E9700E" w:rsidP="00E9700E">
      <w:pPr>
        <w:pStyle w:val="FootnoteText"/>
        <w:rPr>
          <w:rFonts w:eastAsia="Arial"/>
        </w:rPr>
      </w:pPr>
      <w:r w:rsidRPr="002F4081">
        <w:rPr>
          <w:rStyle w:val="FootnoteReference"/>
          <w:rFonts w:eastAsia="Arial"/>
        </w:rPr>
        <w:footnoteRef/>
      </w:r>
      <w:r w:rsidR="00965BEE">
        <w:t xml:space="preserve"> </w:t>
      </w:r>
      <w:r w:rsidRPr="002F4081">
        <w:t>Health service count based on majority rules</w:t>
      </w:r>
    </w:p>
  </w:footnote>
  <w:footnote w:id="24">
    <w:p w14:paraId="57EA538F" w14:textId="77777777" w:rsidR="00E9700E" w:rsidRPr="00300502" w:rsidRDefault="00E9700E" w:rsidP="00E9700E">
      <w:pPr>
        <w:pStyle w:val="FootnoteText"/>
      </w:pPr>
      <w:r w:rsidRPr="00300502">
        <w:rPr>
          <w:rStyle w:val="FootnoteReference"/>
        </w:rPr>
        <w:footnoteRef/>
      </w:r>
      <w:r w:rsidRPr="00300502">
        <w:t xml:space="preserve"> Health service count based on majority rules</w:t>
      </w:r>
    </w:p>
  </w:footnote>
  <w:footnote w:id="25">
    <w:p w14:paraId="539474DB" w14:textId="4DB511D7" w:rsidR="00E9700E" w:rsidRPr="001F333D" w:rsidRDefault="00E9700E" w:rsidP="00E9700E">
      <w:pPr>
        <w:pStyle w:val="FootnoteText"/>
        <w:rPr>
          <w:rFonts w:eastAsia="Arial"/>
        </w:rPr>
      </w:pPr>
      <w:r w:rsidRPr="001F333D">
        <w:rPr>
          <w:rStyle w:val="FootnoteReference"/>
          <w:rFonts w:eastAsia="Arial"/>
        </w:rPr>
        <w:footnoteRef/>
      </w:r>
      <w:r w:rsidRPr="001F333D">
        <w:rPr>
          <w:rFonts w:eastAsia="Arial"/>
        </w:rPr>
        <w:t xml:space="preserve"> </w:t>
      </w:r>
      <w:r w:rsidRPr="002F4081">
        <w:t>Health service count based on majority rules</w:t>
      </w:r>
      <w:r w:rsidR="00F51235">
        <w:t>.</w:t>
      </w:r>
    </w:p>
  </w:footnote>
  <w:footnote w:id="26">
    <w:p w14:paraId="0153E295" w14:textId="0AC7E75A" w:rsidR="00E9700E" w:rsidRDefault="00E9700E" w:rsidP="00E9700E">
      <w:pPr>
        <w:pStyle w:val="FootnoteText"/>
      </w:pPr>
      <w:r>
        <w:rPr>
          <w:rStyle w:val="FootnoteReference"/>
        </w:rPr>
        <w:footnoteRef/>
      </w:r>
      <w:r>
        <w:t xml:space="preserve"> </w:t>
      </w:r>
      <w:r w:rsidRPr="00500070">
        <w:t>Number of individual responses</w:t>
      </w:r>
      <w:r w:rsidR="00D33D62">
        <w:t>.</w:t>
      </w:r>
    </w:p>
  </w:footnote>
  <w:footnote w:id="27">
    <w:p w14:paraId="0A282C9F" w14:textId="7D586C8A" w:rsidR="00E9700E" w:rsidRPr="00444BEA" w:rsidRDefault="00E9700E" w:rsidP="00E9700E">
      <w:pPr>
        <w:pStyle w:val="FootnoteText"/>
      </w:pPr>
      <w:r w:rsidRPr="00444BEA">
        <w:rPr>
          <w:rStyle w:val="FootnoteReference"/>
        </w:rPr>
        <w:footnoteRef/>
      </w:r>
      <w:r w:rsidRPr="00444BEA">
        <w:t xml:space="preserve"> </w:t>
      </w:r>
      <w:r w:rsidRPr="002F4081">
        <w:t>Number of individual responses</w:t>
      </w:r>
      <w:r w:rsidR="00D33D62">
        <w:t>.</w:t>
      </w:r>
    </w:p>
  </w:footnote>
  <w:footnote w:id="28">
    <w:p w14:paraId="6D67ACE3" w14:textId="17AB2F4F" w:rsidR="00273BD8" w:rsidRDefault="00273BD8">
      <w:pPr>
        <w:pStyle w:val="FootnoteText"/>
      </w:pPr>
      <w:r>
        <w:rPr>
          <w:rStyle w:val="FootnoteReference"/>
        </w:rPr>
        <w:footnoteRef/>
      </w:r>
      <w:r>
        <w:t xml:space="preserve"> More than one response could be selected</w:t>
      </w:r>
      <w:r w:rsidR="006A55E6">
        <w:t>.</w:t>
      </w:r>
    </w:p>
  </w:footnote>
  <w:footnote w:id="29">
    <w:p w14:paraId="424495F9" w14:textId="6656BCBC" w:rsidR="00E9700E" w:rsidRDefault="00E9700E" w:rsidP="00E9700E">
      <w:pPr>
        <w:pStyle w:val="FootnoteText"/>
      </w:pPr>
      <w:r>
        <w:rPr>
          <w:rStyle w:val="FootnoteReference"/>
        </w:rPr>
        <w:footnoteRef/>
      </w:r>
      <w:r>
        <w:t xml:space="preserve"> </w:t>
      </w:r>
      <w:r w:rsidRPr="001E461E">
        <w:t xml:space="preserve">More than one </w:t>
      </w:r>
      <w:r w:rsidR="009316C1">
        <w:t>‘</w:t>
      </w:r>
      <w:r w:rsidRPr="001E461E">
        <w:t>considered but not actioned</w:t>
      </w:r>
      <w:r w:rsidR="009316C1">
        <w:t>’</w:t>
      </w:r>
      <w:r w:rsidR="009316C1" w:rsidRPr="001E461E">
        <w:t xml:space="preserve"> </w:t>
      </w:r>
      <w:r w:rsidRPr="001E461E">
        <w:t xml:space="preserve">options </w:t>
      </w:r>
      <w:r>
        <w:t>could</w:t>
      </w:r>
      <w:r w:rsidRPr="001E461E">
        <w:t xml:space="preserve"> be selected.</w:t>
      </w:r>
    </w:p>
  </w:footnote>
  <w:footnote w:id="30">
    <w:p w14:paraId="5C3A3800" w14:textId="101EE8C5" w:rsidR="00E9700E" w:rsidRPr="00E52DB1" w:rsidRDefault="00E9700E" w:rsidP="00E9700E">
      <w:pPr>
        <w:spacing w:before="100" w:beforeAutospacing="1" w:line="360" w:lineRule="auto"/>
        <w:rPr>
          <w:rFonts w:cs="Arial"/>
          <w:sz w:val="20"/>
        </w:rPr>
      </w:pPr>
      <w:r w:rsidRPr="00E52DB1">
        <w:rPr>
          <w:rStyle w:val="FootnoteReference"/>
          <w:rFonts w:cs="Arial"/>
          <w:sz w:val="20"/>
        </w:rPr>
        <w:footnoteRef/>
      </w:r>
      <w:r w:rsidRPr="00E52DB1">
        <w:rPr>
          <w:rFonts w:cs="Arial"/>
          <w:sz w:val="20"/>
        </w:rPr>
        <w:t xml:space="preserve"> </w:t>
      </w:r>
      <w:r w:rsidRPr="001C1EA8">
        <w:rPr>
          <w:rFonts w:cs="Arial"/>
          <w:sz w:val="20"/>
        </w:rPr>
        <w:t>Multiple respondents from within a health service, that is at least one respondent per health service</w:t>
      </w:r>
      <w:r w:rsidR="005F5EA5">
        <w:rPr>
          <w:rFonts w:cs="Arial"/>
          <w:sz w:val="20"/>
        </w:rPr>
        <w:t>.</w:t>
      </w:r>
    </w:p>
    <w:p w14:paraId="4083458C" w14:textId="77777777" w:rsidR="00E9700E" w:rsidRPr="001F333D" w:rsidRDefault="00E9700E" w:rsidP="00E9700E">
      <w:pPr>
        <w:pStyle w:val="FootnoteText"/>
      </w:pPr>
    </w:p>
  </w:footnote>
  <w:footnote w:id="31">
    <w:p w14:paraId="070FD4C5" w14:textId="77777777" w:rsidR="00E9700E" w:rsidRPr="00C50B8E" w:rsidRDefault="00E9700E" w:rsidP="00E9700E">
      <w:pPr>
        <w:pStyle w:val="FootnoteText"/>
      </w:pPr>
      <w:r w:rsidRPr="00C50B8E">
        <w:rPr>
          <w:rStyle w:val="FootnoteReference"/>
        </w:rPr>
        <w:footnoteRef/>
      </w:r>
      <w:r w:rsidRPr="00C50B8E">
        <w:t xml:space="preserve"> </w:t>
      </w:r>
      <w:r w:rsidRPr="002F4081">
        <w:t>More than one response could be selected</w:t>
      </w:r>
    </w:p>
  </w:footnote>
  <w:footnote w:id="32">
    <w:p w14:paraId="056232EE" w14:textId="77777777" w:rsidR="00E9700E" w:rsidRPr="001E461E" w:rsidRDefault="00E9700E" w:rsidP="00E9700E">
      <w:pPr>
        <w:pStyle w:val="FootnoteText"/>
      </w:pPr>
      <w:r w:rsidRPr="001E461E">
        <w:rPr>
          <w:rStyle w:val="FootnoteReference"/>
        </w:rPr>
        <w:footnoteRef/>
      </w:r>
      <w:r w:rsidRPr="001E461E">
        <w:t xml:space="preserve"> </w:t>
      </w:r>
      <w:r w:rsidRPr="002F4081">
        <w:t>More than one response could be selected.</w:t>
      </w:r>
    </w:p>
  </w:footnote>
  <w:footnote w:id="33">
    <w:p w14:paraId="23489221" w14:textId="77777777" w:rsidR="00E9700E" w:rsidRPr="001F333D" w:rsidRDefault="00E9700E" w:rsidP="00E9700E">
      <w:pPr>
        <w:pStyle w:val="FootnoteText"/>
      </w:pPr>
      <w:r w:rsidRPr="001F333D">
        <w:rPr>
          <w:rStyle w:val="FootnoteReference"/>
        </w:rPr>
        <w:footnoteRef/>
      </w:r>
      <w:r w:rsidRPr="001F333D">
        <w:t xml:space="preserve"> </w:t>
      </w:r>
      <w:r w:rsidRPr="002F4081">
        <w:t>Health service count</w:t>
      </w:r>
      <w:r>
        <w:t xml:space="preserve"> </w:t>
      </w:r>
      <w:r w:rsidRPr="002F4081">
        <w:t>based on majority rules</w:t>
      </w:r>
    </w:p>
  </w:footnote>
  <w:footnote w:id="34">
    <w:p w14:paraId="321AC246" w14:textId="2AB82624" w:rsidR="00E9700E" w:rsidRPr="00D80552" w:rsidRDefault="00E9700E" w:rsidP="00E9700E">
      <w:pPr>
        <w:pStyle w:val="FootnoteText"/>
      </w:pPr>
      <w:r w:rsidRPr="00D80552">
        <w:rPr>
          <w:rStyle w:val="FootnoteReference"/>
        </w:rPr>
        <w:footnoteRef/>
      </w:r>
      <w:r w:rsidRPr="00D80552">
        <w:t xml:space="preserve"> Figures differ from </w:t>
      </w:r>
      <w:r w:rsidRPr="00BD5382">
        <w:fldChar w:fldCharType="begin"/>
      </w:r>
      <w:r w:rsidRPr="00BD5382">
        <w:instrText xml:space="preserve"> REF _Ref100675630 \h </w:instrText>
      </w:r>
      <w:r>
        <w:instrText xml:space="preserve"> \* MERGEFORMAT </w:instrText>
      </w:r>
      <w:r w:rsidRPr="00BD5382">
        <w:fldChar w:fldCharType="separate"/>
      </w:r>
      <w:r w:rsidR="00E73E2F" w:rsidRPr="00176D37">
        <w:t xml:space="preserve">Table </w:t>
      </w:r>
      <w:r w:rsidR="00E73E2F">
        <w:rPr>
          <w:noProof/>
        </w:rPr>
        <w:t>36</w:t>
      </w:r>
      <w:r w:rsidRPr="00BD5382">
        <w:fldChar w:fldCharType="end"/>
      </w:r>
      <w:r w:rsidRPr="00BD5382">
        <w:t xml:space="preserve"> d</w:t>
      </w:r>
      <w:r w:rsidRPr="00D80552">
        <w:t>ue to a different group of respondents</w:t>
      </w:r>
      <w:r w:rsidR="00B37EF9">
        <w:t>.</w:t>
      </w:r>
    </w:p>
  </w:footnote>
  <w:footnote w:id="35">
    <w:p w14:paraId="479BB971" w14:textId="78C3ACEF" w:rsidR="00E9700E" w:rsidRPr="001F333D" w:rsidRDefault="00E9700E" w:rsidP="00E9700E">
      <w:pPr>
        <w:pStyle w:val="FootnoteText"/>
      </w:pPr>
      <w:r w:rsidRPr="001F333D">
        <w:rPr>
          <w:rStyle w:val="FootnoteReference"/>
        </w:rPr>
        <w:footnoteRef/>
      </w:r>
      <w:r w:rsidRPr="001F333D">
        <w:t xml:space="preserve"> M</w:t>
      </w:r>
      <w:r>
        <w:t xml:space="preserve">ore than one </w:t>
      </w:r>
      <w:r w:rsidRPr="001F333D">
        <w:t xml:space="preserve">response could be </w:t>
      </w:r>
      <w:r>
        <w:t>selected</w:t>
      </w:r>
      <w:r w:rsidR="00436CFC">
        <w:t>.</w:t>
      </w:r>
    </w:p>
  </w:footnote>
  <w:footnote w:id="36">
    <w:p w14:paraId="3C25FEDD" w14:textId="77777777" w:rsidR="00E9700E" w:rsidRPr="00AE569D" w:rsidRDefault="00E9700E" w:rsidP="00E9700E">
      <w:pPr>
        <w:pStyle w:val="FootnoteText"/>
      </w:pPr>
      <w:r w:rsidRPr="00AE569D">
        <w:rPr>
          <w:rStyle w:val="FootnoteReference"/>
        </w:rPr>
        <w:footnoteRef/>
      </w:r>
      <w:r w:rsidRPr="00AE569D">
        <w:t xml:space="preserve"> Number of health services</w:t>
      </w:r>
    </w:p>
  </w:footnote>
  <w:footnote w:id="37">
    <w:p w14:paraId="18AF43D2" w14:textId="77777777" w:rsidR="00E9700E" w:rsidRPr="001F333D" w:rsidRDefault="00E9700E" w:rsidP="00E9700E">
      <w:pPr>
        <w:pStyle w:val="FootnoteText"/>
      </w:pPr>
      <w:r w:rsidRPr="00AE569D">
        <w:rPr>
          <w:rStyle w:val="FootnoteReference"/>
        </w:rPr>
        <w:footnoteRef/>
      </w:r>
      <w:r w:rsidRPr="00AE569D">
        <w:t xml:space="preserve"> Health service count based on majority rules</w:t>
      </w:r>
    </w:p>
  </w:footnote>
  <w:footnote w:id="38">
    <w:p w14:paraId="16C99979" w14:textId="77777777" w:rsidR="00E9700E" w:rsidRPr="001F333D" w:rsidRDefault="00E9700E" w:rsidP="00E9700E">
      <w:pPr>
        <w:pStyle w:val="FootnoteText"/>
      </w:pPr>
      <w:r w:rsidRPr="001F333D">
        <w:rPr>
          <w:rStyle w:val="FootnoteReference"/>
        </w:rPr>
        <w:footnoteRef/>
      </w:r>
      <w:r w:rsidRPr="001F333D">
        <w:t xml:space="preserve"> Cumulative responses</w:t>
      </w:r>
      <w:r w:rsidRPr="002F4081">
        <w:t>, that is at least one respondent per health service</w:t>
      </w:r>
      <w:r>
        <w:t xml:space="preserve">. </w:t>
      </w:r>
      <w:r w:rsidRPr="002F4081">
        <w:t>More than one response could be selected.</w:t>
      </w:r>
    </w:p>
  </w:footnote>
  <w:footnote w:id="39">
    <w:p w14:paraId="4F1163B0" w14:textId="77777777" w:rsidR="00E9700E" w:rsidRPr="00D054BD" w:rsidRDefault="00E9700E" w:rsidP="00E9700E">
      <w:pPr>
        <w:pStyle w:val="FootnoteText"/>
      </w:pPr>
      <w:r w:rsidRPr="00D054BD">
        <w:rPr>
          <w:rStyle w:val="FootnoteReference"/>
        </w:rPr>
        <w:footnoteRef/>
      </w:r>
      <w:r w:rsidRPr="00D054BD">
        <w:t xml:space="preserve"> Number of individual responses</w:t>
      </w:r>
    </w:p>
  </w:footnote>
  <w:footnote w:id="40">
    <w:p w14:paraId="692A41A2" w14:textId="77777777" w:rsidR="00E9700E" w:rsidRDefault="00E9700E" w:rsidP="00E9700E">
      <w:pPr>
        <w:pStyle w:val="FootnoteText"/>
      </w:pPr>
      <w:r>
        <w:rPr>
          <w:rStyle w:val="FootnoteReference"/>
        </w:rPr>
        <w:footnoteRef/>
      </w:r>
      <w:r>
        <w:t xml:space="preserve"> </w:t>
      </w:r>
      <w:r w:rsidRPr="002F4081">
        <w:t>Number of individual responses</w:t>
      </w:r>
      <w:r w:rsidRPr="001F333D">
        <w:t xml:space="preserve"> </w:t>
      </w:r>
    </w:p>
  </w:footnote>
  <w:footnote w:id="41">
    <w:p w14:paraId="1524D6DF" w14:textId="2FBD18D9" w:rsidR="00E9700E" w:rsidRPr="001209A8" w:rsidRDefault="00E9700E" w:rsidP="00E9700E">
      <w:pPr>
        <w:pStyle w:val="FootnoteText"/>
      </w:pPr>
      <w:r w:rsidRPr="001209A8">
        <w:rPr>
          <w:rStyle w:val="FootnoteReference"/>
        </w:rPr>
        <w:footnoteRef/>
      </w:r>
      <w:r w:rsidRPr="001209A8">
        <w:t xml:space="preserve"> Number of individual responses</w:t>
      </w:r>
      <w:r w:rsidR="00683C15">
        <w:t>.</w:t>
      </w:r>
    </w:p>
  </w:footnote>
  <w:footnote w:id="42">
    <w:p w14:paraId="4153D585" w14:textId="7B1EEDC7" w:rsidR="00E9700E" w:rsidRPr="003B1E2C" w:rsidRDefault="00E9700E" w:rsidP="00E9700E">
      <w:pPr>
        <w:pStyle w:val="FootnoteText"/>
      </w:pPr>
      <w:r w:rsidRPr="001209A8">
        <w:rPr>
          <w:rStyle w:val="FootnoteReference"/>
        </w:rPr>
        <w:footnoteRef/>
      </w:r>
      <w:r w:rsidRPr="001209A8">
        <w:t xml:space="preserve"> Figures differ from </w:t>
      </w:r>
      <w:r w:rsidRPr="001209A8">
        <w:fldChar w:fldCharType="begin"/>
      </w:r>
      <w:r w:rsidRPr="001209A8">
        <w:instrText xml:space="preserve"> REF _Ref100675630 \h  \* MERGEFORMAT </w:instrText>
      </w:r>
      <w:r w:rsidRPr="001209A8">
        <w:fldChar w:fldCharType="separate"/>
      </w:r>
      <w:r w:rsidR="00E73E2F" w:rsidRPr="00176D37">
        <w:t xml:space="preserve">Table </w:t>
      </w:r>
      <w:r w:rsidR="00E73E2F">
        <w:rPr>
          <w:noProof/>
        </w:rPr>
        <w:t>36</w:t>
      </w:r>
      <w:r w:rsidRPr="001209A8">
        <w:fldChar w:fldCharType="end"/>
      </w:r>
      <w:r w:rsidRPr="001209A8">
        <w:t xml:space="preserve"> due to a different group of respondents</w:t>
      </w:r>
      <w:r w:rsidR="00683C15">
        <w:t>.</w:t>
      </w:r>
    </w:p>
  </w:footnote>
  <w:footnote w:id="43">
    <w:p w14:paraId="4833251C" w14:textId="28936458" w:rsidR="00E9700E" w:rsidRDefault="00E9700E" w:rsidP="00E9700E">
      <w:pPr>
        <w:pStyle w:val="FootnoteText"/>
      </w:pPr>
      <w:r>
        <w:rPr>
          <w:rStyle w:val="FootnoteReference"/>
        </w:rPr>
        <w:footnoteRef/>
      </w:r>
      <w:r>
        <w:t xml:space="preserve"> </w:t>
      </w:r>
      <w:r w:rsidRPr="002F4081">
        <w:t>Number of individual responses</w:t>
      </w:r>
      <w:r w:rsidR="00683C15">
        <w:t>.</w:t>
      </w:r>
    </w:p>
  </w:footnote>
  <w:footnote w:id="44">
    <w:p w14:paraId="6D237C2F" w14:textId="191764CA" w:rsidR="00E9700E" w:rsidRDefault="00E9700E" w:rsidP="00E9700E">
      <w:pPr>
        <w:pStyle w:val="FootnoteText"/>
      </w:pPr>
      <w:r>
        <w:rPr>
          <w:rStyle w:val="FootnoteReference"/>
        </w:rPr>
        <w:footnoteRef/>
      </w:r>
      <w:r>
        <w:t xml:space="preserve"> </w:t>
      </w:r>
      <w:r w:rsidRPr="002F4081">
        <w:t xml:space="preserve">Number of individual </w:t>
      </w:r>
      <w:r w:rsidR="00683C15" w:rsidRPr="002F4081">
        <w:t>responses</w:t>
      </w:r>
      <w:r w:rsidR="00683C15">
        <w:t>.</w:t>
      </w:r>
    </w:p>
  </w:footnote>
  <w:footnote w:id="45">
    <w:p w14:paraId="05600F30" w14:textId="6F32E0EF" w:rsidR="00E9700E" w:rsidRPr="001F333D" w:rsidRDefault="00E9700E" w:rsidP="00E9700E">
      <w:pPr>
        <w:pStyle w:val="FootnoteText"/>
      </w:pPr>
      <w:r w:rsidRPr="001F333D">
        <w:rPr>
          <w:rStyle w:val="FootnoteReference"/>
        </w:rPr>
        <w:footnoteRef/>
      </w:r>
      <w:r w:rsidRPr="001F333D">
        <w:t xml:space="preserve"> Other</w:t>
      </w:r>
      <w:r>
        <w:t xml:space="preserve"> roles</w:t>
      </w:r>
      <w:r w:rsidRPr="001F333D">
        <w:t xml:space="preserve">: </w:t>
      </w:r>
      <w:r w:rsidR="00683C15">
        <w:t>e</w:t>
      </w:r>
      <w:r w:rsidR="00683C15" w:rsidRPr="001F333D">
        <w:t xml:space="preserve">xtracorporeal </w:t>
      </w:r>
      <w:r w:rsidRPr="001F333D">
        <w:t xml:space="preserve">life support clinical nurse consultant (ECLS CNC), EMR team, </w:t>
      </w:r>
      <w:r w:rsidR="00683C15">
        <w:t>n</w:t>
      </w:r>
      <w:r w:rsidR="00683C15" w:rsidRPr="001F333D">
        <w:t xml:space="preserve">urse </w:t>
      </w:r>
      <w:r w:rsidRPr="001F333D">
        <w:t>unit manager, EMR nursing team</w:t>
      </w:r>
      <w:r w:rsidR="00683C15">
        <w:t>.</w:t>
      </w:r>
    </w:p>
  </w:footnote>
  <w:footnote w:id="46">
    <w:p w14:paraId="51335E82" w14:textId="77777777" w:rsidR="00E9700E" w:rsidRPr="001F333D" w:rsidRDefault="00E9700E" w:rsidP="00E9700E">
      <w:pPr>
        <w:pStyle w:val="FootnoteText"/>
      </w:pPr>
      <w:r w:rsidRPr="001F333D">
        <w:rPr>
          <w:rStyle w:val="FootnoteReference"/>
        </w:rPr>
        <w:footnoteRef/>
      </w:r>
      <w:r w:rsidRPr="001F333D">
        <w:t xml:space="preserve"> Cumulative responses, that is at least one respondent per health service</w:t>
      </w:r>
      <w:r>
        <w:t xml:space="preserve">. </w:t>
      </w:r>
      <w:r w:rsidRPr="002F4081">
        <w:t>More than one response could be selected.</w:t>
      </w:r>
    </w:p>
  </w:footnote>
  <w:footnote w:id="47">
    <w:p w14:paraId="3ABD724D" w14:textId="39D3E346" w:rsidR="00E9700E" w:rsidRDefault="00E9700E" w:rsidP="00E9700E">
      <w:pPr>
        <w:pStyle w:val="FootnoteText"/>
      </w:pPr>
      <w:r>
        <w:rPr>
          <w:rStyle w:val="FootnoteReference"/>
        </w:rPr>
        <w:footnoteRef/>
      </w:r>
      <w:r>
        <w:t xml:space="preserve"> </w:t>
      </w:r>
      <w:r w:rsidRPr="001F333D">
        <w:t>Other</w:t>
      </w:r>
      <w:r>
        <w:t xml:space="preserve"> roles</w:t>
      </w:r>
      <w:r w:rsidRPr="001F333D">
        <w:t xml:space="preserve">: </w:t>
      </w:r>
      <w:r w:rsidR="00683C15">
        <w:t>e</w:t>
      </w:r>
      <w:r w:rsidR="00683C15" w:rsidRPr="001F333D">
        <w:t xml:space="preserve">xtracorporeal </w:t>
      </w:r>
      <w:r w:rsidRPr="001F333D">
        <w:t xml:space="preserve">life support clinical nurse consultant (ECLS CNC), EMR team, </w:t>
      </w:r>
      <w:r w:rsidR="00683C15">
        <w:t>n</w:t>
      </w:r>
      <w:r w:rsidR="00683C15" w:rsidRPr="001F333D">
        <w:t xml:space="preserve">urse </w:t>
      </w:r>
      <w:r w:rsidRPr="001F333D">
        <w:t>unit manager, EMR nursing team</w:t>
      </w:r>
      <w:r w:rsidR="00683C1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F6A3"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EE63" w14:textId="36378B2A" w:rsidR="00562811" w:rsidRPr="00E85E78" w:rsidRDefault="00884DEF" w:rsidP="00E85E78">
    <w:pPr>
      <w:pStyle w:val="Header"/>
    </w:pPr>
    <w:r>
      <w:t>Blood Matters EMR survey report 2021</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6AA"/>
    <w:multiLevelType w:val="hybridMultilevel"/>
    <w:tmpl w:val="71D80564"/>
    <w:lvl w:ilvl="0" w:tplc="3C1C4AF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96179C6"/>
    <w:multiLevelType w:val="hybridMultilevel"/>
    <w:tmpl w:val="0480E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58410D"/>
    <w:multiLevelType w:val="hybridMultilevel"/>
    <w:tmpl w:val="7DC2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4607C4"/>
    <w:multiLevelType w:val="hybridMultilevel"/>
    <w:tmpl w:val="4290F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B77B72"/>
    <w:multiLevelType w:val="hybridMultilevel"/>
    <w:tmpl w:val="E432CF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FC6FE6"/>
    <w:multiLevelType w:val="hybridMultilevel"/>
    <w:tmpl w:val="B6160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AA1B7E"/>
    <w:multiLevelType w:val="hybridMultilevel"/>
    <w:tmpl w:val="96F020E4"/>
    <w:lvl w:ilvl="0" w:tplc="5E647E1C">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552D4C"/>
    <w:multiLevelType w:val="hybridMultilevel"/>
    <w:tmpl w:val="D1A2B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B572E2"/>
    <w:multiLevelType w:val="hybridMultilevel"/>
    <w:tmpl w:val="D0583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1F5AFB"/>
    <w:multiLevelType w:val="hybridMultilevel"/>
    <w:tmpl w:val="60C04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F077DE"/>
    <w:multiLevelType w:val="hybridMultilevel"/>
    <w:tmpl w:val="513E4B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9B76F3"/>
    <w:multiLevelType w:val="hybridMultilevel"/>
    <w:tmpl w:val="1E9CB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3B7494"/>
    <w:multiLevelType w:val="hybridMultilevel"/>
    <w:tmpl w:val="46EE9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C5363B"/>
    <w:multiLevelType w:val="hybridMultilevel"/>
    <w:tmpl w:val="82AEC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A6409E"/>
    <w:multiLevelType w:val="hybridMultilevel"/>
    <w:tmpl w:val="0A76A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B3FE4"/>
    <w:multiLevelType w:val="hybridMultilevel"/>
    <w:tmpl w:val="D5524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A90B18"/>
    <w:multiLevelType w:val="hybridMultilevel"/>
    <w:tmpl w:val="AB68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341A33"/>
    <w:multiLevelType w:val="hybridMultilevel"/>
    <w:tmpl w:val="6E485220"/>
    <w:lvl w:ilvl="0" w:tplc="248204F4">
      <w:start w:val="46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B31E06"/>
    <w:multiLevelType w:val="hybridMultilevel"/>
    <w:tmpl w:val="0F2EC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3FAF6FCB"/>
    <w:multiLevelType w:val="hybridMultilevel"/>
    <w:tmpl w:val="1D8CE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BB17D6"/>
    <w:multiLevelType w:val="hybridMultilevel"/>
    <w:tmpl w:val="B1AA5A4E"/>
    <w:lvl w:ilvl="0" w:tplc="E7BEEFC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7449A6"/>
    <w:multiLevelType w:val="hybridMultilevel"/>
    <w:tmpl w:val="10001D22"/>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EF5C22"/>
    <w:multiLevelType w:val="hybridMultilevel"/>
    <w:tmpl w:val="8E18D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4B18F2"/>
    <w:multiLevelType w:val="hybridMultilevel"/>
    <w:tmpl w:val="BC26A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AC7F76"/>
    <w:multiLevelType w:val="hybridMultilevel"/>
    <w:tmpl w:val="2EBEA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5DD18C1"/>
    <w:multiLevelType w:val="hybridMultilevel"/>
    <w:tmpl w:val="72A2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6869B4"/>
    <w:multiLevelType w:val="hybridMultilevel"/>
    <w:tmpl w:val="EABCF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886AC7"/>
    <w:multiLevelType w:val="hybridMultilevel"/>
    <w:tmpl w:val="47BA3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1F4CCC"/>
    <w:multiLevelType w:val="hybridMultilevel"/>
    <w:tmpl w:val="089CA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3774CE"/>
    <w:multiLevelType w:val="hybridMultilevel"/>
    <w:tmpl w:val="C382E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E87D0A"/>
    <w:multiLevelType w:val="hybridMultilevel"/>
    <w:tmpl w:val="8E3AA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FA300C"/>
    <w:multiLevelType w:val="hybridMultilevel"/>
    <w:tmpl w:val="D13A1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E26AC1"/>
    <w:multiLevelType w:val="hybridMultilevel"/>
    <w:tmpl w:val="8DB25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3181006">
    <w:abstractNumId w:val="19"/>
  </w:num>
  <w:num w:numId="2" w16cid:durableId="1097217348">
    <w:abstractNumId w:val="29"/>
  </w:num>
  <w:num w:numId="3" w16cid:durableId="1204710477">
    <w:abstractNumId w:val="26"/>
  </w:num>
  <w:num w:numId="4" w16cid:durableId="1663001780">
    <w:abstractNumId w:val="30"/>
  </w:num>
  <w:num w:numId="5" w16cid:durableId="1761171600">
    <w:abstractNumId w:val="21"/>
  </w:num>
  <w:num w:numId="6" w16cid:durableId="684789410">
    <w:abstractNumId w:val="2"/>
  </w:num>
  <w:num w:numId="7" w16cid:durableId="1474522314">
    <w:abstractNumId w:val="7"/>
  </w:num>
  <w:num w:numId="8" w16cid:durableId="590088673">
    <w:abstractNumId w:val="11"/>
  </w:num>
  <w:num w:numId="9" w16cid:durableId="662706011">
    <w:abstractNumId w:val="18"/>
  </w:num>
  <w:num w:numId="10" w16cid:durableId="1502968366">
    <w:abstractNumId w:val="3"/>
  </w:num>
  <w:num w:numId="11" w16cid:durableId="1777433960">
    <w:abstractNumId w:val="12"/>
  </w:num>
  <w:num w:numId="12" w16cid:durableId="1884705884">
    <w:abstractNumId w:val="0"/>
  </w:num>
  <w:num w:numId="13" w16cid:durableId="1537305823">
    <w:abstractNumId w:val="33"/>
  </w:num>
  <w:num w:numId="14" w16cid:durableId="1871604640">
    <w:abstractNumId w:val="22"/>
  </w:num>
  <w:num w:numId="15" w16cid:durableId="178542981">
    <w:abstractNumId w:val="17"/>
  </w:num>
  <w:num w:numId="16" w16cid:durableId="780488958">
    <w:abstractNumId w:val="10"/>
  </w:num>
  <w:num w:numId="17" w16cid:durableId="432020999">
    <w:abstractNumId w:val="15"/>
  </w:num>
  <w:num w:numId="18" w16cid:durableId="1043869317">
    <w:abstractNumId w:val="38"/>
  </w:num>
  <w:num w:numId="19" w16cid:durableId="1356493980">
    <w:abstractNumId w:val="37"/>
  </w:num>
  <w:num w:numId="20" w16cid:durableId="686950507">
    <w:abstractNumId w:val="14"/>
  </w:num>
  <w:num w:numId="21" w16cid:durableId="1623220827">
    <w:abstractNumId w:val="20"/>
  </w:num>
  <w:num w:numId="22" w16cid:durableId="1933003148">
    <w:abstractNumId w:val="6"/>
  </w:num>
  <w:num w:numId="23" w16cid:durableId="778916515">
    <w:abstractNumId w:val="31"/>
  </w:num>
  <w:num w:numId="24" w16cid:durableId="248347216">
    <w:abstractNumId w:val="34"/>
  </w:num>
  <w:num w:numId="25" w16cid:durableId="1470318707">
    <w:abstractNumId w:val="9"/>
  </w:num>
  <w:num w:numId="26" w16cid:durableId="211162264">
    <w:abstractNumId w:val="8"/>
  </w:num>
  <w:num w:numId="27" w16cid:durableId="1858351549">
    <w:abstractNumId w:val="28"/>
  </w:num>
  <w:num w:numId="28" w16cid:durableId="2012021009">
    <w:abstractNumId w:val="1"/>
  </w:num>
  <w:num w:numId="29" w16cid:durableId="241575087">
    <w:abstractNumId w:val="16"/>
  </w:num>
  <w:num w:numId="30" w16cid:durableId="842666784">
    <w:abstractNumId w:val="25"/>
  </w:num>
  <w:num w:numId="31" w16cid:durableId="2023390117">
    <w:abstractNumId w:val="27"/>
  </w:num>
  <w:num w:numId="32" w16cid:durableId="992828362">
    <w:abstractNumId w:val="32"/>
  </w:num>
  <w:num w:numId="33" w16cid:durableId="1964537066">
    <w:abstractNumId w:val="36"/>
  </w:num>
  <w:num w:numId="34" w16cid:durableId="1474718143">
    <w:abstractNumId w:val="4"/>
  </w:num>
  <w:num w:numId="35" w16cid:durableId="731462990">
    <w:abstractNumId w:val="23"/>
  </w:num>
  <w:num w:numId="36" w16cid:durableId="385761026">
    <w:abstractNumId w:val="35"/>
  </w:num>
  <w:num w:numId="37" w16cid:durableId="917444526">
    <w:abstractNumId w:val="13"/>
  </w:num>
  <w:num w:numId="38" w16cid:durableId="235088919">
    <w:abstractNumId w:val="5"/>
  </w:num>
  <w:num w:numId="39" w16cid:durableId="1431313429">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74"/>
    <w:rsid w:val="00000719"/>
    <w:rsid w:val="00001AC2"/>
    <w:rsid w:val="00002D68"/>
    <w:rsid w:val="000033F7"/>
    <w:rsid w:val="00003403"/>
    <w:rsid w:val="00005347"/>
    <w:rsid w:val="000072B6"/>
    <w:rsid w:val="00007588"/>
    <w:rsid w:val="0001021B"/>
    <w:rsid w:val="00011362"/>
    <w:rsid w:val="00011D89"/>
    <w:rsid w:val="000154FD"/>
    <w:rsid w:val="00022271"/>
    <w:rsid w:val="000235E8"/>
    <w:rsid w:val="00024D89"/>
    <w:rsid w:val="000250B6"/>
    <w:rsid w:val="00030CDD"/>
    <w:rsid w:val="00033D81"/>
    <w:rsid w:val="00033DC9"/>
    <w:rsid w:val="00037366"/>
    <w:rsid w:val="00041A87"/>
    <w:rsid w:val="00041BF0"/>
    <w:rsid w:val="00042C8A"/>
    <w:rsid w:val="0004536B"/>
    <w:rsid w:val="00046B68"/>
    <w:rsid w:val="000527DD"/>
    <w:rsid w:val="00056EC4"/>
    <w:rsid w:val="000578B2"/>
    <w:rsid w:val="00060959"/>
    <w:rsid w:val="00060C8F"/>
    <w:rsid w:val="0006298A"/>
    <w:rsid w:val="000663CD"/>
    <w:rsid w:val="00072283"/>
    <w:rsid w:val="000733FE"/>
    <w:rsid w:val="00073A4F"/>
    <w:rsid w:val="00074219"/>
    <w:rsid w:val="00074ED5"/>
    <w:rsid w:val="0008077C"/>
    <w:rsid w:val="00080B86"/>
    <w:rsid w:val="0008204A"/>
    <w:rsid w:val="00082B6F"/>
    <w:rsid w:val="0008508E"/>
    <w:rsid w:val="00087951"/>
    <w:rsid w:val="0009113B"/>
    <w:rsid w:val="000913FC"/>
    <w:rsid w:val="00093402"/>
    <w:rsid w:val="00094DA3"/>
    <w:rsid w:val="00094FB2"/>
    <w:rsid w:val="00095FAF"/>
    <w:rsid w:val="000967CF"/>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5060"/>
    <w:rsid w:val="000D1242"/>
    <w:rsid w:val="000D2ABA"/>
    <w:rsid w:val="000E0970"/>
    <w:rsid w:val="000E3CC7"/>
    <w:rsid w:val="000E6BD4"/>
    <w:rsid w:val="000E6D6D"/>
    <w:rsid w:val="000F1BCE"/>
    <w:rsid w:val="000F1F1E"/>
    <w:rsid w:val="000F2259"/>
    <w:rsid w:val="000F2DDA"/>
    <w:rsid w:val="000F2EA0"/>
    <w:rsid w:val="000F5213"/>
    <w:rsid w:val="00101001"/>
    <w:rsid w:val="00103276"/>
    <w:rsid w:val="0010392D"/>
    <w:rsid w:val="0010447F"/>
    <w:rsid w:val="00104FE3"/>
    <w:rsid w:val="0010714F"/>
    <w:rsid w:val="0011178B"/>
    <w:rsid w:val="001120C5"/>
    <w:rsid w:val="00120BD3"/>
    <w:rsid w:val="00122FEA"/>
    <w:rsid w:val="001232BD"/>
    <w:rsid w:val="001236DC"/>
    <w:rsid w:val="00124ED5"/>
    <w:rsid w:val="001276FA"/>
    <w:rsid w:val="001343FD"/>
    <w:rsid w:val="001447B3"/>
    <w:rsid w:val="00152073"/>
    <w:rsid w:val="00152329"/>
    <w:rsid w:val="001528D0"/>
    <w:rsid w:val="00156598"/>
    <w:rsid w:val="00156DEF"/>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2564"/>
    <w:rsid w:val="00185B9F"/>
    <w:rsid w:val="00186B33"/>
    <w:rsid w:val="001920FB"/>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1CF2"/>
    <w:rsid w:val="001D39A5"/>
    <w:rsid w:val="001D3C09"/>
    <w:rsid w:val="001D3FB5"/>
    <w:rsid w:val="001D44E8"/>
    <w:rsid w:val="001D60EC"/>
    <w:rsid w:val="001D693A"/>
    <w:rsid w:val="001D6F59"/>
    <w:rsid w:val="001E44DF"/>
    <w:rsid w:val="001E4608"/>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2FDB"/>
    <w:rsid w:val="002333F5"/>
    <w:rsid w:val="00233724"/>
    <w:rsid w:val="002365B4"/>
    <w:rsid w:val="00242D9B"/>
    <w:rsid w:val="002432E1"/>
    <w:rsid w:val="00246207"/>
    <w:rsid w:val="00246B86"/>
    <w:rsid w:val="00246C5E"/>
    <w:rsid w:val="00250960"/>
    <w:rsid w:val="00251343"/>
    <w:rsid w:val="002536A4"/>
    <w:rsid w:val="00254F58"/>
    <w:rsid w:val="002620BC"/>
    <w:rsid w:val="00262802"/>
    <w:rsid w:val="00263A90"/>
    <w:rsid w:val="0026408B"/>
    <w:rsid w:val="00267C3E"/>
    <w:rsid w:val="002709BB"/>
    <w:rsid w:val="0027131C"/>
    <w:rsid w:val="00273BAC"/>
    <w:rsid w:val="00273BD8"/>
    <w:rsid w:val="002763B3"/>
    <w:rsid w:val="002768A5"/>
    <w:rsid w:val="002802E3"/>
    <w:rsid w:val="0028213D"/>
    <w:rsid w:val="002862F1"/>
    <w:rsid w:val="00291373"/>
    <w:rsid w:val="0029376A"/>
    <w:rsid w:val="0029597D"/>
    <w:rsid w:val="002962C3"/>
    <w:rsid w:val="0029752B"/>
    <w:rsid w:val="002A0A9C"/>
    <w:rsid w:val="002A483C"/>
    <w:rsid w:val="002B0C7C"/>
    <w:rsid w:val="002B159A"/>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2D"/>
    <w:rsid w:val="00306E5F"/>
    <w:rsid w:val="00306FAE"/>
    <w:rsid w:val="00307E14"/>
    <w:rsid w:val="00314054"/>
    <w:rsid w:val="00316F27"/>
    <w:rsid w:val="003214F1"/>
    <w:rsid w:val="00322E4B"/>
    <w:rsid w:val="00327870"/>
    <w:rsid w:val="0033259D"/>
    <w:rsid w:val="003333D2"/>
    <w:rsid w:val="00334686"/>
    <w:rsid w:val="00337074"/>
    <w:rsid w:val="00337339"/>
    <w:rsid w:val="00340345"/>
    <w:rsid w:val="003406C6"/>
    <w:rsid w:val="003418CC"/>
    <w:rsid w:val="003434EE"/>
    <w:rsid w:val="003459BD"/>
    <w:rsid w:val="00350D38"/>
    <w:rsid w:val="00351B36"/>
    <w:rsid w:val="003529D2"/>
    <w:rsid w:val="00357B4E"/>
    <w:rsid w:val="003716FD"/>
    <w:rsid w:val="0037204B"/>
    <w:rsid w:val="003744CF"/>
    <w:rsid w:val="00374717"/>
    <w:rsid w:val="0037676C"/>
    <w:rsid w:val="00381043"/>
    <w:rsid w:val="003829E5"/>
    <w:rsid w:val="00382C98"/>
    <w:rsid w:val="00386109"/>
    <w:rsid w:val="00386944"/>
    <w:rsid w:val="003925ED"/>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0BC3"/>
    <w:rsid w:val="004013C7"/>
    <w:rsid w:val="00401FCF"/>
    <w:rsid w:val="00406285"/>
    <w:rsid w:val="00406B01"/>
    <w:rsid w:val="004115A2"/>
    <w:rsid w:val="004141A8"/>
    <w:rsid w:val="004148F9"/>
    <w:rsid w:val="0042084E"/>
    <w:rsid w:val="004208EF"/>
    <w:rsid w:val="00421EEF"/>
    <w:rsid w:val="00424D65"/>
    <w:rsid w:val="00430393"/>
    <w:rsid w:val="00431806"/>
    <w:rsid w:val="00431A70"/>
    <w:rsid w:val="00431F42"/>
    <w:rsid w:val="00436CFC"/>
    <w:rsid w:val="00442C6C"/>
    <w:rsid w:val="00443CBE"/>
    <w:rsid w:val="00443E8A"/>
    <w:rsid w:val="004441BC"/>
    <w:rsid w:val="004468B4"/>
    <w:rsid w:val="00446D86"/>
    <w:rsid w:val="00447F10"/>
    <w:rsid w:val="0045230A"/>
    <w:rsid w:val="00454A7D"/>
    <w:rsid w:val="00454AD0"/>
    <w:rsid w:val="00455776"/>
    <w:rsid w:val="00457337"/>
    <w:rsid w:val="00462E3D"/>
    <w:rsid w:val="00466E79"/>
    <w:rsid w:val="00470D7D"/>
    <w:rsid w:val="0047372D"/>
    <w:rsid w:val="00473BA3"/>
    <w:rsid w:val="004743DD"/>
    <w:rsid w:val="004749EE"/>
    <w:rsid w:val="00474CEA"/>
    <w:rsid w:val="00483968"/>
    <w:rsid w:val="004841BE"/>
    <w:rsid w:val="00484F86"/>
    <w:rsid w:val="00490746"/>
    <w:rsid w:val="00490852"/>
    <w:rsid w:val="00491C9C"/>
    <w:rsid w:val="00492F30"/>
    <w:rsid w:val="004946F4"/>
    <w:rsid w:val="0049487E"/>
    <w:rsid w:val="0049506A"/>
    <w:rsid w:val="0049571B"/>
    <w:rsid w:val="004A0714"/>
    <w:rsid w:val="004A160D"/>
    <w:rsid w:val="004A2052"/>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2DD3"/>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26D0"/>
    <w:rsid w:val="00514667"/>
    <w:rsid w:val="0051568D"/>
    <w:rsid w:val="005164D9"/>
    <w:rsid w:val="00516C9B"/>
    <w:rsid w:val="00520CA9"/>
    <w:rsid w:val="00521EAB"/>
    <w:rsid w:val="00526AC7"/>
    <w:rsid w:val="00526C15"/>
    <w:rsid w:val="005320C8"/>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38E8"/>
    <w:rsid w:val="005A479D"/>
    <w:rsid w:val="005B1C6D"/>
    <w:rsid w:val="005B1CFD"/>
    <w:rsid w:val="005B21B6"/>
    <w:rsid w:val="005B3A08"/>
    <w:rsid w:val="005B7A63"/>
    <w:rsid w:val="005C0955"/>
    <w:rsid w:val="005C49DA"/>
    <w:rsid w:val="005C50F3"/>
    <w:rsid w:val="005C54B5"/>
    <w:rsid w:val="005C5D80"/>
    <w:rsid w:val="005C5D91"/>
    <w:rsid w:val="005C6769"/>
    <w:rsid w:val="005C6917"/>
    <w:rsid w:val="005C7ADA"/>
    <w:rsid w:val="005D07B8"/>
    <w:rsid w:val="005D3D83"/>
    <w:rsid w:val="005D6597"/>
    <w:rsid w:val="005E14E7"/>
    <w:rsid w:val="005E26A3"/>
    <w:rsid w:val="005E2ECB"/>
    <w:rsid w:val="005E447E"/>
    <w:rsid w:val="005E4FD1"/>
    <w:rsid w:val="005F0775"/>
    <w:rsid w:val="005F0CF5"/>
    <w:rsid w:val="005F21EB"/>
    <w:rsid w:val="005F424B"/>
    <w:rsid w:val="005F5EA5"/>
    <w:rsid w:val="005F64CF"/>
    <w:rsid w:val="005F6CBF"/>
    <w:rsid w:val="00603D79"/>
    <w:rsid w:val="006041AD"/>
    <w:rsid w:val="006049D5"/>
    <w:rsid w:val="00605908"/>
    <w:rsid w:val="00607850"/>
    <w:rsid w:val="00607EF7"/>
    <w:rsid w:val="00610D7C"/>
    <w:rsid w:val="00613414"/>
    <w:rsid w:val="00620154"/>
    <w:rsid w:val="0062408D"/>
    <w:rsid w:val="006240CC"/>
    <w:rsid w:val="00624940"/>
    <w:rsid w:val="006254F8"/>
    <w:rsid w:val="00627DA7"/>
    <w:rsid w:val="00627F7C"/>
    <w:rsid w:val="00630C8F"/>
    <w:rsid w:val="00630DA4"/>
    <w:rsid w:val="00631CD4"/>
    <w:rsid w:val="00632597"/>
    <w:rsid w:val="0063333A"/>
    <w:rsid w:val="00634D13"/>
    <w:rsid w:val="006358B4"/>
    <w:rsid w:val="00641724"/>
    <w:rsid w:val="006419AA"/>
    <w:rsid w:val="00644B1F"/>
    <w:rsid w:val="00644B7E"/>
    <w:rsid w:val="00644CA4"/>
    <w:rsid w:val="006454E6"/>
    <w:rsid w:val="00646235"/>
    <w:rsid w:val="00646A68"/>
    <w:rsid w:val="006505BD"/>
    <w:rsid w:val="006508EA"/>
    <w:rsid w:val="0065092E"/>
    <w:rsid w:val="006526B5"/>
    <w:rsid w:val="00653CFD"/>
    <w:rsid w:val="00653D5A"/>
    <w:rsid w:val="006557A7"/>
    <w:rsid w:val="00656290"/>
    <w:rsid w:val="006574CC"/>
    <w:rsid w:val="00657595"/>
    <w:rsid w:val="006601C9"/>
    <w:rsid w:val="006608D8"/>
    <w:rsid w:val="00660A30"/>
    <w:rsid w:val="006621D7"/>
    <w:rsid w:val="0066302A"/>
    <w:rsid w:val="00667770"/>
    <w:rsid w:val="00670597"/>
    <w:rsid w:val="006706D0"/>
    <w:rsid w:val="00671D5E"/>
    <w:rsid w:val="00677574"/>
    <w:rsid w:val="006812ED"/>
    <w:rsid w:val="00683878"/>
    <w:rsid w:val="00683C15"/>
    <w:rsid w:val="00684380"/>
    <w:rsid w:val="0068454C"/>
    <w:rsid w:val="00690E4F"/>
    <w:rsid w:val="00691B62"/>
    <w:rsid w:val="006933B5"/>
    <w:rsid w:val="00693D14"/>
    <w:rsid w:val="00696861"/>
    <w:rsid w:val="00696F27"/>
    <w:rsid w:val="006A18C2"/>
    <w:rsid w:val="006A3383"/>
    <w:rsid w:val="006A55E6"/>
    <w:rsid w:val="006B077C"/>
    <w:rsid w:val="006B1412"/>
    <w:rsid w:val="006B1FCF"/>
    <w:rsid w:val="006B6803"/>
    <w:rsid w:val="006C1F46"/>
    <w:rsid w:val="006D0F16"/>
    <w:rsid w:val="006D2A3F"/>
    <w:rsid w:val="006D2FBC"/>
    <w:rsid w:val="006D6E34"/>
    <w:rsid w:val="006E138B"/>
    <w:rsid w:val="006E1867"/>
    <w:rsid w:val="006E734B"/>
    <w:rsid w:val="006F0330"/>
    <w:rsid w:val="006F1FDC"/>
    <w:rsid w:val="006F6B8C"/>
    <w:rsid w:val="007010B7"/>
    <w:rsid w:val="007013EF"/>
    <w:rsid w:val="007055BD"/>
    <w:rsid w:val="00714FB2"/>
    <w:rsid w:val="00716BC5"/>
    <w:rsid w:val="007173CA"/>
    <w:rsid w:val="007216AA"/>
    <w:rsid w:val="00721AB5"/>
    <w:rsid w:val="00721CFB"/>
    <w:rsid w:val="00721DEF"/>
    <w:rsid w:val="00724A43"/>
    <w:rsid w:val="007273AC"/>
    <w:rsid w:val="00731AD4"/>
    <w:rsid w:val="007346E4"/>
    <w:rsid w:val="00735564"/>
    <w:rsid w:val="00740F22"/>
    <w:rsid w:val="00741CF0"/>
    <w:rsid w:val="00741F1A"/>
    <w:rsid w:val="00743E2F"/>
    <w:rsid w:val="007447DA"/>
    <w:rsid w:val="007450F8"/>
    <w:rsid w:val="0074696E"/>
    <w:rsid w:val="00750135"/>
    <w:rsid w:val="00750EC2"/>
    <w:rsid w:val="00752B28"/>
    <w:rsid w:val="007536BC"/>
    <w:rsid w:val="007541A9"/>
    <w:rsid w:val="00754E36"/>
    <w:rsid w:val="00763139"/>
    <w:rsid w:val="00770F37"/>
    <w:rsid w:val="007711A0"/>
    <w:rsid w:val="00772087"/>
    <w:rsid w:val="00772D5E"/>
    <w:rsid w:val="00773077"/>
    <w:rsid w:val="0077463E"/>
    <w:rsid w:val="00776928"/>
    <w:rsid w:val="00776D56"/>
    <w:rsid w:val="00776E0F"/>
    <w:rsid w:val="007774B1"/>
    <w:rsid w:val="00777BE1"/>
    <w:rsid w:val="00782222"/>
    <w:rsid w:val="007833D8"/>
    <w:rsid w:val="00785677"/>
    <w:rsid w:val="007866D1"/>
    <w:rsid w:val="00786F16"/>
    <w:rsid w:val="00791BD7"/>
    <w:rsid w:val="007933F7"/>
    <w:rsid w:val="00796E20"/>
    <w:rsid w:val="00797C32"/>
    <w:rsid w:val="007A0348"/>
    <w:rsid w:val="007A11E8"/>
    <w:rsid w:val="007B0914"/>
    <w:rsid w:val="007B1374"/>
    <w:rsid w:val="007B1413"/>
    <w:rsid w:val="007B32E5"/>
    <w:rsid w:val="007B3DB9"/>
    <w:rsid w:val="007B589F"/>
    <w:rsid w:val="007B6186"/>
    <w:rsid w:val="007B73BC"/>
    <w:rsid w:val="007C1838"/>
    <w:rsid w:val="007C20B9"/>
    <w:rsid w:val="007C2832"/>
    <w:rsid w:val="007C43FA"/>
    <w:rsid w:val="007C7301"/>
    <w:rsid w:val="007C7859"/>
    <w:rsid w:val="007C7F28"/>
    <w:rsid w:val="007D1466"/>
    <w:rsid w:val="007D2BDE"/>
    <w:rsid w:val="007D2FB6"/>
    <w:rsid w:val="007D49EB"/>
    <w:rsid w:val="007D5E1C"/>
    <w:rsid w:val="007E0DE2"/>
    <w:rsid w:val="007E3667"/>
    <w:rsid w:val="007E3B98"/>
    <w:rsid w:val="007E417A"/>
    <w:rsid w:val="007E548D"/>
    <w:rsid w:val="007F16CD"/>
    <w:rsid w:val="007F31B6"/>
    <w:rsid w:val="007F546C"/>
    <w:rsid w:val="007F625F"/>
    <w:rsid w:val="007F665E"/>
    <w:rsid w:val="00800412"/>
    <w:rsid w:val="0080587B"/>
    <w:rsid w:val="00806468"/>
    <w:rsid w:val="008119CA"/>
    <w:rsid w:val="00811B69"/>
    <w:rsid w:val="008130C4"/>
    <w:rsid w:val="008155F0"/>
    <w:rsid w:val="00816735"/>
    <w:rsid w:val="00820141"/>
    <w:rsid w:val="00820E0C"/>
    <w:rsid w:val="00823275"/>
    <w:rsid w:val="0082366F"/>
    <w:rsid w:val="00824AD6"/>
    <w:rsid w:val="008338A2"/>
    <w:rsid w:val="00841AA9"/>
    <w:rsid w:val="00842E1F"/>
    <w:rsid w:val="00846158"/>
    <w:rsid w:val="008474FE"/>
    <w:rsid w:val="00853EE4"/>
    <w:rsid w:val="00855535"/>
    <w:rsid w:val="00855D86"/>
    <w:rsid w:val="00857C5A"/>
    <w:rsid w:val="008614CA"/>
    <w:rsid w:val="0086255E"/>
    <w:rsid w:val="008633F0"/>
    <w:rsid w:val="00866EB8"/>
    <w:rsid w:val="00867D9D"/>
    <w:rsid w:val="00872E0A"/>
    <w:rsid w:val="00873594"/>
    <w:rsid w:val="00874C65"/>
    <w:rsid w:val="00875285"/>
    <w:rsid w:val="00881C66"/>
    <w:rsid w:val="00884B62"/>
    <w:rsid w:val="00884DEF"/>
    <w:rsid w:val="0088529C"/>
    <w:rsid w:val="00887214"/>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696"/>
    <w:rsid w:val="008D6DCF"/>
    <w:rsid w:val="008E0A86"/>
    <w:rsid w:val="008E0B4B"/>
    <w:rsid w:val="008E4376"/>
    <w:rsid w:val="008E7A0A"/>
    <w:rsid w:val="008E7B49"/>
    <w:rsid w:val="008F59F6"/>
    <w:rsid w:val="00900719"/>
    <w:rsid w:val="009017AC"/>
    <w:rsid w:val="00902A9A"/>
    <w:rsid w:val="00904A1C"/>
    <w:rsid w:val="00905030"/>
    <w:rsid w:val="00906490"/>
    <w:rsid w:val="009111B2"/>
    <w:rsid w:val="009151F5"/>
    <w:rsid w:val="0092204C"/>
    <w:rsid w:val="00924AE1"/>
    <w:rsid w:val="00924D0A"/>
    <w:rsid w:val="009269B1"/>
    <w:rsid w:val="0092724D"/>
    <w:rsid w:val="009272B3"/>
    <w:rsid w:val="009315BE"/>
    <w:rsid w:val="009316C1"/>
    <w:rsid w:val="009326DD"/>
    <w:rsid w:val="0093336E"/>
    <w:rsid w:val="0093338F"/>
    <w:rsid w:val="00937BD9"/>
    <w:rsid w:val="00947274"/>
    <w:rsid w:val="00950E2C"/>
    <w:rsid w:val="00951D50"/>
    <w:rsid w:val="009525EB"/>
    <w:rsid w:val="0095470B"/>
    <w:rsid w:val="00954874"/>
    <w:rsid w:val="0095615A"/>
    <w:rsid w:val="00961400"/>
    <w:rsid w:val="00963646"/>
    <w:rsid w:val="009648C8"/>
    <w:rsid w:val="00965BEE"/>
    <w:rsid w:val="0096632D"/>
    <w:rsid w:val="00967124"/>
    <w:rsid w:val="0097166C"/>
    <w:rsid w:val="009718C7"/>
    <w:rsid w:val="009742AB"/>
    <w:rsid w:val="0097559F"/>
    <w:rsid w:val="009761EA"/>
    <w:rsid w:val="0097761E"/>
    <w:rsid w:val="00977D59"/>
    <w:rsid w:val="00982454"/>
    <w:rsid w:val="00982CF0"/>
    <w:rsid w:val="009853E1"/>
    <w:rsid w:val="00986E6B"/>
    <w:rsid w:val="00990032"/>
    <w:rsid w:val="00990B19"/>
    <w:rsid w:val="0099153B"/>
    <w:rsid w:val="00991769"/>
    <w:rsid w:val="0099232C"/>
    <w:rsid w:val="00994386"/>
    <w:rsid w:val="009A13D8"/>
    <w:rsid w:val="009A279E"/>
    <w:rsid w:val="009A3015"/>
    <w:rsid w:val="009A33C5"/>
    <w:rsid w:val="009A3490"/>
    <w:rsid w:val="009A4429"/>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130"/>
    <w:rsid w:val="009E7A69"/>
    <w:rsid w:val="009E7F92"/>
    <w:rsid w:val="009F02A3"/>
    <w:rsid w:val="009F1F96"/>
    <w:rsid w:val="009F2182"/>
    <w:rsid w:val="009F2F27"/>
    <w:rsid w:val="009F34AA"/>
    <w:rsid w:val="009F6BCB"/>
    <w:rsid w:val="009F7B78"/>
    <w:rsid w:val="00A0057A"/>
    <w:rsid w:val="00A02FA1"/>
    <w:rsid w:val="00A04CCE"/>
    <w:rsid w:val="00A07421"/>
    <w:rsid w:val="00A0776B"/>
    <w:rsid w:val="00A100E3"/>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560D3"/>
    <w:rsid w:val="00A6061C"/>
    <w:rsid w:val="00A62D44"/>
    <w:rsid w:val="00A67263"/>
    <w:rsid w:val="00A67CDB"/>
    <w:rsid w:val="00A7161C"/>
    <w:rsid w:val="00A71CE4"/>
    <w:rsid w:val="00A727D2"/>
    <w:rsid w:val="00A77AA3"/>
    <w:rsid w:val="00A8236D"/>
    <w:rsid w:val="00A854EB"/>
    <w:rsid w:val="00A872E5"/>
    <w:rsid w:val="00A90CFD"/>
    <w:rsid w:val="00A91406"/>
    <w:rsid w:val="00A96E65"/>
    <w:rsid w:val="00A96ECE"/>
    <w:rsid w:val="00A97C72"/>
    <w:rsid w:val="00AA310B"/>
    <w:rsid w:val="00AA445F"/>
    <w:rsid w:val="00AA63D4"/>
    <w:rsid w:val="00AA7869"/>
    <w:rsid w:val="00AB06E8"/>
    <w:rsid w:val="00AB1CD3"/>
    <w:rsid w:val="00AB352F"/>
    <w:rsid w:val="00AB5DB9"/>
    <w:rsid w:val="00AC274B"/>
    <w:rsid w:val="00AC4764"/>
    <w:rsid w:val="00AC6D36"/>
    <w:rsid w:val="00AD0CBA"/>
    <w:rsid w:val="00AD26E2"/>
    <w:rsid w:val="00AD64E1"/>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65A2"/>
    <w:rsid w:val="00B37EF9"/>
    <w:rsid w:val="00B4042B"/>
    <w:rsid w:val="00B4198F"/>
    <w:rsid w:val="00B41F3D"/>
    <w:rsid w:val="00B431E8"/>
    <w:rsid w:val="00B44956"/>
    <w:rsid w:val="00B45141"/>
    <w:rsid w:val="00B4635A"/>
    <w:rsid w:val="00B519CD"/>
    <w:rsid w:val="00B5273A"/>
    <w:rsid w:val="00B57329"/>
    <w:rsid w:val="00B60E61"/>
    <w:rsid w:val="00B62B50"/>
    <w:rsid w:val="00B635B7"/>
    <w:rsid w:val="00B63A61"/>
    <w:rsid w:val="00B63AE8"/>
    <w:rsid w:val="00B63F6D"/>
    <w:rsid w:val="00B65950"/>
    <w:rsid w:val="00B66D83"/>
    <w:rsid w:val="00B672C0"/>
    <w:rsid w:val="00B676FD"/>
    <w:rsid w:val="00B678B6"/>
    <w:rsid w:val="00B73AB7"/>
    <w:rsid w:val="00B75646"/>
    <w:rsid w:val="00B7629E"/>
    <w:rsid w:val="00B90729"/>
    <w:rsid w:val="00B907DA"/>
    <w:rsid w:val="00B90B09"/>
    <w:rsid w:val="00B94C5E"/>
    <w:rsid w:val="00B950BC"/>
    <w:rsid w:val="00B9714C"/>
    <w:rsid w:val="00BA26F6"/>
    <w:rsid w:val="00BA29AD"/>
    <w:rsid w:val="00BA33CF"/>
    <w:rsid w:val="00BA3F8D"/>
    <w:rsid w:val="00BA67B0"/>
    <w:rsid w:val="00BB74AC"/>
    <w:rsid w:val="00BB7A10"/>
    <w:rsid w:val="00BC60BE"/>
    <w:rsid w:val="00BC7468"/>
    <w:rsid w:val="00BC7D4F"/>
    <w:rsid w:val="00BC7ED7"/>
    <w:rsid w:val="00BD2850"/>
    <w:rsid w:val="00BD5812"/>
    <w:rsid w:val="00BE1BE8"/>
    <w:rsid w:val="00BE28D2"/>
    <w:rsid w:val="00BE4A64"/>
    <w:rsid w:val="00BE575C"/>
    <w:rsid w:val="00BE5E43"/>
    <w:rsid w:val="00BF557D"/>
    <w:rsid w:val="00BF59E7"/>
    <w:rsid w:val="00BF658D"/>
    <w:rsid w:val="00BF7F58"/>
    <w:rsid w:val="00C00D23"/>
    <w:rsid w:val="00C01381"/>
    <w:rsid w:val="00C01AB1"/>
    <w:rsid w:val="00C026A0"/>
    <w:rsid w:val="00C06137"/>
    <w:rsid w:val="00C06929"/>
    <w:rsid w:val="00C079B8"/>
    <w:rsid w:val="00C10037"/>
    <w:rsid w:val="00C115E1"/>
    <w:rsid w:val="00C123EA"/>
    <w:rsid w:val="00C12A49"/>
    <w:rsid w:val="00C133EE"/>
    <w:rsid w:val="00C149D0"/>
    <w:rsid w:val="00C16807"/>
    <w:rsid w:val="00C26588"/>
    <w:rsid w:val="00C27DE9"/>
    <w:rsid w:val="00C32989"/>
    <w:rsid w:val="00C33388"/>
    <w:rsid w:val="00C3377B"/>
    <w:rsid w:val="00C35484"/>
    <w:rsid w:val="00C4173A"/>
    <w:rsid w:val="00C50DED"/>
    <w:rsid w:val="00C52217"/>
    <w:rsid w:val="00C602FF"/>
    <w:rsid w:val="00C60411"/>
    <w:rsid w:val="00C61174"/>
    <w:rsid w:val="00C6148F"/>
    <w:rsid w:val="00C621B1"/>
    <w:rsid w:val="00C62F7A"/>
    <w:rsid w:val="00C63B9C"/>
    <w:rsid w:val="00C645E1"/>
    <w:rsid w:val="00C6682F"/>
    <w:rsid w:val="00C67BF4"/>
    <w:rsid w:val="00C7275E"/>
    <w:rsid w:val="00C731AF"/>
    <w:rsid w:val="00C74C5D"/>
    <w:rsid w:val="00C85ED3"/>
    <w:rsid w:val="00C863C4"/>
    <w:rsid w:val="00C90DAB"/>
    <w:rsid w:val="00C920EA"/>
    <w:rsid w:val="00C92B22"/>
    <w:rsid w:val="00C93C3E"/>
    <w:rsid w:val="00CA0B39"/>
    <w:rsid w:val="00CA12E3"/>
    <w:rsid w:val="00CA1476"/>
    <w:rsid w:val="00CA5E56"/>
    <w:rsid w:val="00CA6611"/>
    <w:rsid w:val="00CA6AE6"/>
    <w:rsid w:val="00CA782F"/>
    <w:rsid w:val="00CB187B"/>
    <w:rsid w:val="00CB2835"/>
    <w:rsid w:val="00CB3285"/>
    <w:rsid w:val="00CB4500"/>
    <w:rsid w:val="00CC0C72"/>
    <w:rsid w:val="00CC2BFD"/>
    <w:rsid w:val="00CC6F40"/>
    <w:rsid w:val="00CD18A4"/>
    <w:rsid w:val="00CD3476"/>
    <w:rsid w:val="00CD64DF"/>
    <w:rsid w:val="00CE154D"/>
    <w:rsid w:val="00CE1D5A"/>
    <w:rsid w:val="00CE225F"/>
    <w:rsid w:val="00CE5A7A"/>
    <w:rsid w:val="00CF2F50"/>
    <w:rsid w:val="00CF4604"/>
    <w:rsid w:val="00CF46E9"/>
    <w:rsid w:val="00CF6198"/>
    <w:rsid w:val="00D02919"/>
    <w:rsid w:val="00D035C4"/>
    <w:rsid w:val="00D04C61"/>
    <w:rsid w:val="00D05B8D"/>
    <w:rsid w:val="00D05B9B"/>
    <w:rsid w:val="00D065A2"/>
    <w:rsid w:val="00D079AA"/>
    <w:rsid w:val="00D07F00"/>
    <w:rsid w:val="00D1130F"/>
    <w:rsid w:val="00D114D8"/>
    <w:rsid w:val="00D1289D"/>
    <w:rsid w:val="00D17B72"/>
    <w:rsid w:val="00D21D60"/>
    <w:rsid w:val="00D2756E"/>
    <w:rsid w:val="00D3185C"/>
    <w:rsid w:val="00D3205F"/>
    <w:rsid w:val="00D3318E"/>
    <w:rsid w:val="00D33D62"/>
    <w:rsid w:val="00D33E72"/>
    <w:rsid w:val="00D35BD6"/>
    <w:rsid w:val="00D361B5"/>
    <w:rsid w:val="00D40ADB"/>
    <w:rsid w:val="00D411A2"/>
    <w:rsid w:val="00D43B79"/>
    <w:rsid w:val="00D4606D"/>
    <w:rsid w:val="00D50B9C"/>
    <w:rsid w:val="00D513AF"/>
    <w:rsid w:val="00D52D73"/>
    <w:rsid w:val="00D52E58"/>
    <w:rsid w:val="00D5523A"/>
    <w:rsid w:val="00D56B20"/>
    <w:rsid w:val="00D578B3"/>
    <w:rsid w:val="00D618F4"/>
    <w:rsid w:val="00D63636"/>
    <w:rsid w:val="00D714CC"/>
    <w:rsid w:val="00D75EA7"/>
    <w:rsid w:val="00D7621F"/>
    <w:rsid w:val="00D76ECC"/>
    <w:rsid w:val="00D81ADF"/>
    <w:rsid w:val="00D81F21"/>
    <w:rsid w:val="00D864F2"/>
    <w:rsid w:val="00D943F8"/>
    <w:rsid w:val="00D95470"/>
    <w:rsid w:val="00D96B55"/>
    <w:rsid w:val="00DA1CCF"/>
    <w:rsid w:val="00DA2619"/>
    <w:rsid w:val="00DA4239"/>
    <w:rsid w:val="00DA588C"/>
    <w:rsid w:val="00DA65DE"/>
    <w:rsid w:val="00DB0B61"/>
    <w:rsid w:val="00DB1164"/>
    <w:rsid w:val="00DB1474"/>
    <w:rsid w:val="00DB2962"/>
    <w:rsid w:val="00DB354B"/>
    <w:rsid w:val="00DB52FB"/>
    <w:rsid w:val="00DB79CD"/>
    <w:rsid w:val="00DC013B"/>
    <w:rsid w:val="00DC090B"/>
    <w:rsid w:val="00DC1679"/>
    <w:rsid w:val="00DC219B"/>
    <w:rsid w:val="00DC2CF1"/>
    <w:rsid w:val="00DC2DC7"/>
    <w:rsid w:val="00DC2EA0"/>
    <w:rsid w:val="00DC3A7C"/>
    <w:rsid w:val="00DC4FCF"/>
    <w:rsid w:val="00DC50E0"/>
    <w:rsid w:val="00DC6386"/>
    <w:rsid w:val="00DC7A6B"/>
    <w:rsid w:val="00DD1130"/>
    <w:rsid w:val="00DD1951"/>
    <w:rsid w:val="00DD487D"/>
    <w:rsid w:val="00DD4E83"/>
    <w:rsid w:val="00DD6628"/>
    <w:rsid w:val="00DD6945"/>
    <w:rsid w:val="00DE0FBB"/>
    <w:rsid w:val="00DE2D04"/>
    <w:rsid w:val="00DE3250"/>
    <w:rsid w:val="00DE6028"/>
    <w:rsid w:val="00DE6C85"/>
    <w:rsid w:val="00DE78A3"/>
    <w:rsid w:val="00DF0A6E"/>
    <w:rsid w:val="00DF1A71"/>
    <w:rsid w:val="00DF50FC"/>
    <w:rsid w:val="00DF68C7"/>
    <w:rsid w:val="00DF731A"/>
    <w:rsid w:val="00E00070"/>
    <w:rsid w:val="00E06B75"/>
    <w:rsid w:val="00E10B44"/>
    <w:rsid w:val="00E11332"/>
    <w:rsid w:val="00E11352"/>
    <w:rsid w:val="00E170DC"/>
    <w:rsid w:val="00E17546"/>
    <w:rsid w:val="00E201FE"/>
    <w:rsid w:val="00E210B5"/>
    <w:rsid w:val="00E2470C"/>
    <w:rsid w:val="00E261B3"/>
    <w:rsid w:val="00E26818"/>
    <w:rsid w:val="00E27FFC"/>
    <w:rsid w:val="00E30B15"/>
    <w:rsid w:val="00E33237"/>
    <w:rsid w:val="00E372B2"/>
    <w:rsid w:val="00E40181"/>
    <w:rsid w:val="00E525F8"/>
    <w:rsid w:val="00E54950"/>
    <w:rsid w:val="00E55FB3"/>
    <w:rsid w:val="00E56A01"/>
    <w:rsid w:val="00E60AED"/>
    <w:rsid w:val="00E629A1"/>
    <w:rsid w:val="00E6794C"/>
    <w:rsid w:val="00E71591"/>
    <w:rsid w:val="00E71CEB"/>
    <w:rsid w:val="00E73E2F"/>
    <w:rsid w:val="00E7474F"/>
    <w:rsid w:val="00E80DE3"/>
    <w:rsid w:val="00E82C55"/>
    <w:rsid w:val="00E85E78"/>
    <w:rsid w:val="00E8787E"/>
    <w:rsid w:val="00E9042A"/>
    <w:rsid w:val="00E92AC3"/>
    <w:rsid w:val="00E93EF1"/>
    <w:rsid w:val="00E9700E"/>
    <w:rsid w:val="00EA2F6A"/>
    <w:rsid w:val="00EB00E0"/>
    <w:rsid w:val="00EB05D5"/>
    <w:rsid w:val="00EB0949"/>
    <w:rsid w:val="00EB4BC7"/>
    <w:rsid w:val="00EB56B9"/>
    <w:rsid w:val="00EC03C4"/>
    <w:rsid w:val="00EC059F"/>
    <w:rsid w:val="00EC1F24"/>
    <w:rsid w:val="00EC22F6"/>
    <w:rsid w:val="00EC3DB9"/>
    <w:rsid w:val="00EC6A67"/>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5C3D"/>
    <w:rsid w:val="00EF6675"/>
    <w:rsid w:val="00F0063D"/>
    <w:rsid w:val="00F00F9C"/>
    <w:rsid w:val="00F01E5F"/>
    <w:rsid w:val="00F024F3"/>
    <w:rsid w:val="00F02ABA"/>
    <w:rsid w:val="00F0437A"/>
    <w:rsid w:val="00F101B8"/>
    <w:rsid w:val="00F11037"/>
    <w:rsid w:val="00F15DC5"/>
    <w:rsid w:val="00F16F1B"/>
    <w:rsid w:val="00F250A9"/>
    <w:rsid w:val="00F267AF"/>
    <w:rsid w:val="00F30FF4"/>
    <w:rsid w:val="00F3122E"/>
    <w:rsid w:val="00F32368"/>
    <w:rsid w:val="00F331AD"/>
    <w:rsid w:val="00F35287"/>
    <w:rsid w:val="00F40A70"/>
    <w:rsid w:val="00F43A37"/>
    <w:rsid w:val="00F4641B"/>
    <w:rsid w:val="00F46EB8"/>
    <w:rsid w:val="00F47AB3"/>
    <w:rsid w:val="00F50CD1"/>
    <w:rsid w:val="00F511E4"/>
    <w:rsid w:val="00F51235"/>
    <w:rsid w:val="00F52D09"/>
    <w:rsid w:val="00F52E08"/>
    <w:rsid w:val="00F53A66"/>
    <w:rsid w:val="00F5462D"/>
    <w:rsid w:val="00F55B21"/>
    <w:rsid w:val="00F56EF6"/>
    <w:rsid w:val="00F60082"/>
    <w:rsid w:val="00F61A9F"/>
    <w:rsid w:val="00F61B5F"/>
    <w:rsid w:val="00F62261"/>
    <w:rsid w:val="00F64696"/>
    <w:rsid w:val="00F65AA9"/>
    <w:rsid w:val="00F6768F"/>
    <w:rsid w:val="00F72C2C"/>
    <w:rsid w:val="00F741F2"/>
    <w:rsid w:val="00F751A0"/>
    <w:rsid w:val="00F76CAB"/>
    <w:rsid w:val="00F772C6"/>
    <w:rsid w:val="00F815B5"/>
    <w:rsid w:val="00F85195"/>
    <w:rsid w:val="00F868E3"/>
    <w:rsid w:val="00F938BA"/>
    <w:rsid w:val="00F97919"/>
    <w:rsid w:val="00FA2C46"/>
    <w:rsid w:val="00FA3525"/>
    <w:rsid w:val="00FA5A53"/>
    <w:rsid w:val="00FB1F6E"/>
    <w:rsid w:val="00FB27B8"/>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50F2"/>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A0B94C"/>
  <w15:docId w15:val="{35EAFE30-6D2A-44C5-828F-1970B5E8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
    <w:qFormat/>
    <w:rsid w:val="00977D59"/>
    <w:pPr>
      <w:keepNext/>
      <w:keepLines/>
      <w:spacing w:before="520" w:after="240" w:line="480" w:lineRule="atLeast"/>
      <w:outlineLvl w:val="0"/>
    </w:pPr>
    <w:rPr>
      <w:rFonts w:ascii="Arial" w:eastAsia="MS Gothic" w:hAnsi="Arial" w:cs="Arial"/>
      <w:bCs/>
      <w:color w:val="AF272F"/>
      <w:kern w:val="32"/>
      <w:sz w:val="44"/>
      <w:szCs w:val="44"/>
      <w:lang w:eastAsia="en-US"/>
    </w:rPr>
  </w:style>
  <w:style w:type="paragraph" w:styleId="Heading2">
    <w:name w:val="heading 2"/>
    <w:next w:val="Body"/>
    <w:link w:val="Heading2Char"/>
    <w:uiPriority w:val="9"/>
    <w:qFormat/>
    <w:rsid w:val="006C1F46"/>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6C1F46"/>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6C1F46"/>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unhideWhenUsed/>
    <w:qFormat/>
    <w:rsid w:val="00E9700E"/>
    <w:pPr>
      <w:keepNext/>
      <w:keepLines/>
      <w:spacing w:before="40" w:after="0" w:line="259" w:lineRule="auto"/>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unhideWhenUsed/>
    <w:qFormat/>
    <w:rsid w:val="00E9700E"/>
    <w:pPr>
      <w:keepNext/>
      <w:keepLines/>
      <w:spacing w:before="40" w:after="0" w:line="259" w:lineRule="auto"/>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unhideWhenUsed/>
    <w:qFormat/>
    <w:rsid w:val="00E9700E"/>
    <w:pPr>
      <w:keepNext/>
      <w:keepLines/>
      <w:spacing w:before="40" w:after="0" w:line="259" w:lineRule="auto"/>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E9700E"/>
    <w:pPr>
      <w:keepNext/>
      <w:keepLines/>
      <w:spacing w:before="40" w:after="0" w:line="259" w:lineRule="auto"/>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977D59"/>
    <w:rPr>
      <w:rFonts w:ascii="Arial" w:eastAsia="MS Gothic" w:hAnsi="Arial" w:cs="Arial"/>
      <w:bCs/>
      <w:color w:val="AF272F"/>
      <w:kern w:val="32"/>
      <w:sz w:val="44"/>
      <w:szCs w:val="44"/>
      <w:lang w:eastAsia="en-US"/>
    </w:rPr>
  </w:style>
  <w:style w:type="character" w:customStyle="1" w:styleId="Heading2Char">
    <w:name w:val="Heading 2 Char"/>
    <w:link w:val="Heading2"/>
    <w:uiPriority w:val="9"/>
    <w:rsid w:val="006C1F46"/>
    <w:rPr>
      <w:rFonts w:ascii="Arial" w:hAnsi="Arial"/>
      <w:b/>
      <w:color w:val="53565A"/>
      <w:sz w:val="32"/>
      <w:szCs w:val="28"/>
      <w:lang w:eastAsia="en-US"/>
    </w:rPr>
  </w:style>
  <w:style w:type="character" w:customStyle="1" w:styleId="Heading3Char">
    <w:name w:val="Heading 3 Char"/>
    <w:link w:val="Heading3"/>
    <w:uiPriority w:val="9"/>
    <w:rsid w:val="006C1F46"/>
    <w:rPr>
      <w:rFonts w:ascii="Arial" w:eastAsia="MS Gothic" w:hAnsi="Arial"/>
      <w:bCs/>
      <w:color w:val="53565A"/>
      <w:sz w:val="30"/>
      <w:szCs w:val="26"/>
      <w:lang w:eastAsia="en-US"/>
    </w:rPr>
  </w:style>
  <w:style w:type="character" w:customStyle="1" w:styleId="Heading4Char">
    <w:name w:val="Heading 4 Char"/>
    <w:link w:val="Heading4"/>
    <w:uiPriority w:val="9"/>
    <w:rsid w:val="006C1F46"/>
    <w:rPr>
      <w:rFonts w:ascii="Arial" w:eastAsia="MS Mincho" w:hAnsi="Arial"/>
      <w:b/>
      <w:bCs/>
      <w:color w:val="53565A"/>
      <w:sz w:val="24"/>
      <w:szCs w:val="22"/>
      <w:lang w:eastAsia="en-US"/>
    </w:rPr>
  </w:style>
  <w:style w:type="paragraph" w:styleId="Header">
    <w:name w:val="header"/>
    <w:link w:val="HeaderCha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6C1F46"/>
    <w:pPr>
      <w:spacing w:after="240" w:line="560" w:lineRule="atLeast"/>
    </w:pPr>
    <w:rPr>
      <w:rFonts w:ascii="Arial" w:hAnsi="Arial"/>
      <w:b/>
      <w:color w:val="AF272F"/>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CF46E9"/>
    <w:pPr>
      <w:spacing w:before="240"/>
      <w:ind w:left="397"/>
    </w:pPr>
    <w:rPr>
      <w:color w:val="1F497D" w:themeColor="text2"/>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C1F46"/>
    <w:pPr>
      <w:spacing w:line="320" w:lineRule="atLeast"/>
    </w:pPr>
    <w:rPr>
      <w:color w:val="AF272F"/>
      <w:sz w:val="24"/>
    </w:rPr>
  </w:style>
  <w:style w:type="character" w:customStyle="1" w:styleId="Heading6Char">
    <w:name w:val="Heading 6 Char"/>
    <w:basedOn w:val="DefaultParagraphFont"/>
    <w:link w:val="Heading6"/>
    <w:uiPriority w:val="9"/>
    <w:rsid w:val="00E9700E"/>
    <w:rPr>
      <w:rFonts w:asciiTheme="majorHAnsi" w:eastAsiaTheme="majorEastAsia" w:hAnsiTheme="majorHAnsi" w:cstheme="majorBidi"/>
      <w:color w:val="243F60" w:themeColor="accent1" w:themeShade="7F"/>
      <w:sz w:val="22"/>
      <w:szCs w:val="22"/>
      <w:lang w:eastAsia="en-US"/>
    </w:rPr>
  </w:style>
  <w:style w:type="character" w:customStyle="1" w:styleId="Heading7Char">
    <w:name w:val="Heading 7 Char"/>
    <w:basedOn w:val="DefaultParagraphFont"/>
    <w:link w:val="Heading7"/>
    <w:uiPriority w:val="9"/>
    <w:rsid w:val="00E9700E"/>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rsid w:val="00E9700E"/>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E9700E"/>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uiPriority w:val="34"/>
    <w:qFormat/>
    <w:rsid w:val="00E9700E"/>
    <w:pPr>
      <w:spacing w:after="160" w:line="259" w:lineRule="auto"/>
      <w:ind w:left="720"/>
      <w:contextualSpacing/>
    </w:pPr>
    <w:rPr>
      <w:rFonts w:asciiTheme="minorHAnsi" w:eastAsiaTheme="minorHAnsi" w:hAnsiTheme="minorHAnsi" w:cstheme="minorBidi"/>
      <w:sz w:val="22"/>
      <w:szCs w:val="22"/>
    </w:rPr>
  </w:style>
  <w:style w:type="paragraph" w:customStyle="1" w:styleId="Rae">
    <w:name w:val="Rae"/>
    <w:basedOn w:val="Normal"/>
    <w:next w:val="Normal"/>
    <w:qFormat/>
    <w:rsid w:val="00E9700E"/>
    <w:pPr>
      <w:spacing w:line="259" w:lineRule="auto"/>
    </w:pPr>
    <w:rPr>
      <w:rFonts w:eastAsiaTheme="minorHAnsi" w:cstheme="minorBidi"/>
      <w:sz w:val="22"/>
      <w:szCs w:val="22"/>
    </w:rPr>
  </w:style>
  <w:style w:type="paragraph" w:customStyle="1" w:styleId="Default">
    <w:name w:val="Default"/>
    <w:rsid w:val="00E9700E"/>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Normal"/>
    <w:rsid w:val="00E9700E"/>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E9700E"/>
  </w:style>
  <w:style w:type="character" w:customStyle="1" w:styleId="eop">
    <w:name w:val="eop"/>
    <w:basedOn w:val="DefaultParagraphFont"/>
    <w:rsid w:val="00E9700E"/>
  </w:style>
  <w:style w:type="paragraph" w:styleId="TOCHeading">
    <w:name w:val="TOC Heading"/>
    <w:basedOn w:val="Heading1"/>
    <w:next w:val="Normal"/>
    <w:uiPriority w:val="39"/>
    <w:unhideWhenUsed/>
    <w:qFormat/>
    <w:rsid w:val="00E9700E"/>
    <w:pPr>
      <w:spacing w:before="240" w:after="0" w:line="259" w:lineRule="auto"/>
      <w:outlineLvl w:val="9"/>
    </w:pPr>
    <w:rPr>
      <w:rFonts w:eastAsiaTheme="majorEastAsia" w:cstheme="majorBidi"/>
      <w:bCs w:val="0"/>
      <w:color w:val="365F91" w:themeColor="accent1" w:themeShade="BF"/>
      <w:kern w:val="0"/>
      <w:sz w:val="32"/>
      <w:szCs w:val="32"/>
      <w:lang w:val="en-US"/>
    </w:rPr>
  </w:style>
  <w:style w:type="paragraph" w:styleId="Bibliography">
    <w:name w:val="Bibliography"/>
    <w:basedOn w:val="Normal"/>
    <w:next w:val="Normal"/>
    <w:uiPriority w:val="37"/>
    <w:unhideWhenUsed/>
    <w:rsid w:val="00E9700E"/>
    <w:pPr>
      <w:spacing w:after="160" w:line="259" w:lineRule="auto"/>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E970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10"/>
    <w:rsid w:val="00E9700E"/>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E9700E"/>
    <w:rPr>
      <w:rFonts w:ascii="Arial" w:hAnsi="Arial" w:cs="Arial"/>
      <w:szCs w:val="18"/>
      <w:lang w:eastAsia="en-US"/>
    </w:rPr>
  </w:style>
  <w:style w:type="paragraph" w:styleId="Caption">
    <w:name w:val="caption"/>
    <w:basedOn w:val="Normal"/>
    <w:next w:val="Normal"/>
    <w:uiPriority w:val="35"/>
    <w:unhideWhenUsed/>
    <w:qFormat/>
    <w:rsid w:val="00E9700E"/>
    <w:pPr>
      <w:spacing w:after="200" w:line="240" w:lineRule="auto"/>
    </w:pPr>
    <w:rPr>
      <w:rFonts w:asciiTheme="minorHAnsi" w:eastAsiaTheme="minorHAnsi" w:hAnsiTheme="minorHAnsi" w:cstheme="minorBidi"/>
      <w:i/>
      <w:iCs/>
      <w:color w:val="1F497D" w:themeColor="text2"/>
      <w:sz w:val="18"/>
      <w:szCs w:val="18"/>
    </w:rPr>
  </w:style>
  <w:style w:type="character" w:styleId="Emphasis">
    <w:name w:val="Emphasis"/>
    <w:basedOn w:val="DefaultParagraphFont"/>
    <w:uiPriority w:val="20"/>
    <w:qFormat/>
    <w:rsid w:val="00E9700E"/>
    <w:rPr>
      <w:i/>
      <w:iCs/>
    </w:rPr>
  </w:style>
  <w:style w:type="table" w:customStyle="1" w:styleId="TableGrid2">
    <w:name w:val="Table Grid2"/>
    <w:basedOn w:val="TableNormal"/>
    <w:next w:val="TableGrid"/>
    <w:uiPriority w:val="39"/>
    <w:rsid w:val="00242D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390301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bloodmatters@redcrossblood.org.au" TargetMode="External"/><Relationship Id="rId2" Type="http://schemas.openxmlformats.org/officeDocument/2006/relationships/customXml" Target="../customXml/item2.xml"/><Relationship Id="rId16" Type="http://schemas.openxmlformats.org/officeDocument/2006/relationships/hyperlink" Target="https://www.health.vic.gov.au/patient-care/blood-matters-progra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loodmatters@redcrossblood.org.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1\Branding%20and%20templates\New%20templates%20July%202021\Blood%20Matters%20DH%20red%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875A55-CA2E-4547-98AD-253F7910FAEC}">
  <we:reference id="wa104380773" version="2.0.0.0" store="en-GB" storeType="OMEX"/>
  <we:alternateReferences>
    <we:reference id="wa104380773"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ANZ19</b:Tag>
    <b:SourceType>Report</b:SourceType>
    <b:Guid>{267249FB-97D1-4A00-922A-13728AE15275}</b:Guid>
    <b:Author>
      <b:Author>
        <b:Corporate>ANZSBT</b:Corporate>
      </b:Author>
    </b:Author>
    <b:Title>Guidelines for the Implementation and Use of Electronic Medical Records for Transfusion</b:Title>
    <b:Year>2021</b:Year>
    <b:Publisher>Australian and New Zealand Society of Blood Transfusion</b:Publisher>
    <b:Institution>Australian and New Zealand Society of Blood Transfusion</b:Institution>
    <b:YearAccessed>2021</b:YearAccessed>
    <b:MonthAccessed>July</b:MonthAccessed>
    <b:DayAccessed>31</b:DayAccessed>
    <b:URL>https://anzsbt.org.au/guidelines-standards/anzsbt-guidelines/</b:URL>
    <b:RefOrder>1</b:RefOrder>
  </b:Source>
  <b:Source>
    <b:Tag>Cri22</b:Tag>
    <b:SourceType>JournalArticle</b:SourceType>
    <b:Guid>{B94454BC-822E-4278-B6DF-A5EA59B69CE2}</b:Guid>
    <b:Author>
      <b:Author>
        <b:NameList>
          <b:Person>
            <b:Last>Crispin P</b:Last>
            <b:First>Akers</b:First>
            <b:Middle>C, Brown K, Delaforce A, Keegan A, King F, Ormerod A, Verrall T</b:Middle>
          </b:Person>
        </b:NameList>
      </b:Author>
    </b:Author>
    <b:Title>A review of electronic medical records and safe transfusion practice for guideline development</b:Title>
    <b:JournalName>Vox Sanguinis</b:JournalName>
    <b:Year>2022</b:Year>
    <b:Pages>1-8</b:Pages>
    <b:Month>January</b:Month>
    <b:Day>28</b:Day>
    <b:Publisher>International Society of Blood Transfusion </b:Publisher>
    <b:YearAccessed>2022</b:YearAccessed>
    <b:MonthAccessed>February</b:MonthAccessed>
    <b:DayAccessed>02</b:DayAccessed>
    <b:URL>https://onlinelibrary.wiley.com/doi/10.1111/vox.13254</b:URL>
    <b:DOI>10.1111/vox.13254</b:DOI>
    <b:RefOrder>2</b:RefOrder>
  </b:Source>
  <b:Source>
    <b:Tag>Sta</b:Tag>
    <b:SourceType>Report</b:SourceType>
    <b:Guid>{2B6FE507-04AD-4F8B-814F-1D60F6D55C52}</b:Guid>
    <b:Author>
      <b:Author>
        <b:Corporate>State Government Victoria, Department of Health</b:Corporate>
      </b:Author>
    </b:Author>
    <b:Title>Defining an electronic medical record. The Victorian perspective.</b:Title>
    <b:Year>2012</b:Year>
    <b:Publisher>State Government Victoria, Department of Health</b:Publisher>
    <b:City>Melbourne</b:City>
    <b:YearAccessed>2022</b:YearAccessed>
    <b:MonthAccessed>March </b:MonthAccessed>
    <b:DayAccessed>09</b:DayAccessed>
    <b:URL>https://www.health.vic.gov.au/publications/defining-an-electronic-medical-record-the-victorian-perspective</b:URL>
    <b:RefOrder>3</b:RefOrder>
  </b:Source>
  <b:Source>
    <b:Tag>Blo19</b:Tag>
    <b:SourceType>JournalArticle</b:SourceType>
    <b:Guid>{26E76DC1-F449-43F9-819D-9D2BD12E03E1}</b:Guid>
    <b:Title>Electronic Medical Records: Implications for Clinical Transfusion Practice</b:Title>
    <b:Year>2019</b:Year>
    <b:Author>
      <b:Author>
        <b:NameList>
          <b:Person>
            <b:Last>Verrall</b:Last>
            <b:First>T</b:First>
          </b:Person>
        </b:NameList>
      </b:Author>
    </b:Author>
    <b:Publisher>BloodSafe eLearning Australia</b:Publisher>
    <b:City>Adelaide</b:City>
    <b:JournalName>BloodSafe eLearning Australia</b:JournalName>
    <b:RefOrder>4</b:RefOrder>
  </b:Source>
  <b:Source>
    <b:Tag>MMu09</b:Tag>
    <b:SourceType>JournalArticle</b:SourceType>
    <b:Guid>{C8D5216E-5212-4CD0-B7CD-807D3686671B}</b:Guid>
    <b:Author>
      <b:Author>
        <b:NameList>
          <b:Person>
            <b:Last>Murphy MF</b:Last>
            <b:First>Staves</b:First>
            <b:Middle>J, Davies A, Fraser E, Parker R, Cripps B, Kay J, Vincent C</b:Middle>
          </b:Person>
        </b:NameList>
      </b:Author>
    </b:Author>
    <b:Title>How do we approach a major change program using the example of the development, evaluation, and implementation of an electronic transfusion management system.</b:Title>
    <b:JournalName>Transfusion</b:JournalName>
    <b:Year>2009</b:Year>
    <b:Pages>829-837</b:Pages>
    <b:Month>May</b:Month>
    <b:Volume>49</b:Volume>
    <b:Issue>5</b:Issue>
    <b:YearAccessed>2022</b:YearAccessed>
    <b:MonthAccessed>March</b:MonthAccessed>
    <b:DayAccessed>09</b:DayAccessed>
    <b:URL>https://pubmed.ncbi.nlm.nih.gov/19437613/</b:URL>
    <b:DOI>10.1111/j.1537-2995.2009.02120.x</b:DOI>
    <b:RefOrder>5</b:RefOrder>
  </b:Source>
  <b:Source>
    <b:Tag>Vuk15</b:Tag>
    <b:SourceType>JournalArticle</b:SourceType>
    <b:Guid>{C6398B64-916D-40E9-BAE2-B89742C797B8}</b:Guid>
    <b:Title>Impact of simulation training on self-efficacy of outpatient health care providers to use electronic health records</b:Title>
    <b:Year>2015</b:Year>
    <b:Author>
      <b:Author>
        <b:NameList>
          <b:Person>
            <b:Last>Vuk J</b:Last>
            <b:First>Anders</b:First>
            <b:Middle>ME, Mercado CC, Kennedy RL, Casella J, Steelma SC</b:Middle>
          </b:Person>
        </b:NameList>
      </b:Author>
    </b:Author>
    <b:JournalName>International Journal of Medical Informatics</b:JournalName>
    <b:Pages>423-429</b:Pages>
    <b:Month>February</b:Month>
    <b:Day>19</b:Day>
    <b:Volume>84</b:Volume>
    <b:YearAccessed>2022 </b:YearAccessed>
    <b:MonthAccessed>March</b:MonthAccessed>
    <b:DayAccessed>09</b:DayAccessed>
    <b:URL>https://pubmed.ncbi.nlm.nih.gov/25746460/</b:URL>
    <b:DOI>10.1016/j.ijmedinf.2015.02.003</b:DOI>
    <b:RefOrder>6</b:RefOrder>
  </b:Source>
  <b:Source>
    <b:Tag>McG</b:Tag>
    <b:SourceType>JournalArticle</b:SourceType>
    <b:Guid>{672834F3-DDB4-4C5C-9284-477BF8FAA628}</b:Guid>
    <b:Author>
      <b:Author>
        <b:NameList>
          <b:Person>
            <b:Last>McGuire MJ</b:Last>
            <b:First>Noronha</b:First>
            <b:Middle>G, Samal L, Yeh H, Crocetti S, Kravet S</b:Middle>
          </b:Person>
        </b:NameList>
      </b:Author>
    </b:Author>
    <b:Title>Patient Safety Perceptions of Primary Care Providers after Implementation of an Electronic Medical Record System.</b:Title>
    <b:JournalName>Journal of general internal medicine</b:JournalName>
    <b:Pages>184-192</b:Pages>
    <b:Year>2013</b:Year>
    <b:Month>February</b:Month>
    <b:Volume>28</b:Volume>
    <b:Issue>2</b:Issue>
    <b:YearAccessed>2022</b:YearAccessed>
    <b:MonthAccessed>March</b:MonthAccessed>
    <b:DayAccessed>09</b:DayAccessed>
    <b:URL>https://pubmed.ncbi.nlm.nih.gov/22887020/</b:URL>
    <b:DOI>10.1007/s11606-012-2153-y</b:DOI>
    <b:RefOrder>7</b:RefOrder>
  </b:Source>
  <b:Source>
    <b:Tag>ANZ20</b:Tag>
    <b:SourceType>Report</b:SourceType>
    <b:Guid>{D54EF136-B27B-4C7E-B7C3-E1C81D3E9251}</b:Guid>
    <b:Title>Guildelines for Transfusion and Immunohaematology Laboratory Practice, Revised 1st edition</b:Title>
    <b:Year>2020</b:Year>
    <b:Author>
      <b:Author>
        <b:NameList>
          <b:Person>
            <b:Last>ANZSBT</b:Last>
          </b:Person>
        </b:NameList>
      </b:Author>
    </b:Author>
    <b:Publisher>ANZSBT</b:Publisher>
    <b:YearAccessed>2022</b:YearAccessed>
    <b:MonthAccessed>March</b:MonthAccessed>
    <b:DayAccessed>29</b:DayAccessed>
    <b:URL>https://anzsbt.org.au/guidelines-standards/anzsbt-guidelines/</b:URL>
    <b:RefOrder>8</b:RefOrder>
  </b:Source>
  <b:Source>
    <b:Tag>NPA19</b:Tag>
    <b:SourceType>Report</b:SourceType>
    <b:Guid>{413D3ACA-A00C-4696-8814-3DA2567EA0A5}</b:Guid>
    <b:Title>Requirements for Transfusion Laboratory Practice (Fourth Edition 2019)</b:Title>
    <b:Year>2019</b:Year>
    <b:Author>
      <b:Author>
        <b:NameList>
          <b:Person>
            <b:Last>NPAAC</b:Last>
          </b:Person>
        </b:NameList>
      </b:Author>
    </b:Author>
    <b:RefOrder>9</b:RefOrder>
  </b:Source>
  <b:Source>
    <b:Tag>Spa15</b:Tag>
    <b:SourceType>JournalArticle</b:SourceType>
    <b:Guid>{52CB3568-F018-4FAD-A827-D92053A3F331}</b:Guid>
    <b:Author>
      <b:Author>
        <b:NameList>
          <b:Person>
            <b:Last>Spain D</b:Last>
            <b:First>Crilly</b:First>
            <b:Middle>J, Pierce J, Steele M, Scuffham P, Keijzers G</b:Middle>
          </b:Person>
        </b:NameList>
      </b:Author>
    </b:Author>
    <b:Title>Can a barcode scanner for blood collection improve patient identification integrity in the emergency department? A prospective before-and-after study</b:Title>
    <b:JournalName>Emergency Medicine Australasia (EMA)</b:JournalName>
    <b:Year>2015</b:Year>
    <b:Pages>47-54</b:Pages>
    <b:Month>January</b:Month>
    <b:Volume>27</b:Volume>
    <b:Issue>1</b:Issue>
    <b:YearAccessed>2022</b:YearAccessed>
    <b:MonthAccessed>March </b:MonthAccessed>
    <b:DayAccessed>09</b:DayAccessed>
    <b:URL>https://onlinelibrary.wiley.com/doi/epdf/10.1111/1742-6723.12334</b:URL>
    <b:DOI>10.1111/1742-6723.12334</b:DOI>
    <b:RefOrder>10</b:RefOrder>
  </b:Source>
  <b:Source>
    <b:Tag>Mur12</b:Tag>
    <b:SourceType>JournalArticle</b:SourceType>
    <b:Guid>{AE9C6062-C115-44E8-9E90-8450C4464540}</b:Guid>
    <b:Author>
      <b:Author>
        <b:NameList>
          <b:Person>
            <b:Last>Murphy M</b:Last>
            <b:First>Fraser</b:First>
            <b:Middle>E, Miles D, Noel Simon, Staves J, Cripps B, Kay J</b:Middle>
          </b:Person>
        </b:NameList>
      </b:Author>
    </b:Author>
    <b:Title>How do we monitor hospital transfusion practice using an end-to-end electronic transfusion management system?</b:Title>
    <b:JournalName>Transfusion</b:JournalName>
    <b:Year>2012</b:Year>
    <b:Pages>2502-2512</b:Pages>
    <b:Month>December</b:Month>
    <b:Volume>52</b:Volume>
    <b:Issue>12</b:Issue>
    <b:YearAccessed>2022</b:YearAccessed>
    <b:MonthAccessed>March</b:MonthAccessed>
    <b:DayAccessed>09</b:DayAccessed>
    <b:URL>https://onlinelibrary.wiley.com/doi/epdf/10.1111/j.1537-2995.2011.03509.x</b:URL>
    <b:DOI>10.1111/j.1537-2995.2011.03509.x</b:DOI>
    <b:RefOrder>11</b:RefOrder>
  </b:Source>
  <b:Source>
    <b:Tag>ANZ191</b:Tag>
    <b:SourceType>Report</b:SourceType>
    <b:Guid>{703554A5-8A4D-4849-9365-6A82304C3ED1}</b:Guid>
    <b:Author>
      <b:Author>
        <b:Corporate>ANZSBT</b:Corporate>
      </b:Author>
    </b:Author>
    <b:Title>Guidelines for the Administration of Blood Products, 3rd edition</b:Title>
    <b:Year>2019</b:Year>
    <b:Institution>Australian and New Zealand Society of Blood Transfusion</b:Institution>
    <b:YearAccessed>2022</b:YearAccessed>
    <b:MonthAccessed>March</b:MonthAccessed>
    <b:DayAccessed>09</b:DayAccessed>
    <b:URL>https://anzsbt.org.au/guidelines-standards/anzsbt-guidelines/</b:URL>
    <b:Publisher>Australian and New Zealand Society of Blood Transfusion</b:Publisher>
    <b:RefOrder>12</b:RefOrder>
  </b:Source>
  <b:Source>
    <b:Tag>San21</b:Tag>
    <b:SourceType>JournalArticle</b:SourceType>
    <b:Guid>{A2E6FBC8-F1FE-46EE-87A0-B490F1F7E314}</b:Guid>
    <b:Title>Massive transfusion experience, current practice and decision support: A survey of Australian and New Zealand anaesthetists</b:Title>
    <b:Year>2021</b:Year>
    <b:Author>
      <b:Author>
        <b:NameList>
          <b:Person>
            <b:Last>Sanderson BJ</b:Last>
            <b:First>Field</b:First>
            <b:Middle>JD, Estcourt LJ, Wood EM, Coiera EW</b:Middle>
          </b:Person>
        </b:NameList>
      </b:Author>
    </b:Author>
    <b:JournalName>Anaesthesia and Intensive Care</b:JournalName>
    <b:Pages>214-221</b:Pages>
    <b:Month>May</b:Month>
    <b:Publisher>Anaesthesia and Intensive Care</b:Publisher>
    <b:Volume>49</b:Volume>
    <b:Issue>3</b:Issue>
    <b:YearAccessed>2022</b:YearAccessed>
    <b:MonthAccessed>March</b:MonthAccessed>
    <b:DayAccessed>09</b:DayAccessed>
    <b:URL>https://journals.sagepub.com/doi/10.1177/0310057X20974035?url_ver=Z39.88-2003&amp;rfr_id=ori%3Arid%3Acrossref.org&amp;rfr_dat=cr_pub++0pubmed&amp;</b:URL>
    <b:DOI>10.1177/0310057X20974035</b:DOI>
    <b:RefOrder>13</b:RefOrder>
  </b:Source>
  <b:Source>
    <b:Tag>San20</b:Tag>
    <b:SourceType>JournalArticle</b:SourceType>
    <b:Guid>{BF9AB664-84D7-4A06-8C4C-78EBDADC1FD0}</b:Guid>
    <b:Author>
      <b:Author>
        <b:NameList>
          <b:Person>
            <b:Last>Sanderson B</b:Last>
            <b:First>Coiera</b:First>
            <b:Middle>E, Asrianti L, Field J, Estcourt L, Wood E</b:Middle>
          </b:Person>
        </b:NameList>
      </b:Author>
    </b:Author>
    <b:Title>How well does your massive transfusion protocol perform? A scoping review of quality indicators</b:Title>
    <b:JournalName>Blood Transfusion</b:JournalName>
    <b:Year>2020</b:Year>
    <b:Pages>423-33</b:Pages>
    <b:Month>November</b:Month>
    <b:Publisher>Blood Transfusion</b:Publisher>
    <b:Volume>6</b:Volume>
    <b:YearAccessed>2022</b:YearAccessed>
    <b:MonthAccessed>March</b:MonthAccessed>
    <b:DayAccessed>09</b:DayAccessed>
    <b:URL>https://www.bloodtransfusion.it/articolo.aspx?idart=003334&amp;idriv=000156&amp;idart=003334&amp;idriv=000156</b:URL>
    <b:DOI>10.2450/2020.0082-20</b:DOI>
    <b:RefOrder>14</b:RefOrder>
  </b:Source>
  <b:Source>
    <b:Tag>KPe15</b:Tag>
    <b:SourceType>JournalArticle</b:SourceType>
    <b:Guid>{8F22D270-AAAB-405C-897E-0183A444A67C}</b:Guid>
    <b:Author>
      <b:Author>
        <b:NameList>
          <b:Person>
            <b:Last>Pendry</b:Last>
            <b:First>K</b:First>
          </b:Person>
        </b:NameList>
      </b:Author>
    </b:Author>
    <b:Title>The use of big data in transfusion medicine</b:Title>
    <b:JournalName>Transfusion Medicine</b:JournalName>
    <b:Year>2015</b:Year>
    <b:Pages>129-137</b:Pages>
    <b:Month>June</b:Month>
    <b:Publisher>Transfusion Medicine</b:Publisher>
    <b:Volume>25</b:Volume>
    <b:Issue>3</b:Issue>
    <b:YearAccessed>2022</b:YearAccessed>
    <b:MonthAccessed>March</b:MonthAccessed>
    <b:DayAccessed>09</b:DayAccessed>
    <b:URL>https://onlinelibrary.wiley.com/doi/10.1111/tme.12223</b:URL>
    <b:DOI>10.1111/tme.12223</b:DOI>
    <b:RefOrder>15</b:RefOrder>
  </b:Source>
  <b:Source>
    <b:Tag>NDu14</b:Tag>
    <b:SourceType>JournalArticle</b:SourceType>
    <b:Guid>{22E4799D-A2B2-43AB-8546-1CA2F3980369}</b:Guid>
    <b:Author>
      <b:Author>
        <b:NameList>
          <b:Person>
            <b:Last>Dunbar NM</b:Last>
            <b:First>Szczepiorkowski</b:First>
            <b:Middle>ZM</b:Middle>
          </b:Person>
        </b:NameList>
      </b:Author>
    </b:Author>
    <b:Title>Hardwiring patient blood management: harnessing information technology to optimize transfusion practice</b:Title>
    <b:JournalName>Current opinion in hematology</b:JournalName>
    <b:Year>2014</b:Year>
    <b:Pages>515-520</b:Pages>
    <b:Month>November</b:Month>
    <b:Volume>21</b:Volume>
    <b:Issue>6</b:Issue>
    <b:YearAccessed>2022</b:YearAccessed>
    <b:MonthAccessed>March</b:MonthAccessed>
    <b:DayAccessed>09</b:DayAccessed>
    <b:URL>https://pubmed.ncbi.nlm.nih.gov/25295746/</b:URL>
    <b:DOI>10.1097/MOH.0000000000000092</b:DOI>
    <b:RefOrder>16</b:RefOrder>
  </b:Source>
  <b:Source>
    <b:Tag>MSm14</b:Tag>
    <b:SourceType>JournalArticle</b:SourceType>
    <b:Guid>{86E8255D-DA9C-4B8A-B7E7-57098CFCDBDE}</b:Guid>
    <b:Author>
      <b:Author>
        <b:NameList>
          <b:Person>
            <b:Last>Smith M</b:Last>
            <b:First>Triulzi</b:First>
            <b:Middle>DJ, Yazer MH, Rollins-Raval MA, Waters JH, Raval JS</b:Middle>
          </b:Person>
        </b:NameList>
      </b:Author>
    </b:Author>
    <b:Title>Implementation of a simple electronic transfusion alert system decreases inappropriate ordering of packed red blood cells and plasma in a multi-hospital health care system</b:Title>
    <b:JournalName>Transfusion and Apheresis science</b:JournalName>
    <b:Year>2014</b:Year>
    <b:Pages>53-58</b:Pages>
    <b:Month>December</b:Month>
    <b:Volume>51</b:Volume>
    <b:Issue>3</b:Issue>
    <b:YearAccessed>2022 </b:YearAccessed>
    <b:MonthAccessed>March</b:MonthAccessed>
    <b:DayAccessed>09</b:DayAccessed>
    <b:URL>https://pubmed.ncbi.nlm.nih.gov/25458903/</b:URL>
    <b:DOI>0.1016/j.transci.2014.10.022</b:DOI>
    <b:RefOrder>17</b:RefOrder>
  </b:Source>
  <b:Source>
    <b:Tag>Nic20</b:Tag>
    <b:SourceType>JournalArticle</b:SourceType>
    <b:Guid>{2FE8B729-8EF5-4608-8977-3DCD3AFA4DD0}</b:Guid>
    <b:Author>
      <b:Author>
        <b:NameList>
          <b:Person>
            <b:Last>Swart N</b:Last>
            <b:First>Morris</b:First>
            <b:Middle>S, Murphy MF</b:Middle>
          </b:Person>
        </b:NameList>
      </b:Author>
    </b:Author>
    <b:Title>Economic value of clinical decision support allied to direct data feedback to clinicians: blood usage in haematology</b:Title>
    <b:JournalName>Vox Sanguinis</b:JournalName>
    <b:Year>2020</b:Year>
    <b:Pages>293-302</b:Pages>
    <b:Month>May</b:Month>
    <b:Volume>115</b:Volume>
    <b:Issue>4</b:Issue>
    <b:YearAccessed>2022</b:YearAccessed>
    <b:MonthAccessed>March</b:MonthAccessed>
    <b:DayAccessed>09</b:DayAccessed>
    <b:URL>https://pubmed.ncbi.nlm.nih.gov/32034773/</b:URL>
    <b:DOI>10.1111/vox.12880</b:DOI>
    <b:RefOrder>18</b:RefOrder>
  </b:Source>
  <b:Source>
    <b:Tag>IJe17</b:Tag>
    <b:SourceType>JournalArticle</b:SourceType>
    <b:Guid>{B693ACA6-9A78-4E7F-8FE2-324AE8B179A3}</b:Guid>
    <b:Author>
      <b:Author>
        <b:NameList>
          <b:Person>
            <b:Last>Jenkins I</b:Last>
            <b:First>Doucet</b:First>
            <b:Middle>JJ, Clay B, Kopko P, Fipps D, Hemmen E, Paulson D</b:Middle>
          </b:Person>
        </b:NameList>
      </b:Author>
    </b:Author>
    <b:Title>Transfusing Wisely: Clinical Decision Support Improves Blood Transfusion Practices</b:Title>
    <b:JournalName>The Joint Commission Journal on Quality and Patient Safety</b:JournalName>
    <b:Year>2017</b:Year>
    <b:Pages>389-395</b:Pages>
    <b:Month>August</b:Month>
    <b:Volume>43</b:Volume>
    <b:Issue>8</b:Issue>
    <b:YearAccessed>2022</b:YearAccessed>
    <b:MonthAccessed>March</b:MonthAccessed>
    <b:DayAccessed>09</b:DayAccessed>
    <b:URL>https://pubmed.ncbi.nlm.nih.gov/28738984/#:~:text=Conclusion%3A%20The%20interventions%20reduced%20multiunit,performance%20relative%20to%20other%20centers.</b:URL>
    <b:DOI>10.1016/j.jcjq.2017.04.003</b:DOI>
    <b:RefOrder>19</b:RefOrder>
  </b:Source>
  <b:Source>
    <b:Tag>DSa18</b:Tag>
    <b:SourceType>JournalArticle</b:SourceType>
    <b:Guid>{C6B4BE8B-1CF0-41F2-8CCC-6EA2CD995507}</b:Guid>
    <b:Author>
      <b:Author>
        <b:NameList>
          <b:Person>
            <b:Last>Sadana D</b:Last>
            <b:First>Pratzer</b:First>
            <b:Middle>A, Scher LJ, Saag HS, Adler N, Volpicelli FM, Auron M, Frank SM</b:Middle>
          </b:Person>
        </b:NameList>
      </b:Author>
    </b:Author>
    <b:Title>Promoting High-Value Practice by Reducing Unnecessary Transfusions With a Patient Blood Management Program</b:Title>
    <b:JournalName>JAMA Internal Medicine</b:JournalName>
    <b:Year>2018</b:Year>
    <b:Pages>116-122</b:Pages>
    <b:Volume>178</b:Volume>
    <b:YearAccessed>2022</b:YearAccessed>
    <b:MonthAccessed>March</b:MonthAccessed>
    <b:DayAccessed>09</b:DayAccessed>
    <b:URL>https://pubmed.ncbi.nlm.nih.gov/29159367/</b:URL>
    <b:DOI>10.1001/jamainternmed.2017.6369</b:DOI>
    <b:RefOrder>20</b:RefOrder>
  </b:Source>
  <b:Source>
    <b:Tag>SSt20</b:Tag>
    <b:SourceType>JournalArticle</b:SourceType>
    <b:Guid>{B237B521-9553-462C-B0DE-7A366D14C3F1}</b:Guid>
    <b:Author>
      <b:Author>
        <b:NameList>
          <b:Person>
            <b:Last>Staples S</b:Last>
            <b:First>Salisbury</b:First>
            <b:Middle>RA, King AJ, Polzella P, Bakhishli G, Staves J, Murphy MF</b:Middle>
          </b:Person>
        </b:NameList>
      </b:Author>
    </b:Author>
    <b:Title>How do we use electronic clinical decision support and feedback to promote good transfusion practice</b:Title>
    <b:JournalName>Transfusion</b:JournalName>
    <b:Year>2020</b:Year>
    <b:Pages>1658-1665</b:Pages>
    <b:Month>August</b:Month>
    <b:Volume>60</b:Volume>
    <b:Issue>8</b:Issue>
    <b:YearAccessed>2022</b:YearAccessed>
    <b:MonthAccessed>March</b:MonthAccessed>
    <b:DayAccessed>09</b:DayAccessed>
    <b:URL>https://onlinelibrary.wiley.com/doi/full/10.1111/trf.15864</b:URL>
    <b:DOI>10.1111/trf.15864</b:DOI>
    <b:RefOrder>21</b:RefOrder>
  </b:Source>
  <b:Source>
    <b:Tag>Sha18</b:Tag>
    <b:SourceType>Report</b:SourceType>
    <b:Guid>{EA30AEB8-A164-4C53-993C-3F0B58F7E0D2}</b:Guid>
    <b:Author>
      <b:Author>
        <b:NameList>
          <b:Person>
            <b:Last>Shaw T</b:Last>
            <b:First>Hines</b:First>
            <b:Middle>M, Kielly-Carroll C. Australian Commission on Safety and Quality in Health Care</b:Middle>
          </b:Person>
        </b:NameList>
      </b:Author>
    </b:Author>
    <b:Title>Impact of Digital Health on the Safety and Quality of Health Care</b:Title>
    <b:Year>2018</b:Year>
    <b:Publisher>Australian Commission on Safety and Quality in Health Care. The University of Sydney.</b:Publisher>
    <b:YearAccessed>2022</b:YearAccessed>
    <b:MonthAccessed>March</b:MonthAccessed>
    <b:DayAccessed>09</b:DayAccessed>
    <b:URL>https://www.safetyandquality.gov.au/publications-and-resources/resource-library/impact-digital-health-safety-and-quality-health-care</b:URL>
    <b:RefOrder>22</b:RefOrder>
  </b:Source>
  <b:Source>
    <b:Tag>LSh16</b:Tag>
    <b:SourceType>JournalArticle</b:SourceType>
    <b:Guid>{F7983CE0-29D6-459F-BB6D-FDEDD83061EF}</b:Guid>
    <b:Author>
      <b:Author>
        <b:NameList>
          <b:Person>
            <b:Last>Sroujieh LS</b:Last>
            <b:First>Monroy</b:First>
            <b:Middle>D, Warren E</b:Middle>
          </b:Person>
        </b:NameList>
      </b:Author>
    </b:Author>
    <b:Title>Using Electronic Health Record (EHR) Best Practice Alert (BPA) to Improve RBC Transfusion Practice and Adherence to the Guidelines</b:Title>
    <b:JournalName>Chest Journal (American College of Chest Physicians)</b:JournalName>
    <b:Year>2016</b:Year>
    <b:Pages>Supplement, 599A</b:Pages>
    <b:Month>October</b:Month>
    <b:Volume>140</b:Volume>
    <b:Issue>5</b:Issue>
    <b:YearAccessed>2022</b:YearAccessed>
    <b:MonthAccessed>March</b:MonthAccessed>
    <b:DayAccessed>09</b:DayAccessed>
    <b:URL>https://journal.chestnet.org/article/S0012-3692(16)56890-1/fulltext</b:URL>
    <b:DOI>10.1016/j.chest.2016.08.691</b:DOI>
    <b:RefOrder>23</b:RefOrder>
  </b:Source>
  <b:Source>
    <b:Tag>Sar18</b:Tag>
    <b:SourceType>JournalArticle</b:SourceType>
    <b:Guid>{7741099D-004C-4DDF-BD86-1AE58E848A0A}</b:Guid>
    <b:Author>
      <b:Author>
        <b:NameList>
          <b:Person>
            <b:Last>Sardar M</b:Last>
            <b:First>Azharuddin</b:First>
            <b:Middle>M, Subedi A, Ghatage P, Du D, Szallasi A</b:Middle>
          </b:Person>
        </b:NameList>
      </b:Author>
    </b:Author>
    <b:Title>Improving Blood Transfusion Practices in a Community Hospital Setting: Our Experience with Real-Time Clinical Decision Support</b:Title>
    <b:JournalName>Medical Sciences</b:JournalName>
    <b:Year>2018</b:Year>
    <b:Pages>67</b:Pages>
    <b:City>Basel</b:City>
    <b:Month>August</b:Month>
    <b:Day>22</b:Day>
    <b:Publisher>Medical Sciences </b:Publisher>
    <b:Volume>6</b:Volume>
    <b:Issue>67</b:Issue>
    <b:YearAccessed>2022</b:YearAccessed>
    <b:MonthAccessed>March</b:MonthAccessed>
    <b:DayAccessed>09</b:DayAccessed>
    <b:URL>https://www.ncbi.nlm.nih.gov/pmc/articles/PMC6164780/</b:URL>
    <b:DOI>10.3390/medsci6030067</b:DOI>
    <b:RefOrder>24</b:RefOrder>
  </b:Source>
  <b:Source>
    <b:Tag>Sue</b:Tag>
    <b:SourceType>JournalArticle</b:SourceType>
    <b:Guid>{A2233B0F-8FE5-4117-A32B-CB0DB9CCB2D2}</b:Guid>
    <b:Author>
      <b:Author>
        <b:NameList>
          <b:Person>
            <b:Last>Bowman</b:Last>
            <b:First>S</b:First>
          </b:Person>
        </b:NameList>
      </b:Author>
    </b:Author>
    <b:Title>Impact of Electronic Health Record Systems on Information Integrity: Quality and Safety Implications</b:Title>
    <b:Year>2013</b:Year>
    <b:YearAccessed>2022</b:YearAccessed>
    <b:MonthAccessed>March</b:MonthAccessed>
    <b:DayAccessed>09</b:DayAccessed>
    <b:URL>https://www.ncbi.nlm.nih.gov/pmc/articles/PMC3797550/</b:URL>
    <b:DOI>PMID: 24159271</b:DOI>
    <b:JournalName>Perspectives in Health Information Management</b:JournalName>
    <b:Month>October</b:Month>
    <b:RefOrder>25</b:RefOrder>
  </b:Source>
  <b:Source>
    <b:Tag>RKa19</b:Tag>
    <b:SourceType>JournalArticle</b:SourceType>
    <b:Guid>{DE2D1224-20D7-4E47-AD49-F1173A4143CC}</b:Guid>
    <b:Author>
      <b:Author>
        <b:NameList>
          <b:Person>
            <b:Last>Kaufman RM</b:Last>
            <b:First>Dinh</b:First>
            <b:Middle>A, Cohn CS, Fung MK, Gorlin J, Melanson S, Murphy MF, Ziman A, Elahie AL, Chasse D, Degree L, Dunbar NM, Dzik WH, Flanagan P, Gabert K, Ipe TS, Jackson B, Lane D, Raspollini E, Ray C, Sharon Y, Ellis M, Selleng K, Staves J, Yu P, Zeller M</b:Middle>
          </b:Person>
        </b:NameList>
      </b:Author>
    </b:Author>
    <b:Title>Electronic patient identification for sample labeling reduces wrong blood in tube errors</b:Title>
    <b:JournalName>Transfusion</b:JournalName>
    <b:Year>2019</b:Year>
    <b:Pages>972-980</b:Pages>
    <b:Month>March</b:Month>
    <b:Volume>59</b:Volume>
    <b:Issue>3</b:Issue>
    <b:YearAccessed>2022</b:YearAccessed>
    <b:MonthAccessed>March</b:MonthAccessed>
    <b:DayAccessed>09</b:DayAccessed>
    <b:URL>https://pubmed.ncbi.nlm.nih.gov/30549289/</b:URL>
    <b:DOI>10.1111/trf.15102</b:DOI>
    <b:RefOrder>26</b:RefOrder>
  </b:Source>
  <b:Source>
    <b:Tag>Sul161</b:Tag>
    <b:SourceType>JournalArticle</b:SourceType>
    <b:Guid>{48F40C5F-42F4-4831-8BB6-91F5625FB127}</b:Guid>
    <b:Author>
      <b:Author>
        <b:NameList>
          <b:Person>
            <b:Last>Sullivan C</b:Last>
            <b:First>Staib</b:First>
            <b:Middle>A, Ayre S et al</b:Middle>
          </b:Person>
        </b:NameList>
      </b:Author>
    </b:Author>
    <b:Title>Pioneering digital disruption: Australia’s first integrated digital tertiary hospital</b:Title>
    <b:JournalName>MJA</b:JournalName>
    <b:Year>2016</b:Year>
    <b:Pages>205 (9). 7 November 2016. 386-389</b:Pages>
    <b:RefOrder>27</b:RefOrder>
  </b:Source>
  <b:Source>
    <b:Tag>Sul16</b:Tag>
    <b:SourceType>JournalArticle</b:SourceType>
    <b:Guid>{3DB45167-BCD2-46F9-B3CC-0E246C47B067}</b:Guid>
    <b:Author>
      <b:Author>
        <b:NameList>
          <b:Person>
            <b:Last>Sullivan C</b:Last>
            <b:First>Staib</b:First>
            <b:Middle>A, Ayre S et al</b:Middle>
          </b:Person>
        </b:NameList>
      </b:Author>
    </b:Author>
    <b:Title>Pioneering digital disruption: Australia’s first integrated digital tertiary hospital</b:Title>
    <b:JournalName>MJA</b:JournalName>
    <b:Year>2016</b:Year>
    <b:Pages>205 (9). 7 November 2016. 386-389</b:Pages>
    <b:RefOrder>28</b:RefOrder>
  </b:Source>
  <b:Source>
    <b:Tag>MGa10</b:Tag>
    <b:SourceType>JournalArticle</b:SourceType>
    <b:Guid>{4C024466-CE0A-4276-857A-10C4412B80E3}</b:Guid>
    <b:Author>
      <b:Author>
        <b:NameList>
          <b:Person>
            <b:Last>Gagnon M</b:Last>
            <b:First>Desmartis</b:First>
            <b:Middle>M, Labrecque M, Legare F, Lamothe L, Fortin J, Rancourt J, Duplantie J</b:Middle>
          </b:Person>
        </b:NameList>
      </b:Author>
    </b:Author>
    <b:Title>Implementation of an electronic medical record in family practice: a case study</b:Title>
    <b:JournalName>Informatics in Primary Care</b:JournalName>
    <b:Year>2010</b:Year>
    <b:Pages>31-40</b:Pages>
    <b:Volume>18</b:Volume>
    <b:YearAccessed>2022</b:YearAccessed>
    <b:MonthAccessed>March</b:MonthAccessed>
    <b:DayAccessed>09</b:DayAccessed>
    <b:URL>https://pubmed.ncbi.nlm.nih.gov/20429976/</b:URL>
    <b:DOI>10.14236/jhi.v18i1.751</b:DOI>
    <b:RefOrder>29</b:RefOrder>
  </b:Source>
  <b:Source>
    <b:Tag>Riz15</b:Tag>
    <b:SourceType>JournalArticle</b:SourceType>
    <b:Guid>{22C301C9-7540-4EF1-9B5C-C660F1C5E096}</b:Guid>
    <b:Author>
      <b:Author>
        <b:NameList>
          <b:Person>
            <b:Last>Rizer MK</b:Last>
            <b:First>Kaufman</b:First>
            <b:Middle>B, Sieck CJ, Hefner JL, McAlearney AS</b:Middle>
          </b:Person>
        </b:NameList>
      </b:Author>
    </b:Author>
    <b:Title>Top 10 Lessons Learned from Electronic Medical Record Implementation in a Large Academic Medical Center</b:Title>
    <b:JournalName>Perspectives in Heath Information Management</b:JournalName>
    <b:Year>2015</b:Year>
    <b:Month>July</b:Month>
    <b:Volume>12</b:Volume>
    <b:URL>https://www.ncbi.nlm.nih.gov/pmc/articles/PMC4558484/</b:URL>
    <b:DOI>PMID: 26396558</b:DOI>
    <b:RefOrder>30</b:RefOrder>
  </b:Source>
  <b:Source>
    <b:Tag>PEW19</b:Tag>
    <b:SourceType>Report</b:SourceType>
    <b:Guid>{325D14CB-8769-4DF0-AFCD-D50FF5A4E031}</b:Guid>
    <b:Author>
      <b:Author>
        <b:Corporate>PEW Charitable Trusts</b:Corporate>
      </b:Author>
    </b:Author>
    <b:Title>Poor Usability of Electronic Health Records Can Lead to Drug Errors, Jeopardizing Pediatric Patients. A brief from the PEW Charitable Trusts.</b:Title>
    <b:Year>2019</b:Year>
    <b:RefOrder>37</b:RefOrder>
  </b:Source>
  <b:Source>
    <b:Tag>Jef19</b:Tag>
    <b:SourceType>JournalArticle</b:SourceType>
    <b:Guid>{A43EE8AC-D0DA-45B7-BD8B-8E227DE67E19}</b:Guid>
    <b:Title>Fixing a broken record</b:Title>
    <b:Year>2019</b:Year>
    <b:Author>
      <b:Author>
        <b:NameList>
          <b:Person>
            <b:Last>Hecht</b:Last>
            <b:First>Jeff</b:First>
          </b:Person>
        </b:NameList>
      </b:Author>
    </b:Author>
    <b:JournalName>Nature</b:JournalName>
    <b:Pages>S114 Volume 573</b:Pages>
    <b:RefOrder>38</b:RefOrder>
  </b:Source>
  <b:Source>
    <b:Tag>BHo11</b:Tag>
    <b:SourceType>JournalArticle</b:SourceType>
    <b:Guid>{B1CC0511-1593-4FE1-B8BC-6F2AA88EA804}</b:Guid>
    <b:Author>
      <b:Author>
        <b:NameList>
          <b:Person>
            <b:Last>B Holtz</b:Last>
            <b:First>S</b:First>
            <b:Middle>Krein</b:Middle>
          </b:Person>
        </b:NameList>
      </b:Author>
    </b:Author>
    <b:Title>Understanding Nurse Perceptions of a Newly Implemented Electronic Medical Record System</b:Title>
    <b:JournalName>Journal of Technology in Human Services</b:JournalName>
    <b:Year>2011</b:Year>
    <b:Pages>29:247-262</b:Pages>
    <b:RefOrder>39</b:RefOrder>
  </b:Source>
  <b:Source>
    <b:Tag>DCu11</b:Tag>
    <b:SourceType>JournalArticle</b:SourceType>
    <b:Guid>{1DED7B6C-8487-437F-88FA-6094B8B85278}</b:Guid>
    <b:Author>
      <b:Author>
        <b:NameList>
          <b:Person>
            <b:Last>Curry</b:Last>
            <b:First>D</b:First>
          </b:Person>
        </b:NameList>
      </b:Author>
    </b:Author>
    <b:Title>Selection and implantation of a simulated electronic medical record (EMR) in a nursing skills lab. </b:Title>
    <b:JournalName>J. Educational Technology Systems</b:JournalName>
    <b:Year>2010-2011</b:Year>
    <b:Pages>Vol. 39(2) 213-218</b:Pages>
    <b:RefOrder>40</b:RefOrder>
  </b:Source>
  <b:Source>
    <b:Tag>Gos10</b:Tag>
    <b:SourceType>JournalArticle</b:SourceType>
    <b:Guid>{878CEAF9-B17D-4AB4-B5B6-2863B4CDA39B}</b:Guid>
    <b:Title>Top 10 Ways to Easily Identify Human Factors Engineering Hazards.</b:Title>
    <b:Year>2010</b:Year>
    <b:Author>
      <b:Author>
        <b:NameList>
          <b:Person>
            <b:Last>Gosbee L</b:Last>
            <b:First>Gosbee</b:First>
            <b:Middle>J</b:Middle>
          </b:Person>
        </b:NameList>
      </b:Author>
    </b:Author>
    <b:JournalName>Human Factors Horizons</b:JournalName>
    <b:RefOrder>41</b:RefOrder>
  </b:Source>
  <b:Source>
    <b:Tag>TMi101</b:Tag>
    <b:SourceType>JournalArticle</b:SourceType>
    <b:Guid>{75470CFB-9F2F-45F1-A7FF-5B699ECAD957}</b:Guid>
    <b:Author>
      <b:Author>
        <b:NameList>
          <b:Person>
            <b:Last>T Mills</b:Last>
            <b:First>J</b:First>
            <b:Middle>Vavroch, J Bahensky, M Ward</b:Middle>
          </b:Person>
        </b:NameList>
      </b:Author>
    </b:Author>
    <b:Title>Electronic Medical Record Systems in Critical Access Hospitals: Leadership Perspectives on Anticipated and Realized Benefits </b:Title>
    <b:JournalName>Perspectives in Health Information Management</b:JournalName>
    <b:Year>Spring 2010</b:Year>
    <b:RefOrder>42</b:RefOrder>
  </b:Source>
  <b:Source>
    <b:Tag>SHi15</b:Tag>
    <b:SourceType>JournalArticle</b:SourceType>
    <b:Guid>{A6D78440-18BD-4F88-A53A-15A0339B052F}</b:Guid>
    <b:Author>
      <b:Author>
        <b:NameList>
          <b:Person>
            <b:Last>S Hibbs</b:Last>
            <b:First>N</b:First>
            <b:Middle>Nielsen, S Brunskill et al</b:Middle>
          </b:Person>
        </b:NameList>
      </b:Author>
    </b:Author>
    <b:Title>The Impact of Electronic Decision Support on Transfusion Practice: A Systematic Review</b:Title>
    <b:JournalName>Transfusion Medicine Reviews</b:JournalName>
    <b:Year>2015</b:Year>
    <b:Pages>29; 14-23</b:Pages>
    <b:RefOrder>43</b:RefOrder>
  </b:Source>
  <b:Source>
    <b:Tag>Pic17</b:Tag>
    <b:SourceType>JournalArticle</b:SourceType>
    <b:Guid>{E26B815D-561F-4D6C-8DBD-54BDBA6F2BE7}</b:Guid>
    <b:Author>
      <b:Author>
        <b:NameList>
          <b:Person>
            <b:Last>Pickup L</b:Last>
            <b:First>Atkinson</b:First>
            <b:Middle>S, Hollnagel E et al</b:Middle>
          </b:Person>
        </b:NameList>
      </b:Author>
    </b:Author>
    <b:Title>Blood Sampling – Two sides to the story.</b:Title>
    <b:JournalName>Applied Ergonomics</b:JournalName>
    <b:Year>2017</b:Year>
    <b:Pages>October</b:Pages>
    <b:RefOrder>44</b:RefOrder>
  </b:Source>
  <b:Source>
    <b:Tag>Rus131</b:Tag>
    <b:SourceType>JournalArticle</b:SourceType>
    <b:Guid>{255942E9-DF02-41E0-B3AA-77F1B89C3023}</b:Guid>
    <b:Author>
      <b:Author>
        <b:NameList>
          <b:Person>
            <b:Last>Russ A</b:Last>
            <b:First>Fairbanks</b:First>
            <b:Middle>R, Karsh B-T et al</b:Middle>
          </b:Person>
        </b:NameList>
      </b:Author>
    </b:Author>
    <b:Title>The science of human factors: separating fact from fiction. </b:Title>
    <b:JournalName>BMJ Aual Saf. </b:JournalName>
    <b:Year>2013</b:Year>
    <b:Pages>22:802-808</b:Pages>
    <b:RefOrder>45</b:RefOrder>
  </b:Source>
  <b:Source>
    <b:Tag>Gar191</b:Tag>
    <b:SourceType>JournalArticle</b:SourceType>
    <b:Guid>{70B03101-BD17-4D2F-AD3C-EEE8CA888786}</b:Guid>
    <b:Author>
      <b:Author>
        <b:NameList>
          <b:Person>
            <b:Last>Gardner R</b:Last>
            <b:First>Cooper</b:First>
            <b:Middle>E, Haskell J et al</b:Middle>
          </b:Person>
        </b:NameList>
      </b:Author>
    </b:Author>
    <b:Title>Physician stress and burnout: the impact of health information technology</b:Title>
    <b:JournalName>Journal of the American Informatics Association</b:JournalName>
    <b:Year>2019</b:Year>
    <b:Pages>26(2):106-114</b:Pages>
    <b:RefOrder>46</b:RefOrder>
  </b:Source>
  <b:Source>
    <b:Tag>LHa11</b:Tag>
    <b:SourceType>JournalArticle</b:SourceType>
    <b:Guid>{A85103D8-88A6-4C31-9EB6-EC7916CC316D}</b:Guid>
    <b:Author>
      <b:Author>
        <b:NameList>
          <b:Person>
            <b:Last>L Harrington</b:Last>
            <b:First>L</b:First>
            <b:Middle>Porch, K Acosta, K Wilkens</b:Middle>
          </b:Person>
        </b:NameList>
      </b:Author>
    </b:Author>
    <b:Title>Realizing Electronic Medical Record Benefits. An Easy-to-Do Usability Study</b:Title>
    <b:JournalName> The Journal of Nursing Administration (JONA)</b:JournalName>
    <b:Year>2011</b:Year>
    <b:Pages>Vol 41, No 7/8, pp331-335. July/August 2011.</b:Pages>
    <b:RefOrder>47</b:RefOrder>
  </b:Source>
  <b:Source>
    <b:Tag>Zah15</b:Tag>
    <b:SourceType>JournalArticle</b:SourceType>
    <b:Guid>{E76F1257-0901-4C0F-B4AA-9C1F7FF54B72}</b:Guid>
    <b:Author>
      <b:Author>
        <b:NameList>
          <b:Person>
            <b:Last>Zahabi M</b:Last>
            <b:First>Kaber</b:First>
            <b:Middle>D, Swangnetr M</b:Middle>
          </b:Person>
        </b:NameList>
      </b:Author>
    </b:Author>
    <b:Title>Usability and Safety in Electronic Medical Records Interface Design: A Review of Recent Literature and Guideline Formulation</b:Title>
    <b:JournalName>Human Factors</b:JournalName>
    <b:Year>2015</b:Year>
    <b:Pages>March 2015 pp 1-30 (DOI: 10.1177/0018720815576827)</b:Pages>
    <b:RefOrder>48</b:RefOrder>
  </b:Source>
  <b:Source>
    <b:Tag>Pay10</b:Tag>
    <b:SourceType>JournalArticle</b:SourceType>
    <b:Guid>{71547404-D586-4958-8AC1-DE4507108268}</b:Guid>
    <b:Author>
      <b:Author>
        <b:NameList>
          <b:Person>
            <b:Last>Payne</b:Last>
            <b:First>Thomas</b:First>
          </b:Person>
        </b:NameList>
      </b:Author>
    </b:Author>
    <b:Title>Improving clinical documentation in an EMR world</b:Title>
    <b:JournalName>Healthcare financial management</b:JournalName>
    <b:Year>2010</b:Year>
    <b:Pages>February 2010 70-74</b:Pages>
    <b:RefOrder>49</b:RefOrder>
  </b:Source>
  <b:Source>
    <b:Tag>Kes</b:Tag>
    <b:SourceType>JournalArticle</b:SourceType>
    <b:Guid>{BD739F73-51BF-4BA8-832E-811BE791D605}</b:Guid>
    <b:Author>
      <b:Author>
        <b:NameList>
          <b:Person>
            <b:Last>Keshavjee K</b:Last>
            <b:First>Bosomworth</b:First>
            <b:Middle>J, Copen J et al</b:Middle>
          </b:Person>
        </b:NameList>
      </b:Author>
    </b:Author>
    <b:Title>Best Practices in EMR Implementation: A Systematic Review</b:Title>
    <b:RefOrder>50</b:RefOrder>
  </b:Source>
  <b:Source>
    <b:Tag>Fra18</b:Tag>
    <b:SourceType>JournalArticle</b:SourceType>
    <b:Guid>{1D1A9AF7-B280-4E97-98F3-B0DE53FD06F4}</b:Guid>
    <b:Author>
      <b:Author>
        <b:NameList>
          <b:Person>
            <b:Last>Fragidis L</b:Last>
            <b:First>Chatzoglou</b:First>
            <b:Middle>P</b:Middle>
          </b:Person>
        </b:NameList>
      </b:Author>
    </b:Author>
    <b:Title>Implementation of a nationwide electronic health record (EHR). The international experience in 13 countries</b:Title>
    <b:JournalName>International Journal of Health Care Quality Assurance</b:JournalName>
    <b:Year>2018</b:Year>
    <b:Pages>Vol 31, No.2,2018;116-130</b:Pages>
    <b:RefOrder>51</b:RefOrder>
  </b:Source>
  <b:Source>
    <b:Tag>Cre11</b:Tag>
    <b:SourceType>JournalArticle</b:SourceType>
    <b:Guid>{D079E6C4-CA94-42B5-A843-7115BE0201F1}</b:Guid>
    <b:Author>
      <b:Author>
        <b:NameList>
          <b:Person>
            <b:Last>Cresswell K</b:Last>
            <b:First>Morrison</b:First>
            <b:Middle>Z, Crowe S</b:Middle>
          </b:Person>
        </b:NameList>
      </b:Author>
    </b:Author>
    <b:Title>Anything but engaged: user involvement in the context of a nation electronic health record implementation</b:Title>
    <b:JournalName>Informatics in Primary Care </b:JournalName>
    <b:Year>2011</b:Year>
    <b:Pages>19:191-206</b:Pages>
    <b:RefOrder>52</b:RefOrder>
  </b:Source>
  <b:Source>
    <b:Tag>HSa10</b:Tag>
    <b:SourceType>JournalArticle</b:SourceType>
    <b:Guid>{8B8B0FCA-0562-4B9F-B81A-C61CAABE3C98}</b:Guid>
    <b:Author>
      <b:Author>
        <b:NameList>
          <b:Person>
            <b:Last>H Safadi</b:Last>
            <b:First>S</b:First>
            <b:Middle>Faraj</b:Middle>
          </b:Person>
        </b:NameList>
      </b:Author>
    </b:Author>
    <b:Title>The role of Workarounds during an Open-Source Electronic Medical Record System Implementation</b:Title>
    <b:JournalName>Association for Information Systems AIS Electronic Library. International Conference on Information Systems (ICIS) 2010 Proceedings.</b:JournalName>
    <b:Year>2010</b:Year>
    <b:ConferenceName>International Conference on Information Systems (ICIS) 2010 Proceedings </b:ConferenceName>
    <b:Publisher>1-1-2010</b:Publisher>
    <b:Pages>1-1-2010.</b:Pages>
    <b:RefOrder>53</b:RefOrder>
  </b:Source>
  <b:Source>
    <b:Tag>LNg14</b:Tag>
    <b:SourceType>JournalArticle</b:SourceType>
    <b:Guid>{19289B68-6E82-4163-9643-8E907AD3D6FD}</b:Guid>
    <b:Title>Electronic health records implementation: An evaluation of information system impact and contingency factors</b:Title>
    <b:Year>2014</b:Year>
    <b:Author>
      <b:Author>
        <b:NameList>
          <b:Person>
            <b:Last>L Nguyen</b:Last>
            <b:First>E</b:First>
            <b:Middle>Bellucci, LT Nguyen</b:Middle>
          </b:Person>
        </b:NameList>
      </b:Author>
    </b:Author>
    <b:JournalName> International Journal of Medical Informatics </b:JournalName>
    <b:Pages>83 (2014) 779-796</b:Pages>
    <b:RefOrder>54</b:RefOrder>
  </b:Source>
  <b:Source>
    <b:Tag>Aus1</b:Tag>
    <b:SourceType>InternetSite</b:SourceType>
    <b:Guid>{2FA8E4A2-4395-4B2A-B6B5-9003CE3E9B03}</b:Guid>
    <b:Title>Massive transfusion</b:Title>
    <b:Author>
      <b:Author>
        <b:Corporate>Australian Red Cross Lifeblood</b:Corporate>
      </b:Author>
    </b:Author>
    <b:Year>2021</b:Year>
    <b:Month>06</b:Month>
    <b:Day>30</b:Day>
    <b:URL>https://www.lifeblood.com.au/health-professionals/clinical-practice/clinical-indications/massive-transfusion</b:URL>
    <b:RefOrder>32</b:RefOrder>
  </b:Source>
  <b:Source>
    <b:Tag>Aus21</b:Tag>
    <b:SourceType>InternetSite</b:SourceType>
    <b:Guid>{2C0BFF20-15D7-4E21-A5AA-E30764766E7B}</b:Guid>
    <b:Author>
      <b:Author>
        <b:Corporate>Australian Red Cross Lifeblood</b:Corporate>
      </b:Author>
    </b:Author>
    <b:Title>Emergency provision of red cells</b:Title>
    <b:Year>2021</b:Year>
    <b:Month>06</b:Month>
    <b:Day>30</b:Day>
    <b:URL>https://www.lifeblood.com.au/health-professionals/inventory-management/emergency-provision-of-red-cells</b:URL>
    <b:RefOrder>33</b:RefOrder>
  </b:Source>
  <b:Source>
    <b:Tag>ACS21</b:Tag>
    <b:SourceType>DocumentFromInternetSite</b:SourceType>
    <b:Guid>{BBA7BB71-E5E6-41B5-86BD-4FDA274C42BF}</b:Guid>
    <b:Title>Fact sheet - informed consent - NSQHS 8.9a</b:Title>
    <b:InternetSiteTitle>Safety and Quality</b:InternetSiteTitle>
    <b:Year>2021</b:Year>
    <b:Month>06</b:Month>
    <b:Day>30</b:Day>
    <b:URL>https://www.safetyandquality.gov.au/sites/default/files/2020-09/sq20-030_-_fact_sheet_-_informed_consent_-_nsqhs-8.9a.pdf</b:URL>
    <b:Author>
      <b:Author>
        <b:Corporate>ACSQHC</b:Corporate>
      </b:Author>
    </b:Author>
    <b:RefOrder>34</b:RefOrder>
  </b:Source>
  <b:Source>
    <b:Tag>Aus</b:Tag>
    <b:SourceType>Report</b:SourceType>
    <b:Guid>{8FD0AC88-D60C-4EDA-8183-E95A8915ED30}</b:Guid>
    <b:Author>
      <b:Author>
        <b:Corporate>ACSQHC</b:Corporate>
      </b:Author>
    </b:Author>
    <b:Title>National Safety and Quality Health Service (NSQHS) Standards - Blood Management Standard</b:Title>
    <b:Year>2017</b:Year>
    <b:Publisher>Australian Commission on Safety and Quality in Health Care</b:Publisher>
    <b:City>Sydney</b:City>
    <b:ShortTitle>NSQHS</b:ShortTitle>
    <b:StandardNumber>2nd edition</b:StandardNumber>
    <b:Institution>ACSQHC</b:Institution>
    <b:YearAccessed>2022</b:YearAccessed>
    <b:MonthAccessed>03</b:MonthAccessed>
    <b:DayAccessed>02</b:DayAccessed>
    <b:URL>https://www.safetyandquality.gov.au/standards/nsqhs-standards/blood-management-standard</b:URL>
    <b:RefOrder>31</b:RefOrder>
  </b:Source>
  <b:Source>
    <b:Tag>WSL21</b:Tag>
    <b:SourceType>JournalArticle</b:SourceType>
    <b:Guid>{D522DDC7-6065-4FF8-A286-98F0EBF343B3}</b:Guid>
    <b:Title>Massive Transfusion Protocol Predictive Modeling in the Modern Electronic Medical Record</b:Title>
    <b:Year>2021</b:Year>
    <b:Author>
      <b:Author>
        <b:NameList>
          <b:Person>
            <b:Last>Lao WS</b:Last>
            <b:First>Poisson</b:First>
            <b:Middle>JL, Vatsaas CJ, Dente CJ, Kirk AD, Agarwal SK, Vaslef SN</b:Middle>
          </b:Person>
        </b:NameList>
      </b:Author>
    </b:Author>
    <b:JournalName>Annals of Surgery</b:JournalName>
    <b:Pages>e109</b:Pages>
    <b:Month>December</b:Month>
    <b:Publisher>Annals of Surgery</b:Publisher>
    <b:Volume>2</b:Volume>
    <b:Issue>4</b:Issue>
    <b:YearAccessed>2022</b:YearAccessed>
    <b:MonthAccessed>March</b:MonthAccessed>
    <b:DayAccessed>09</b:DayAccessed>
    <b:URL>https://journals.lww.com/aosopen/Fulltext/2021/12000/Massive_Transfusion_Protocol_Predictive_Modeling.14.aspx</b:URL>
    <b:DOI>10.1097/AS9.0000000000000109</b:DOI>
    <b:RefOrder>55</b:RefOrder>
  </b:Source>
  <b:Source>
    <b:Tag>LHa111</b:Tag>
    <b:SourceType>JournalArticle</b:SourceType>
    <b:Guid>{C46F6B00-E761-4980-9345-A0BB8C51A1A0}</b:Guid>
    <b:Author>
      <b:Author>
        <b:NameList>
          <b:Person>
            <b:Last>Harrington L</b:Last>
            <b:First>Kennerly</b:First>
            <b:Middle>D, Johnson C</b:Middle>
          </b:Person>
        </b:NameList>
      </b:Author>
    </b:Author>
    <b:Title>Safety Issues Related to the Electronic Medical Record (EMR): Synthesis of the Literature from the Last Decade, 2000-2009</b:Title>
    <b:JournalName>Journal of Healthcare Management</b:JournalName>
    <b:Year>2011</b:Year>
    <b:Pages>31-43</b:Pages>
    <b:Month>Jan-Feb</b:Month>
    <b:Publisher>Journal of Healthcare Management</b:Publisher>
    <b:Volume>56</b:Volume>
    <b:Issue>1</b:Issue>
    <b:YearAccessed>2022</b:YearAccessed>
    <b:MonthAccessed>March</b:MonthAccessed>
    <b:DayAccessed>09</b:DayAccessed>
    <b:URL>https://pubmed.ncbi.nlm.nih.gov/21323026/</b:URL>
    <b:DOI>PMID: 21323026</b:DOI>
    <b:RefOrder>56</b:RefOrder>
  </b:Source>
  <b:Source>
    <b:Tag>CAM111</b:Tag>
    <b:SourceType>JournalArticle</b:SourceType>
    <b:Guid>{932E0565-4300-4318-8B1C-67271437B3D9}</b:Guid>
    <b:Author>
      <b:Author>
        <b:NameList>
          <b:Person>
            <b:Last>McGinn CA</b:Last>
            <b:First>Grenier</b:First>
            <b:Middle>S, Duplantie J, Shaw N, Sicotte C, Mathieu L, Leduc Y, Legare F, Gagnon M</b:Middle>
          </b:Person>
        </b:NameList>
      </b:Author>
    </b:Author>
    <b:Title>Comparison of user groups’ perspectives of barriers and facilitators to implementing electronic health records: a systematic review.</b:Title>
    <b:JournalName>BioMed Central (BMC Medicine)</b:JournalName>
    <b:Year>2011</b:Year>
    <b:Month>April</b:Month>
    <b:Day>28</b:Day>
    <b:Publisher>BioMed Central (BMC Medicine)</b:Publisher>
    <b:Volume>9</b:Volume>
    <b:Issue>46</b:Issue>
    <b:YearAccessed>2022</b:YearAccessed>
    <b:MonthAccessed>March</b:MonthAccessed>
    <b:DayAccessed>09</b:DayAccessed>
    <b:URL>https://bmcmedicine.biomedcentral.com/articles/10.1186/1741-7015-9-46#citeas</b:URL>
    <b:DOI>10.1186/1741-7015-9-46</b:DOI>
    <b:RefOrder>57</b:RefOrder>
  </b:Source>
  <b:Source>
    <b:Tag>LLu10</b:Tag>
    <b:SourceType>JournalArticle</b:SourceType>
    <b:Guid>{7C1C0148-9097-42DA-BE40-C3BE84A0F880}</b:Guid>
    <b:Author>
      <b:Author>
        <b:NameList>
          <b:Person>
            <b:Last>Lucas</b:Last>
            <b:First>L</b:First>
          </b:Person>
        </b:NameList>
      </b:Author>
    </b:Author>
    <b:Title>Partnering to Enhance the Nursing Curriculum: Electronic Medical Record Accessibility</b:Title>
    <b:JournalName>Clinical Simulation in Nursing</b:JournalName>
    <b:Year>2010</b:Year>
    <b:Pages>6, e97-e102</b:Pages>
    <b:DOI>10.1016/j.ecns.2009.07.006</b:DOI>
    <b:RefOrder>58</b:RefOrder>
  </b:Source>
  <b:Source>
    <b:Tag>AGe13</b:Tag>
    <b:SourceType>JournalArticle</b:SourceType>
    <b:Guid>{8D78B979-6AD1-4D67-9E6A-C22E80AB8B8A}</b:Guid>
    <b:Author>
      <b:Author>
        <b:NameList>
          <b:Person>
            <b:Last>Georgiou A</b:Last>
            <b:First>Vecellio</b:First>
            <b:Middle>E, Toouli G, Eigenstetter A, Li L, Wilson R, Westbrook JI</b:Middle>
          </b:Person>
        </b:NameList>
      </b:Author>
    </b:Author>
    <b:Title>Monitoring the impact of the electronic medical record on the quality of laboratory test ordering practices</b:Title>
    <b:JournalName>Studies in health technology and informatics</b:JournalName>
    <b:Year>2013</b:Year>
    <b:Pages>33-38</b:Pages>
    <b:Month>July</b:Month>
    <b:Volume>188</b:Volume>
    <b:YearAccessed>2022</b:YearAccessed>
    <b:MonthAccessed>March </b:MonthAccessed>
    <b:DayAccessed>09</b:DayAccessed>
    <b:URL>https://www.researchgate.net/publication/245027060_Monitoring_the_impact_of_the_electronic_medical_record_on_the_quality_of_laboratory_test_ordering_practices</b:URL>
    <b:DOI>10.3233/978-1-61499-266-0-33</b:DOI>
    <b:RefOrder>59</b:RefOrder>
  </b:Source>
  <b:Source>
    <b:Tag>Mic191</b:Tag>
    <b:SourceType>JournalArticle</b:SourceType>
    <b:Guid>{414E6C8A-2BC9-4CF1-B729-9692F29ECAA6}</b:Guid>
    <b:Author>
      <b:Author>
        <b:NameList>
          <b:Person>
            <b:Last>Murphy MF</b:Last>
            <b:First>Addison</b:First>
            <b:Middle>JJ, Poles D, Dhiman P, Bolton-Maggs P</b:Middle>
          </b:Person>
        </b:NameList>
      </b:Author>
    </b:Author>
    <b:Title>Electronic identification systems reduce the number of wrong components transfused</b:Title>
    <b:JournalName>Transfusion</b:JournalName>
    <b:Year>2019</b:Year>
    <b:Pages>1-7</b:Pages>
    <b:Month>December</b:Month>
    <b:Volume>59</b:Volume>
    <b:Issue>12</b:Issue>
    <b:YearAccessed>2022</b:YearAccessed>
    <b:MonthAccessed>March</b:MonthAccessed>
    <b:DayAccessed>09</b:DayAccessed>
    <b:URL>https://pubmed.ncbi.nlm.nih.gov/31584694/</b:URL>
    <b:DOI>10.1111/trf.15537</b:DOI>
    <b:RefOrder>60</b:RefOrder>
  </b:Source>
  <b:Source>
    <b:Tag>Ker21</b:Tag>
    <b:SourceType>JournalArticle</b:SourceType>
    <b:Guid>{25775BA3-B284-4810-B637-B6E6AEA94C48}</b:Guid>
    <b:Author>
      <b:Author>
        <b:NameList>
          <b:Person>
            <b:Last>O’Brien KL</b:Last>
            <b:First>Chen</b:First>
            <b:Middle>Y, Uhl L</b:Middle>
          </b:Person>
        </b:NameList>
      </b:Author>
    </b:Author>
    <b:Title>Assessing inpatient platelet ordering practice: evaluation of computer provider order entry overrides</b:Title>
    <b:JournalName>Vox Sanguinis</b:JournalName>
    <b:Year>2021</b:Year>
    <b:Pages>702-712</b:Pages>
    <b:Month>July</b:Month>
    <b:Volume>116</b:Volume>
    <b:Issue>6</b:Issue>
    <b:YearAccessed>2022</b:YearAccessed>
    <b:MonthAccessed>March</b:MonthAccessed>
    <b:DayAccessed>09</b:DayAccessed>
    <b:URL>https://pubmed.ncbi.nlm.nih.gov/33615489/</b:URL>
    <b:DOI>10.1111/vox.13050</b:DOI>
    <b:RefOrder>61</b:RefOrder>
  </b:Source>
  <b:Source>
    <b:Tag>22Ma</b:Tag>
    <b:SourceType>InternetSite</b:SourceType>
    <b:Guid>{F65A5AB9-CF89-4DB4-8A94-1F3A3FDC50BE}</b:Guid>
    <b:Year>2022</b:Year>
    <b:Month>March</b:Month>
    <b:Day>31</b:Day>
    <b:URL>https://www.verizon.com/info/definitions/wifi/</b:URL>
    <b:Title>Verizon</b:Title>
    <b:InternetSiteTitle>Verizon</b:InternetSiteTitle>
    <b:RefOrder>35</b:RefOrder>
  </b:Source>
  <b:Source>
    <b:Tag>Placeholder1</b:Tag>
    <b:SourceType>Report</b:SourceType>
    <b:Guid>{55E4BF4C-1AC0-4FD6-8113-5B6128D70467}</b:Guid>
    <b:Title>Electronic Medical Records: Implications for Clinical Transfusion Practice</b:Title>
    <b:Year>2019</b:Year>
    <b:Author>
      <b:Author>
        <b:Corporate>BloodSafe eLearning Australia</b:Corporate>
      </b:Author>
    </b:Author>
    <b:Publisher>BloodSafe eLearning Australia</b:Publisher>
    <b:City>Adelaide</b:City>
    <b:RefOrder>62</b:RefOrder>
  </b:Source>
  <b:Source>
    <b:Tag>Placeholder2</b:Tag>
    <b:SourceType>Report</b:SourceType>
    <b:Guid>{D7A67643-E092-4667-9283-3E2FED9F189F}</b:Guid>
    <b:Author>
      <b:Author>
        <b:Corporate>ANZSBT</b:Corporate>
      </b:Author>
    </b:Author>
    <b:Title>Guidelines for the implementation and use of electronic medical records for transfusion</b:Title>
    <b:Year>2021</b:Year>
    <b:Publisher>Australian and New Zealand Society of Blood Transfusion</b:Publisher>
    <b:Institution>Australian and New Zealand Society of Blood Transfusion</b:Institution>
    <b:YearAccessed>2021</b:YearAccessed>
    <b:MonthAccessed>July</b:MonthAccessed>
    <b:DayAccessed>31</b:DayAccessed>
    <b:URL>https://anzsbt.org.au/guidelines-standards/anzsbt-guidelines/</b:URL>
    <b:RefOrder>36</b:RefOrder>
  </b:Source>
</b:Sourc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D696BA-7D1B-498A-8E45-B7179646C643}">
  <ds:schemaRefs>
    <ds:schemaRef ds:uri="http://schemas.openxmlformats.org/officeDocument/2006/bibliography"/>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report</Template>
  <TotalTime>65</TotalTime>
  <Pages>78</Pages>
  <Words>22495</Words>
  <Characters>132243</Characters>
  <Application>Microsoft Office Word</Application>
  <DocSecurity>0</DocSecurity>
  <Lines>1102</Lines>
  <Paragraphs>308</Paragraphs>
  <ScaleCrop>false</ScaleCrop>
  <HeadingPairs>
    <vt:vector size="2" baseType="variant">
      <vt:variant>
        <vt:lpstr>Title</vt:lpstr>
      </vt:variant>
      <vt:variant>
        <vt:i4>1</vt:i4>
      </vt:variant>
    </vt:vector>
  </HeadingPairs>
  <TitlesOfParts>
    <vt:vector size="1" baseType="lpstr">
      <vt:lpstr>Blood Matters EMR survey report 2021</vt:lpstr>
    </vt:vector>
  </TitlesOfParts>
  <Manager/>
  <Company>Victoria State Government, Department of Health, Blood Matters</Company>
  <LinksUpToDate>false</LinksUpToDate>
  <CharactersWithSpaces>154430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EMR survey report 2021</dc:title>
  <dc:subject>Electronic medical record use in relation to blood management</dc:subject>
  <dc:creator>Blood Matters</dc:creator>
  <cp:keywords>blood management, EMR, electronic medical record</cp:keywords>
  <dc:description/>
  <cp:lastModifiedBy>Linley Bielby</cp:lastModifiedBy>
  <cp:revision>5</cp:revision>
  <cp:lastPrinted>2022-05-31T06:07:00Z</cp:lastPrinted>
  <dcterms:created xsi:type="dcterms:W3CDTF">2022-06-01T01:39:00Z</dcterms:created>
  <dcterms:modified xsi:type="dcterms:W3CDTF">2022-07-11T06:53:00Z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