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A819B" w14:textId="77777777" w:rsidR="00521CA5" w:rsidRPr="003A78FF" w:rsidRDefault="00521CA5" w:rsidP="004848FB">
      <w:pPr>
        <w:pStyle w:val="SCVborderabovetitle"/>
        <w:pBdr>
          <w:top w:val="single" w:sz="24" w:space="1" w:color="CCCCD0"/>
        </w:pBdr>
        <w:ind w:right="-58"/>
        <w:rPr>
          <w:rFonts w:ascii="VIC" w:hAnsi="VIC"/>
        </w:rPr>
      </w:pPr>
    </w:p>
    <w:p w14:paraId="5D4ADEF0" w14:textId="77777777" w:rsidR="00521CA5" w:rsidRPr="003A78FF" w:rsidRDefault="00521CA5" w:rsidP="00521CA5">
      <w:pPr>
        <w:pStyle w:val="SCVborderabovetitle"/>
        <w:rPr>
          <w:rFonts w:ascii="VIC" w:hAnsi="VIC"/>
        </w:rPr>
        <w:sectPr w:rsidR="00521CA5" w:rsidRPr="003A78FF" w:rsidSect="004848FB">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2438" w:right="849" w:bottom="1361" w:left="737" w:header="454" w:footer="851" w:gutter="0"/>
          <w:cols w:space="284"/>
          <w:docGrid w:linePitch="360"/>
        </w:sectPr>
      </w:pPr>
    </w:p>
    <w:p w14:paraId="0CC753FB" w14:textId="77777777" w:rsidR="00C37665" w:rsidRPr="003A78FF" w:rsidRDefault="00C37665" w:rsidP="00521CA5">
      <w:pPr>
        <w:pStyle w:val="SCVfactsheettitle"/>
        <w:spacing w:before="0"/>
        <w:rPr>
          <w:rFonts w:ascii="VIC" w:hAnsi="VIC"/>
        </w:rPr>
      </w:pPr>
    </w:p>
    <w:p w14:paraId="1C578FE8" w14:textId="6F5436CD" w:rsidR="00C50A2B" w:rsidRPr="003A78FF" w:rsidRDefault="7F4278FB" w:rsidP="003A78FF">
      <w:pPr>
        <w:pStyle w:val="Heading1"/>
        <w:rPr>
          <w:rFonts w:ascii="VIC" w:hAnsi="VIC"/>
          <w:sz w:val="76"/>
          <w:szCs w:val="76"/>
        </w:rPr>
      </w:pPr>
      <w:r w:rsidRPr="003A78FF">
        <w:rPr>
          <w:rFonts w:ascii="VIC" w:hAnsi="VIC"/>
          <w:sz w:val="76"/>
          <w:szCs w:val="76"/>
        </w:rPr>
        <w:t xml:space="preserve">Expanding </w:t>
      </w:r>
      <w:r w:rsidR="00A36DA2" w:rsidRPr="003A78FF">
        <w:rPr>
          <w:rFonts w:ascii="VIC" w:hAnsi="VIC"/>
          <w:sz w:val="76"/>
          <w:szCs w:val="76"/>
        </w:rPr>
        <w:t xml:space="preserve">Day </w:t>
      </w:r>
      <w:r w:rsidR="00A36DA2" w:rsidRPr="003A78FF">
        <w:rPr>
          <w:rFonts w:ascii="VIC" w:hAnsi="VIC"/>
          <w:color w:val="007586" w:themeColor="accent2"/>
          <w:sz w:val="76"/>
          <w:szCs w:val="76"/>
        </w:rPr>
        <w:t>Surgery R</w:t>
      </w:r>
      <w:r w:rsidR="00A36DA2" w:rsidRPr="003A78FF">
        <w:rPr>
          <w:rFonts w:ascii="VIC" w:hAnsi="VIC"/>
          <w:sz w:val="76"/>
          <w:szCs w:val="76"/>
        </w:rPr>
        <w:t>eport</w:t>
      </w:r>
    </w:p>
    <w:p w14:paraId="1DEB8013" w14:textId="4FADF1A3" w:rsidR="00C50A2B" w:rsidRPr="003A78FF" w:rsidRDefault="00990084" w:rsidP="004848FB">
      <w:pPr>
        <w:pStyle w:val="SCVprotectivemarkingbelowsubtitle"/>
        <w:ind w:right="337"/>
        <w:rPr>
          <w:rFonts w:ascii="VIC" w:hAnsi="VIC"/>
        </w:rPr>
      </w:pPr>
      <w:r w:rsidRPr="003A78FF">
        <w:rPr>
          <w:rFonts w:ascii="VIC" w:hAnsi="VIC"/>
        </w:rPr>
        <w:fldChar w:fldCharType="begin"/>
      </w:r>
      <w:r w:rsidRPr="003A78FF">
        <w:rPr>
          <w:rFonts w:ascii="VIC" w:hAnsi="VIC"/>
        </w:rPr>
        <w:instrText>FILLIN  "Type the protective marking" \d OFFICIAL \o  \* MERGEFORMAT</w:instrText>
      </w:r>
      <w:r w:rsidRPr="003A78FF">
        <w:rPr>
          <w:rFonts w:ascii="VIC" w:hAnsi="VIC"/>
        </w:rPr>
        <w:fldChar w:fldCharType="separate"/>
      </w:r>
      <w:r w:rsidR="008F2D82" w:rsidRPr="003A78FF">
        <w:rPr>
          <w:rFonts w:ascii="VIC" w:hAnsi="VIC"/>
        </w:rPr>
        <w:t>OFFICIAL</w:t>
      </w:r>
      <w:r w:rsidRPr="003A78FF">
        <w:rPr>
          <w:rFonts w:ascii="VIC" w:hAnsi="VIC"/>
        </w:rPr>
        <w:fldChar w:fldCharType="end"/>
      </w:r>
    </w:p>
    <w:p w14:paraId="63031816" w14:textId="108901A9" w:rsidR="006E7967" w:rsidRPr="003A78FF" w:rsidRDefault="006E7967">
      <w:pPr>
        <w:rPr>
          <w:rFonts w:ascii="VIC" w:hAnsi="VIC"/>
          <w:caps/>
          <w:sz w:val="24"/>
          <w:szCs w:val="24"/>
        </w:rPr>
      </w:pPr>
    </w:p>
    <w:tbl>
      <w:tblPr>
        <w:tblStyle w:val="SCVInformationTable"/>
        <w:tblW w:w="9676" w:type="dxa"/>
        <w:tblLook w:val="0600" w:firstRow="0" w:lastRow="0" w:firstColumn="0" w:lastColumn="0" w:noHBand="1" w:noVBand="1"/>
      </w:tblPr>
      <w:tblGrid>
        <w:gridCol w:w="9676"/>
      </w:tblGrid>
      <w:tr w:rsidR="003A78FF" w:rsidRPr="0059267A" w14:paraId="1F28EFCC" w14:textId="77777777" w:rsidTr="003A78FF">
        <w:trPr>
          <w:trHeight w:val="1754"/>
        </w:trPr>
        <w:tc>
          <w:tcPr>
            <w:tcW w:w="9676" w:type="dxa"/>
            <w:shd w:val="clear" w:color="auto" w:fill="auto"/>
          </w:tcPr>
          <w:p w14:paraId="162EDEE0" w14:textId="77777777" w:rsidR="003A78FF" w:rsidRPr="0059267A" w:rsidRDefault="003A78FF" w:rsidP="00971983">
            <w:pPr>
              <w:pStyle w:val="SCVaccessibilitypara"/>
            </w:pPr>
            <w:bookmarkStart w:id="0" w:name="_Toc111215088"/>
          </w:p>
        </w:tc>
      </w:tr>
      <w:tr w:rsidR="003A78FF" w:rsidRPr="0059267A" w14:paraId="35BD4B2F" w14:textId="77777777" w:rsidTr="003A78FF">
        <w:trPr>
          <w:cantSplit/>
          <w:trHeight w:val="1090"/>
        </w:trPr>
        <w:tc>
          <w:tcPr>
            <w:tcW w:w="9676" w:type="dxa"/>
          </w:tcPr>
          <w:p w14:paraId="00843656" w14:textId="77777777" w:rsidR="003A78FF" w:rsidRPr="0059267A" w:rsidRDefault="003A78FF" w:rsidP="00971983">
            <w:pPr>
              <w:pStyle w:val="SCVaccessibilitypara"/>
            </w:pPr>
            <w:r w:rsidRPr="0059267A">
              <w:t xml:space="preserve">To receive this publication in an accessible format phone 03 9096 1384, </w:t>
            </w:r>
            <w:r w:rsidRPr="0059267A">
              <w:br/>
              <w:t xml:space="preserve">using the National Relay Service 13 36 </w:t>
            </w:r>
            <w:r w:rsidRPr="0059267A">
              <w:rPr>
                <w:spacing w:val="-2"/>
              </w:rPr>
              <w:t xml:space="preserve">77 if required, or </w:t>
            </w:r>
            <w:hyperlink r:id="rId17" w:history="1">
              <w:r w:rsidRPr="0059267A">
                <w:rPr>
                  <w:rStyle w:val="Hyperlink"/>
                </w:rPr>
                <w:t>email Safer Care Victoria</w:t>
              </w:r>
            </w:hyperlink>
            <w:r w:rsidRPr="0059267A">
              <w:t xml:space="preserve"> &lt;info@</w:t>
            </w:r>
            <w:hyperlink r:id="rId18" w:history="1">
              <w:r w:rsidRPr="0059267A">
                <w:t>safercare.vic</w:t>
              </w:r>
            </w:hyperlink>
            <w:r w:rsidRPr="0059267A">
              <w:t>.gov.au&gt;</w:t>
            </w:r>
          </w:p>
          <w:p w14:paraId="6B2530D2" w14:textId="77777777" w:rsidR="003A78FF" w:rsidRPr="0059267A" w:rsidRDefault="003A78FF" w:rsidP="00971983">
            <w:pPr>
              <w:pStyle w:val="SCVimprint"/>
            </w:pPr>
            <w:r w:rsidRPr="0059267A">
              <w:t xml:space="preserve">Authorised and </w:t>
            </w:r>
            <w:r w:rsidRPr="0059267A">
              <w:rPr>
                <w:spacing w:val="-2"/>
              </w:rPr>
              <w:t>published by the Victorian</w:t>
            </w:r>
            <w:r w:rsidRPr="0059267A">
              <w:t xml:space="preserve"> Government, 1 Treasury Place, Melbourne.</w:t>
            </w:r>
          </w:p>
          <w:p w14:paraId="0CCECF3F" w14:textId="77777777" w:rsidR="003A78FF" w:rsidRPr="0059267A" w:rsidRDefault="003A78FF" w:rsidP="00971983">
            <w:pPr>
              <w:pStyle w:val="SCVimprint"/>
            </w:pPr>
            <w:r w:rsidRPr="0059267A">
              <w:t xml:space="preserve">© State of Victoria, Australia, Safer Care Victoria, </w:t>
            </w:r>
            <w:r w:rsidRPr="007D4433">
              <w:t>March 2023</w:t>
            </w:r>
          </w:p>
          <w:p w14:paraId="74F15290" w14:textId="3F5FD9AB" w:rsidR="003A78FF" w:rsidRPr="0059267A" w:rsidRDefault="003A78FF" w:rsidP="00971983">
            <w:pPr>
              <w:pStyle w:val="SCVimprint"/>
            </w:pPr>
            <w:r w:rsidRPr="0059267A">
              <w:t>ISBN/ISSN</w:t>
            </w:r>
            <w:r>
              <w:t xml:space="preserve"> </w:t>
            </w:r>
            <w:r w:rsidR="009C64EC" w:rsidRPr="009C64EC">
              <w:t>978-1-76131-574-9</w:t>
            </w:r>
          </w:p>
          <w:p w14:paraId="68F964BB" w14:textId="77777777" w:rsidR="003A78FF" w:rsidRPr="0059267A" w:rsidRDefault="003A78FF" w:rsidP="00971983">
            <w:pPr>
              <w:pStyle w:val="SCVimprint"/>
            </w:pPr>
            <w:r w:rsidRPr="0059267A">
              <w:t xml:space="preserve">Available at the </w:t>
            </w:r>
            <w:hyperlink r:id="rId19" w:history="1">
              <w:r w:rsidRPr="0059267A">
                <w:rPr>
                  <w:rStyle w:val="Hyperlink"/>
                </w:rPr>
                <w:t>Safer Care Victoria website</w:t>
              </w:r>
            </w:hyperlink>
            <w:r w:rsidRPr="0059267A">
              <w:t xml:space="preserve"> &lt;https://</w:t>
            </w:r>
            <w:hyperlink r:id="rId20" w:history="1">
              <w:r w:rsidRPr="0059267A">
                <w:t>www.safercare.vic</w:t>
              </w:r>
            </w:hyperlink>
            <w:r w:rsidRPr="0059267A">
              <w:t>.gov.au&gt;</w:t>
            </w:r>
          </w:p>
          <w:p w14:paraId="429A550A" w14:textId="77777777" w:rsidR="003A78FF" w:rsidRPr="0059267A" w:rsidRDefault="003A78FF" w:rsidP="00971983">
            <w:pPr>
              <w:pStyle w:val="SCVbody"/>
              <w:jc w:val="right"/>
            </w:pPr>
            <w:r w:rsidRPr="0059267A">
              <w:rPr>
                <w:noProof/>
              </w:rPr>
              <w:drawing>
                <wp:inline distT="0" distB="0" distL="0" distR="0" wp14:anchorId="39FA08CA" wp14:editId="4830087F">
                  <wp:extent cx="795600" cy="453600"/>
                  <wp:effectExtent l="0" t="0" r="5080" b="3810"/>
                  <wp:docPr id="16" name="Picture 16" descr="Victoria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Victoria State Government"/>
                          <pic:cNvPicPr/>
                        </pic:nvPicPr>
                        <pic:blipFill>
                          <a:blip r:embed="rId21" cstate="print">
                            <a:extLst>
                              <a:ext uri="{28A0092B-C50C-407E-A947-70E740481C1C}">
                                <a14:useLocalDpi xmlns:a14="http://schemas.microsoft.com/office/drawing/2010/main" val="0"/>
                              </a:ext>
                            </a:extLst>
                          </a:blip>
                          <a:stretch>
                            <a:fillRect/>
                          </a:stretch>
                        </pic:blipFill>
                        <pic:spPr>
                          <a:xfrm>
                            <a:off x="0" y="0"/>
                            <a:ext cx="795600" cy="453600"/>
                          </a:xfrm>
                          <a:prstGeom prst="rect">
                            <a:avLst/>
                          </a:prstGeom>
                        </pic:spPr>
                      </pic:pic>
                    </a:graphicData>
                  </a:graphic>
                </wp:inline>
              </w:drawing>
            </w:r>
          </w:p>
        </w:tc>
      </w:tr>
    </w:tbl>
    <w:p w14:paraId="2377613A" w14:textId="77777777" w:rsidR="00A13531" w:rsidRPr="003A78FF" w:rsidRDefault="00A13531">
      <w:pPr>
        <w:pStyle w:val="TOCHeading"/>
        <w:rPr>
          <w:rFonts w:ascii="VIC" w:hAnsi="VIC"/>
        </w:rPr>
      </w:pPr>
    </w:p>
    <w:sdt>
      <w:sdtPr>
        <w:rPr>
          <w:rFonts w:ascii="VIC" w:eastAsiaTheme="minorEastAsia" w:hAnsi="VIC" w:cstheme="minorBidi"/>
          <w:b w:val="0"/>
          <w:bCs w:val="0"/>
          <w:color w:val="auto"/>
          <w:spacing w:val="0"/>
          <w:sz w:val="20"/>
          <w:szCs w:val="20"/>
        </w:rPr>
        <w:id w:val="905034005"/>
        <w:docPartObj>
          <w:docPartGallery w:val="Table of Contents"/>
          <w:docPartUnique/>
        </w:docPartObj>
      </w:sdtPr>
      <w:sdtContent>
        <w:p w14:paraId="08ED8E93" w14:textId="5002FF8B" w:rsidR="00A13531" w:rsidRPr="003A78FF" w:rsidRDefault="00A13531">
          <w:pPr>
            <w:pStyle w:val="TOCHeading"/>
            <w:rPr>
              <w:rFonts w:ascii="VIC" w:hAnsi="VIC"/>
              <w:sz w:val="48"/>
              <w:szCs w:val="48"/>
            </w:rPr>
          </w:pPr>
          <w:r w:rsidRPr="003A78FF">
            <w:rPr>
              <w:rFonts w:ascii="VIC" w:hAnsi="VIC"/>
              <w:sz w:val="48"/>
              <w:szCs w:val="48"/>
            </w:rPr>
            <w:t>Contents</w:t>
          </w:r>
        </w:p>
        <w:p w14:paraId="639D3AEB" w14:textId="77777777" w:rsidR="00F30685" w:rsidRPr="003A78FF" w:rsidRDefault="00F30685" w:rsidP="00F30685">
          <w:pPr>
            <w:pStyle w:val="TOC1"/>
            <w:pBdr>
              <w:bottom w:val="none" w:sz="0" w:space="0" w:color="auto"/>
              <w:between w:val="none" w:sz="0" w:space="0" w:color="auto"/>
            </w:pBdr>
            <w:spacing w:after="240" w:line="360" w:lineRule="auto"/>
            <w:rPr>
              <w:rFonts w:ascii="VIC" w:hAnsi="VIC"/>
            </w:rPr>
          </w:pPr>
        </w:p>
        <w:p w14:paraId="0B76A7F3" w14:textId="4518CDD5" w:rsidR="00A13531" w:rsidRPr="003A78FF" w:rsidRDefault="00A13531" w:rsidP="00F30685">
          <w:pPr>
            <w:pStyle w:val="TOC1"/>
            <w:pBdr>
              <w:bottom w:val="none" w:sz="0" w:space="0" w:color="auto"/>
              <w:between w:val="none" w:sz="0" w:space="0" w:color="auto"/>
            </w:pBdr>
            <w:spacing w:after="240" w:line="360" w:lineRule="auto"/>
            <w:rPr>
              <w:rFonts w:ascii="VIC" w:hAnsi="VIC"/>
              <w:color w:val="007586" w:themeColor="text2"/>
              <w:sz w:val="22"/>
              <w:szCs w:val="22"/>
              <w:lang w:eastAsia="en-AU"/>
            </w:rPr>
          </w:pPr>
          <w:r w:rsidRPr="003A78FF">
            <w:rPr>
              <w:rFonts w:ascii="VIC" w:hAnsi="VIC"/>
            </w:rPr>
            <w:fldChar w:fldCharType="begin"/>
          </w:r>
          <w:r w:rsidRPr="003A78FF">
            <w:rPr>
              <w:rFonts w:ascii="VIC" w:hAnsi="VIC"/>
            </w:rPr>
            <w:instrText xml:space="preserve"> TOC \o "1-3" \h \z \u </w:instrText>
          </w:r>
          <w:r w:rsidRPr="003A78FF">
            <w:rPr>
              <w:rFonts w:ascii="VIC" w:hAnsi="VIC"/>
            </w:rPr>
            <w:fldChar w:fldCharType="separate"/>
          </w:r>
          <w:hyperlink w:anchor="_Toc111215145" w:history="1">
            <w:r w:rsidRPr="003A78FF">
              <w:rPr>
                <w:rStyle w:val="Hyperlink"/>
                <w:rFonts w:ascii="VIC" w:hAnsi="VIC"/>
                <w:color w:val="007586" w:themeColor="text2"/>
              </w:rPr>
              <w:t>Context</w:t>
            </w:r>
            <w:r w:rsidRPr="003A78FF">
              <w:rPr>
                <w:rFonts w:ascii="VIC" w:hAnsi="VIC"/>
                <w:webHidden/>
                <w:color w:val="007586" w:themeColor="text2"/>
              </w:rPr>
              <w:tab/>
            </w:r>
            <w:r w:rsidRPr="003A78FF">
              <w:rPr>
                <w:rFonts w:ascii="VIC" w:hAnsi="VIC"/>
                <w:webHidden/>
                <w:color w:val="007586" w:themeColor="text2"/>
              </w:rPr>
              <w:fldChar w:fldCharType="begin"/>
            </w:r>
            <w:r w:rsidRPr="003A78FF">
              <w:rPr>
                <w:rFonts w:ascii="VIC" w:hAnsi="VIC"/>
                <w:webHidden/>
                <w:color w:val="007586" w:themeColor="text2"/>
              </w:rPr>
              <w:instrText xml:space="preserve"> PAGEREF _Toc111215145 \h </w:instrText>
            </w:r>
            <w:r w:rsidRPr="003A78FF">
              <w:rPr>
                <w:rFonts w:ascii="VIC" w:hAnsi="VIC"/>
                <w:webHidden/>
                <w:color w:val="007586" w:themeColor="text2"/>
              </w:rPr>
            </w:r>
            <w:r w:rsidRPr="003A78FF">
              <w:rPr>
                <w:rFonts w:ascii="VIC" w:hAnsi="VIC"/>
                <w:webHidden/>
                <w:color w:val="007586" w:themeColor="text2"/>
              </w:rPr>
              <w:fldChar w:fldCharType="separate"/>
            </w:r>
            <w:r w:rsidR="00106FE5" w:rsidRPr="003A78FF">
              <w:rPr>
                <w:rFonts w:ascii="VIC" w:hAnsi="VIC"/>
                <w:webHidden/>
                <w:color w:val="007586" w:themeColor="text2"/>
              </w:rPr>
              <w:t>2</w:t>
            </w:r>
            <w:r w:rsidRPr="003A78FF">
              <w:rPr>
                <w:rFonts w:ascii="VIC" w:hAnsi="VIC"/>
                <w:webHidden/>
                <w:color w:val="007586" w:themeColor="text2"/>
              </w:rPr>
              <w:fldChar w:fldCharType="end"/>
            </w:r>
          </w:hyperlink>
        </w:p>
        <w:p w14:paraId="6215C275" w14:textId="008D66B7" w:rsidR="00A13531" w:rsidRPr="003A78FF" w:rsidRDefault="00000000" w:rsidP="00F30685">
          <w:pPr>
            <w:pStyle w:val="TOC1"/>
            <w:pBdr>
              <w:bottom w:val="none" w:sz="0" w:space="0" w:color="auto"/>
              <w:between w:val="none" w:sz="0" w:space="0" w:color="auto"/>
            </w:pBdr>
            <w:spacing w:line="360" w:lineRule="auto"/>
            <w:rPr>
              <w:rFonts w:ascii="VIC" w:hAnsi="VIC"/>
              <w:color w:val="007586" w:themeColor="text2"/>
              <w:sz w:val="22"/>
              <w:szCs w:val="22"/>
              <w:lang w:eastAsia="en-AU"/>
            </w:rPr>
          </w:pPr>
          <w:hyperlink w:anchor="_Toc111215146" w:history="1">
            <w:r w:rsidR="00A13531" w:rsidRPr="003A78FF">
              <w:rPr>
                <w:rStyle w:val="Hyperlink"/>
                <w:rFonts w:ascii="VIC" w:hAnsi="VIC"/>
                <w:color w:val="007586" w:themeColor="text2"/>
              </w:rPr>
              <w:t>Report</w:t>
            </w:r>
            <w:r w:rsidR="00A13531" w:rsidRPr="003A78FF">
              <w:rPr>
                <w:rFonts w:ascii="VIC" w:hAnsi="VIC"/>
                <w:webHidden/>
                <w:color w:val="007586" w:themeColor="text2"/>
              </w:rPr>
              <w:tab/>
            </w:r>
            <w:r w:rsidR="00A13531" w:rsidRPr="003A78FF">
              <w:rPr>
                <w:rFonts w:ascii="VIC" w:hAnsi="VIC"/>
                <w:webHidden/>
                <w:color w:val="007586" w:themeColor="text2"/>
              </w:rPr>
              <w:fldChar w:fldCharType="begin"/>
            </w:r>
            <w:r w:rsidR="00A13531" w:rsidRPr="003A78FF">
              <w:rPr>
                <w:rFonts w:ascii="VIC" w:hAnsi="VIC"/>
                <w:webHidden/>
                <w:color w:val="007586" w:themeColor="text2"/>
              </w:rPr>
              <w:instrText xml:space="preserve"> PAGEREF _Toc111215146 \h </w:instrText>
            </w:r>
            <w:r w:rsidR="00A13531" w:rsidRPr="003A78FF">
              <w:rPr>
                <w:rFonts w:ascii="VIC" w:hAnsi="VIC"/>
                <w:webHidden/>
                <w:color w:val="007586" w:themeColor="text2"/>
              </w:rPr>
            </w:r>
            <w:r w:rsidR="00A13531" w:rsidRPr="003A78FF">
              <w:rPr>
                <w:rFonts w:ascii="VIC" w:hAnsi="VIC"/>
                <w:webHidden/>
                <w:color w:val="007586" w:themeColor="text2"/>
              </w:rPr>
              <w:fldChar w:fldCharType="separate"/>
            </w:r>
            <w:r w:rsidR="00106FE5" w:rsidRPr="003A78FF">
              <w:rPr>
                <w:rFonts w:ascii="VIC" w:hAnsi="VIC"/>
                <w:webHidden/>
                <w:color w:val="007586" w:themeColor="text2"/>
              </w:rPr>
              <w:t>2</w:t>
            </w:r>
            <w:r w:rsidR="00A13531" w:rsidRPr="003A78FF">
              <w:rPr>
                <w:rFonts w:ascii="VIC" w:hAnsi="VIC"/>
                <w:webHidden/>
                <w:color w:val="007586" w:themeColor="text2"/>
              </w:rPr>
              <w:fldChar w:fldCharType="end"/>
            </w:r>
          </w:hyperlink>
        </w:p>
        <w:p w14:paraId="77D1F0A5" w14:textId="3C7618ED" w:rsidR="00A13531" w:rsidRPr="003A78FF" w:rsidRDefault="00000000" w:rsidP="00F30685">
          <w:pPr>
            <w:pStyle w:val="TOC3"/>
            <w:pBdr>
              <w:bottom w:val="none" w:sz="0" w:space="0" w:color="auto"/>
              <w:between w:val="none" w:sz="0" w:space="0" w:color="auto"/>
            </w:pBdr>
            <w:spacing w:line="360" w:lineRule="auto"/>
            <w:rPr>
              <w:rFonts w:ascii="VIC" w:hAnsi="VIC"/>
              <w:b/>
              <w:bCs w:val="0"/>
              <w:color w:val="007586" w:themeColor="text2"/>
              <w:sz w:val="22"/>
              <w:szCs w:val="22"/>
            </w:rPr>
          </w:pPr>
          <w:hyperlink w:anchor="_Toc111215147" w:history="1">
            <w:r w:rsidR="00A13531" w:rsidRPr="003A78FF">
              <w:rPr>
                <w:rStyle w:val="Hyperlink"/>
                <w:rFonts w:ascii="VIC" w:hAnsi="VIC"/>
                <w:b/>
                <w:bCs w:val="0"/>
                <w:color w:val="007586" w:themeColor="text2"/>
              </w:rPr>
              <w:t>What are the benefits and risks to patients in expanding same-day models of surgical care</w:t>
            </w:r>
            <w:r w:rsidR="003A78FF" w:rsidRPr="003A78FF">
              <w:rPr>
                <w:rStyle w:val="Hyperlink"/>
                <w:rFonts w:ascii="VIC" w:hAnsi="VIC"/>
                <w:b/>
                <w:bCs w:val="0"/>
                <w:color w:val="007586" w:themeColor="text2"/>
              </w:rPr>
              <w:t>?</w:t>
            </w:r>
            <w:r w:rsidR="003A78FF" w:rsidRPr="003A78FF">
              <w:rPr>
                <w:rStyle w:val="Hyperlink"/>
                <w:rFonts w:ascii="VIC" w:hAnsi="VIC"/>
                <w:b/>
                <w:bCs w:val="0"/>
                <w:color w:val="007586" w:themeColor="text2"/>
              </w:rPr>
              <w:tab/>
            </w:r>
            <w:r w:rsidR="00A13531" w:rsidRPr="003A78FF">
              <w:rPr>
                <w:rFonts w:ascii="VIC" w:hAnsi="VIC"/>
                <w:b/>
                <w:bCs w:val="0"/>
                <w:webHidden/>
                <w:color w:val="007586" w:themeColor="text2"/>
              </w:rPr>
              <w:fldChar w:fldCharType="begin"/>
            </w:r>
            <w:r w:rsidR="00A13531" w:rsidRPr="003A78FF">
              <w:rPr>
                <w:rFonts w:ascii="VIC" w:hAnsi="VIC"/>
                <w:b/>
                <w:bCs w:val="0"/>
                <w:webHidden/>
                <w:color w:val="007586" w:themeColor="text2"/>
              </w:rPr>
              <w:instrText xml:space="preserve"> PAGEREF _Toc111215147 \h </w:instrText>
            </w:r>
            <w:r w:rsidR="00A13531" w:rsidRPr="003A78FF">
              <w:rPr>
                <w:rFonts w:ascii="VIC" w:hAnsi="VIC"/>
                <w:b/>
                <w:bCs w:val="0"/>
                <w:webHidden/>
                <w:color w:val="007586" w:themeColor="text2"/>
              </w:rPr>
            </w:r>
            <w:r w:rsidR="00A13531" w:rsidRPr="003A78FF">
              <w:rPr>
                <w:rFonts w:ascii="VIC" w:hAnsi="VIC"/>
                <w:b/>
                <w:bCs w:val="0"/>
                <w:webHidden/>
                <w:color w:val="007586" w:themeColor="text2"/>
              </w:rPr>
              <w:fldChar w:fldCharType="separate"/>
            </w:r>
            <w:r w:rsidR="00106FE5" w:rsidRPr="003A78FF">
              <w:rPr>
                <w:rFonts w:ascii="VIC" w:hAnsi="VIC"/>
                <w:b/>
                <w:bCs w:val="0"/>
                <w:webHidden/>
                <w:color w:val="007586" w:themeColor="text2"/>
              </w:rPr>
              <w:t>2</w:t>
            </w:r>
            <w:r w:rsidR="00A13531" w:rsidRPr="003A78FF">
              <w:rPr>
                <w:rFonts w:ascii="VIC" w:hAnsi="VIC"/>
                <w:b/>
                <w:bCs w:val="0"/>
                <w:webHidden/>
                <w:color w:val="007586" w:themeColor="text2"/>
              </w:rPr>
              <w:fldChar w:fldCharType="end"/>
            </w:r>
          </w:hyperlink>
        </w:p>
        <w:p w14:paraId="4C09EA98" w14:textId="04B65E75" w:rsidR="00A13531" w:rsidRPr="003A78FF" w:rsidRDefault="00000000" w:rsidP="00F30685">
          <w:pPr>
            <w:pStyle w:val="TOC3"/>
            <w:pBdr>
              <w:bottom w:val="none" w:sz="0" w:space="0" w:color="auto"/>
              <w:between w:val="none" w:sz="0" w:space="0" w:color="auto"/>
            </w:pBdr>
            <w:spacing w:line="360" w:lineRule="auto"/>
            <w:rPr>
              <w:rFonts w:ascii="VIC" w:hAnsi="VIC"/>
              <w:b/>
              <w:bCs w:val="0"/>
              <w:color w:val="007586" w:themeColor="text2"/>
              <w:sz w:val="22"/>
              <w:szCs w:val="22"/>
            </w:rPr>
          </w:pPr>
          <w:hyperlink w:anchor="_Toc111215148" w:history="1">
            <w:r w:rsidR="00A13531" w:rsidRPr="003A78FF">
              <w:rPr>
                <w:rStyle w:val="Hyperlink"/>
                <w:rFonts w:ascii="VIC" w:hAnsi="VIC"/>
                <w:b/>
                <w:bCs w:val="0"/>
                <w:color w:val="007586" w:themeColor="text2"/>
              </w:rPr>
              <w:t>What same-day models of surgical care already exist in the Victorian health system</w:t>
            </w:r>
            <w:r w:rsidR="003A78FF" w:rsidRPr="003A78FF">
              <w:rPr>
                <w:rStyle w:val="Hyperlink"/>
                <w:rFonts w:ascii="VIC" w:hAnsi="VIC"/>
                <w:b/>
                <w:bCs w:val="0"/>
                <w:color w:val="007586" w:themeColor="text2"/>
              </w:rPr>
              <w:t>?</w:t>
            </w:r>
            <w:r w:rsidR="00A13531" w:rsidRPr="003A78FF">
              <w:rPr>
                <w:rFonts w:ascii="VIC" w:hAnsi="VIC"/>
                <w:b/>
                <w:bCs w:val="0"/>
                <w:webHidden/>
                <w:color w:val="007586" w:themeColor="text2"/>
              </w:rPr>
              <w:tab/>
            </w:r>
            <w:r w:rsidR="00A13531" w:rsidRPr="003A78FF">
              <w:rPr>
                <w:rFonts w:ascii="VIC" w:hAnsi="VIC"/>
                <w:b/>
                <w:bCs w:val="0"/>
                <w:webHidden/>
                <w:color w:val="007586" w:themeColor="text2"/>
              </w:rPr>
              <w:fldChar w:fldCharType="begin"/>
            </w:r>
            <w:r w:rsidR="00A13531" w:rsidRPr="003A78FF">
              <w:rPr>
                <w:rFonts w:ascii="VIC" w:hAnsi="VIC"/>
                <w:b/>
                <w:bCs w:val="0"/>
                <w:webHidden/>
                <w:color w:val="007586" w:themeColor="text2"/>
              </w:rPr>
              <w:instrText xml:space="preserve"> PAGEREF _Toc111215148 \h </w:instrText>
            </w:r>
            <w:r w:rsidR="00A13531" w:rsidRPr="003A78FF">
              <w:rPr>
                <w:rFonts w:ascii="VIC" w:hAnsi="VIC"/>
                <w:b/>
                <w:bCs w:val="0"/>
                <w:webHidden/>
                <w:color w:val="007586" w:themeColor="text2"/>
              </w:rPr>
            </w:r>
            <w:r w:rsidR="00A13531" w:rsidRPr="003A78FF">
              <w:rPr>
                <w:rFonts w:ascii="VIC" w:hAnsi="VIC"/>
                <w:b/>
                <w:bCs w:val="0"/>
                <w:webHidden/>
                <w:color w:val="007586" w:themeColor="text2"/>
              </w:rPr>
              <w:fldChar w:fldCharType="separate"/>
            </w:r>
            <w:r w:rsidR="00106FE5" w:rsidRPr="003A78FF">
              <w:rPr>
                <w:rFonts w:ascii="VIC" w:hAnsi="VIC"/>
                <w:b/>
                <w:bCs w:val="0"/>
                <w:webHidden/>
                <w:color w:val="007586" w:themeColor="text2"/>
              </w:rPr>
              <w:t>4</w:t>
            </w:r>
            <w:r w:rsidR="00A13531" w:rsidRPr="003A78FF">
              <w:rPr>
                <w:rFonts w:ascii="VIC" w:hAnsi="VIC"/>
                <w:b/>
                <w:bCs w:val="0"/>
                <w:webHidden/>
                <w:color w:val="007586" w:themeColor="text2"/>
              </w:rPr>
              <w:fldChar w:fldCharType="end"/>
            </w:r>
          </w:hyperlink>
        </w:p>
        <w:p w14:paraId="33799E6A" w14:textId="72575526" w:rsidR="00A13531" w:rsidRPr="003A78FF" w:rsidRDefault="00000000" w:rsidP="003A78FF">
          <w:pPr>
            <w:pStyle w:val="TOC3"/>
            <w:pBdr>
              <w:bottom w:val="none" w:sz="0" w:space="0" w:color="auto"/>
              <w:between w:val="none" w:sz="0" w:space="0" w:color="auto"/>
            </w:pBdr>
            <w:tabs>
              <w:tab w:val="clear" w:pos="340"/>
              <w:tab w:val="left" w:pos="0"/>
            </w:tabs>
            <w:spacing w:line="360" w:lineRule="auto"/>
            <w:ind w:right="56"/>
            <w:rPr>
              <w:rFonts w:ascii="VIC" w:hAnsi="VIC"/>
              <w:b/>
              <w:bCs w:val="0"/>
              <w:color w:val="007586" w:themeColor="text2"/>
              <w:sz w:val="22"/>
              <w:szCs w:val="22"/>
            </w:rPr>
          </w:pPr>
          <w:hyperlink w:anchor="_Toc111215149" w:history="1">
            <w:r w:rsidR="00A13531" w:rsidRPr="003A78FF">
              <w:rPr>
                <w:rStyle w:val="Hyperlink"/>
                <w:rFonts w:ascii="VIC" w:hAnsi="VIC"/>
                <w:b/>
                <w:bCs w:val="0"/>
                <w:color w:val="007586" w:themeColor="text2"/>
              </w:rPr>
              <w:t>Which surgical procedures, currently delivered as multi-stay, are suitable to be delivered as</w:t>
            </w:r>
            <w:r w:rsidR="003A78FF" w:rsidRPr="003A78FF">
              <w:rPr>
                <w:rStyle w:val="Hyperlink"/>
                <w:rFonts w:ascii="VIC" w:hAnsi="VIC"/>
                <w:b/>
                <w:bCs w:val="0"/>
                <w:color w:val="007586" w:themeColor="text2"/>
              </w:rPr>
              <w:t xml:space="preserve"> </w:t>
            </w:r>
            <w:r w:rsidR="003A78FF" w:rsidRPr="003A78FF">
              <w:rPr>
                <w:rStyle w:val="Hyperlink"/>
                <w:rFonts w:ascii="VIC" w:hAnsi="VIC"/>
                <w:b/>
                <w:bCs w:val="0"/>
                <w:color w:val="007586" w:themeColor="text2"/>
              </w:rPr>
              <w:br/>
            </w:r>
            <w:r w:rsidR="00A13531" w:rsidRPr="003A78FF">
              <w:rPr>
                <w:rStyle w:val="Hyperlink"/>
                <w:rFonts w:ascii="VIC" w:hAnsi="VIC"/>
                <w:b/>
                <w:bCs w:val="0"/>
                <w:color w:val="007586" w:themeColor="text2"/>
              </w:rPr>
              <w:t>same-day models</w:t>
            </w:r>
            <w:r w:rsidR="003A78FF" w:rsidRPr="003A78FF">
              <w:rPr>
                <w:rStyle w:val="Hyperlink"/>
                <w:rFonts w:ascii="VIC" w:hAnsi="VIC"/>
                <w:b/>
                <w:bCs w:val="0"/>
                <w:color w:val="007586" w:themeColor="text2"/>
              </w:rPr>
              <w:t>?</w:t>
            </w:r>
            <w:r w:rsidR="00A13531" w:rsidRPr="003A78FF">
              <w:rPr>
                <w:rFonts w:ascii="VIC" w:hAnsi="VIC"/>
                <w:b/>
                <w:bCs w:val="0"/>
                <w:webHidden/>
                <w:color w:val="007586" w:themeColor="text2"/>
              </w:rPr>
              <w:tab/>
            </w:r>
            <w:r w:rsidR="00A13531" w:rsidRPr="003A78FF">
              <w:rPr>
                <w:rFonts w:ascii="VIC" w:hAnsi="VIC"/>
                <w:b/>
                <w:bCs w:val="0"/>
                <w:webHidden/>
                <w:color w:val="007586" w:themeColor="text2"/>
              </w:rPr>
              <w:fldChar w:fldCharType="begin"/>
            </w:r>
            <w:r w:rsidR="00A13531" w:rsidRPr="003A78FF">
              <w:rPr>
                <w:rFonts w:ascii="VIC" w:hAnsi="VIC"/>
                <w:b/>
                <w:bCs w:val="0"/>
                <w:webHidden/>
                <w:color w:val="007586" w:themeColor="text2"/>
              </w:rPr>
              <w:instrText xml:space="preserve"> PAGEREF _Toc111215149 \h </w:instrText>
            </w:r>
            <w:r w:rsidR="00A13531" w:rsidRPr="003A78FF">
              <w:rPr>
                <w:rFonts w:ascii="VIC" w:hAnsi="VIC"/>
                <w:b/>
                <w:bCs w:val="0"/>
                <w:webHidden/>
                <w:color w:val="007586" w:themeColor="text2"/>
              </w:rPr>
            </w:r>
            <w:r w:rsidR="00A13531" w:rsidRPr="003A78FF">
              <w:rPr>
                <w:rFonts w:ascii="VIC" w:hAnsi="VIC"/>
                <w:b/>
                <w:bCs w:val="0"/>
                <w:webHidden/>
                <w:color w:val="007586" w:themeColor="text2"/>
              </w:rPr>
              <w:fldChar w:fldCharType="separate"/>
            </w:r>
            <w:r w:rsidR="00106FE5" w:rsidRPr="003A78FF">
              <w:rPr>
                <w:rFonts w:ascii="VIC" w:hAnsi="VIC"/>
                <w:b/>
                <w:bCs w:val="0"/>
                <w:webHidden/>
                <w:color w:val="007586" w:themeColor="text2"/>
              </w:rPr>
              <w:t>7</w:t>
            </w:r>
            <w:r w:rsidR="00A13531" w:rsidRPr="003A78FF">
              <w:rPr>
                <w:rFonts w:ascii="VIC" w:hAnsi="VIC"/>
                <w:b/>
                <w:bCs w:val="0"/>
                <w:webHidden/>
                <w:color w:val="007586" w:themeColor="text2"/>
              </w:rPr>
              <w:fldChar w:fldCharType="end"/>
            </w:r>
          </w:hyperlink>
        </w:p>
        <w:p w14:paraId="5BBF1023" w14:textId="44210705" w:rsidR="00A13531" w:rsidRPr="003A78FF" w:rsidRDefault="00000000" w:rsidP="00F30685">
          <w:pPr>
            <w:pStyle w:val="TOC3"/>
            <w:pBdr>
              <w:bottom w:val="none" w:sz="0" w:space="0" w:color="auto"/>
              <w:between w:val="none" w:sz="0" w:space="0" w:color="auto"/>
            </w:pBdr>
            <w:spacing w:line="360" w:lineRule="auto"/>
            <w:rPr>
              <w:rFonts w:ascii="VIC" w:hAnsi="VIC"/>
              <w:b/>
              <w:bCs w:val="0"/>
              <w:color w:val="007586" w:themeColor="text2"/>
              <w:sz w:val="22"/>
              <w:szCs w:val="22"/>
            </w:rPr>
          </w:pPr>
          <w:hyperlink w:anchor="_Toc111215150" w:history="1">
            <w:r w:rsidR="00A13531" w:rsidRPr="003A78FF">
              <w:rPr>
                <w:rStyle w:val="Hyperlink"/>
                <w:rFonts w:ascii="VIC" w:hAnsi="VIC"/>
                <w:b/>
                <w:bCs w:val="0"/>
                <w:color w:val="007586" w:themeColor="text2"/>
              </w:rPr>
              <w:t>Which surgical procedures should be majority same-day but are often multi-stay</w:t>
            </w:r>
            <w:r w:rsidR="003A78FF" w:rsidRPr="003A78FF">
              <w:rPr>
                <w:rStyle w:val="Hyperlink"/>
                <w:rFonts w:ascii="VIC" w:hAnsi="VIC"/>
                <w:b/>
                <w:bCs w:val="0"/>
                <w:color w:val="007586" w:themeColor="text2"/>
              </w:rPr>
              <w:t>?</w:t>
            </w:r>
            <w:r w:rsidR="00A13531" w:rsidRPr="003A78FF">
              <w:rPr>
                <w:rFonts w:ascii="VIC" w:hAnsi="VIC"/>
                <w:b/>
                <w:bCs w:val="0"/>
                <w:webHidden/>
                <w:color w:val="007586" w:themeColor="text2"/>
              </w:rPr>
              <w:tab/>
            </w:r>
            <w:r w:rsidR="00A13531" w:rsidRPr="003A78FF">
              <w:rPr>
                <w:rFonts w:ascii="VIC" w:hAnsi="VIC"/>
                <w:b/>
                <w:bCs w:val="0"/>
                <w:webHidden/>
                <w:color w:val="007586" w:themeColor="text2"/>
              </w:rPr>
              <w:fldChar w:fldCharType="begin"/>
            </w:r>
            <w:r w:rsidR="00A13531" w:rsidRPr="003A78FF">
              <w:rPr>
                <w:rFonts w:ascii="VIC" w:hAnsi="VIC"/>
                <w:b/>
                <w:bCs w:val="0"/>
                <w:webHidden/>
                <w:color w:val="007586" w:themeColor="text2"/>
              </w:rPr>
              <w:instrText xml:space="preserve"> PAGEREF _Toc111215150 \h </w:instrText>
            </w:r>
            <w:r w:rsidR="00A13531" w:rsidRPr="003A78FF">
              <w:rPr>
                <w:rFonts w:ascii="VIC" w:hAnsi="VIC"/>
                <w:b/>
                <w:bCs w:val="0"/>
                <w:webHidden/>
                <w:color w:val="007586" w:themeColor="text2"/>
              </w:rPr>
            </w:r>
            <w:r w:rsidR="00A13531" w:rsidRPr="003A78FF">
              <w:rPr>
                <w:rFonts w:ascii="VIC" w:hAnsi="VIC"/>
                <w:b/>
                <w:bCs w:val="0"/>
                <w:webHidden/>
                <w:color w:val="007586" w:themeColor="text2"/>
              </w:rPr>
              <w:fldChar w:fldCharType="separate"/>
            </w:r>
            <w:r w:rsidR="00106FE5" w:rsidRPr="003A78FF">
              <w:rPr>
                <w:rFonts w:ascii="VIC" w:hAnsi="VIC"/>
                <w:b/>
                <w:bCs w:val="0"/>
                <w:webHidden/>
                <w:color w:val="007586" w:themeColor="text2"/>
              </w:rPr>
              <w:t>9</w:t>
            </w:r>
            <w:r w:rsidR="00A13531" w:rsidRPr="003A78FF">
              <w:rPr>
                <w:rFonts w:ascii="VIC" w:hAnsi="VIC"/>
                <w:b/>
                <w:bCs w:val="0"/>
                <w:webHidden/>
                <w:color w:val="007586" w:themeColor="text2"/>
              </w:rPr>
              <w:fldChar w:fldCharType="end"/>
            </w:r>
          </w:hyperlink>
        </w:p>
        <w:p w14:paraId="4BDB016E" w14:textId="3106BEBD" w:rsidR="00A13531" w:rsidRPr="003A78FF" w:rsidRDefault="00000000" w:rsidP="003A78FF">
          <w:pPr>
            <w:pStyle w:val="TOC3"/>
            <w:pBdr>
              <w:bottom w:val="none" w:sz="0" w:space="0" w:color="auto"/>
              <w:between w:val="none" w:sz="0" w:space="0" w:color="auto"/>
            </w:pBdr>
            <w:tabs>
              <w:tab w:val="clear" w:pos="340"/>
              <w:tab w:val="left" w:pos="0"/>
            </w:tabs>
            <w:spacing w:line="360" w:lineRule="auto"/>
            <w:rPr>
              <w:rFonts w:ascii="VIC" w:hAnsi="VIC"/>
              <w:b/>
              <w:bCs w:val="0"/>
              <w:color w:val="007586" w:themeColor="text2"/>
              <w:sz w:val="22"/>
              <w:szCs w:val="22"/>
            </w:rPr>
          </w:pPr>
          <w:hyperlink w:anchor="_Toc111215151" w:history="1">
            <w:r w:rsidR="00A13531" w:rsidRPr="003A78FF">
              <w:rPr>
                <w:rStyle w:val="Hyperlink"/>
                <w:rFonts w:ascii="VIC" w:hAnsi="VIC"/>
                <w:b/>
                <w:bCs w:val="0"/>
                <w:color w:val="007586" w:themeColor="text2"/>
              </w:rPr>
              <w:t xml:space="preserve">Which surgical procedures should be prioritised as same-day models, in terms of patient </w:t>
            </w:r>
            <w:r w:rsidR="003A78FF" w:rsidRPr="003A78FF">
              <w:rPr>
                <w:rStyle w:val="Hyperlink"/>
                <w:rFonts w:ascii="VIC" w:hAnsi="VIC"/>
                <w:b/>
                <w:bCs w:val="0"/>
                <w:color w:val="007586" w:themeColor="text2"/>
              </w:rPr>
              <w:br/>
            </w:r>
            <w:r w:rsidR="00A13531" w:rsidRPr="003A78FF">
              <w:rPr>
                <w:rStyle w:val="Hyperlink"/>
                <w:rFonts w:ascii="VIC" w:hAnsi="VIC"/>
                <w:b/>
                <w:bCs w:val="0"/>
                <w:color w:val="007586" w:themeColor="text2"/>
              </w:rPr>
              <w:t>outcomes and improving system efficiencies</w:t>
            </w:r>
            <w:r w:rsidR="003A78FF" w:rsidRPr="003A78FF">
              <w:rPr>
                <w:rStyle w:val="Hyperlink"/>
                <w:rFonts w:ascii="VIC" w:hAnsi="VIC"/>
                <w:b/>
                <w:bCs w:val="0"/>
                <w:color w:val="007586" w:themeColor="text2"/>
              </w:rPr>
              <w:t>?</w:t>
            </w:r>
            <w:r w:rsidR="00A13531" w:rsidRPr="003A78FF">
              <w:rPr>
                <w:rFonts w:ascii="VIC" w:hAnsi="VIC"/>
                <w:b/>
                <w:bCs w:val="0"/>
                <w:webHidden/>
                <w:color w:val="007586" w:themeColor="text2"/>
              </w:rPr>
              <w:tab/>
            </w:r>
            <w:r w:rsidR="00A13531" w:rsidRPr="003A78FF">
              <w:rPr>
                <w:rFonts w:ascii="VIC" w:hAnsi="VIC"/>
                <w:b/>
                <w:bCs w:val="0"/>
                <w:webHidden/>
                <w:color w:val="007586" w:themeColor="text2"/>
              </w:rPr>
              <w:fldChar w:fldCharType="begin"/>
            </w:r>
            <w:r w:rsidR="00A13531" w:rsidRPr="003A78FF">
              <w:rPr>
                <w:rFonts w:ascii="VIC" w:hAnsi="VIC"/>
                <w:b/>
                <w:bCs w:val="0"/>
                <w:webHidden/>
                <w:color w:val="007586" w:themeColor="text2"/>
              </w:rPr>
              <w:instrText xml:space="preserve"> PAGEREF _Toc111215151 \h </w:instrText>
            </w:r>
            <w:r w:rsidR="00A13531" w:rsidRPr="003A78FF">
              <w:rPr>
                <w:rFonts w:ascii="VIC" w:hAnsi="VIC"/>
                <w:b/>
                <w:bCs w:val="0"/>
                <w:webHidden/>
                <w:color w:val="007586" w:themeColor="text2"/>
              </w:rPr>
            </w:r>
            <w:r w:rsidR="00A13531" w:rsidRPr="003A78FF">
              <w:rPr>
                <w:rFonts w:ascii="VIC" w:hAnsi="VIC"/>
                <w:b/>
                <w:bCs w:val="0"/>
                <w:webHidden/>
                <w:color w:val="007586" w:themeColor="text2"/>
              </w:rPr>
              <w:fldChar w:fldCharType="separate"/>
            </w:r>
            <w:r w:rsidR="00106FE5" w:rsidRPr="003A78FF">
              <w:rPr>
                <w:rFonts w:ascii="VIC" w:hAnsi="VIC"/>
                <w:b/>
                <w:bCs w:val="0"/>
                <w:webHidden/>
                <w:color w:val="007586" w:themeColor="text2"/>
              </w:rPr>
              <w:t>9</w:t>
            </w:r>
            <w:r w:rsidR="00A13531" w:rsidRPr="003A78FF">
              <w:rPr>
                <w:rFonts w:ascii="VIC" w:hAnsi="VIC"/>
                <w:b/>
                <w:bCs w:val="0"/>
                <w:webHidden/>
                <w:color w:val="007586" w:themeColor="text2"/>
              </w:rPr>
              <w:fldChar w:fldCharType="end"/>
            </w:r>
          </w:hyperlink>
        </w:p>
        <w:p w14:paraId="2BD2B653" w14:textId="70A96DF4" w:rsidR="00A13531" w:rsidRPr="003A78FF" w:rsidRDefault="00000000" w:rsidP="003A78FF">
          <w:pPr>
            <w:pStyle w:val="TOC3"/>
            <w:pBdr>
              <w:bottom w:val="none" w:sz="0" w:space="0" w:color="auto"/>
              <w:between w:val="none" w:sz="0" w:space="0" w:color="auto"/>
            </w:pBdr>
            <w:tabs>
              <w:tab w:val="clear" w:pos="340"/>
              <w:tab w:val="left" w:pos="0"/>
            </w:tabs>
            <w:spacing w:line="360" w:lineRule="auto"/>
            <w:rPr>
              <w:rFonts w:ascii="VIC" w:hAnsi="VIC"/>
              <w:b/>
              <w:bCs w:val="0"/>
              <w:color w:val="007586" w:themeColor="text2"/>
              <w:sz w:val="22"/>
              <w:szCs w:val="22"/>
            </w:rPr>
          </w:pPr>
          <w:hyperlink w:anchor="_Toc111215152" w:history="1">
            <w:r w:rsidR="00A13531" w:rsidRPr="003A78FF">
              <w:rPr>
                <w:rStyle w:val="Hyperlink"/>
                <w:rFonts w:ascii="VIC" w:hAnsi="VIC"/>
                <w:b/>
                <w:bCs w:val="0"/>
                <w:color w:val="007586" w:themeColor="text2"/>
              </w:rPr>
              <w:t>From a clinical and system perspective, what are the current challenges in expanding</w:t>
            </w:r>
            <w:r w:rsidR="003A78FF" w:rsidRPr="003A78FF">
              <w:rPr>
                <w:rStyle w:val="Hyperlink"/>
                <w:rFonts w:ascii="VIC" w:hAnsi="VIC"/>
                <w:b/>
                <w:bCs w:val="0"/>
                <w:color w:val="007586" w:themeColor="text2"/>
              </w:rPr>
              <w:br/>
            </w:r>
            <w:r w:rsidR="00A13531" w:rsidRPr="003A78FF">
              <w:rPr>
                <w:rStyle w:val="Hyperlink"/>
                <w:rFonts w:ascii="VIC" w:hAnsi="VIC"/>
                <w:b/>
                <w:bCs w:val="0"/>
                <w:color w:val="007586" w:themeColor="text2"/>
              </w:rPr>
              <w:t>same-day models</w:t>
            </w:r>
            <w:r w:rsidR="00D61073">
              <w:rPr>
                <w:rStyle w:val="Hyperlink"/>
                <w:rFonts w:ascii="VIC" w:hAnsi="VIC"/>
                <w:b/>
                <w:bCs w:val="0"/>
                <w:color w:val="007586" w:themeColor="text2"/>
              </w:rPr>
              <w:t xml:space="preserve"> </w:t>
            </w:r>
            <w:r w:rsidR="00A13531" w:rsidRPr="003A78FF">
              <w:rPr>
                <w:rStyle w:val="Hyperlink"/>
                <w:rFonts w:ascii="VIC" w:hAnsi="VIC"/>
                <w:b/>
                <w:bCs w:val="0"/>
                <w:color w:val="007586" w:themeColor="text2"/>
              </w:rPr>
              <w:t>of surgical care</w:t>
            </w:r>
            <w:r w:rsidR="003A78FF" w:rsidRPr="003A78FF">
              <w:rPr>
                <w:rStyle w:val="Hyperlink"/>
                <w:rFonts w:ascii="VIC" w:hAnsi="VIC"/>
                <w:b/>
                <w:bCs w:val="0"/>
                <w:color w:val="007586" w:themeColor="text2"/>
              </w:rPr>
              <w:t>?</w:t>
            </w:r>
            <w:r w:rsidR="00A13531" w:rsidRPr="003A78FF">
              <w:rPr>
                <w:rFonts w:ascii="VIC" w:hAnsi="VIC"/>
                <w:b/>
                <w:bCs w:val="0"/>
                <w:webHidden/>
                <w:color w:val="007586" w:themeColor="text2"/>
              </w:rPr>
              <w:tab/>
            </w:r>
            <w:r w:rsidR="00A13531" w:rsidRPr="003A78FF">
              <w:rPr>
                <w:rFonts w:ascii="VIC" w:hAnsi="VIC"/>
                <w:b/>
                <w:bCs w:val="0"/>
                <w:webHidden/>
                <w:color w:val="007586" w:themeColor="text2"/>
              </w:rPr>
              <w:fldChar w:fldCharType="begin"/>
            </w:r>
            <w:r w:rsidR="00A13531" w:rsidRPr="003A78FF">
              <w:rPr>
                <w:rFonts w:ascii="VIC" w:hAnsi="VIC"/>
                <w:b/>
                <w:bCs w:val="0"/>
                <w:webHidden/>
                <w:color w:val="007586" w:themeColor="text2"/>
              </w:rPr>
              <w:instrText xml:space="preserve"> PAGEREF _Toc111215152 \h </w:instrText>
            </w:r>
            <w:r w:rsidR="00A13531" w:rsidRPr="003A78FF">
              <w:rPr>
                <w:rFonts w:ascii="VIC" w:hAnsi="VIC"/>
                <w:b/>
                <w:bCs w:val="0"/>
                <w:webHidden/>
                <w:color w:val="007586" w:themeColor="text2"/>
              </w:rPr>
            </w:r>
            <w:r w:rsidR="00A13531" w:rsidRPr="003A78FF">
              <w:rPr>
                <w:rFonts w:ascii="VIC" w:hAnsi="VIC"/>
                <w:b/>
                <w:bCs w:val="0"/>
                <w:webHidden/>
                <w:color w:val="007586" w:themeColor="text2"/>
              </w:rPr>
              <w:fldChar w:fldCharType="separate"/>
            </w:r>
            <w:r w:rsidR="00106FE5" w:rsidRPr="003A78FF">
              <w:rPr>
                <w:rFonts w:ascii="VIC" w:hAnsi="VIC"/>
                <w:b/>
                <w:bCs w:val="0"/>
                <w:webHidden/>
                <w:color w:val="007586" w:themeColor="text2"/>
              </w:rPr>
              <w:t>10</w:t>
            </w:r>
            <w:r w:rsidR="00A13531" w:rsidRPr="003A78FF">
              <w:rPr>
                <w:rFonts w:ascii="VIC" w:hAnsi="VIC"/>
                <w:b/>
                <w:bCs w:val="0"/>
                <w:webHidden/>
                <w:color w:val="007586" w:themeColor="text2"/>
              </w:rPr>
              <w:fldChar w:fldCharType="end"/>
            </w:r>
          </w:hyperlink>
        </w:p>
        <w:p w14:paraId="7324B9B0" w14:textId="28B6609A" w:rsidR="00A13531" w:rsidRPr="003A78FF" w:rsidRDefault="00000000" w:rsidP="003A78FF">
          <w:pPr>
            <w:pStyle w:val="TOC3"/>
            <w:pBdr>
              <w:bottom w:val="none" w:sz="0" w:space="0" w:color="auto"/>
              <w:between w:val="none" w:sz="0" w:space="0" w:color="auto"/>
            </w:pBdr>
            <w:tabs>
              <w:tab w:val="clear" w:pos="340"/>
              <w:tab w:val="clear" w:pos="10206"/>
              <w:tab w:val="left" w:pos="0"/>
              <w:tab w:val="right" w:pos="9780"/>
            </w:tabs>
            <w:spacing w:line="360" w:lineRule="auto"/>
            <w:rPr>
              <w:rFonts w:ascii="VIC" w:hAnsi="VIC"/>
              <w:b/>
              <w:bCs w:val="0"/>
              <w:color w:val="007586" w:themeColor="text2"/>
              <w:sz w:val="22"/>
              <w:szCs w:val="22"/>
            </w:rPr>
          </w:pPr>
          <w:hyperlink w:anchor="_Toc111215154" w:history="1">
            <w:r w:rsidR="00A13531" w:rsidRPr="003A78FF">
              <w:rPr>
                <w:rStyle w:val="Hyperlink"/>
                <w:rFonts w:ascii="VIC" w:hAnsi="VIC"/>
                <w:b/>
                <w:bCs w:val="0"/>
                <w:color w:val="007586" w:themeColor="text2"/>
              </w:rPr>
              <w:t>What are the key implementation risks in expanding same-day models of surgical care, and</w:t>
            </w:r>
            <w:r w:rsidR="003A78FF" w:rsidRPr="003A78FF">
              <w:rPr>
                <w:rStyle w:val="Hyperlink"/>
                <w:rFonts w:ascii="VIC" w:hAnsi="VIC"/>
                <w:b/>
                <w:bCs w:val="0"/>
                <w:color w:val="007586" w:themeColor="text2"/>
              </w:rPr>
              <w:br/>
            </w:r>
            <w:r w:rsidR="00A13531" w:rsidRPr="003A78FF">
              <w:rPr>
                <w:rStyle w:val="Hyperlink"/>
                <w:rFonts w:ascii="VIC" w:hAnsi="VIC"/>
                <w:b/>
                <w:bCs w:val="0"/>
                <w:color w:val="007586" w:themeColor="text2"/>
              </w:rPr>
              <w:t xml:space="preserve"> how can they be mitigated</w:t>
            </w:r>
            <w:r w:rsidR="003A78FF" w:rsidRPr="003A78FF">
              <w:rPr>
                <w:rStyle w:val="Hyperlink"/>
                <w:rFonts w:ascii="VIC" w:hAnsi="VIC"/>
                <w:b/>
                <w:bCs w:val="0"/>
                <w:color w:val="007586" w:themeColor="text2"/>
              </w:rPr>
              <w:t>?</w:t>
            </w:r>
            <w:r w:rsidR="00A13531" w:rsidRPr="003A78FF">
              <w:rPr>
                <w:rFonts w:ascii="VIC" w:hAnsi="VIC"/>
                <w:b/>
                <w:bCs w:val="0"/>
                <w:webHidden/>
                <w:color w:val="007586" w:themeColor="text2"/>
              </w:rPr>
              <w:tab/>
            </w:r>
            <w:r w:rsidR="00A13531" w:rsidRPr="003A78FF">
              <w:rPr>
                <w:rFonts w:ascii="VIC" w:hAnsi="VIC"/>
                <w:b/>
                <w:bCs w:val="0"/>
                <w:webHidden/>
                <w:color w:val="007586" w:themeColor="text2"/>
              </w:rPr>
              <w:fldChar w:fldCharType="begin"/>
            </w:r>
            <w:r w:rsidR="00A13531" w:rsidRPr="003A78FF">
              <w:rPr>
                <w:rFonts w:ascii="VIC" w:hAnsi="VIC"/>
                <w:b/>
                <w:bCs w:val="0"/>
                <w:webHidden/>
                <w:color w:val="007586" w:themeColor="text2"/>
              </w:rPr>
              <w:instrText xml:space="preserve"> PAGEREF _Toc111215154 \h </w:instrText>
            </w:r>
            <w:r w:rsidR="00A13531" w:rsidRPr="003A78FF">
              <w:rPr>
                <w:rFonts w:ascii="VIC" w:hAnsi="VIC"/>
                <w:b/>
                <w:bCs w:val="0"/>
                <w:webHidden/>
                <w:color w:val="007586" w:themeColor="text2"/>
              </w:rPr>
            </w:r>
            <w:r w:rsidR="00A13531" w:rsidRPr="003A78FF">
              <w:rPr>
                <w:rFonts w:ascii="VIC" w:hAnsi="VIC"/>
                <w:b/>
                <w:bCs w:val="0"/>
                <w:webHidden/>
                <w:color w:val="007586" w:themeColor="text2"/>
              </w:rPr>
              <w:fldChar w:fldCharType="separate"/>
            </w:r>
            <w:r w:rsidR="00106FE5" w:rsidRPr="003A78FF">
              <w:rPr>
                <w:rFonts w:ascii="VIC" w:hAnsi="VIC"/>
                <w:b/>
                <w:bCs w:val="0"/>
                <w:webHidden/>
                <w:color w:val="007586" w:themeColor="text2"/>
              </w:rPr>
              <w:t>12</w:t>
            </w:r>
            <w:r w:rsidR="00A13531" w:rsidRPr="003A78FF">
              <w:rPr>
                <w:rFonts w:ascii="VIC" w:hAnsi="VIC"/>
                <w:b/>
                <w:bCs w:val="0"/>
                <w:webHidden/>
                <w:color w:val="007586" w:themeColor="text2"/>
              </w:rPr>
              <w:fldChar w:fldCharType="end"/>
            </w:r>
          </w:hyperlink>
        </w:p>
        <w:p w14:paraId="62F49B22" w14:textId="0EF1837C" w:rsidR="00A13531" w:rsidRPr="003A78FF" w:rsidRDefault="00000000" w:rsidP="003A78FF">
          <w:pPr>
            <w:pStyle w:val="TOC3"/>
            <w:pBdr>
              <w:bottom w:val="none" w:sz="0" w:space="0" w:color="auto"/>
              <w:between w:val="none" w:sz="0" w:space="0" w:color="auto"/>
            </w:pBdr>
            <w:tabs>
              <w:tab w:val="clear" w:pos="340"/>
              <w:tab w:val="left" w:pos="0"/>
            </w:tabs>
            <w:spacing w:after="240" w:line="240" w:lineRule="auto"/>
            <w:rPr>
              <w:rFonts w:ascii="VIC" w:hAnsi="VIC"/>
              <w:b/>
              <w:bCs w:val="0"/>
              <w:color w:val="007586" w:themeColor="text2"/>
              <w:sz w:val="22"/>
              <w:szCs w:val="22"/>
            </w:rPr>
          </w:pPr>
          <w:hyperlink w:anchor="_Toc111215155" w:history="1">
            <w:r w:rsidR="00A13531" w:rsidRPr="003A78FF">
              <w:rPr>
                <w:rStyle w:val="Hyperlink"/>
                <w:rFonts w:ascii="VIC" w:hAnsi="VIC"/>
                <w:b/>
                <w:bCs w:val="0"/>
                <w:color w:val="007586" w:themeColor="text2"/>
              </w:rPr>
              <w:t xml:space="preserve">What new measures, if any, are required from VAHI to effectively measure day surgery rates </w:t>
            </w:r>
            <w:r w:rsidR="003A78FF" w:rsidRPr="003A78FF">
              <w:rPr>
                <w:rStyle w:val="Hyperlink"/>
                <w:rFonts w:ascii="VIC" w:hAnsi="VIC"/>
                <w:b/>
                <w:bCs w:val="0"/>
                <w:color w:val="007586" w:themeColor="text2"/>
              </w:rPr>
              <w:br/>
            </w:r>
            <w:r w:rsidR="00A13531" w:rsidRPr="003A78FF">
              <w:rPr>
                <w:rStyle w:val="Hyperlink"/>
                <w:rFonts w:ascii="VIC" w:hAnsi="VIC"/>
                <w:b/>
                <w:bCs w:val="0"/>
                <w:color w:val="007586" w:themeColor="text2"/>
              </w:rPr>
              <w:t>going forward?</w:t>
            </w:r>
            <w:r w:rsidR="00A13531" w:rsidRPr="003A78FF">
              <w:rPr>
                <w:rFonts w:ascii="VIC" w:hAnsi="VIC"/>
                <w:b/>
                <w:bCs w:val="0"/>
                <w:webHidden/>
                <w:color w:val="007586" w:themeColor="text2"/>
              </w:rPr>
              <w:tab/>
            </w:r>
            <w:r w:rsidR="00A13531" w:rsidRPr="003A78FF">
              <w:rPr>
                <w:rFonts w:ascii="VIC" w:hAnsi="VIC"/>
                <w:b/>
                <w:bCs w:val="0"/>
                <w:webHidden/>
                <w:color w:val="007586" w:themeColor="text2"/>
              </w:rPr>
              <w:fldChar w:fldCharType="begin"/>
            </w:r>
            <w:r w:rsidR="00A13531" w:rsidRPr="003A78FF">
              <w:rPr>
                <w:rFonts w:ascii="VIC" w:hAnsi="VIC"/>
                <w:b/>
                <w:bCs w:val="0"/>
                <w:webHidden/>
                <w:color w:val="007586" w:themeColor="text2"/>
              </w:rPr>
              <w:instrText xml:space="preserve"> PAGEREF _Toc111215155 \h </w:instrText>
            </w:r>
            <w:r w:rsidR="00A13531" w:rsidRPr="003A78FF">
              <w:rPr>
                <w:rFonts w:ascii="VIC" w:hAnsi="VIC"/>
                <w:b/>
                <w:bCs w:val="0"/>
                <w:webHidden/>
                <w:color w:val="007586" w:themeColor="text2"/>
              </w:rPr>
            </w:r>
            <w:r w:rsidR="00A13531" w:rsidRPr="003A78FF">
              <w:rPr>
                <w:rFonts w:ascii="VIC" w:hAnsi="VIC"/>
                <w:b/>
                <w:bCs w:val="0"/>
                <w:webHidden/>
                <w:color w:val="007586" w:themeColor="text2"/>
              </w:rPr>
              <w:fldChar w:fldCharType="separate"/>
            </w:r>
            <w:r w:rsidR="00106FE5" w:rsidRPr="003A78FF">
              <w:rPr>
                <w:rFonts w:ascii="VIC" w:hAnsi="VIC"/>
                <w:b/>
                <w:bCs w:val="0"/>
                <w:webHidden/>
                <w:color w:val="007586" w:themeColor="text2"/>
              </w:rPr>
              <w:t>14</w:t>
            </w:r>
            <w:r w:rsidR="00A13531" w:rsidRPr="003A78FF">
              <w:rPr>
                <w:rFonts w:ascii="VIC" w:hAnsi="VIC"/>
                <w:b/>
                <w:bCs w:val="0"/>
                <w:webHidden/>
                <w:color w:val="007586" w:themeColor="text2"/>
              </w:rPr>
              <w:fldChar w:fldCharType="end"/>
            </w:r>
          </w:hyperlink>
        </w:p>
        <w:p w14:paraId="5CF04D7A" w14:textId="58A90D6F" w:rsidR="00A13531" w:rsidRPr="003A78FF" w:rsidRDefault="00000000" w:rsidP="003A78FF">
          <w:pPr>
            <w:pStyle w:val="TOC1"/>
            <w:pBdr>
              <w:bottom w:val="none" w:sz="0" w:space="0" w:color="auto"/>
              <w:between w:val="none" w:sz="0" w:space="0" w:color="auto"/>
            </w:pBdr>
            <w:spacing w:after="240" w:line="240" w:lineRule="auto"/>
            <w:rPr>
              <w:rFonts w:ascii="VIC" w:hAnsi="VIC"/>
              <w:color w:val="007586" w:themeColor="text2"/>
              <w:sz w:val="22"/>
              <w:szCs w:val="22"/>
              <w:lang w:eastAsia="en-AU"/>
            </w:rPr>
          </w:pPr>
          <w:hyperlink w:anchor="_Toc111215156" w:history="1">
            <w:r w:rsidR="00A13531" w:rsidRPr="003A78FF">
              <w:rPr>
                <w:rStyle w:val="Hyperlink"/>
                <w:rFonts w:ascii="VIC" w:hAnsi="VIC"/>
                <w:color w:val="007586" w:themeColor="text2"/>
              </w:rPr>
              <w:t>Conclusion</w:t>
            </w:r>
            <w:r w:rsidR="00A13531" w:rsidRPr="003A78FF">
              <w:rPr>
                <w:rFonts w:ascii="VIC" w:hAnsi="VIC"/>
                <w:webHidden/>
                <w:color w:val="007586" w:themeColor="text2"/>
              </w:rPr>
              <w:tab/>
            </w:r>
            <w:r w:rsidR="00A13531" w:rsidRPr="003A78FF">
              <w:rPr>
                <w:rFonts w:ascii="VIC" w:hAnsi="VIC"/>
                <w:webHidden/>
                <w:color w:val="007586" w:themeColor="text2"/>
              </w:rPr>
              <w:fldChar w:fldCharType="begin"/>
            </w:r>
            <w:r w:rsidR="00A13531" w:rsidRPr="003A78FF">
              <w:rPr>
                <w:rFonts w:ascii="VIC" w:hAnsi="VIC"/>
                <w:webHidden/>
                <w:color w:val="007586" w:themeColor="text2"/>
              </w:rPr>
              <w:instrText xml:space="preserve"> PAGEREF _Toc111215156 \h </w:instrText>
            </w:r>
            <w:r w:rsidR="00A13531" w:rsidRPr="003A78FF">
              <w:rPr>
                <w:rFonts w:ascii="VIC" w:hAnsi="VIC"/>
                <w:webHidden/>
                <w:color w:val="007586" w:themeColor="text2"/>
              </w:rPr>
            </w:r>
            <w:r w:rsidR="00A13531" w:rsidRPr="003A78FF">
              <w:rPr>
                <w:rFonts w:ascii="VIC" w:hAnsi="VIC"/>
                <w:webHidden/>
                <w:color w:val="007586" w:themeColor="text2"/>
              </w:rPr>
              <w:fldChar w:fldCharType="separate"/>
            </w:r>
            <w:r w:rsidR="00106FE5" w:rsidRPr="003A78FF">
              <w:rPr>
                <w:rFonts w:ascii="VIC" w:hAnsi="VIC"/>
                <w:webHidden/>
                <w:color w:val="007586" w:themeColor="text2"/>
              </w:rPr>
              <w:t>15</w:t>
            </w:r>
            <w:r w:rsidR="00A13531" w:rsidRPr="003A78FF">
              <w:rPr>
                <w:rFonts w:ascii="VIC" w:hAnsi="VIC"/>
                <w:webHidden/>
                <w:color w:val="007586" w:themeColor="text2"/>
              </w:rPr>
              <w:fldChar w:fldCharType="end"/>
            </w:r>
          </w:hyperlink>
        </w:p>
        <w:p w14:paraId="09D93144" w14:textId="780BC9CF" w:rsidR="00A13531" w:rsidRPr="003A78FF" w:rsidRDefault="00000000" w:rsidP="003A78FF">
          <w:pPr>
            <w:pStyle w:val="TOC1"/>
            <w:pBdr>
              <w:bottom w:val="none" w:sz="0" w:space="0" w:color="auto"/>
              <w:between w:val="none" w:sz="0" w:space="0" w:color="auto"/>
            </w:pBdr>
            <w:spacing w:line="240" w:lineRule="auto"/>
            <w:rPr>
              <w:rFonts w:ascii="VIC" w:hAnsi="VIC"/>
              <w:b w:val="0"/>
              <w:sz w:val="22"/>
              <w:szCs w:val="22"/>
              <w:lang w:eastAsia="en-AU"/>
            </w:rPr>
          </w:pPr>
          <w:hyperlink w:anchor="_Toc111215157" w:history="1">
            <w:r w:rsidR="00A13531" w:rsidRPr="003A78FF">
              <w:rPr>
                <w:rStyle w:val="Hyperlink"/>
                <w:rFonts w:ascii="VIC" w:hAnsi="VIC"/>
                <w:color w:val="007586" w:themeColor="text2"/>
              </w:rPr>
              <w:t>References</w:t>
            </w:r>
            <w:r w:rsidR="00A13531" w:rsidRPr="003A78FF">
              <w:rPr>
                <w:rFonts w:ascii="VIC" w:hAnsi="VIC"/>
                <w:webHidden/>
                <w:color w:val="007586" w:themeColor="text2"/>
              </w:rPr>
              <w:tab/>
            </w:r>
            <w:r w:rsidR="00A13531" w:rsidRPr="003A78FF">
              <w:rPr>
                <w:rFonts w:ascii="VIC" w:hAnsi="VIC"/>
                <w:webHidden/>
                <w:color w:val="007586" w:themeColor="text2"/>
              </w:rPr>
              <w:fldChar w:fldCharType="begin"/>
            </w:r>
            <w:r w:rsidR="00A13531" w:rsidRPr="003A78FF">
              <w:rPr>
                <w:rFonts w:ascii="VIC" w:hAnsi="VIC"/>
                <w:webHidden/>
                <w:color w:val="007586" w:themeColor="text2"/>
              </w:rPr>
              <w:instrText xml:space="preserve"> PAGEREF _Toc111215157 \h </w:instrText>
            </w:r>
            <w:r w:rsidR="00A13531" w:rsidRPr="003A78FF">
              <w:rPr>
                <w:rFonts w:ascii="VIC" w:hAnsi="VIC"/>
                <w:webHidden/>
                <w:color w:val="007586" w:themeColor="text2"/>
              </w:rPr>
            </w:r>
            <w:r w:rsidR="00A13531" w:rsidRPr="003A78FF">
              <w:rPr>
                <w:rFonts w:ascii="VIC" w:hAnsi="VIC"/>
                <w:webHidden/>
                <w:color w:val="007586" w:themeColor="text2"/>
              </w:rPr>
              <w:fldChar w:fldCharType="separate"/>
            </w:r>
            <w:r w:rsidR="00106FE5" w:rsidRPr="003A78FF">
              <w:rPr>
                <w:rFonts w:ascii="VIC" w:hAnsi="VIC"/>
                <w:webHidden/>
                <w:color w:val="007586" w:themeColor="text2"/>
              </w:rPr>
              <w:t>16</w:t>
            </w:r>
            <w:r w:rsidR="00A13531" w:rsidRPr="003A78FF">
              <w:rPr>
                <w:rFonts w:ascii="VIC" w:hAnsi="VIC"/>
                <w:webHidden/>
                <w:color w:val="007586" w:themeColor="text2"/>
              </w:rPr>
              <w:fldChar w:fldCharType="end"/>
            </w:r>
          </w:hyperlink>
        </w:p>
        <w:p w14:paraId="1C835321" w14:textId="4771D1FE" w:rsidR="00A13531" w:rsidRPr="003A78FF" w:rsidRDefault="00A13531" w:rsidP="00F30685">
          <w:pPr>
            <w:rPr>
              <w:rFonts w:ascii="VIC" w:hAnsi="VIC"/>
            </w:rPr>
          </w:pPr>
          <w:r w:rsidRPr="003A78FF">
            <w:rPr>
              <w:rFonts w:ascii="VIC" w:hAnsi="VIC"/>
              <w:b/>
              <w:bCs/>
              <w:noProof/>
            </w:rPr>
            <w:fldChar w:fldCharType="end"/>
          </w:r>
        </w:p>
      </w:sdtContent>
    </w:sdt>
    <w:p w14:paraId="31C59318" w14:textId="376C9EB5" w:rsidR="00A13531" w:rsidRPr="003A78FF" w:rsidRDefault="00A13531">
      <w:pPr>
        <w:rPr>
          <w:rFonts w:ascii="VIC" w:eastAsiaTheme="majorEastAsia" w:hAnsi="VIC" w:cstheme="majorBidi"/>
          <w:b/>
          <w:bCs/>
          <w:color w:val="007586" w:themeColor="text2"/>
          <w:sz w:val="32"/>
          <w:szCs w:val="32"/>
        </w:rPr>
      </w:pPr>
      <w:r w:rsidRPr="003A78FF">
        <w:rPr>
          <w:rFonts w:ascii="VIC" w:hAnsi="VIC"/>
        </w:rPr>
        <w:br w:type="page"/>
      </w:r>
    </w:p>
    <w:p w14:paraId="5D114D29" w14:textId="77777777" w:rsidR="00A13531" w:rsidRPr="003A78FF" w:rsidRDefault="00A13531" w:rsidP="004E6088">
      <w:pPr>
        <w:pStyle w:val="Heading1"/>
        <w:rPr>
          <w:rFonts w:ascii="VIC" w:hAnsi="VIC"/>
        </w:rPr>
      </w:pPr>
    </w:p>
    <w:p w14:paraId="2CA04DC9" w14:textId="40297AFF" w:rsidR="00353364" w:rsidRPr="003A78FF" w:rsidRDefault="00353364" w:rsidP="004E6088">
      <w:pPr>
        <w:pStyle w:val="Heading1"/>
        <w:rPr>
          <w:rFonts w:ascii="VIC" w:hAnsi="VIC"/>
        </w:rPr>
      </w:pPr>
      <w:bookmarkStart w:id="1" w:name="_Toc111215145"/>
      <w:r w:rsidRPr="003A78FF">
        <w:rPr>
          <w:rFonts w:ascii="VIC" w:hAnsi="VIC"/>
        </w:rPr>
        <w:t>Context</w:t>
      </w:r>
      <w:bookmarkEnd w:id="0"/>
      <w:bookmarkEnd w:id="1"/>
    </w:p>
    <w:p w14:paraId="5E627DD9" w14:textId="66D49F37" w:rsidR="00C437BE" w:rsidRPr="003A78FF" w:rsidRDefault="00C437BE" w:rsidP="00937CDB">
      <w:pPr>
        <w:pStyle w:val="SCVbody"/>
        <w:rPr>
          <w:rFonts w:ascii="VIC" w:hAnsi="VIC"/>
          <w:sz w:val="24"/>
          <w:szCs w:val="24"/>
        </w:rPr>
      </w:pPr>
      <w:r w:rsidRPr="003A78FF">
        <w:rPr>
          <w:rFonts w:ascii="VIC" w:hAnsi="VIC"/>
          <w:sz w:val="24"/>
          <w:szCs w:val="24"/>
        </w:rPr>
        <w:t xml:space="preserve">On 3 April 2022, the Victorian Government announced a $1.5 billion Surgery Recovery and Reform </w:t>
      </w:r>
      <w:r w:rsidR="007A4B22" w:rsidRPr="003A78FF">
        <w:rPr>
          <w:rFonts w:ascii="VIC" w:hAnsi="VIC"/>
          <w:sz w:val="24"/>
          <w:szCs w:val="24"/>
        </w:rPr>
        <w:t>Plan (The Plan</w:t>
      </w:r>
      <w:r w:rsidRPr="003A78FF">
        <w:rPr>
          <w:rFonts w:ascii="VIC" w:hAnsi="VIC"/>
          <w:sz w:val="24"/>
          <w:szCs w:val="24"/>
        </w:rPr>
        <w:t xml:space="preserve">) to boost surgical activity across the state. </w:t>
      </w:r>
    </w:p>
    <w:p w14:paraId="0382C68D" w14:textId="77777777" w:rsidR="00C437BE" w:rsidRPr="003A78FF" w:rsidRDefault="00C437BE" w:rsidP="00937CDB">
      <w:pPr>
        <w:pStyle w:val="SCVbody"/>
        <w:rPr>
          <w:rFonts w:ascii="VIC" w:hAnsi="VIC"/>
          <w:sz w:val="24"/>
          <w:szCs w:val="24"/>
        </w:rPr>
      </w:pPr>
      <w:r w:rsidRPr="003A78FF">
        <w:rPr>
          <w:rFonts w:ascii="VIC" w:hAnsi="VIC"/>
          <w:sz w:val="24"/>
          <w:szCs w:val="24"/>
        </w:rPr>
        <w:t xml:space="preserve">A key component of the Strategy is the need to systemically reform the way that the health system delivers surgical services in Victoria, on an enduring basis. </w:t>
      </w:r>
    </w:p>
    <w:p w14:paraId="0A5631AD" w14:textId="0822E731" w:rsidR="00C40115" w:rsidRPr="003A78FF" w:rsidRDefault="00C437BE" w:rsidP="00937CDB">
      <w:pPr>
        <w:pStyle w:val="SCVbody"/>
        <w:rPr>
          <w:rFonts w:ascii="VIC" w:hAnsi="VIC"/>
          <w:sz w:val="24"/>
          <w:szCs w:val="24"/>
        </w:rPr>
      </w:pPr>
      <w:r w:rsidRPr="003A78FF">
        <w:rPr>
          <w:rFonts w:ascii="VIC" w:hAnsi="VIC"/>
          <w:sz w:val="24"/>
          <w:szCs w:val="24"/>
        </w:rPr>
        <w:t>Within this funding, Safer Care Victoria (SCV) has been resourced to assist the Surgery Recovery and Reform Branch in the Department of Health to progress its reform agenda.</w:t>
      </w:r>
      <w:r w:rsidR="00D73E10" w:rsidRPr="003A78FF">
        <w:rPr>
          <w:rFonts w:ascii="VIC" w:hAnsi="VIC"/>
          <w:sz w:val="24"/>
          <w:szCs w:val="24"/>
        </w:rPr>
        <w:t xml:space="preserve">  </w:t>
      </w:r>
      <w:r w:rsidR="00BA387E" w:rsidRPr="003A78FF">
        <w:rPr>
          <w:rFonts w:ascii="VIC" w:hAnsi="VIC"/>
          <w:sz w:val="24"/>
          <w:szCs w:val="24"/>
        </w:rPr>
        <w:t xml:space="preserve">SCV has </w:t>
      </w:r>
      <w:r w:rsidR="00774C40" w:rsidRPr="003A78FF">
        <w:rPr>
          <w:rFonts w:ascii="VIC" w:hAnsi="VIC"/>
          <w:sz w:val="24"/>
          <w:szCs w:val="24"/>
        </w:rPr>
        <w:t>established the</w:t>
      </w:r>
      <w:r w:rsidR="00C40115" w:rsidRPr="003A78FF">
        <w:rPr>
          <w:rFonts w:ascii="VIC" w:hAnsi="VIC"/>
          <w:sz w:val="24"/>
          <w:szCs w:val="24"/>
        </w:rPr>
        <w:t xml:space="preserve"> Perioperative Learning Health Network</w:t>
      </w:r>
      <w:r w:rsidR="001E2D8D" w:rsidRPr="003A78FF">
        <w:rPr>
          <w:rFonts w:ascii="VIC" w:hAnsi="VIC"/>
          <w:sz w:val="24"/>
          <w:szCs w:val="24"/>
        </w:rPr>
        <w:t xml:space="preserve"> (PLHN</w:t>
      </w:r>
      <w:r w:rsidR="00860978" w:rsidRPr="003A78FF">
        <w:rPr>
          <w:rFonts w:ascii="VIC" w:hAnsi="VIC"/>
          <w:sz w:val="24"/>
          <w:szCs w:val="24"/>
        </w:rPr>
        <w:t>)</w:t>
      </w:r>
      <w:r w:rsidR="00692E25" w:rsidRPr="003A78FF">
        <w:rPr>
          <w:rFonts w:ascii="VIC" w:hAnsi="VIC"/>
          <w:sz w:val="24"/>
          <w:szCs w:val="24"/>
        </w:rPr>
        <w:t xml:space="preserve"> </w:t>
      </w:r>
      <w:r w:rsidR="003A3A54" w:rsidRPr="003A78FF">
        <w:rPr>
          <w:rFonts w:ascii="VIC" w:hAnsi="VIC"/>
          <w:sz w:val="24"/>
          <w:szCs w:val="24"/>
        </w:rPr>
        <w:t>and Advisory Group</w:t>
      </w:r>
      <w:r w:rsidR="00D73E10" w:rsidRPr="003A78FF">
        <w:rPr>
          <w:rFonts w:ascii="VIC" w:hAnsi="VIC"/>
          <w:sz w:val="24"/>
          <w:szCs w:val="24"/>
        </w:rPr>
        <w:t xml:space="preserve">, </w:t>
      </w:r>
      <w:r w:rsidR="001F616F" w:rsidRPr="003A78FF">
        <w:rPr>
          <w:rFonts w:ascii="VIC" w:hAnsi="VIC"/>
          <w:sz w:val="24"/>
          <w:szCs w:val="24"/>
        </w:rPr>
        <w:t xml:space="preserve">being </w:t>
      </w:r>
      <w:r w:rsidR="00D73E10" w:rsidRPr="003A78FF">
        <w:rPr>
          <w:rFonts w:ascii="VIC" w:hAnsi="VIC"/>
          <w:sz w:val="24"/>
          <w:szCs w:val="24"/>
        </w:rPr>
        <w:t>led by Professor David Watters</w:t>
      </w:r>
      <w:r w:rsidR="00774C40" w:rsidRPr="003A78FF">
        <w:rPr>
          <w:rFonts w:ascii="VIC" w:hAnsi="VIC"/>
          <w:sz w:val="24"/>
          <w:szCs w:val="24"/>
        </w:rPr>
        <w:t xml:space="preserve"> to assist with </w:t>
      </w:r>
      <w:r w:rsidR="00D35758" w:rsidRPr="003A78FF">
        <w:rPr>
          <w:rFonts w:ascii="VIC" w:hAnsi="VIC"/>
          <w:sz w:val="24"/>
          <w:szCs w:val="24"/>
        </w:rPr>
        <w:t>this work</w:t>
      </w:r>
      <w:r w:rsidR="00D73E10" w:rsidRPr="003A78FF">
        <w:rPr>
          <w:rFonts w:ascii="VIC" w:hAnsi="VIC"/>
          <w:sz w:val="24"/>
          <w:szCs w:val="24"/>
        </w:rPr>
        <w:t>.</w:t>
      </w:r>
      <w:r w:rsidR="006E520A" w:rsidRPr="003A78FF">
        <w:rPr>
          <w:rFonts w:ascii="VIC" w:hAnsi="VIC"/>
          <w:sz w:val="24"/>
          <w:szCs w:val="24"/>
        </w:rPr>
        <w:t xml:space="preserve">  The Advisory Group</w:t>
      </w:r>
      <w:r w:rsidR="00D35D98" w:rsidRPr="003A78FF">
        <w:rPr>
          <w:rFonts w:ascii="VIC" w:hAnsi="VIC"/>
          <w:sz w:val="24"/>
          <w:szCs w:val="24"/>
        </w:rPr>
        <w:t xml:space="preserve"> </w:t>
      </w:r>
      <w:r w:rsidR="005E2CE8" w:rsidRPr="003A78FF">
        <w:rPr>
          <w:rFonts w:ascii="VIC" w:hAnsi="VIC"/>
          <w:sz w:val="24"/>
          <w:szCs w:val="24"/>
        </w:rPr>
        <w:t>is</w:t>
      </w:r>
      <w:r w:rsidR="001C2E2A" w:rsidRPr="003A78FF">
        <w:rPr>
          <w:rFonts w:ascii="VIC" w:hAnsi="VIC"/>
          <w:sz w:val="24"/>
          <w:szCs w:val="24"/>
        </w:rPr>
        <w:t xml:space="preserve"> a diverse and</w:t>
      </w:r>
      <w:r w:rsidR="005E2CE8" w:rsidRPr="003A78FF">
        <w:rPr>
          <w:rFonts w:ascii="VIC" w:hAnsi="VIC"/>
          <w:sz w:val="24"/>
          <w:szCs w:val="24"/>
        </w:rPr>
        <w:t xml:space="preserve"> </w:t>
      </w:r>
      <w:r w:rsidR="00D35D98" w:rsidRPr="003A78FF">
        <w:rPr>
          <w:rFonts w:ascii="VIC" w:hAnsi="VIC"/>
          <w:sz w:val="24"/>
          <w:szCs w:val="24"/>
        </w:rPr>
        <w:t>multidisciplinary</w:t>
      </w:r>
      <w:r w:rsidR="001C2E2A" w:rsidRPr="003A78FF">
        <w:rPr>
          <w:rFonts w:ascii="VIC" w:hAnsi="VIC"/>
          <w:sz w:val="24"/>
          <w:szCs w:val="24"/>
        </w:rPr>
        <w:t xml:space="preserve"> committee,</w:t>
      </w:r>
      <w:r w:rsidR="005E2CE8" w:rsidRPr="003A78FF">
        <w:rPr>
          <w:rFonts w:ascii="VIC" w:hAnsi="VIC"/>
          <w:sz w:val="24"/>
          <w:szCs w:val="24"/>
        </w:rPr>
        <w:t xml:space="preserve"> </w:t>
      </w:r>
      <w:r w:rsidR="00B75BAC" w:rsidRPr="003A78FF">
        <w:rPr>
          <w:rFonts w:ascii="VIC" w:hAnsi="VIC"/>
          <w:sz w:val="24"/>
          <w:szCs w:val="24"/>
        </w:rPr>
        <w:t>including consumers, academics</w:t>
      </w:r>
      <w:r w:rsidR="0091070F" w:rsidRPr="003A78FF">
        <w:rPr>
          <w:rFonts w:ascii="VIC" w:hAnsi="VIC"/>
          <w:sz w:val="24"/>
          <w:szCs w:val="24"/>
        </w:rPr>
        <w:t xml:space="preserve">, </w:t>
      </w:r>
      <w:r w:rsidR="00D17FC1" w:rsidRPr="003A78FF">
        <w:rPr>
          <w:rFonts w:ascii="VIC" w:hAnsi="VIC"/>
          <w:sz w:val="24"/>
          <w:szCs w:val="24"/>
        </w:rPr>
        <w:t>researchers,</w:t>
      </w:r>
      <w:r w:rsidR="000671CC" w:rsidRPr="003A78FF">
        <w:rPr>
          <w:rFonts w:ascii="VIC" w:hAnsi="VIC"/>
          <w:sz w:val="24"/>
          <w:szCs w:val="24"/>
        </w:rPr>
        <w:t xml:space="preserve"> and clinicians</w:t>
      </w:r>
      <w:r w:rsidR="001C2E2A" w:rsidRPr="003A78FF">
        <w:rPr>
          <w:rFonts w:ascii="VIC" w:hAnsi="VIC"/>
          <w:sz w:val="24"/>
          <w:szCs w:val="24"/>
        </w:rPr>
        <w:t>.</w:t>
      </w:r>
      <w:r w:rsidR="004C1CB3" w:rsidRPr="003A78FF">
        <w:rPr>
          <w:rFonts w:ascii="VIC" w:hAnsi="VIC"/>
          <w:sz w:val="24"/>
          <w:szCs w:val="24"/>
        </w:rPr>
        <w:t xml:space="preserve">  This group </w:t>
      </w:r>
      <w:r w:rsidR="00D17FC1" w:rsidRPr="003A78FF">
        <w:rPr>
          <w:rFonts w:ascii="VIC" w:hAnsi="VIC"/>
          <w:sz w:val="24"/>
          <w:szCs w:val="24"/>
        </w:rPr>
        <w:t xml:space="preserve">act in the best interests of consumers, health services workforce and the wider Victorian community </w:t>
      </w:r>
      <w:r w:rsidR="006B6F72" w:rsidRPr="003A78FF">
        <w:rPr>
          <w:rFonts w:ascii="VIC" w:hAnsi="VIC"/>
          <w:sz w:val="24"/>
          <w:szCs w:val="24"/>
        </w:rPr>
        <w:t xml:space="preserve">and </w:t>
      </w:r>
      <w:r w:rsidR="00D17FC1" w:rsidRPr="003A78FF">
        <w:rPr>
          <w:rFonts w:ascii="VIC" w:hAnsi="VIC"/>
          <w:sz w:val="24"/>
          <w:szCs w:val="24"/>
        </w:rPr>
        <w:t>provide a mechanism to more broad consultation with the sector</w:t>
      </w:r>
      <w:r w:rsidR="006B6F72" w:rsidRPr="003A78FF">
        <w:rPr>
          <w:rFonts w:ascii="VIC" w:hAnsi="VIC"/>
          <w:sz w:val="24"/>
          <w:szCs w:val="24"/>
        </w:rPr>
        <w:t>.</w:t>
      </w:r>
    </w:p>
    <w:p w14:paraId="6AED4FF4" w14:textId="1F00C0D2" w:rsidR="00A16F83" w:rsidRPr="003A78FF" w:rsidRDefault="001A2BA3" w:rsidP="00937CDB">
      <w:pPr>
        <w:pStyle w:val="SCVbody"/>
        <w:rPr>
          <w:rFonts w:ascii="VIC" w:hAnsi="VIC"/>
          <w:sz w:val="24"/>
          <w:szCs w:val="24"/>
        </w:rPr>
      </w:pPr>
      <w:r w:rsidRPr="003A78FF">
        <w:rPr>
          <w:rFonts w:ascii="VIC" w:hAnsi="VIC"/>
          <w:sz w:val="24"/>
          <w:szCs w:val="24"/>
        </w:rPr>
        <w:t>The first request for</w:t>
      </w:r>
      <w:r w:rsidR="008630D1" w:rsidRPr="003A78FF">
        <w:rPr>
          <w:rFonts w:ascii="VIC" w:hAnsi="VIC"/>
          <w:sz w:val="24"/>
          <w:szCs w:val="24"/>
        </w:rPr>
        <w:t xml:space="preserve"> the</w:t>
      </w:r>
      <w:r w:rsidR="006E0FCF" w:rsidRPr="003A78FF">
        <w:rPr>
          <w:rFonts w:ascii="VIC" w:hAnsi="VIC"/>
          <w:sz w:val="24"/>
          <w:szCs w:val="24"/>
        </w:rPr>
        <w:t xml:space="preserve"> PLHN</w:t>
      </w:r>
      <w:r w:rsidRPr="003A78FF">
        <w:rPr>
          <w:rFonts w:ascii="VIC" w:hAnsi="VIC"/>
          <w:sz w:val="24"/>
          <w:szCs w:val="24"/>
        </w:rPr>
        <w:t xml:space="preserve">, </w:t>
      </w:r>
      <w:r w:rsidR="00BD7636" w:rsidRPr="003A78FF">
        <w:rPr>
          <w:rFonts w:ascii="VIC" w:hAnsi="VIC"/>
          <w:sz w:val="24"/>
          <w:szCs w:val="24"/>
        </w:rPr>
        <w:t>is</w:t>
      </w:r>
      <w:r w:rsidRPr="003A78FF">
        <w:rPr>
          <w:rFonts w:ascii="VIC" w:hAnsi="VIC"/>
          <w:sz w:val="24"/>
          <w:szCs w:val="24"/>
        </w:rPr>
        <w:t xml:space="preserve"> to provide clinical advice to guide the expansion of </w:t>
      </w:r>
      <w:r w:rsidR="00526651" w:rsidRPr="003A78FF">
        <w:rPr>
          <w:rFonts w:ascii="VIC" w:hAnsi="VIC"/>
          <w:sz w:val="24"/>
          <w:szCs w:val="24"/>
        </w:rPr>
        <w:t>‘s</w:t>
      </w:r>
      <w:r w:rsidRPr="003A78FF">
        <w:rPr>
          <w:rFonts w:ascii="VIC" w:hAnsi="VIC"/>
          <w:sz w:val="24"/>
          <w:szCs w:val="24"/>
        </w:rPr>
        <w:t>ame-day</w:t>
      </w:r>
      <w:r w:rsidR="00526651" w:rsidRPr="003A78FF">
        <w:rPr>
          <w:rFonts w:ascii="VIC" w:hAnsi="VIC"/>
          <w:sz w:val="24"/>
          <w:szCs w:val="24"/>
        </w:rPr>
        <w:t>’</w:t>
      </w:r>
      <w:r w:rsidRPr="003A78FF">
        <w:rPr>
          <w:rFonts w:ascii="VIC" w:hAnsi="VIC"/>
          <w:sz w:val="24"/>
          <w:szCs w:val="24"/>
        </w:rPr>
        <w:t xml:space="preserve"> models of surgical care. The Advisory Group </w:t>
      </w:r>
      <w:r w:rsidR="00873434" w:rsidRPr="003A78FF">
        <w:rPr>
          <w:rFonts w:ascii="VIC" w:hAnsi="VIC"/>
          <w:sz w:val="24"/>
          <w:szCs w:val="24"/>
        </w:rPr>
        <w:t>h</w:t>
      </w:r>
      <w:r w:rsidR="00906144" w:rsidRPr="003A78FF">
        <w:rPr>
          <w:rFonts w:ascii="VIC" w:hAnsi="VIC"/>
          <w:sz w:val="24"/>
          <w:szCs w:val="24"/>
        </w:rPr>
        <w:t xml:space="preserve">ave </w:t>
      </w:r>
      <w:r w:rsidR="00873434" w:rsidRPr="003A78FF">
        <w:rPr>
          <w:rFonts w:ascii="VIC" w:hAnsi="VIC"/>
          <w:sz w:val="24"/>
          <w:szCs w:val="24"/>
        </w:rPr>
        <w:t xml:space="preserve">provided </w:t>
      </w:r>
      <w:r w:rsidR="00906144" w:rsidRPr="003A78FF">
        <w:rPr>
          <w:rFonts w:ascii="VIC" w:hAnsi="VIC"/>
          <w:sz w:val="24"/>
          <w:szCs w:val="24"/>
        </w:rPr>
        <w:t>expert advice</w:t>
      </w:r>
      <w:r w:rsidR="00BC6C90" w:rsidRPr="003A78FF">
        <w:rPr>
          <w:rFonts w:ascii="VIC" w:hAnsi="VIC"/>
          <w:sz w:val="24"/>
          <w:szCs w:val="24"/>
        </w:rPr>
        <w:t xml:space="preserve"> address</w:t>
      </w:r>
      <w:r w:rsidR="00EE5CB7" w:rsidRPr="003A78FF">
        <w:rPr>
          <w:rFonts w:ascii="VIC" w:hAnsi="VIC"/>
          <w:sz w:val="24"/>
          <w:szCs w:val="24"/>
        </w:rPr>
        <w:t>ing the</w:t>
      </w:r>
      <w:r w:rsidR="00BC6C90" w:rsidRPr="003A78FF">
        <w:rPr>
          <w:rFonts w:ascii="VIC" w:hAnsi="VIC"/>
          <w:sz w:val="24"/>
          <w:szCs w:val="24"/>
        </w:rPr>
        <w:t xml:space="preserve"> </w:t>
      </w:r>
      <w:r w:rsidR="00A85614" w:rsidRPr="003A78FF">
        <w:rPr>
          <w:rFonts w:ascii="VIC" w:hAnsi="VIC"/>
          <w:sz w:val="24"/>
          <w:szCs w:val="24"/>
        </w:rPr>
        <w:t xml:space="preserve">8 </w:t>
      </w:r>
      <w:r w:rsidR="00BC6C90" w:rsidRPr="003A78FF">
        <w:rPr>
          <w:rFonts w:ascii="VIC" w:hAnsi="VIC"/>
          <w:sz w:val="24"/>
          <w:szCs w:val="24"/>
        </w:rPr>
        <w:t xml:space="preserve">key areas </w:t>
      </w:r>
      <w:r w:rsidR="006E6146" w:rsidRPr="003A78FF">
        <w:rPr>
          <w:rFonts w:ascii="VIC" w:hAnsi="VIC"/>
          <w:sz w:val="24"/>
          <w:szCs w:val="24"/>
        </w:rPr>
        <w:t>requested</w:t>
      </w:r>
      <w:r w:rsidR="0025685B" w:rsidRPr="003A78FF">
        <w:rPr>
          <w:rFonts w:ascii="VIC" w:hAnsi="VIC"/>
          <w:sz w:val="24"/>
          <w:szCs w:val="24"/>
        </w:rPr>
        <w:t xml:space="preserve"> and</w:t>
      </w:r>
      <w:r w:rsidR="00873434" w:rsidRPr="003A78FF">
        <w:rPr>
          <w:rFonts w:ascii="VIC" w:hAnsi="VIC"/>
          <w:sz w:val="24"/>
          <w:szCs w:val="24"/>
        </w:rPr>
        <w:t xml:space="preserve"> outlined </w:t>
      </w:r>
      <w:r w:rsidR="0025685B" w:rsidRPr="003A78FF">
        <w:rPr>
          <w:rFonts w:ascii="VIC" w:hAnsi="VIC"/>
          <w:sz w:val="24"/>
          <w:szCs w:val="24"/>
        </w:rPr>
        <w:t xml:space="preserve">these </w:t>
      </w:r>
      <w:r w:rsidR="00873434" w:rsidRPr="003A78FF">
        <w:rPr>
          <w:rFonts w:ascii="VIC" w:hAnsi="VIC"/>
          <w:sz w:val="24"/>
          <w:szCs w:val="24"/>
        </w:rPr>
        <w:t>in the following report.</w:t>
      </w:r>
    </w:p>
    <w:p w14:paraId="66764414" w14:textId="08A9BAD2" w:rsidR="00C437BE" w:rsidRPr="003A78FF" w:rsidRDefault="00A16F83" w:rsidP="004E6088">
      <w:pPr>
        <w:pStyle w:val="Heading1"/>
        <w:rPr>
          <w:rFonts w:ascii="VIC" w:hAnsi="VIC"/>
        </w:rPr>
      </w:pPr>
      <w:bookmarkStart w:id="2" w:name="_Toc111215089"/>
      <w:bookmarkStart w:id="3" w:name="_Toc111215146"/>
      <w:r w:rsidRPr="003A78FF">
        <w:rPr>
          <w:rFonts w:ascii="VIC" w:hAnsi="VIC"/>
        </w:rPr>
        <w:t>Report</w:t>
      </w:r>
      <w:bookmarkEnd w:id="2"/>
      <w:bookmarkEnd w:id="3"/>
      <w:r w:rsidR="006229DB" w:rsidRPr="003A78FF">
        <w:rPr>
          <w:rFonts w:ascii="VIC" w:hAnsi="VIC"/>
        </w:rPr>
        <w:t xml:space="preserve"> </w:t>
      </w:r>
    </w:p>
    <w:p w14:paraId="4AFC9A1A" w14:textId="53003F08" w:rsidR="00A36DA2" w:rsidRPr="003A78FF" w:rsidRDefault="00A36DA2" w:rsidP="00FE54E5">
      <w:pPr>
        <w:pStyle w:val="Heading3"/>
        <w:numPr>
          <w:ilvl w:val="0"/>
          <w:numId w:val="21"/>
        </w:numPr>
        <w:rPr>
          <w:rFonts w:ascii="VIC" w:hAnsi="VIC"/>
          <w:szCs w:val="24"/>
        </w:rPr>
      </w:pPr>
      <w:bookmarkStart w:id="4" w:name="_Hlk107929064"/>
      <w:bookmarkStart w:id="5" w:name="_Toc111215090"/>
      <w:bookmarkStart w:id="6" w:name="_Toc111215147"/>
      <w:bookmarkStart w:id="7" w:name="_Toc52978537"/>
      <w:bookmarkStart w:id="8" w:name="_Toc43470670"/>
      <w:bookmarkEnd w:id="4"/>
      <w:r w:rsidRPr="003A78FF">
        <w:rPr>
          <w:rFonts w:ascii="VIC" w:hAnsi="VIC"/>
          <w:szCs w:val="24"/>
        </w:rPr>
        <w:t>What are the benefits and risks to patients</w:t>
      </w:r>
      <w:r w:rsidR="5616198C" w:rsidRPr="003A78FF">
        <w:rPr>
          <w:rFonts w:ascii="VIC" w:hAnsi="VIC"/>
          <w:szCs w:val="24"/>
        </w:rPr>
        <w:t xml:space="preserve"> </w:t>
      </w:r>
      <w:r w:rsidRPr="003A78FF">
        <w:rPr>
          <w:rFonts w:ascii="VIC" w:hAnsi="VIC"/>
          <w:szCs w:val="24"/>
        </w:rPr>
        <w:t>in expanding same-day models of surgical care?</w:t>
      </w:r>
      <w:bookmarkEnd w:id="5"/>
      <w:bookmarkEnd w:id="6"/>
      <w:r w:rsidRPr="003A78FF">
        <w:rPr>
          <w:rFonts w:ascii="VIC" w:hAnsi="VIC"/>
          <w:szCs w:val="24"/>
        </w:rPr>
        <w:t xml:space="preserve"> </w:t>
      </w:r>
      <w:r w:rsidRPr="003A78FF">
        <w:rPr>
          <w:rFonts w:ascii="Cambria" w:hAnsi="Cambria" w:cs="Cambria"/>
          <w:szCs w:val="24"/>
        </w:rPr>
        <w:t> </w:t>
      </w:r>
    </w:p>
    <w:p w14:paraId="16BD0030" w14:textId="31481A45" w:rsidR="68772935" w:rsidRPr="003A78FF" w:rsidRDefault="68772935" w:rsidP="68772935">
      <w:pPr>
        <w:pStyle w:val="NormalWeb"/>
        <w:ind w:left="284"/>
        <w:rPr>
          <w:rFonts w:ascii="VIC" w:eastAsiaTheme="minorEastAsia" w:hAnsi="VIC" w:cstheme="minorBidi"/>
          <w:color w:val="auto"/>
          <w:sz w:val="24"/>
        </w:rPr>
      </w:pPr>
    </w:p>
    <w:p w14:paraId="2554BB81" w14:textId="2C5A8A29" w:rsidR="68772935" w:rsidRPr="003A78FF" w:rsidRDefault="68772935" w:rsidP="68772935">
      <w:pPr>
        <w:pStyle w:val="NormalWeb"/>
        <w:ind w:left="284"/>
        <w:rPr>
          <w:rFonts w:ascii="VIC" w:eastAsiaTheme="minorEastAsia" w:hAnsi="VIC" w:cstheme="minorBidi"/>
          <w:b/>
          <w:bCs/>
          <w:color w:val="auto"/>
          <w:sz w:val="24"/>
        </w:rPr>
      </w:pPr>
      <w:r w:rsidRPr="003A78FF">
        <w:rPr>
          <w:rFonts w:ascii="VIC" w:eastAsiaTheme="minorEastAsia" w:hAnsi="VIC" w:cstheme="minorBidi"/>
          <w:b/>
          <w:bCs/>
          <w:color w:val="auto"/>
          <w:sz w:val="24"/>
        </w:rPr>
        <w:t>Benefits:</w:t>
      </w:r>
    </w:p>
    <w:p w14:paraId="0F81B788" w14:textId="77777777" w:rsidR="006204F4" w:rsidRPr="003A78FF" w:rsidRDefault="006204F4" w:rsidP="68772935">
      <w:pPr>
        <w:pStyle w:val="NormalWeb"/>
        <w:ind w:left="284"/>
        <w:rPr>
          <w:rFonts w:ascii="VIC" w:eastAsiaTheme="minorEastAsia" w:hAnsi="VIC" w:cstheme="minorBidi"/>
          <w:color w:val="auto"/>
          <w:sz w:val="24"/>
        </w:rPr>
      </w:pPr>
    </w:p>
    <w:p w14:paraId="4B9E046D" w14:textId="4436A270" w:rsidR="00655323" w:rsidRPr="003A78FF" w:rsidRDefault="00A36DA2" w:rsidP="68772935">
      <w:pPr>
        <w:pStyle w:val="NormalWeb"/>
        <w:ind w:left="284"/>
        <w:rPr>
          <w:rFonts w:ascii="VIC" w:eastAsiaTheme="minorEastAsia" w:hAnsi="VIC" w:cstheme="minorBidi"/>
          <w:color w:val="auto"/>
          <w:sz w:val="24"/>
        </w:rPr>
      </w:pPr>
      <w:r w:rsidRPr="003A78FF">
        <w:rPr>
          <w:rFonts w:ascii="VIC" w:eastAsiaTheme="minorEastAsia" w:hAnsi="VIC" w:cstheme="minorBidi"/>
          <w:color w:val="auto"/>
          <w:sz w:val="24"/>
        </w:rPr>
        <w:t xml:space="preserve">The benefits of </w:t>
      </w:r>
      <w:r w:rsidR="004D1255" w:rsidRPr="003A78FF">
        <w:rPr>
          <w:rFonts w:ascii="VIC" w:eastAsiaTheme="minorEastAsia" w:hAnsi="VIC" w:cstheme="minorBidi"/>
          <w:color w:val="auto"/>
          <w:sz w:val="24"/>
        </w:rPr>
        <w:t xml:space="preserve">same-day models of surgical care </w:t>
      </w:r>
      <w:r w:rsidRPr="003A78FF">
        <w:rPr>
          <w:rFonts w:ascii="VIC" w:eastAsiaTheme="minorEastAsia" w:hAnsi="VIC" w:cstheme="minorBidi"/>
          <w:color w:val="auto"/>
          <w:sz w:val="24"/>
        </w:rPr>
        <w:t>are clear for well selected patients</w:t>
      </w:r>
      <w:r w:rsidR="00D3781C" w:rsidRPr="003A78FF">
        <w:rPr>
          <w:rFonts w:ascii="VIC" w:eastAsiaTheme="minorEastAsia" w:hAnsi="VIC" w:cstheme="minorBidi"/>
          <w:color w:val="auto"/>
          <w:sz w:val="24"/>
        </w:rPr>
        <w:t xml:space="preserve">, and </w:t>
      </w:r>
      <w:r w:rsidR="0068682F" w:rsidRPr="003A78FF">
        <w:rPr>
          <w:rFonts w:ascii="VIC" w:eastAsiaTheme="minorEastAsia" w:hAnsi="VIC" w:cstheme="minorBidi"/>
          <w:color w:val="auto"/>
          <w:sz w:val="24"/>
        </w:rPr>
        <w:t>include:</w:t>
      </w:r>
    </w:p>
    <w:p w14:paraId="49312FE0" w14:textId="77777777" w:rsidR="00655323" w:rsidRPr="003A78FF" w:rsidRDefault="00655323" w:rsidP="68772935">
      <w:pPr>
        <w:pStyle w:val="NormalWeb"/>
        <w:ind w:left="284"/>
        <w:rPr>
          <w:rFonts w:ascii="VIC" w:eastAsiaTheme="minorEastAsia" w:hAnsi="VIC" w:cstheme="minorBidi"/>
          <w:color w:val="auto"/>
          <w:sz w:val="24"/>
        </w:rPr>
      </w:pPr>
    </w:p>
    <w:p w14:paraId="0C6DA21C" w14:textId="0AEDA16C" w:rsidR="6FA5AF15" w:rsidRPr="003A78FF" w:rsidRDefault="005B607E" w:rsidP="0002325A">
      <w:pPr>
        <w:pStyle w:val="NormalWeb"/>
        <w:numPr>
          <w:ilvl w:val="0"/>
          <w:numId w:val="27"/>
        </w:numPr>
        <w:spacing w:line="240" w:lineRule="auto"/>
        <w:rPr>
          <w:rFonts w:ascii="VIC" w:eastAsiaTheme="minorEastAsia" w:hAnsi="VIC" w:cstheme="minorBidi"/>
          <w:color w:val="auto"/>
          <w:sz w:val="24"/>
        </w:rPr>
      </w:pPr>
      <w:r w:rsidRPr="003A78FF">
        <w:rPr>
          <w:rFonts w:ascii="VIC" w:eastAsiaTheme="minorEastAsia" w:hAnsi="VIC" w:cstheme="minorBidi"/>
          <w:color w:val="auto"/>
          <w:sz w:val="24"/>
        </w:rPr>
        <w:t>S</w:t>
      </w:r>
      <w:r w:rsidR="00F50535" w:rsidRPr="003A78FF">
        <w:rPr>
          <w:rFonts w:ascii="VIC" w:eastAsiaTheme="minorEastAsia" w:hAnsi="VIC" w:cstheme="minorBidi"/>
          <w:color w:val="auto"/>
          <w:sz w:val="24"/>
        </w:rPr>
        <w:t>upport</w:t>
      </w:r>
      <w:r w:rsidR="00B950B0" w:rsidRPr="003A78FF">
        <w:rPr>
          <w:rFonts w:ascii="VIC" w:eastAsiaTheme="minorEastAsia" w:hAnsi="VIC" w:cstheme="minorBidi"/>
          <w:color w:val="auto"/>
          <w:sz w:val="24"/>
        </w:rPr>
        <w:t>ing</w:t>
      </w:r>
      <w:r w:rsidR="00F50535" w:rsidRPr="003A78FF">
        <w:rPr>
          <w:rFonts w:ascii="VIC" w:eastAsiaTheme="minorEastAsia" w:hAnsi="VIC" w:cstheme="minorBidi"/>
          <w:color w:val="auto"/>
          <w:sz w:val="24"/>
        </w:rPr>
        <w:t xml:space="preserve"> </w:t>
      </w:r>
      <w:r w:rsidR="00F50535" w:rsidRPr="003A78FF">
        <w:rPr>
          <w:rFonts w:ascii="VIC" w:eastAsiaTheme="minorEastAsia" w:hAnsi="VIC" w:cstheme="minorBidi"/>
          <w:b/>
          <w:bCs/>
          <w:color w:val="auto"/>
          <w:sz w:val="24"/>
        </w:rPr>
        <w:t>patient engagement in their care decisions</w:t>
      </w:r>
      <w:r w:rsidR="00F50535" w:rsidRPr="003A78FF">
        <w:rPr>
          <w:rFonts w:ascii="VIC" w:eastAsiaTheme="minorEastAsia" w:hAnsi="VIC" w:cstheme="minorBidi"/>
          <w:color w:val="auto"/>
          <w:sz w:val="24"/>
        </w:rPr>
        <w:t xml:space="preserve"> and empower them in their own </w:t>
      </w:r>
      <w:r w:rsidR="00CD53F4" w:rsidRPr="003A78FF">
        <w:rPr>
          <w:rFonts w:ascii="VIC" w:eastAsiaTheme="minorEastAsia" w:hAnsi="VIC" w:cstheme="minorBidi"/>
          <w:color w:val="auto"/>
          <w:sz w:val="24"/>
        </w:rPr>
        <w:t>recovery t</w:t>
      </w:r>
      <w:r w:rsidR="00F50535" w:rsidRPr="003A78FF">
        <w:rPr>
          <w:rFonts w:ascii="VIC" w:eastAsiaTheme="minorEastAsia" w:hAnsi="VIC" w:cstheme="minorBidi"/>
          <w:color w:val="auto"/>
          <w:sz w:val="24"/>
        </w:rPr>
        <w:t xml:space="preserve">hrough facilitating return to their familiar environment for </w:t>
      </w:r>
      <w:r w:rsidR="00F50535" w:rsidRPr="003A78FF">
        <w:rPr>
          <w:rFonts w:ascii="VIC" w:eastAsiaTheme="minorEastAsia" w:hAnsi="VIC" w:cstheme="minorBidi"/>
          <w:b/>
          <w:bCs/>
          <w:color w:val="auto"/>
          <w:sz w:val="24"/>
        </w:rPr>
        <w:t>context-specific recovery</w:t>
      </w:r>
      <w:r w:rsidR="00CD53F4" w:rsidRPr="003A78FF">
        <w:rPr>
          <w:rFonts w:ascii="VIC" w:eastAsiaTheme="minorEastAsia" w:hAnsi="VIC" w:cstheme="minorBidi"/>
          <w:color w:val="auto"/>
          <w:sz w:val="24"/>
        </w:rPr>
        <w:t>.</w:t>
      </w:r>
      <w:r w:rsidR="00F50535" w:rsidRPr="003A78FF">
        <w:rPr>
          <w:rFonts w:ascii="VIC" w:eastAsiaTheme="minorEastAsia" w:hAnsi="VIC" w:cstheme="minorBidi"/>
          <w:color w:val="auto"/>
          <w:sz w:val="24"/>
        </w:rPr>
        <w:t xml:space="preserve"> </w:t>
      </w:r>
    </w:p>
    <w:p w14:paraId="2231F193" w14:textId="77777777" w:rsidR="00F76543" w:rsidRPr="003A78FF" w:rsidRDefault="00F76543" w:rsidP="00F76543">
      <w:pPr>
        <w:pStyle w:val="NormalWeb"/>
        <w:spacing w:line="240" w:lineRule="auto"/>
        <w:ind w:left="1004"/>
        <w:rPr>
          <w:rFonts w:ascii="VIC" w:eastAsiaTheme="minorEastAsia" w:hAnsi="VIC" w:cstheme="minorBidi"/>
          <w:color w:val="auto"/>
          <w:sz w:val="24"/>
        </w:rPr>
      </w:pPr>
    </w:p>
    <w:p w14:paraId="5ACB6BCF" w14:textId="374D0603" w:rsidR="00CA04ED" w:rsidRPr="003A78FF" w:rsidRDefault="00B950B0" w:rsidP="0002325A">
      <w:pPr>
        <w:pStyle w:val="NormalWeb"/>
        <w:numPr>
          <w:ilvl w:val="0"/>
          <w:numId w:val="27"/>
        </w:numPr>
        <w:spacing w:line="240" w:lineRule="auto"/>
        <w:rPr>
          <w:rFonts w:ascii="VIC" w:eastAsiaTheme="minorEastAsia" w:hAnsi="VIC" w:cstheme="minorBidi"/>
          <w:color w:val="auto"/>
          <w:sz w:val="24"/>
        </w:rPr>
      </w:pPr>
      <w:r w:rsidRPr="003A78FF">
        <w:rPr>
          <w:rFonts w:ascii="VIC" w:eastAsiaTheme="minorEastAsia" w:hAnsi="VIC" w:cstheme="minorBidi"/>
          <w:b/>
          <w:bCs/>
          <w:color w:val="auto"/>
          <w:sz w:val="24"/>
        </w:rPr>
        <w:t>R</w:t>
      </w:r>
      <w:r w:rsidR="00F50535" w:rsidRPr="003A78FF">
        <w:rPr>
          <w:rFonts w:ascii="VIC" w:eastAsiaTheme="minorEastAsia" w:hAnsi="VIC" w:cstheme="minorBidi"/>
          <w:b/>
          <w:bCs/>
          <w:color w:val="auto"/>
          <w:sz w:val="24"/>
        </w:rPr>
        <w:t>educ</w:t>
      </w:r>
      <w:r w:rsidRPr="003A78FF">
        <w:rPr>
          <w:rFonts w:ascii="VIC" w:eastAsiaTheme="minorEastAsia" w:hAnsi="VIC" w:cstheme="minorBidi"/>
          <w:b/>
          <w:bCs/>
          <w:color w:val="auto"/>
          <w:sz w:val="24"/>
        </w:rPr>
        <w:t>ing</w:t>
      </w:r>
      <w:r w:rsidR="00F50535" w:rsidRPr="003A78FF">
        <w:rPr>
          <w:rFonts w:ascii="VIC" w:eastAsiaTheme="minorEastAsia" w:hAnsi="VIC" w:cstheme="minorBidi"/>
          <w:b/>
          <w:bCs/>
          <w:color w:val="auto"/>
          <w:sz w:val="24"/>
        </w:rPr>
        <w:t xml:space="preserve"> risks </w:t>
      </w:r>
      <w:r w:rsidR="00F50535" w:rsidRPr="003A78FF">
        <w:rPr>
          <w:rFonts w:ascii="VIC" w:eastAsiaTheme="minorEastAsia" w:hAnsi="VIC" w:cstheme="minorBidi"/>
          <w:color w:val="auto"/>
          <w:sz w:val="24"/>
        </w:rPr>
        <w:t>of hospital acquired complication</w:t>
      </w:r>
      <w:r w:rsidR="00CA04ED" w:rsidRPr="003A78FF">
        <w:rPr>
          <w:rFonts w:ascii="VIC" w:eastAsiaTheme="minorEastAsia" w:hAnsi="VIC" w:cstheme="minorBidi"/>
          <w:color w:val="auto"/>
          <w:sz w:val="24"/>
        </w:rPr>
        <w:t>s</w:t>
      </w:r>
      <w:r w:rsidR="00F50535" w:rsidRPr="003A78FF">
        <w:rPr>
          <w:rFonts w:ascii="VIC" w:eastAsiaTheme="minorEastAsia" w:hAnsi="VIC" w:cstheme="minorBidi"/>
          <w:color w:val="auto"/>
          <w:sz w:val="24"/>
        </w:rPr>
        <w:t>.</w:t>
      </w:r>
    </w:p>
    <w:p w14:paraId="5AEA6C39" w14:textId="77777777" w:rsidR="00F76543" w:rsidRPr="003A78FF" w:rsidRDefault="00F76543" w:rsidP="00F76543">
      <w:pPr>
        <w:pStyle w:val="NormalWeb"/>
        <w:spacing w:line="240" w:lineRule="auto"/>
        <w:rPr>
          <w:rFonts w:ascii="VIC" w:eastAsiaTheme="minorEastAsia" w:hAnsi="VIC" w:cstheme="minorBidi"/>
          <w:color w:val="auto"/>
          <w:sz w:val="24"/>
        </w:rPr>
      </w:pPr>
    </w:p>
    <w:p w14:paraId="6BEA5AEE" w14:textId="444E1A7E" w:rsidR="6FA5AF15" w:rsidRPr="003A78FF" w:rsidRDefault="00B950B0" w:rsidP="0002325A">
      <w:pPr>
        <w:pStyle w:val="NormalWeb"/>
        <w:numPr>
          <w:ilvl w:val="0"/>
          <w:numId w:val="27"/>
        </w:numPr>
        <w:spacing w:line="240" w:lineRule="auto"/>
        <w:rPr>
          <w:rFonts w:ascii="VIC" w:eastAsiaTheme="minorEastAsia" w:hAnsi="VIC" w:cstheme="minorBidi"/>
          <w:color w:val="auto"/>
          <w:sz w:val="24"/>
        </w:rPr>
      </w:pPr>
      <w:r w:rsidRPr="003A78FF">
        <w:rPr>
          <w:rFonts w:ascii="VIC" w:eastAsiaTheme="minorEastAsia" w:hAnsi="VIC" w:cstheme="minorBidi"/>
          <w:color w:val="auto"/>
          <w:sz w:val="24"/>
        </w:rPr>
        <w:t>P</w:t>
      </w:r>
      <w:r w:rsidR="00F50535" w:rsidRPr="003A78FF">
        <w:rPr>
          <w:rFonts w:ascii="VIC" w:eastAsiaTheme="minorEastAsia" w:hAnsi="VIC" w:cstheme="minorBidi"/>
          <w:color w:val="auto"/>
          <w:sz w:val="24"/>
        </w:rPr>
        <w:t>romot</w:t>
      </w:r>
      <w:r w:rsidRPr="003A78FF">
        <w:rPr>
          <w:rFonts w:ascii="VIC" w:eastAsiaTheme="minorEastAsia" w:hAnsi="VIC" w:cstheme="minorBidi"/>
          <w:color w:val="auto"/>
          <w:sz w:val="24"/>
        </w:rPr>
        <w:t>ing</w:t>
      </w:r>
      <w:r w:rsidR="00F50535" w:rsidRPr="003A78FF">
        <w:rPr>
          <w:rFonts w:ascii="VIC" w:eastAsiaTheme="minorEastAsia" w:hAnsi="VIC" w:cstheme="minorBidi"/>
          <w:color w:val="auto"/>
          <w:sz w:val="24"/>
        </w:rPr>
        <w:t xml:space="preserve"> </w:t>
      </w:r>
      <w:r w:rsidR="00F50535" w:rsidRPr="003A78FF">
        <w:rPr>
          <w:rFonts w:ascii="VIC" w:eastAsiaTheme="minorEastAsia" w:hAnsi="VIC" w:cstheme="minorBidi"/>
          <w:b/>
          <w:bCs/>
          <w:color w:val="auto"/>
          <w:sz w:val="24"/>
        </w:rPr>
        <w:t>early mobilisation</w:t>
      </w:r>
      <w:r w:rsidR="00F50535" w:rsidRPr="003A78FF">
        <w:rPr>
          <w:rFonts w:ascii="VIC" w:eastAsiaTheme="minorEastAsia" w:hAnsi="VIC" w:cstheme="minorBidi"/>
          <w:color w:val="auto"/>
          <w:sz w:val="24"/>
        </w:rPr>
        <w:t xml:space="preserve"> and faster return to baseline performance in </w:t>
      </w:r>
      <w:r w:rsidR="00F50535" w:rsidRPr="003A78FF">
        <w:rPr>
          <w:rFonts w:ascii="VIC" w:eastAsiaTheme="minorEastAsia" w:hAnsi="VIC" w:cstheme="minorBidi"/>
          <w:b/>
          <w:bCs/>
          <w:color w:val="auto"/>
          <w:sz w:val="24"/>
        </w:rPr>
        <w:t>activities of daily living</w:t>
      </w:r>
      <w:r w:rsidR="00F50535" w:rsidRPr="003A78FF">
        <w:rPr>
          <w:rFonts w:ascii="VIC" w:eastAsiaTheme="minorEastAsia" w:hAnsi="VIC" w:cstheme="minorBidi"/>
          <w:color w:val="auto"/>
          <w:sz w:val="24"/>
        </w:rPr>
        <w:t>.</w:t>
      </w:r>
      <w:r w:rsidR="00FD60A7" w:rsidRPr="003A78FF">
        <w:rPr>
          <w:rFonts w:ascii="VIC" w:eastAsiaTheme="minorEastAsia" w:hAnsi="VIC" w:cstheme="minorBidi"/>
          <w:color w:val="auto"/>
          <w:sz w:val="24"/>
        </w:rPr>
        <w:t xml:space="preserve"> </w:t>
      </w:r>
    </w:p>
    <w:p w14:paraId="7E251129" w14:textId="22542131" w:rsidR="6FA5AF15" w:rsidRPr="003A78FF" w:rsidRDefault="6FA5AF15" w:rsidP="68772935">
      <w:pPr>
        <w:pStyle w:val="NormalWeb"/>
        <w:ind w:left="284"/>
        <w:rPr>
          <w:rFonts w:ascii="VIC" w:eastAsiaTheme="minorEastAsia" w:hAnsi="VIC" w:cstheme="minorBidi"/>
          <w:color w:val="auto"/>
          <w:sz w:val="24"/>
        </w:rPr>
      </w:pPr>
    </w:p>
    <w:p w14:paraId="65EC9A47" w14:textId="06BD72AA" w:rsidR="6FA5AF15" w:rsidRPr="003A78FF" w:rsidRDefault="00F50535" w:rsidP="00A31DB4">
      <w:pPr>
        <w:pStyle w:val="NormalWeb"/>
        <w:ind w:left="284"/>
        <w:rPr>
          <w:rFonts w:ascii="VIC" w:eastAsiaTheme="minorEastAsia" w:hAnsi="VIC" w:cstheme="minorBidi"/>
          <w:color w:val="auto"/>
          <w:sz w:val="24"/>
        </w:rPr>
      </w:pPr>
      <w:r w:rsidRPr="003A78FF">
        <w:rPr>
          <w:rFonts w:ascii="VIC" w:eastAsiaTheme="minorEastAsia" w:hAnsi="VIC" w:cstheme="minorBidi"/>
          <w:color w:val="auto"/>
          <w:sz w:val="24"/>
        </w:rPr>
        <w:lastRenderedPageBreak/>
        <w:t>Same-day models of surgical care also optimise use of health system resources, decrease hospital length of stay (LOS),</w:t>
      </w:r>
      <w:r w:rsidR="006C58BE" w:rsidRPr="003A78FF">
        <w:rPr>
          <w:rFonts w:ascii="VIC" w:eastAsiaTheme="minorEastAsia" w:hAnsi="VIC" w:cstheme="minorBidi"/>
          <w:color w:val="auto"/>
          <w:sz w:val="24"/>
        </w:rPr>
        <w:t xml:space="preserve"> </w:t>
      </w:r>
      <w:r w:rsidR="00481FD9" w:rsidRPr="003A78FF">
        <w:rPr>
          <w:rFonts w:ascii="VIC" w:eastAsiaTheme="minorEastAsia" w:hAnsi="VIC" w:cstheme="minorBidi"/>
          <w:color w:val="auto"/>
          <w:sz w:val="24"/>
        </w:rPr>
        <w:t>reduce surgical ward round duration,</w:t>
      </w:r>
      <w:r w:rsidRPr="003A78FF">
        <w:rPr>
          <w:rFonts w:ascii="VIC" w:eastAsiaTheme="minorEastAsia" w:hAnsi="VIC" w:cstheme="minorBidi"/>
          <w:color w:val="auto"/>
          <w:sz w:val="24"/>
        </w:rPr>
        <w:t xml:space="preserve"> improve patient flow (service wide)</w:t>
      </w:r>
      <w:r w:rsidR="007258A8" w:rsidRPr="003A78FF">
        <w:rPr>
          <w:rFonts w:ascii="VIC" w:eastAsiaTheme="minorEastAsia" w:hAnsi="VIC" w:cstheme="minorBidi"/>
          <w:color w:val="auto"/>
          <w:sz w:val="24"/>
        </w:rPr>
        <w:t>,</w:t>
      </w:r>
      <w:r w:rsidRPr="003A78FF">
        <w:rPr>
          <w:rFonts w:ascii="VIC" w:eastAsiaTheme="minorEastAsia" w:hAnsi="VIC" w:cstheme="minorBidi"/>
          <w:color w:val="auto"/>
          <w:sz w:val="24"/>
        </w:rPr>
        <w:t xml:space="preserve"> minimise hospital</w:t>
      </w:r>
      <w:r w:rsidR="00BB6F12" w:rsidRPr="003A78FF">
        <w:rPr>
          <w:rFonts w:ascii="VIC" w:eastAsiaTheme="minorEastAsia" w:hAnsi="VIC" w:cstheme="minorBidi"/>
          <w:color w:val="auto"/>
          <w:sz w:val="24"/>
        </w:rPr>
        <w:t>-</w:t>
      </w:r>
      <w:r w:rsidRPr="003A78FF">
        <w:rPr>
          <w:rFonts w:ascii="VIC" w:eastAsiaTheme="minorEastAsia" w:hAnsi="VIC" w:cstheme="minorBidi"/>
          <w:color w:val="auto"/>
          <w:sz w:val="24"/>
        </w:rPr>
        <w:t>initiated postponements (HIPs) secondary to bed blockages, increase theatre utilisation and reduce surgical waitlists.</w:t>
      </w:r>
    </w:p>
    <w:p w14:paraId="0930A6F1" w14:textId="6A2E1041" w:rsidR="6FA5AF15" w:rsidRPr="003A78FF" w:rsidRDefault="6FA5AF15" w:rsidP="00A31DB4">
      <w:pPr>
        <w:pStyle w:val="NormalWeb"/>
        <w:ind w:left="284"/>
        <w:rPr>
          <w:rFonts w:ascii="VIC" w:eastAsiaTheme="minorEastAsia" w:hAnsi="VIC" w:cstheme="minorBidi"/>
          <w:color w:val="auto"/>
          <w:sz w:val="24"/>
        </w:rPr>
      </w:pPr>
    </w:p>
    <w:p w14:paraId="36B2695E" w14:textId="06CDCC36" w:rsidR="6FA5AF15" w:rsidRPr="003A78FF" w:rsidRDefault="0025685B" w:rsidP="00A31DB4">
      <w:pPr>
        <w:pStyle w:val="NormalWeb"/>
        <w:ind w:left="284"/>
        <w:rPr>
          <w:rFonts w:ascii="VIC" w:eastAsiaTheme="minorEastAsia" w:hAnsi="VIC" w:cstheme="minorBidi"/>
          <w:color w:val="auto"/>
          <w:sz w:val="24"/>
        </w:rPr>
      </w:pPr>
      <w:r w:rsidRPr="003A78FF">
        <w:rPr>
          <w:rFonts w:ascii="VIC" w:eastAsiaTheme="minorEastAsia" w:hAnsi="VIC" w:cstheme="minorBidi"/>
          <w:color w:val="auto"/>
          <w:sz w:val="24"/>
        </w:rPr>
        <w:t>Same-day</w:t>
      </w:r>
      <w:r w:rsidR="6FA5AF15" w:rsidRPr="003A78FF">
        <w:rPr>
          <w:rFonts w:ascii="VIC" w:eastAsiaTheme="minorEastAsia" w:hAnsi="VIC" w:cstheme="minorBidi"/>
          <w:color w:val="auto"/>
          <w:sz w:val="24"/>
        </w:rPr>
        <w:t xml:space="preserve"> models of care, even if only applicable to a small proportion of patients undergoing a</w:t>
      </w:r>
      <w:r w:rsidR="00D040ED" w:rsidRPr="003A78FF">
        <w:rPr>
          <w:rFonts w:ascii="VIC" w:eastAsiaTheme="minorEastAsia" w:hAnsi="VIC" w:cstheme="minorBidi"/>
          <w:color w:val="auto"/>
          <w:sz w:val="24"/>
        </w:rPr>
        <w:t xml:space="preserve"> particular</w:t>
      </w:r>
      <w:r w:rsidR="6FA5AF15" w:rsidRPr="003A78FF">
        <w:rPr>
          <w:rFonts w:ascii="VIC" w:eastAsiaTheme="minorEastAsia" w:hAnsi="VIC" w:cstheme="minorBidi"/>
          <w:color w:val="auto"/>
          <w:sz w:val="24"/>
        </w:rPr>
        <w:t xml:space="preserve"> procedure, may have additional indirect </w:t>
      </w:r>
      <w:r w:rsidR="00D446C5" w:rsidRPr="003A78FF">
        <w:rPr>
          <w:rFonts w:ascii="VIC" w:eastAsiaTheme="minorEastAsia" w:hAnsi="VIC" w:cstheme="minorBidi"/>
          <w:color w:val="auto"/>
          <w:sz w:val="24"/>
        </w:rPr>
        <w:t>benefits</w:t>
      </w:r>
      <w:r w:rsidR="6FA5AF15" w:rsidRPr="003A78FF">
        <w:rPr>
          <w:rFonts w:ascii="VIC" w:eastAsiaTheme="minorEastAsia" w:hAnsi="VIC" w:cstheme="minorBidi"/>
          <w:color w:val="auto"/>
          <w:sz w:val="24"/>
        </w:rPr>
        <w:t xml:space="preserve"> </w:t>
      </w:r>
      <w:r w:rsidR="00D040ED" w:rsidRPr="003A78FF">
        <w:rPr>
          <w:rFonts w:ascii="VIC" w:eastAsiaTheme="minorEastAsia" w:hAnsi="VIC" w:cstheme="minorBidi"/>
          <w:color w:val="auto"/>
          <w:sz w:val="24"/>
        </w:rPr>
        <w:t>of</w:t>
      </w:r>
      <w:r w:rsidR="6FA5AF15" w:rsidRPr="003A78FF">
        <w:rPr>
          <w:rFonts w:ascii="VIC" w:eastAsiaTheme="minorEastAsia" w:hAnsi="VIC" w:cstheme="minorBidi"/>
          <w:color w:val="auto"/>
          <w:sz w:val="24"/>
        </w:rPr>
        <w:t xml:space="preserve"> shortening </w:t>
      </w:r>
      <w:r w:rsidR="00D040ED" w:rsidRPr="003A78FF">
        <w:rPr>
          <w:rFonts w:ascii="VIC" w:eastAsiaTheme="minorEastAsia" w:hAnsi="VIC" w:cstheme="minorBidi"/>
          <w:color w:val="auto"/>
          <w:sz w:val="24"/>
        </w:rPr>
        <w:t>LOS</w:t>
      </w:r>
      <w:r w:rsidR="6FA5AF15" w:rsidRPr="003A78FF">
        <w:rPr>
          <w:rFonts w:ascii="VIC" w:eastAsiaTheme="minorEastAsia" w:hAnsi="VIC" w:cstheme="minorBidi"/>
          <w:color w:val="auto"/>
          <w:sz w:val="24"/>
        </w:rPr>
        <w:t xml:space="preserve"> for other </w:t>
      </w:r>
      <w:r w:rsidR="00D040ED" w:rsidRPr="003A78FF">
        <w:rPr>
          <w:rFonts w:ascii="VIC" w:eastAsiaTheme="minorEastAsia" w:hAnsi="VIC" w:cstheme="minorBidi"/>
          <w:color w:val="auto"/>
          <w:sz w:val="24"/>
        </w:rPr>
        <w:t xml:space="preserve">current </w:t>
      </w:r>
      <w:r w:rsidR="6FA5AF15" w:rsidRPr="003A78FF">
        <w:rPr>
          <w:rFonts w:ascii="VIC" w:eastAsiaTheme="minorEastAsia" w:hAnsi="VIC" w:cstheme="minorBidi"/>
          <w:color w:val="auto"/>
          <w:sz w:val="24"/>
        </w:rPr>
        <w:t>multi-day stay patients undergoing the same procedure (</w:t>
      </w:r>
      <w:r w:rsidR="000354CE" w:rsidRPr="003A78FF">
        <w:rPr>
          <w:rFonts w:ascii="VIC" w:eastAsiaTheme="minorEastAsia" w:hAnsi="VIC" w:cstheme="minorBidi"/>
          <w:color w:val="auto"/>
          <w:sz w:val="24"/>
        </w:rPr>
        <w:t>e.g.</w:t>
      </w:r>
      <w:r w:rsidR="6FA5AF15" w:rsidRPr="003A78FF">
        <w:rPr>
          <w:rFonts w:ascii="VIC" w:eastAsiaTheme="minorEastAsia" w:hAnsi="VIC" w:cstheme="minorBidi"/>
          <w:color w:val="auto"/>
          <w:sz w:val="24"/>
        </w:rPr>
        <w:t xml:space="preserve"> total knee arthroplasty).</w:t>
      </w:r>
      <w:r w:rsidR="00140318" w:rsidRPr="003A78FF">
        <w:rPr>
          <w:rFonts w:ascii="VIC" w:eastAsiaTheme="minorEastAsia" w:hAnsi="VIC" w:cstheme="minorBidi"/>
          <w:color w:val="auto"/>
          <w:sz w:val="24"/>
        </w:rPr>
        <w:t xml:space="preserve"> </w:t>
      </w:r>
    </w:p>
    <w:p w14:paraId="4E49D09E" w14:textId="53128B2B" w:rsidR="6FA5AF15" w:rsidRPr="003A78FF" w:rsidRDefault="6FA5AF15" w:rsidP="00A31DB4">
      <w:pPr>
        <w:pStyle w:val="NormalWeb"/>
        <w:ind w:left="284"/>
        <w:rPr>
          <w:rFonts w:ascii="VIC" w:eastAsiaTheme="minorEastAsia" w:hAnsi="VIC" w:cstheme="minorBidi"/>
          <w:color w:val="auto"/>
          <w:sz w:val="24"/>
        </w:rPr>
      </w:pPr>
    </w:p>
    <w:p w14:paraId="378037F2" w14:textId="1FB075B1" w:rsidR="6FA5AF15" w:rsidRPr="003A78FF" w:rsidRDefault="00140318" w:rsidP="003F40C6">
      <w:pPr>
        <w:pStyle w:val="NormalWeb"/>
        <w:ind w:left="284"/>
        <w:rPr>
          <w:rFonts w:ascii="VIC" w:eastAsiaTheme="minorEastAsia" w:hAnsi="VIC" w:cstheme="minorBidi"/>
          <w:color w:val="auto"/>
          <w:sz w:val="24"/>
        </w:rPr>
      </w:pPr>
      <w:r w:rsidRPr="003A78FF">
        <w:rPr>
          <w:rFonts w:ascii="VIC" w:eastAsiaTheme="minorEastAsia" w:hAnsi="VIC" w:cstheme="minorBidi"/>
          <w:color w:val="auto"/>
          <w:sz w:val="24"/>
        </w:rPr>
        <w:t xml:space="preserve">It is also </w:t>
      </w:r>
      <w:r w:rsidR="009803E0" w:rsidRPr="003A78FF">
        <w:rPr>
          <w:rFonts w:ascii="VIC" w:eastAsiaTheme="minorEastAsia" w:hAnsi="VIC" w:cstheme="minorBidi"/>
          <w:color w:val="auto"/>
          <w:sz w:val="24"/>
        </w:rPr>
        <w:t xml:space="preserve">likely that successful implementation of </w:t>
      </w:r>
      <w:r w:rsidRPr="003A78FF">
        <w:rPr>
          <w:rFonts w:ascii="VIC" w:eastAsiaTheme="minorEastAsia" w:hAnsi="VIC" w:cstheme="minorBidi"/>
          <w:color w:val="auto"/>
          <w:sz w:val="24"/>
        </w:rPr>
        <w:t xml:space="preserve">same-day models of surgery may </w:t>
      </w:r>
      <w:r w:rsidR="009803E0" w:rsidRPr="003A78FF">
        <w:rPr>
          <w:rFonts w:ascii="VIC" w:eastAsiaTheme="minorEastAsia" w:hAnsi="VIC" w:cstheme="minorBidi"/>
          <w:color w:val="auto"/>
          <w:sz w:val="24"/>
        </w:rPr>
        <w:t>positively impact upon staff workload</w:t>
      </w:r>
      <w:r w:rsidR="0025685B" w:rsidRPr="003A78FF">
        <w:rPr>
          <w:rFonts w:ascii="VIC" w:eastAsiaTheme="minorEastAsia" w:hAnsi="VIC" w:cstheme="minorBidi"/>
          <w:color w:val="auto"/>
          <w:sz w:val="24"/>
        </w:rPr>
        <w:t xml:space="preserve">s, </w:t>
      </w:r>
      <w:r w:rsidR="00946B9C" w:rsidRPr="003A78FF">
        <w:rPr>
          <w:rFonts w:ascii="VIC" w:eastAsiaTheme="minorEastAsia" w:hAnsi="VIC" w:cstheme="minorBidi"/>
          <w:color w:val="auto"/>
          <w:sz w:val="24"/>
        </w:rPr>
        <w:t xml:space="preserve">staff satisfaction and </w:t>
      </w:r>
      <w:r w:rsidR="00817024" w:rsidRPr="003A78FF">
        <w:rPr>
          <w:rFonts w:ascii="VIC" w:eastAsiaTheme="minorEastAsia" w:hAnsi="VIC" w:cstheme="minorBidi"/>
          <w:color w:val="auto"/>
          <w:sz w:val="24"/>
        </w:rPr>
        <w:t xml:space="preserve">morale, leading to greater compassion </w:t>
      </w:r>
      <w:r w:rsidR="006204F4" w:rsidRPr="003A78FF">
        <w:rPr>
          <w:rFonts w:ascii="VIC" w:eastAsiaTheme="minorEastAsia" w:hAnsi="VIC" w:cstheme="minorBidi"/>
          <w:color w:val="auto"/>
          <w:sz w:val="24"/>
        </w:rPr>
        <w:t>and quality</w:t>
      </w:r>
      <w:r w:rsidR="00817024" w:rsidRPr="003A78FF">
        <w:rPr>
          <w:rFonts w:ascii="VIC" w:eastAsiaTheme="minorEastAsia" w:hAnsi="VIC" w:cstheme="minorBidi"/>
          <w:color w:val="auto"/>
          <w:sz w:val="24"/>
        </w:rPr>
        <w:t xml:space="preserve"> of care provision</w:t>
      </w:r>
      <w:r w:rsidR="0025685B" w:rsidRPr="003A78FF">
        <w:rPr>
          <w:rFonts w:ascii="VIC" w:eastAsiaTheme="minorEastAsia" w:hAnsi="VIC" w:cstheme="minorBidi"/>
          <w:color w:val="auto"/>
          <w:sz w:val="24"/>
        </w:rPr>
        <w:t xml:space="preserve">, </w:t>
      </w:r>
      <w:r w:rsidR="007E2A27" w:rsidRPr="003A78FF">
        <w:rPr>
          <w:rFonts w:ascii="VIC" w:eastAsiaTheme="minorEastAsia" w:hAnsi="VIC" w:cstheme="minorBidi"/>
          <w:color w:val="auto"/>
          <w:sz w:val="24"/>
        </w:rPr>
        <w:t>improv</w:t>
      </w:r>
      <w:r w:rsidR="0025685B" w:rsidRPr="003A78FF">
        <w:rPr>
          <w:rFonts w:ascii="VIC" w:eastAsiaTheme="minorEastAsia" w:hAnsi="VIC" w:cstheme="minorBidi"/>
          <w:color w:val="auto"/>
          <w:sz w:val="24"/>
        </w:rPr>
        <w:t>ed</w:t>
      </w:r>
      <w:r w:rsidR="007E2A27" w:rsidRPr="003A78FF">
        <w:rPr>
          <w:rFonts w:ascii="VIC" w:eastAsiaTheme="minorEastAsia" w:hAnsi="VIC" w:cstheme="minorBidi"/>
          <w:color w:val="auto"/>
          <w:sz w:val="24"/>
        </w:rPr>
        <w:t xml:space="preserve"> </w:t>
      </w:r>
      <w:r w:rsidR="0025685B" w:rsidRPr="003A78FF">
        <w:rPr>
          <w:rFonts w:ascii="VIC" w:eastAsiaTheme="minorEastAsia" w:hAnsi="VIC" w:cstheme="minorBidi"/>
          <w:color w:val="auto"/>
          <w:sz w:val="24"/>
        </w:rPr>
        <w:t xml:space="preserve">outcomes and enhanced </w:t>
      </w:r>
      <w:r w:rsidR="007D033D" w:rsidRPr="003A78FF">
        <w:rPr>
          <w:rFonts w:ascii="VIC" w:eastAsiaTheme="minorEastAsia" w:hAnsi="VIC" w:cstheme="minorBidi"/>
          <w:color w:val="auto"/>
          <w:sz w:val="24"/>
        </w:rPr>
        <w:t xml:space="preserve">experience </w:t>
      </w:r>
      <w:r w:rsidR="0025685B" w:rsidRPr="003A78FF">
        <w:rPr>
          <w:rFonts w:ascii="VIC" w:eastAsiaTheme="minorEastAsia" w:hAnsi="VIC" w:cstheme="minorBidi"/>
          <w:color w:val="auto"/>
          <w:sz w:val="24"/>
        </w:rPr>
        <w:t>of</w:t>
      </w:r>
      <w:r w:rsidR="00817024" w:rsidRPr="003A78FF">
        <w:rPr>
          <w:rFonts w:ascii="VIC" w:eastAsiaTheme="minorEastAsia" w:hAnsi="VIC" w:cstheme="minorBidi"/>
          <w:color w:val="auto"/>
          <w:sz w:val="24"/>
        </w:rPr>
        <w:t xml:space="preserve"> patients and carers.</w:t>
      </w:r>
    </w:p>
    <w:p w14:paraId="538C403E" w14:textId="0820FF14" w:rsidR="6FA5AF15" w:rsidRPr="003A78FF" w:rsidRDefault="6FA5AF15" w:rsidP="68772935">
      <w:pPr>
        <w:pStyle w:val="NormalWeb"/>
        <w:ind w:left="284"/>
        <w:rPr>
          <w:rFonts w:ascii="VIC" w:eastAsiaTheme="minorEastAsia" w:hAnsi="VIC" w:cstheme="minorBidi"/>
          <w:color w:val="auto"/>
          <w:sz w:val="24"/>
        </w:rPr>
      </w:pPr>
    </w:p>
    <w:p w14:paraId="1B95F208" w14:textId="57E1BF0C" w:rsidR="6FA5AF15" w:rsidRPr="003A78FF" w:rsidRDefault="00FD60A7" w:rsidP="68772935">
      <w:pPr>
        <w:pStyle w:val="NormalWeb"/>
        <w:ind w:left="284"/>
        <w:rPr>
          <w:rFonts w:ascii="VIC" w:eastAsiaTheme="minorEastAsia" w:hAnsi="VIC" w:cstheme="minorBidi"/>
          <w:b/>
          <w:bCs/>
          <w:color w:val="auto"/>
          <w:sz w:val="24"/>
        </w:rPr>
      </w:pPr>
      <w:r w:rsidRPr="003A78FF">
        <w:rPr>
          <w:rFonts w:ascii="VIC" w:eastAsiaTheme="minorEastAsia" w:hAnsi="VIC" w:cstheme="minorBidi"/>
          <w:b/>
          <w:bCs/>
          <w:color w:val="auto"/>
          <w:sz w:val="24"/>
        </w:rPr>
        <w:t>Risks:</w:t>
      </w:r>
    </w:p>
    <w:p w14:paraId="05ECC2B7" w14:textId="77777777" w:rsidR="006204F4" w:rsidRPr="003A78FF" w:rsidRDefault="006204F4" w:rsidP="68772935">
      <w:pPr>
        <w:pStyle w:val="NormalWeb"/>
        <w:ind w:left="284"/>
        <w:rPr>
          <w:rFonts w:ascii="VIC" w:eastAsiaTheme="minorEastAsia" w:hAnsi="VIC" w:cstheme="minorBidi"/>
          <w:color w:val="auto"/>
          <w:sz w:val="24"/>
        </w:rPr>
      </w:pPr>
    </w:p>
    <w:p w14:paraId="27633525" w14:textId="06EBE56F" w:rsidR="00B121B0" w:rsidRPr="003A78FF" w:rsidRDefault="00B121B0" w:rsidP="008A4E71">
      <w:pPr>
        <w:pStyle w:val="NormalWeb"/>
        <w:ind w:left="284"/>
        <w:rPr>
          <w:rFonts w:ascii="VIC" w:eastAsiaTheme="minorEastAsia" w:hAnsi="VIC" w:cstheme="minorBidi"/>
          <w:sz w:val="24"/>
        </w:rPr>
      </w:pPr>
      <w:r w:rsidRPr="003A78FF">
        <w:rPr>
          <w:rFonts w:ascii="VIC" w:eastAsiaTheme="minorEastAsia" w:hAnsi="VIC" w:cstheme="minorBidi"/>
          <w:color w:val="auto"/>
          <w:sz w:val="24"/>
        </w:rPr>
        <w:t xml:space="preserve">The potential risks that same-day surgical care may pose to patients can be mitigated through careful consideration of patient suitability for day surgery </w:t>
      </w:r>
      <w:r w:rsidRPr="003A78FF">
        <w:rPr>
          <w:rFonts w:ascii="VIC" w:hAnsi="VIC" w:cstheme="minorBidi"/>
          <w:sz w:val="24"/>
        </w:rPr>
        <w:t xml:space="preserve">pathway, through multidisciplinary implementation of focused pathways and protocols including provision of clear and consistent expectations and education to the patient and carer throughout, and re-assessment of suitability for pathway and/or escalation of care if required. Potential risks </w:t>
      </w:r>
      <w:r w:rsidR="008A4E71" w:rsidRPr="003A78FF">
        <w:rPr>
          <w:rFonts w:ascii="VIC" w:hAnsi="VIC" w:cstheme="minorBidi"/>
          <w:sz w:val="24"/>
        </w:rPr>
        <w:t>include:</w:t>
      </w:r>
      <w:r w:rsidR="009A6271" w:rsidRPr="003A78FF">
        <w:rPr>
          <w:rFonts w:ascii="VIC" w:hAnsi="VIC" w:cstheme="minorBidi"/>
          <w:sz w:val="24"/>
        </w:rPr>
        <w:t xml:space="preserve"> </w:t>
      </w:r>
    </w:p>
    <w:p w14:paraId="1BBF8BE2" w14:textId="77777777" w:rsidR="00663E3B" w:rsidRPr="003A78FF" w:rsidRDefault="00663E3B" w:rsidP="68772935">
      <w:pPr>
        <w:pStyle w:val="NormalWeb"/>
        <w:ind w:left="284"/>
        <w:rPr>
          <w:rFonts w:ascii="VIC" w:eastAsiaTheme="minorEastAsia" w:hAnsi="VIC" w:cstheme="minorBidi"/>
          <w:color w:val="auto"/>
          <w:sz w:val="24"/>
        </w:rPr>
      </w:pPr>
    </w:p>
    <w:p w14:paraId="23E3CE66" w14:textId="4290199F" w:rsidR="6FA5AF15" w:rsidRPr="003A78FF" w:rsidRDefault="00FD60A7" w:rsidP="2E413673">
      <w:pPr>
        <w:pStyle w:val="NormalWeb"/>
        <w:numPr>
          <w:ilvl w:val="0"/>
          <w:numId w:val="26"/>
        </w:numPr>
        <w:rPr>
          <w:rFonts w:ascii="VIC" w:eastAsiaTheme="minorEastAsia" w:hAnsi="VIC" w:cstheme="minorBidi"/>
          <w:color w:val="auto"/>
          <w:sz w:val="24"/>
        </w:rPr>
      </w:pPr>
      <w:r w:rsidRPr="003A78FF">
        <w:rPr>
          <w:rFonts w:ascii="VIC" w:eastAsiaTheme="minorEastAsia" w:hAnsi="VIC" w:cstheme="minorBidi"/>
          <w:b/>
          <w:bCs/>
          <w:color w:val="auto"/>
          <w:sz w:val="24"/>
        </w:rPr>
        <w:t>Patient/</w:t>
      </w:r>
      <w:r w:rsidR="3FFC3884" w:rsidRPr="003A78FF">
        <w:rPr>
          <w:rFonts w:ascii="VIC" w:eastAsiaTheme="minorEastAsia" w:hAnsi="VIC" w:cstheme="minorBidi"/>
          <w:b/>
          <w:bCs/>
          <w:color w:val="auto"/>
          <w:sz w:val="24"/>
        </w:rPr>
        <w:t>Care</w:t>
      </w:r>
      <w:r w:rsidR="00E94397" w:rsidRPr="003A78FF">
        <w:rPr>
          <w:rFonts w:ascii="VIC" w:eastAsiaTheme="minorEastAsia" w:hAnsi="VIC" w:cstheme="minorBidi"/>
          <w:b/>
          <w:bCs/>
          <w:color w:val="auto"/>
          <w:sz w:val="24"/>
        </w:rPr>
        <w:t>r</w:t>
      </w:r>
      <w:r w:rsidRPr="003A78FF">
        <w:rPr>
          <w:rFonts w:ascii="VIC" w:eastAsiaTheme="minorEastAsia" w:hAnsi="VIC" w:cstheme="minorBidi"/>
          <w:b/>
          <w:bCs/>
          <w:color w:val="auto"/>
          <w:sz w:val="24"/>
        </w:rPr>
        <w:t xml:space="preserve"> anxiety: </w:t>
      </w:r>
      <w:r w:rsidRPr="003A78FF">
        <w:rPr>
          <w:rFonts w:ascii="VIC" w:eastAsiaTheme="minorEastAsia" w:hAnsi="VIC" w:cstheme="minorBidi"/>
          <w:color w:val="auto"/>
          <w:sz w:val="24"/>
        </w:rPr>
        <w:t>In-depth discussion</w:t>
      </w:r>
      <w:r w:rsidR="004F6F4E" w:rsidRPr="003A78FF">
        <w:rPr>
          <w:rFonts w:ascii="VIC" w:eastAsiaTheme="minorEastAsia" w:hAnsi="VIC" w:cstheme="minorBidi"/>
          <w:color w:val="auto"/>
          <w:sz w:val="24"/>
        </w:rPr>
        <w:t xml:space="preserve"> </w:t>
      </w:r>
      <w:r w:rsidR="009E75BA" w:rsidRPr="003A78FF">
        <w:rPr>
          <w:rFonts w:ascii="VIC" w:eastAsiaTheme="minorEastAsia" w:hAnsi="VIC" w:cstheme="minorBidi"/>
          <w:color w:val="auto"/>
          <w:sz w:val="24"/>
        </w:rPr>
        <w:t xml:space="preserve">to </w:t>
      </w:r>
      <w:r w:rsidR="5684471D" w:rsidRPr="003A78FF">
        <w:rPr>
          <w:rFonts w:ascii="VIC" w:eastAsiaTheme="minorEastAsia" w:hAnsi="VIC" w:cstheme="minorBidi"/>
          <w:color w:val="auto"/>
          <w:sz w:val="24"/>
        </w:rPr>
        <w:t>address patient and carer</w:t>
      </w:r>
      <w:r w:rsidR="00BC6B73" w:rsidRPr="003A78FF">
        <w:rPr>
          <w:rFonts w:ascii="VIC" w:eastAsiaTheme="minorEastAsia" w:hAnsi="VIC" w:cstheme="minorBidi"/>
          <w:color w:val="auto"/>
          <w:sz w:val="24"/>
        </w:rPr>
        <w:t xml:space="preserve"> concerns </w:t>
      </w:r>
      <w:r w:rsidR="002A11B2" w:rsidRPr="003A78FF">
        <w:rPr>
          <w:rFonts w:ascii="VIC" w:eastAsiaTheme="minorEastAsia" w:hAnsi="VIC" w:cstheme="minorBidi"/>
          <w:color w:val="auto"/>
          <w:sz w:val="24"/>
        </w:rPr>
        <w:t xml:space="preserve">by </w:t>
      </w:r>
      <w:r w:rsidR="006013B0" w:rsidRPr="003A78FF">
        <w:rPr>
          <w:rFonts w:ascii="VIC" w:eastAsiaTheme="minorEastAsia" w:hAnsi="VIC" w:cstheme="minorBidi"/>
          <w:color w:val="auto"/>
          <w:sz w:val="24"/>
        </w:rPr>
        <w:t xml:space="preserve">clearly </w:t>
      </w:r>
      <w:r w:rsidR="002A11B2" w:rsidRPr="003A78FF">
        <w:rPr>
          <w:rFonts w:ascii="VIC" w:eastAsiaTheme="minorEastAsia" w:hAnsi="VIC" w:cstheme="minorBidi"/>
          <w:color w:val="auto"/>
          <w:sz w:val="24"/>
        </w:rPr>
        <w:t>outlining</w:t>
      </w:r>
      <w:r w:rsidR="006013B0" w:rsidRPr="003A78FF">
        <w:rPr>
          <w:rFonts w:ascii="VIC" w:eastAsiaTheme="minorEastAsia" w:hAnsi="VIC" w:cstheme="minorBidi"/>
          <w:color w:val="auto"/>
          <w:sz w:val="24"/>
        </w:rPr>
        <w:t xml:space="preserve"> the</w:t>
      </w:r>
      <w:r w:rsidR="002A11B2" w:rsidRPr="003A78FF">
        <w:rPr>
          <w:rFonts w:ascii="VIC" w:eastAsiaTheme="minorEastAsia" w:hAnsi="VIC" w:cstheme="minorBidi"/>
          <w:color w:val="auto"/>
          <w:sz w:val="24"/>
        </w:rPr>
        <w:t xml:space="preserve"> </w:t>
      </w:r>
      <w:r w:rsidR="000A74F6" w:rsidRPr="003A78FF">
        <w:rPr>
          <w:rFonts w:ascii="VIC" w:eastAsiaTheme="minorEastAsia" w:hAnsi="VIC" w:cstheme="minorBidi"/>
          <w:color w:val="auto"/>
          <w:sz w:val="24"/>
        </w:rPr>
        <w:t xml:space="preserve">safety and </w:t>
      </w:r>
      <w:r w:rsidR="003F5332" w:rsidRPr="003A78FF">
        <w:rPr>
          <w:rFonts w:ascii="VIC" w:eastAsiaTheme="minorEastAsia" w:hAnsi="VIC" w:cstheme="minorBidi"/>
          <w:color w:val="auto"/>
          <w:sz w:val="24"/>
        </w:rPr>
        <w:t xml:space="preserve">health-related </w:t>
      </w:r>
      <w:r w:rsidR="000A74F6" w:rsidRPr="003A78FF">
        <w:rPr>
          <w:rFonts w:ascii="VIC" w:eastAsiaTheme="minorEastAsia" w:hAnsi="VIC" w:cstheme="minorBidi"/>
          <w:color w:val="auto"/>
          <w:sz w:val="24"/>
        </w:rPr>
        <w:t xml:space="preserve">wellbeing </w:t>
      </w:r>
      <w:r w:rsidRPr="003A78FF">
        <w:rPr>
          <w:rFonts w:ascii="VIC" w:eastAsiaTheme="minorEastAsia" w:hAnsi="VIC" w:cstheme="minorBidi"/>
          <w:color w:val="auto"/>
          <w:sz w:val="24"/>
        </w:rPr>
        <w:t xml:space="preserve">benefits </w:t>
      </w:r>
      <w:r w:rsidR="004F6F4E" w:rsidRPr="003A78FF">
        <w:rPr>
          <w:rFonts w:ascii="VIC" w:eastAsiaTheme="minorEastAsia" w:hAnsi="VIC" w:cstheme="minorBidi"/>
          <w:color w:val="auto"/>
          <w:sz w:val="24"/>
        </w:rPr>
        <w:t>of same-day discharge</w:t>
      </w:r>
      <w:r w:rsidR="00620F9C" w:rsidRPr="003A78FF">
        <w:rPr>
          <w:rFonts w:ascii="VIC" w:eastAsiaTheme="minorEastAsia" w:hAnsi="VIC" w:cstheme="minorBidi"/>
          <w:color w:val="auto"/>
          <w:sz w:val="24"/>
        </w:rPr>
        <w:t xml:space="preserve"> and ensuring patient and carer preparedness</w:t>
      </w:r>
      <w:r w:rsidR="000A74F6" w:rsidRPr="003A78FF">
        <w:rPr>
          <w:rFonts w:ascii="VIC" w:eastAsiaTheme="minorEastAsia" w:hAnsi="VIC" w:cstheme="minorBidi"/>
          <w:color w:val="auto"/>
          <w:sz w:val="24"/>
        </w:rPr>
        <w:t>.</w:t>
      </w:r>
    </w:p>
    <w:p w14:paraId="41CB2830" w14:textId="02FC9F6C" w:rsidR="002F5817" w:rsidRPr="003A78FF" w:rsidRDefault="000A74F6" w:rsidP="2E413673">
      <w:pPr>
        <w:pStyle w:val="NormalWeb"/>
        <w:ind w:left="284"/>
        <w:rPr>
          <w:rFonts w:ascii="VIC" w:eastAsiaTheme="minorEastAsia" w:hAnsi="VIC" w:cstheme="minorBidi"/>
          <w:color w:val="auto"/>
          <w:sz w:val="24"/>
        </w:rPr>
      </w:pPr>
      <w:r w:rsidRPr="003A78FF">
        <w:rPr>
          <w:rFonts w:ascii="VIC" w:eastAsiaTheme="minorEastAsia" w:hAnsi="VIC" w:cstheme="minorBidi"/>
          <w:color w:val="auto"/>
          <w:sz w:val="24"/>
        </w:rPr>
        <w:t xml:space="preserve"> </w:t>
      </w:r>
    </w:p>
    <w:p w14:paraId="5E55B2CC" w14:textId="218900F2" w:rsidR="4CE5B59C" w:rsidRPr="003A78FF" w:rsidRDefault="4CE5B59C" w:rsidP="440565F6">
      <w:pPr>
        <w:pStyle w:val="NormalWeb"/>
        <w:numPr>
          <w:ilvl w:val="0"/>
          <w:numId w:val="26"/>
        </w:numPr>
        <w:rPr>
          <w:rFonts w:ascii="VIC" w:eastAsiaTheme="minorEastAsia" w:hAnsi="VIC" w:cstheme="minorBidi"/>
          <w:color w:val="auto"/>
          <w:sz w:val="24"/>
        </w:rPr>
      </w:pPr>
      <w:r w:rsidRPr="003A78FF">
        <w:rPr>
          <w:rFonts w:ascii="VIC" w:eastAsiaTheme="minorEastAsia" w:hAnsi="VIC" w:cstheme="minorBidi"/>
          <w:b/>
          <w:bCs/>
          <w:color w:val="auto"/>
          <w:sz w:val="24"/>
        </w:rPr>
        <w:t>C</w:t>
      </w:r>
      <w:r w:rsidR="2E413673" w:rsidRPr="003A78FF">
        <w:rPr>
          <w:rFonts w:ascii="VIC" w:eastAsiaTheme="minorEastAsia" w:hAnsi="VIC" w:cstheme="minorBidi"/>
          <w:b/>
          <w:bCs/>
          <w:color w:val="auto"/>
          <w:sz w:val="24"/>
        </w:rPr>
        <w:t>linician</w:t>
      </w:r>
      <w:r w:rsidR="0025685B" w:rsidRPr="003A78FF">
        <w:rPr>
          <w:rFonts w:ascii="VIC" w:eastAsiaTheme="minorEastAsia" w:hAnsi="VIC" w:cstheme="minorBidi"/>
          <w:b/>
          <w:bCs/>
          <w:color w:val="auto"/>
          <w:sz w:val="24"/>
        </w:rPr>
        <w:t xml:space="preserve"> resistance</w:t>
      </w:r>
      <w:r w:rsidR="2E413673" w:rsidRPr="003A78FF">
        <w:rPr>
          <w:rFonts w:ascii="VIC" w:eastAsiaTheme="minorEastAsia" w:hAnsi="VIC" w:cstheme="minorBidi"/>
          <w:b/>
          <w:bCs/>
          <w:color w:val="auto"/>
          <w:sz w:val="24"/>
        </w:rPr>
        <w:t xml:space="preserve">:  </w:t>
      </w:r>
      <w:r w:rsidR="004E14FE" w:rsidRPr="003A78FF">
        <w:rPr>
          <w:rFonts w:ascii="VIC" w:eastAsiaTheme="minorEastAsia" w:hAnsi="VIC" w:cstheme="minorBidi"/>
          <w:color w:val="auto"/>
          <w:sz w:val="24"/>
        </w:rPr>
        <w:t>Clinicians may experience feeling</w:t>
      </w:r>
      <w:r w:rsidR="00A138E9" w:rsidRPr="003A78FF">
        <w:rPr>
          <w:rFonts w:ascii="VIC" w:eastAsiaTheme="minorEastAsia" w:hAnsi="VIC" w:cstheme="minorBidi"/>
          <w:color w:val="auto"/>
          <w:sz w:val="24"/>
        </w:rPr>
        <w:t>s</w:t>
      </w:r>
      <w:r w:rsidR="004E14FE" w:rsidRPr="003A78FF">
        <w:rPr>
          <w:rFonts w:ascii="VIC" w:eastAsiaTheme="minorEastAsia" w:hAnsi="VIC" w:cstheme="minorBidi"/>
          <w:color w:val="auto"/>
          <w:sz w:val="24"/>
        </w:rPr>
        <w:t xml:space="preserve"> of </w:t>
      </w:r>
      <w:r w:rsidR="00DD1896" w:rsidRPr="003A78FF">
        <w:rPr>
          <w:rFonts w:ascii="VIC" w:eastAsiaTheme="minorEastAsia" w:hAnsi="VIC" w:cstheme="minorBidi"/>
          <w:color w:val="auto"/>
          <w:sz w:val="24"/>
        </w:rPr>
        <w:t>fear and uncertainty in relation to practice change</w:t>
      </w:r>
      <w:r w:rsidR="00A138E9" w:rsidRPr="003A78FF">
        <w:rPr>
          <w:rFonts w:ascii="VIC" w:eastAsiaTheme="minorEastAsia" w:hAnsi="VIC" w:cstheme="minorBidi"/>
          <w:color w:val="auto"/>
          <w:sz w:val="24"/>
        </w:rPr>
        <w:t xml:space="preserve">, concern for </w:t>
      </w:r>
      <w:r w:rsidR="00FF7618" w:rsidRPr="003A78FF">
        <w:rPr>
          <w:rFonts w:ascii="VIC" w:eastAsiaTheme="minorEastAsia" w:hAnsi="VIC" w:cstheme="minorBidi"/>
          <w:color w:val="auto"/>
          <w:sz w:val="24"/>
        </w:rPr>
        <w:t xml:space="preserve">patient safety if not reviewed by the surgical team prior to discharge (criteria led discharge), </w:t>
      </w:r>
      <w:r w:rsidR="0034406A" w:rsidRPr="003A78FF">
        <w:rPr>
          <w:rFonts w:ascii="VIC" w:eastAsiaTheme="minorEastAsia" w:hAnsi="VIC" w:cstheme="minorBidi"/>
          <w:color w:val="auto"/>
          <w:sz w:val="24"/>
        </w:rPr>
        <w:t xml:space="preserve">and </w:t>
      </w:r>
      <w:r w:rsidR="00A138E9" w:rsidRPr="003A78FF">
        <w:rPr>
          <w:rFonts w:ascii="VIC" w:eastAsiaTheme="minorEastAsia" w:hAnsi="VIC" w:cstheme="minorBidi"/>
          <w:color w:val="auto"/>
          <w:sz w:val="24"/>
        </w:rPr>
        <w:t xml:space="preserve">a perceived </w:t>
      </w:r>
      <w:r w:rsidR="00845E22" w:rsidRPr="003A78FF">
        <w:rPr>
          <w:rFonts w:ascii="VIC" w:eastAsiaTheme="minorEastAsia" w:hAnsi="VIC" w:cstheme="minorBidi"/>
          <w:color w:val="auto"/>
          <w:sz w:val="24"/>
        </w:rPr>
        <w:t xml:space="preserve">loss of </w:t>
      </w:r>
      <w:r w:rsidR="0034406A" w:rsidRPr="003A78FF">
        <w:rPr>
          <w:rFonts w:ascii="VIC" w:eastAsiaTheme="minorEastAsia" w:hAnsi="VIC" w:cstheme="minorBidi"/>
          <w:color w:val="auto"/>
          <w:sz w:val="24"/>
        </w:rPr>
        <w:t>control.</w:t>
      </w:r>
      <w:r w:rsidR="00B05F16" w:rsidRPr="003A78FF">
        <w:rPr>
          <w:rFonts w:ascii="VIC" w:eastAsiaTheme="minorEastAsia" w:hAnsi="VIC" w:cstheme="minorBidi"/>
          <w:color w:val="auto"/>
          <w:sz w:val="24"/>
        </w:rPr>
        <w:t xml:space="preserve"> </w:t>
      </w:r>
      <w:r w:rsidR="00845E22" w:rsidRPr="003A78FF">
        <w:rPr>
          <w:rFonts w:ascii="VIC" w:eastAsiaTheme="minorEastAsia" w:hAnsi="VIC" w:cstheme="minorBidi"/>
          <w:color w:val="auto"/>
          <w:sz w:val="24"/>
        </w:rPr>
        <w:t>Focussed engagement with clinicians to reduce concerns around change in practice</w:t>
      </w:r>
      <w:r w:rsidR="000119FD" w:rsidRPr="003A78FF">
        <w:rPr>
          <w:rFonts w:ascii="VIC" w:eastAsiaTheme="minorEastAsia" w:hAnsi="VIC" w:cstheme="minorBidi"/>
          <w:color w:val="auto"/>
          <w:sz w:val="24"/>
        </w:rPr>
        <w:t xml:space="preserve"> should be undertaken</w:t>
      </w:r>
      <w:r w:rsidR="002642C6" w:rsidRPr="003A78FF">
        <w:rPr>
          <w:rFonts w:ascii="VIC" w:eastAsiaTheme="minorEastAsia" w:hAnsi="VIC" w:cstheme="minorBidi"/>
          <w:color w:val="auto"/>
          <w:sz w:val="24"/>
        </w:rPr>
        <w:t>, including</w:t>
      </w:r>
      <w:r w:rsidR="00845E22" w:rsidRPr="003A78FF">
        <w:rPr>
          <w:rFonts w:ascii="VIC" w:eastAsiaTheme="minorEastAsia" w:hAnsi="VIC" w:cstheme="minorBidi"/>
          <w:color w:val="auto"/>
          <w:sz w:val="24"/>
        </w:rPr>
        <w:t xml:space="preserve"> </w:t>
      </w:r>
      <w:r w:rsidR="002642C6" w:rsidRPr="003A78FF">
        <w:rPr>
          <w:rFonts w:ascii="VIC" w:eastAsiaTheme="minorEastAsia" w:hAnsi="VIC" w:cstheme="minorBidi"/>
          <w:color w:val="auto"/>
          <w:sz w:val="24"/>
        </w:rPr>
        <w:t>e</w:t>
      </w:r>
      <w:r w:rsidR="00B05F16" w:rsidRPr="003A78FF">
        <w:rPr>
          <w:rFonts w:ascii="VIC" w:eastAsiaTheme="minorEastAsia" w:hAnsi="VIC" w:cstheme="minorBidi"/>
          <w:color w:val="auto"/>
          <w:sz w:val="24"/>
        </w:rPr>
        <w:t xml:space="preserve">ducation on the safety measures in place and benefits </w:t>
      </w:r>
      <w:r w:rsidR="00D97D04" w:rsidRPr="003A78FF">
        <w:rPr>
          <w:rFonts w:ascii="VIC" w:eastAsiaTheme="minorEastAsia" w:hAnsi="VIC" w:cstheme="minorBidi"/>
          <w:color w:val="auto"/>
          <w:sz w:val="24"/>
        </w:rPr>
        <w:t xml:space="preserve">to </w:t>
      </w:r>
      <w:r w:rsidR="00B05F16" w:rsidRPr="003A78FF">
        <w:rPr>
          <w:rFonts w:ascii="VIC" w:eastAsiaTheme="minorEastAsia" w:hAnsi="VIC" w:cstheme="minorBidi"/>
          <w:color w:val="auto"/>
          <w:sz w:val="24"/>
        </w:rPr>
        <w:t>patient</w:t>
      </w:r>
      <w:r w:rsidR="00D97D04" w:rsidRPr="003A78FF">
        <w:rPr>
          <w:rFonts w:ascii="VIC" w:eastAsiaTheme="minorEastAsia" w:hAnsi="VIC" w:cstheme="minorBidi"/>
          <w:color w:val="auto"/>
          <w:sz w:val="24"/>
        </w:rPr>
        <w:t>s</w:t>
      </w:r>
      <w:r w:rsidR="00B05F16" w:rsidRPr="003A78FF">
        <w:rPr>
          <w:rFonts w:ascii="VIC" w:eastAsiaTheme="minorEastAsia" w:hAnsi="VIC" w:cstheme="minorBidi"/>
          <w:color w:val="auto"/>
          <w:sz w:val="24"/>
        </w:rPr>
        <w:t>, staff and service</w:t>
      </w:r>
      <w:r w:rsidR="00D97D04" w:rsidRPr="003A78FF">
        <w:rPr>
          <w:rFonts w:ascii="VIC" w:eastAsiaTheme="minorEastAsia" w:hAnsi="VIC" w:cstheme="minorBidi"/>
          <w:color w:val="auto"/>
          <w:sz w:val="24"/>
        </w:rPr>
        <w:t>s</w:t>
      </w:r>
      <w:r w:rsidR="000119FD" w:rsidRPr="003A78FF">
        <w:rPr>
          <w:rFonts w:ascii="VIC" w:eastAsiaTheme="minorEastAsia" w:hAnsi="VIC" w:cstheme="minorBidi"/>
          <w:color w:val="auto"/>
          <w:sz w:val="24"/>
        </w:rPr>
        <w:t xml:space="preserve">. </w:t>
      </w:r>
      <w:r w:rsidR="00D85EAD" w:rsidRPr="003A78FF">
        <w:rPr>
          <w:rFonts w:ascii="VIC" w:eastAsiaTheme="minorEastAsia" w:hAnsi="VIC" w:cstheme="minorBidi"/>
          <w:color w:val="auto"/>
          <w:sz w:val="24"/>
        </w:rPr>
        <w:t xml:space="preserve">This will </w:t>
      </w:r>
      <w:r w:rsidR="00E10478" w:rsidRPr="003A78FF">
        <w:rPr>
          <w:rFonts w:ascii="VIC" w:eastAsiaTheme="minorEastAsia" w:hAnsi="VIC" w:cstheme="minorBidi"/>
          <w:color w:val="auto"/>
          <w:sz w:val="24"/>
        </w:rPr>
        <w:t xml:space="preserve">increase </w:t>
      </w:r>
      <w:r w:rsidR="00D85EAD" w:rsidRPr="003A78FF">
        <w:rPr>
          <w:rFonts w:ascii="VIC" w:eastAsiaTheme="minorEastAsia" w:hAnsi="VIC" w:cstheme="minorBidi"/>
          <w:color w:val="auto"/>
          <w:sz w:val="24"/>
        </w:rPr>
        <w:t>staff</w:t>
      </w:r>
      <w:r w:rsidR="00E10478" w:rsidRPr="003A78FF">
        <w:rPr>
          <w:rFonts w:ascii="VIC" w:eastAsiaTheme="minorEastAsia" w:hAnsi="VIC" w:cstheme="minorBidi"/>
          <w:color w:val="auto"/>
          <w:sz w:val="24"/>
        </w:rPr>
        <w:t xml:space="preserve"> confidence and improve their buy-in to the practice chang</w:t>
      </w:r>
      <w:r w:rsidR="00D85EAD" w:rsidRPr="003A78FF">
        <w:rPr>
          <w:rFonts w:ascii="VIC" w:eastAsiaTheme="minorEastAsia" w:hAnsi="VIC" w:cstheme="minorBidi"/>
          <w:color w:val="auto"/>
          <w:sz w:val="24"/>
        </w:rPr>
        <w:t>e</w:t>
      </w:r>
      <w:r w:rsidR="00D97D04" w:rsidRPr="003A78FF">
        <w:rPr>
          <w:rFonts w:ascii="VIC" w:eastAsiaTheme="minorEastAsia" w:hAnsi="VIC" w:cstheme="minorBidi"/>
          <w:color w:val="auto"/>
          <w:sz w:val="24"/>
        </w:rPr>
        <w:t>.</w:t>
      </w:r>
    </w:p>
    <w:p w14:paraId="47AE2F9A" w14:textId="40B72179" w:rsidR="002F5817" w:rsidRPr="003A78FF" w:rsidRDefault="002F5817" w:rsidP="002F5817">
      <w:pPr>
        <w:pStyle w:val="NormalWeb"/>
        <w:ind w:left="1004"/>
        <w:rPr>
          <w:rFonts w:ascii="VIC" w:eastAsiaTheme="minorEastAsia" w:hAnsi="VIC" w:cstheme="minorBidi"/>
          <w:color w:val="auto"/>
          <w:sz w:val="24"/>
        </w:rPr>
      </w:pPr>
    </w:p>
    <w:p w14:paraId="57ACCE06" w14:textId="2164D296" w:rsidR="007068BC" w:rsidRPr="003A78FF" w:rsidRDefault="000A74F6" w:rsidP="002F5817">
      <w:pPr>
        <w:pStyle w:val="NormalWeb"/>
        <w:numPr>
          <w:ilvl w:val="0"/>
          <w:numId w:val="26"/>
        </w:numPr>
        <w:rPr>
          <w:rFonts w:ascii="VIC" w:eastAsiaTheme="minorEastAsia" w:hAnsi="VIC" w:cstheme="minorBidi"/>
          <w:color w:val="auto"/>
          <w:sz w:val="24"/>
        </w:rPr>
      </w:pPr>
      <w:r w:rsidRPr="003A78FF">
        <w:rPr>
          <w:rFonts w:ascii="VIC" w:eastAsiaTheme="minorEastAsia" w:hAnsi="VIC" w:cstheme="minorBidi"/>
          <w:b/>
          <w:bCs/>
          <w:color w:val="auto"/>
          <w:sz w:val="24"/>
        </w:rPr>
        <w:t xml:space="preserve">Perception that </w:t>
      </w:r>
      <w:r w:rsidR="000B6FFC" w:rsidRPr="003A78FF">
        <w:rPr>
          <w:rFonts w:ascii="VIC" w:eastAsiaTheme="minorEastAsia" w:hAnsi="VIC" w:cstheme="minorBidi"/>
          <w:b/>
          <w:bCs/>
          <w:color w:val="auto"/>
          <w:sz w:val="24"/>
        </w:rPr>
        <w:t xml:space="preserve">same day models of care offer </w:t>
      </w:r>
      <w:r w:rsidRPr="003A78FF">
        <w:rPr>
          <w:rFonts w:ascii="VIC" w:eastAsiaTheme="minorEastAsia" w:hAnsi="VIC" w:cstheme="minorBidi"/>
          <w:b/>
          <w:bCs/>
          <w:color w:val="auto"/>
          <w:sz w:val="24"/>
        </w:rPr>
        <w:t>a lesser standard of care than overnight</w:t>
      </w:r>
      <w:r w:rsidR="000B6FFC" w:rsidRPr="003A78FF">
        <w:rPr>
          <w:rFonts w:ascii="VIC" w:eastAsiaTheme="minorEastAsia" w:hAnsi="VIC" w:cstheme="minorBidi"/>
          <w:b/>
          <w:bCs/>
          <w:color w:val="auto"/>
          <w:sz w:val="24"/>
        </w:rPr>
        <w:t xml:space="preserve"> or multi-day</w:t>
      </w:r>
      <w:r w:rsidRPr="003A78FF">
        <w:rPr>
          <w:rFonts w:ascii="VIC" w:eastAsiaTheme="minorEastAsia" w:hAnsi="VIC" w:cstheme="minorBidi"/>
          <w:b/>
          <w:bCs/>
          <w:color w:val="auto"/>
          <w:sz w:val="24"/>
        </w:rPr>
        <w:t xml:space="preserve"> stay</w:t>
      </w:r>
      <w:r w:rsidR="000B6FFC" w:rsidRPr="003A78FF">
        <w:rPr>
          <w:rFonts w:ascii="VIC" w:eastAsiaTheme="minorEastAsia" w:hAnsi="VIC" w:cstheme="minorBidi"/>
          <w:b/>
          <w:bCs/>
          <w:color w:val="auto"/>
          <w:sz w:val="24"/>
        </w:rPr>
        <w:t xml:space="preserve"> care</w:t>
      </w:r>
      <w:r w:rsidRPr="003A78FF">
        <w:rPr>
          <w:rFonts w:ascii="VIC" w:eastAsiaTheme="minorEastAsia" w:hAnsi="VIC" w:cstheme="minorBidi"/>
          <w:b/>
          <w:bCs/>
          <w:color w:val="auto"/>
          <w:sz w:val="24"/>
        </w:rPr>
        <w:t>:</w:t>
      </w:r>
      <w:r w:rsidRPr="003A78FF">
        <w:rPr>
          <w:rFonts w:ascii="VIC" w:eastAsiaTheme="minorEastAsia" w:hAnsi="VIC" w:cstheme="minorBidi"/>
          <w:color w:val="auto"/>
          <w:sz w:val="24"/>
        </w:rPr>
        <w:t xml:space="preserve"> There is a need to</w:t>
      </w:r>
      <w:r w:rsidR="004F6F4E" w:rsidRPr="003A78FF">
        <w:rPr>
          <w:rFonts w:ascii="VIC" w:eastAsiaTheme="minorEastAsia" w:hAnsi="VIC" w:cstheme="minorBidi"/>
          <w:color w:val="auto"/>
          <w:sz w:val="24"/>
        </w:rPr>
        <w:t xml:space="preserve"> </w:t>
      </w:r>
      <w:r w:rsidRPr="003A78FF">
        <w:rPr>
          <w:rFonts w:ascii="VIC" w:eastAsiaTheme="minorEastAsia" w:hAnsi="VIC" w:cstheme="minorBidi"/>
          <w:color w:val="auto"/>
          <w:sz w:val="24"/>
        </w:rPr>
        <w:t>address</w:t>
      </w:r>
      <w:r w:rsidR="00685CAD" w:rsidRPr="003A78FF">
        <w:rPr>
          <w:rFonts w:ascii="VIC" w:eastAsiaTheme="minorEastAsia" w:hAnsi="VIC" w:cstheme="minorBidi"/>
          <w:color w:val="auto"/>
          <w:sz w:val="24"/>
        </w:rPr>
        <w:t xml:space="preserve"> potential </w:t>
      </w:r>
      <w:r w:rsidRPr="003A78FF">
        <w:rPr>
          <w:rFonts w:ascii="VIC" w:eastAsiaTheme="minorEastAsia" w:hAnsi="VIC" w:cstheme="minorBidi"/>
          <w:color w:val="auto"/>
          <w:sz w:val="24"/>
        </w:rPr>
        <w:t xml:space="preserve">public </w:t>
      </w:r>
      <w:r w:rsidR="00756F2F" w:rsidRPr="003A78FF">
        <w:rPr>
          <w:rFonts w:ascii="VIC" w:eastAsiaTheme="minorEastAsia" w:hAnsi="VIC" w:cstheme="minorBidi"/>
          <w:color w:val="auto"/>
          <w:sz w:val="24"/>
        </w:rPr>
        <w:t>mis</w:t>
      </w:r>
      <w:r w:rsidR="00685CAD" w:rsidRPr="003A78FF">
        <w:rPr>
          <w:rFonts w:ascii="VIC" w:eastAsiaTheme="minorEastAsia" w:hAnsi="VIC" w:cstheme="minorBidi"/>
          <w:color w:val="auto"/>
          <w:sz w:val="24"/>
        </w:rPr>
        <w:t>conception that same-day discharge</w:t>
      </w:r>
      <w:r w:rsidR="00B43625" w:rsidRPr="003A78FF">
        <w:rPr>
          <w:rFonts w:ascii="VIC" w:eastAsiaTheme="minorEastAsia" w:hAnsi="VIC" w:cstheme="minorBidi"/>
          <w:color w:val="auto"/>
          <w:sz w:val="24"/>
        </w:rPr>
        <w:t>s</w:t>
      </w:r>
      <w:r w:rsidR="00685CAD" w:rsidRPr="003A78FF">
        <w:rPr>
          <w:rFonts w:ascii="VIC" w:eastAsiaTheme="minorEastAsia" w:hAnsi="VIC" w:cstheme="minorBidi"/>
          <w:color w:val="auto"/>
          <w:sz w:val="24"/>
        </w:rPr>
        <w:t xml:space="preserve"> </w:t>
      </w:r>
      <w:r w:rsidR="000279CB" w:rsidRPr="003A78FF">
        <w:rPr>
          <w:rFonts w:ascii="VIC" w:eastAsiaTheme="minorEastAsia" w:hAnsi="VIC" w:cstheme="minorBidi"/>
          <w:color w:val="auto"/>
          <w:sz w:val="24"/>
        </w:rPr>
        <w:t xml:space="preserve">benefit the health service </w:t>
      </w:r>
      <w:r w:rsidR="000279CB" w:rsidRPr="003A78FF">
        <w:rPr>
          <w:rFonts w:ascii="VIC" w:eastAsiaTheme="minorEastAsia" w:hAnsi="VIC" w:cstheme="minorBidi"/>
          <w:color w:val="auto"/>
          <w:sz w:val="24"/>
        </w:rPr>
        <w:lastRenderedPageBreak/>
        <w:t>only. A focus on patient safety</w:t>
      </w:r>
      <w:r w:rsidR="00E15268" w:rsidRPr="003A78FF">
        <w:rPr>
          <w:rFonts w:ascii="VIC" w:eastAsiaTheme="minorEastAsia" w:hAnsi="VIC" w:cstheme="minorBidi"/>
          <w:color w:val="auto"/>
          <w:sz w:val="24"/>
        </w:rPr>
        <w:t xml:space="preserve">, </w:t>
      </w:r>
      <w:r w:rsidR="008F2AD6" w:rsidRPr="003A78FF">
        <w:rPr>
          <w:rFonts w:ascii="VIC" w:eastAsiaTheme="minorEastAsia" w:hAnsi="VIC" w:cstheme="minorBidi"/>
          <w:color w:val="auto"/>
          <w:sz w:val="24"/>
        </w:rPr>
        <w:t>consumer empowerment and shared decision-making</w:t>
      </w:r>
      <w:r w:rsidR="00E15268" w:rsidRPr="003A78FF">
        <w:rPr>
          <w:rFonts w:ascii="VIC" w:eastAsiaTheme="minorEastAsia" w:hAnsi="VIC" w:cstheme="minorBidi"/>
          <w:color w:val="auto"/>
          <w:sz w:val="24"/>
        </w:rPr>
        <w:t>, enhanced experience</w:t>
      </w:r>
      <w:r w:rsidR="005A5855" w:rsidRPr="003A78FF">
        <w:rPr>
          <w:rFonts w:ascii="VIC" w:eastAsiaTheme="minorEastAsia" w:hAnsi="VIC" w:cstheme="minorBidi"/>
          <w:color w:val="auto"/>
          <w:sz w:val="24"/>
        </w:rPr>
        <w:t xml:space="preserve">, </w:t>
      </w:r>
      <w:r w:rsidR="00E2576C" w:rsidRPr="003A78FF">
        <w:rPr>
          <w:rFonts w:ascii="VIC" w:eastAsiaTheme="minorEastAsia" w:hAnsi="VIC" w:cstheme="minorBidi"/>
          <w:color w:val="auto"/>
          <w:sz w:val="24"/>
        </w:rPr>
        <w:t>and improved recovery</w:t>
      </w:r>
      <w:r w:rsidR="004F6F4E" w:rsidRPr="003A78FF">
        <w:rPr>
          <w:rFonts w:ascii="VIC" w:eastAsiaTheme="minorEastAsia" w:hAnsi="VIC" w:cstheme="minorBidi"/>
          <w:color w:val="auto"/>
          <w:sz w:val="24"/>
        </w:rPr>
        <w:t xml:space="preserve"> </w:t>
      </w:r>
      <w:r w:rsidR="00FD60A7" w:rsidRPr="003A78FF">
        <w:rPr>
          <w:rFonts w:ascii="VIC" w:eastAsiaTheme="minorEastAsia" w:hAnsi="VIC" w:cstheme="minorBidi"/>
          <w:color w:val="auto"/>
          <w:sz w:val="24"/>
        </w:rPr>
        <w:t xml:space="preserve">will likely greatly </w:t>
      </w:r>
      <w:r w:rsidR="00E2576C" w:rsidRPr="003A78FF">
        <w:rPr>
          <w:rFonts w:ascii="VIC" w:eastAsiaTheme="minorEastAsia" w:hAnsi="VIC" w:cstheme="minorBidi"/>
          <w:color w:val="auto"/>
          <w:sz w:val="24"/>
        </w:rPr>
        <w:t xml:space="preserve">increase the confidence </w:t>
      </w:r>
      <w:r w:rsidR="00813B39" w:rsidRPr="003A78FF">
        <w:rPr>
          <w:rFonts w:ascii="VIC" w:eastAsiaTheme="minorEastAsia" w:hAnsi="VIC" w:cstheme="minorBidi"/>
          <w:color w:val="auto"/>
          <w:sz w:val="24"/>
        </w:rPr>
        <w:t xml:space="preserve">of patients and carers </w:t>
      </w:r>
      <w:r w:rsidR="00E2576C" w:rsidRPr="003A78FF">
        <w:rPr>
          <w:rFonts w:ascii="VIC" w:eastAsiaTheme="minorEastAsia" w:hAnsi="VIC" w:cstheme="minorBidi"/>
          <w:color w:val="auto"/>
          <w:sz w:val="24"/>
        </w:rPr>
        <w:t>in</w:t>
      </w:r>
      <w:r w:rsidR="00377B4F" w:rsidRPr="003A78FF">
        <w:rPr>
          <w:rFonts w:ascii="VIC" w:eastAsiaTheme="minorEastAsia" w:hAnsi="VIC" w:cstheme="minorBidi"/>
          <w:color w:val="auto"/>
          <w:sz w:val="24"/>
        </w:rPr>
        <w:t xml:space="preserve"> the process.</w:t>
      </w:r>
      <w:r w:rsidR="00F50535" w:rsidRPr="003A78FF">
        <w:rPr>
          <w:rFonts w:ascii="VIC" w:eastAsiaTheme="minorEastAsia" w:hAnsi="VIC" w:cstheme="minorBidi"/>
          <w:color w:val="auto"/>
          <w:sz w:val="24"/>
        </w:rPr>
        <w:t xml:space="preserve"> </w:t>
      </w:r>
      <w:r w:rsidR="002F5817" w:rsidRPr="003A78FF">
        <w:rPr>
          <w:rFonts w:ascii="VIC" w:hAnsi="VIC" w:cstheme="minorBidi"/>
          <w:sz w:val="24"/>
        </w:rPr>
        <w:t xml:space="preserve">For procedures deemed suitable, </w:t>
      </w:r>
      <w:r w:rsidR="002F5817" w:rsidRPr="003A78FF">
        <w:rPr>
          <w:rFonts w:ascii="VIC" w:hAnsi="VIC" w:cstheme="minorBidi"/>
          <w:b/>
          <w:i/>
          <w:sz w:val="24"/>
        </w:rPr>
        <w:t>day surgery should be perceived as the norm and overnight stays the exception that needs to be justified.</w:t>
      </w:r>
    </w:p>
    <w:p w14:paraId="34702945" w14:textId="147EEE1A" w:rsidR="007068BC" w:rsidRPr="003A78FF" w:rsidRDefault="007068BC" w:rsidP="002F5817">
      <w:pPr>
        <w:pStyle w:val="NormalWeb"/>
        <w:ind w:left="644"/>
        <w:rPr>
          <w:rFonts w:ascii="VIC" w:eastAsiaTheme="minorEastAsia" w:hAnsi="VIC" w:cstheme="minorBidi"/>
          <w:color w:val="auto"/>
          <w:sz w:val="24"/>
        </w:rPr>
      </w:pPr>
    </w:p>
    <w:p w14:paraId="74D9E5E0" w14:textId="09B4F540" w:rsidR="0034045B" w:rsidRPr="003A78FF" w:rsidRDefault="007068BC" w:rsidP="007068BC">
      <w:pPr>
        <w:pStyle w:val="NormalWeb"/>
        <w:numPr>
          <w:ilvl w:val="0"/>
          <w:numId w:val="26"/>
        </w:numPr>
        <w:rPr>
          <w:rFonts w:ascii="VIC" w:eastAsiaTheme="minorEastAsia" w:hAnsi="VIC" w:cstheme="minorBidi"/>
          <w:color w:val="auto"/>
          <w:sz w:val="24"/>
        </w:rPr>
      </w:pPr>
      <w:r w:rsidRPr="003A78FF">
        <w:rPr>
          <w:rFonts w:ascii="VIC" w:hAnsi="VIC" w:cstheme="minorBidi"/>
          <w:b/>
          <w:bCs/>
          <w:sz w:val="24"/>
        </w:rPr>
        <w:t>P</w:t>
      </w:r>
      <w:r w:rsidR="7C8C17D9" w:rsidRPr="003A78FF">
        <w:rPr>
          <w:rFonts w:ascii="VIC" w:hAnsi="VIC" w:cstheme="minorBidi"/>
          <w:b/>
          <w:bCs/>
          <w:sz w:val="24"/>
        </w:rPr>
        <w:t xml:space="preserve">atient </w:t>
      </w:r>
      <w:r w:rsidR="433043E8" w:rsidRPr="003A78FF">
        <w:rPr>
          <w:rFonts w:ascii="VIC" w:hAnsi="VIC" w:cstheme="minorBidi"/>
          <w:b/>
          <w:bCs/>
          <w:sz w:val="24"/>
        </w:rPr>
        <w:t>safety and well-</w:t>
      </w:r>
      <w:r w:rsidR="5190D77C" w:rsidRPr="003A78FF">
        <w:rPr>
          <w:rFonts w:ascii="VIC" w:hAnsi="VIC" w:cstheme="minorBidi"/>
          <w:b/>
          <w:bCs/>
          <w:sz w:val="24"/>
        </w:rPr>
        <w:t xml:space="preserve">being </w:t>
      </w:r>
      <w:r w:rsidR="00DD46B7" w:rsidRPr="003A78FF">
        <w:rPr>
          <w:rFonts w:ascii="VIC" w:hAnsi="VIC" w:cstheme="minorBidi"/>
          <w:sz w:val="24"/>
        </w:rPr>
        <w:t>(</w:t>
      </w:r>
      <w:r w:rsidR="5190D77C" w:rsidRPr="003A78FF">
        <w:rPr>
          <w:rFonts w:ascii="VIC" w:hAnsi="VIC" w:cstheme="minorBidi"/>
          <w:sz w:val="24"/>
        </w:rPr>
        <w:t>if</w:t>
      </w:r>
      <w:r w:rsidR="10BBFEE0" w:rsidRPr="003A78FF">
        <w:rPr>
          <w:rFonts w:ascii="VIC" w:hAnsi="VIC" w:cstheme="minorBidi"/>
          <w:sz w:val="24"/>
        </w:rPr>
        <w:t xml:space="preserve"> patients are not appropriately </w:t>
      </w:r>
      <w:r w:rsidR="57602AEE" w:rsidRPr="003A78FF">
        <w:rPr>
          <w:rFonts w:ascii="VIC" w:hAnsi="VIC" w:cstheme="minorBidi"/>
          <w:sz w:val="24"/>
        </w:rPr>
        <w:t>selected</w:t>
      </w:r>
      <w:r w:rsidR="00DD46B7" w:rsidRPr="003A78FF">
        <w:rPr>
          <w:rFonts w:ascii="VIC" w:hAnsi="VIC" w:cstheme="minorBidi"/>
          <w:sz w:val="24"/>
        </w:rPr>
        <w:t>)</w:t>
      </w:r>
      <w:r w:rsidR="5190D77C" w:rsidRPr="003A78FF">
        <w:rPr>
          <w:rFonts w:ascii="VIC" w:hAnsi="VIC" w:cstheme="minorBidi"/>
          <w:sz w:val="24"/>
        </w:rPr>
        <w:t>:</w:t>
      </w:r>
      <w:r w:rsidRPr="003A78FF">
        <w:rPr>
          <w:rFonts w:ascii="VIC" w:hAnsi="VIC" w:cstheme="minorBidi"/>
          <w:sz w:val="24"/>
        </w:rPr>
        <w:t xml:space="preserve"> </w:t>
      </w:r>
      <w:r w:rsidR="00E96011" w:rsidRPr="003A78FF">
        <w:rPr>
          <w:rFonts w:ascii="VIC" w:eastAsiaTheme="minorEastAsia" w:hAnsi="VIC" w:cstheme="minorBidi"/>
          <w:color w:val="auto"/>
          <w:sz w:val="24"/>
        </w:rPr>
        <w:t xml:space="preserve">To </w:t>
      </w:r>
      <w:r w:rsidR="00921E62" w:rsidRPr="003A78FF">
        <w:rPr>
          <w:rFonts w:ascii="VIC" w:eastAsiaTheme="minorEastAsia" w:hAnsi="VIC" w:cstheme="minorBidi"/>
          <w:color w:val="auto"/>
          <w:sz w:val="24"/>
        </w:rPr>
        <w:t>ensure</w:t>
      </w:r>
      <w:r w:rsidR="00684EEC" w:rsidRPr="003A78FF">
        <w:rPr>
          <w:rFonts w:ascii="VIC" w:eastAsiaTheme="minorEastAsia" w:hAnsi="VIC" w:cstheme="minorBidi"/>
          <w:color w:val="auto"/>
          <w:sz w:val="24"/>
        </w:rPr>
        <w:t xml:space="preserve"> same-</w:t>
      </w:r>
      <w:r w:rsidR="00E96011" w:rsidRPr="003A78FF">
        <w:rPr>
          <w:rFonts w:ascii="VIC" w:eastAsiaTheme="minorEastAsia" w:hAnsi="VIC" w:cstheme="minorBidi"/>
          <w:color w:val="auto"/>
          <w:sz w:val="24"/>
        </w:rPr>
        <w:t xml:space="preserve">day surgery </w:t>
      </w:r>
      <w:r w:rsidR="00921E62" w:rsidRPr="003A78FF">
        <w:rPr>
          <w:rFonts w:ascii="VIC" w:eastAsiaTheme="minorEastAsia" w:hAnsi="VIC" w:cstheme="minorBidi"/>
          <w:color w:val="auto"/>
          <w:sz w:val="24"/>
        </w:rPr>
        <w:t xml:space="preserve">is </w:t>
      </w:r>
      <w:r w:rsidR="00684EEC" w:rsidRPr="003A78FF">
        <w:rPr>
          <w:rFonts w:ascii="VIC" w:eastAsiaTheme="minorEastAsia" w:hAnsi="VIC" w:cstheme="minorBidi"/>
          <w:color w:val="auto"/>
          <w:sz w:val="24"/>
        </w:rPr>
        <w:t>provided</w:t>
      </w:r>
      <w:r w:rsidR="004734B0" w:rsidRPr="003A78FF">
        <w:rPr>
          <w:rFonts w:ascii="VIC" w:eastAsiaTheme="minorEastAsia" w:hAnsi="VIC" w:cstheme="minorBidi"/>
          <w:color w:val="auto"/>
          <w:sz w:val="24"/>
        </w:rPr>
        <w:t xml:space="preserve"> safely</w:t>
      </w:r>
      <w:r w:rsidR="00671953" w:rsidRPr="003A78FF">
        <w:rPr>
          <w:rFonts w:ascii="VIC" w:eastAsiaTheme="minorEastAsia" w:hAnsi="VIC" w:cstheme="minorBidi"/>
          <w:color w:val="auto"/>
          <w:sz w:val="24"/>
        </w:rPr>
        <w:t>,</w:t>
      </w:r>
      <w:r w:rsidR="001C2E9D" w:rsidRPr="003A78FF">
        <w:rPr>
          <w:rFonts w:ascii="VIC" w:eastAsiaTheme="minorEastAsia" w:hAnsi="VIC" w:cstheme="minorBidi"/>
          <w:color w:val="auto"/>
          <w:sz w:val="24"/>
        </w:rPr>
        <w:t xml:space="preserve"> </w:t>
      </w:r>
      <w:r w:rsidR="00A0675A" w:rsidRPr="003A78FF">
        <w:rPr>
          <w:rFonts w:ascii="VIC" w:eastAsiaTheme="minorEastAsia" w:hAnsi="VIC" w:cstheme="minorBidi"/>
          <w:color w:val="auto"/>
          <w:sz w:val="24"/>
        </w:rPr>
        <w:t>suitable patient selection</w:t>
      </w:r>
      <w:r w:rsidR="00020670" w:rsidRPr="003A78FF">
        <w:rPr>
          <w:rFonts w:ascii="VIC" w:eastAsiaTheme="minorEastAsia" w:hAnsi="VIC" w:cstheme="minorBidi"/>
          <w:color w:val="auto"/>
          <w:sz w:val="24"/>
        </w:rPr>
        <w:t xml:space="preserve"> and early involvement of a planned designated carer</w:t>
      </w:r>
      <w:r w:rsidR="00A0675A" w:rsidRPr="003A78FF">
        <w:rPr>
          <w:rFonts w:ascii="VIC" w:eastAsiaTheme="minorEastAsia" w:hAnsi="VIC" w:cstheme="minorBidi"/>
          <w:color w:val="auto"/>
          <w:sz w:val="24"/>
        </w:rPr>
        <w:t xml:space="preserve"> </w:t>
      </w:r>
      <w:r w:rsidR="009024E1" w:rsidRPr="003A78FF">
        <w:rPr>
          <w:rFonts w:ascii="VIC" w:eastAsiaTheme="minorEastAsia" w:hAnsi="VIC" w:cstheme="minorBidi"/>
          <w:color w:val="auto"/>
          <w:sz w:val="24"/>
        </w:rPr>
        <w:t>i</w:t>
      </w:r>
      <w:r w:rsidR="00A0675A" w:rsidRPr="003A78FF">
        <w:rPr>
          <w:rFonts w:ascii="VIC" w:eastAsiaTheme="minorEastAsia" w:hAnsi="VIC" w:cstheme="minorBidi"/>
          <w:color w:val="auto"/>
          <w:sz w:val="24"/>
        </w:rPr>
        <w:t>s essential. A patient’s suitability for same</w:t>
      </w:r>
      <w:r w:rsidR="009024E1" w:rsidRPr="003A78FF">
        <w:rPr>
          <w:rFonts w:ascii="VIC" w:eastAsiaTheme="minorEastAsia" w:hAnsi="VIC" w:cstheme="minorBidi"/>
          <w:color w:val="auto"/>
          <w:sz w:val="24"/>
        </w:rPr>
        <w:t>-</w:t>
      </w:r>
      <w:r w:rsidR="00A0675A" w:rsidRPr="003A78FF">
        <w:rPr>
          <w:rFonts w:ascii="VIC" w:eastAsiaTheme="minorEastAsia" w:hAnsi="VIC" w:cstheme="minorBidi"/>
          <w:color w:val="auto"/>
          <w:sz w:val="24"/>
        </w:rPr>
        <w:t xml:space="preserve">day discharge </w:t>
      </w:r>
      <w:r w:rsidR="00973F3C" w:rsidRPr="003A78FF">
        <w:rPr>
          <w:rFonts w:ascii="VIC" w:eastAsiaTheme="minorEastAsia" w:hAnsi="VIC" w:cstheme="minorBidi"/>
          <w:color w:val="auto"/>
          <w:sz w:val="24"/>
        </w:rPr>
        <w:t xml:space="preserve">will likely </w:t>
      </w:r>
      <w:r w:rsidR="00A0675A" w:rsidRPr="003A78FF">
        <w:rPr>
          <w:rFonts w:ascii="VIC" w:eastAsiaTheme="minorEastAsia" w:hAnsi="VIC" w:cstheme="minorBidi"/>
          <w:color w:val="auto"/>
          <w:sz w:val="24"/>
        </w:rPr>
        <w:t xml:space="preserve">require reassessment </w:t>
      </w:r>
      <w:r w:rsidR="00207D59" w:rsidRPr="003A78FF">
        <w:rPr>
          <w:rFonts w:ascii="VIC" w:eastAsiaTheme="minorEastAsia" w:hAnsi="VIC" w:cstheme="minorBidi"/>
          <w:color w:val="auto"/>
          <w:sz w:val="24"/>
        </w:rPr>
        <w:t xml:space="preserve">prior to the procedure </w:t>
      </w:r>
      <w:r w:rsidR="00A55838" w:rsidRPr="003A78FF">
        <w:rPr>
          <w:rFonts w:ascii="VIC" w:eastAsiaTheme="minorEastAsia" w:hAnsi="VIC" w:cstheme="minorBidi"/>
          <w:color w:val="auto"/>
          <w:sz w:val="24"/>
        </w:rPr>
        <w:t>date</w:t>
      </w:r>
      <w:r w:rsidR="00612FD7" w:rsidRPr="003A78FF">
        <w:rPr>
          <w:rFonts w:ascii="VIC" w:eastAsiaTheme="minorEastAsia" w:hAnsi="VIC" w:cstheme="minorBidi"/>
          <w:color w:val="auto"/>
          <w:sz w:val="24"/>
        </w:rPr>
        <w:t xml:space="preserve"> to assess if the patient is still suitable to remain on the same-day model of surgical care pathway (</w:t>
      </w:r>
      <w:r w:rsidR="00207D59" w:rsidRPr="003A78FF">
        <w:rPr>
          <w:rFonts w:ascii="VIC" w:eastAsiaTheme="minorEastAsia" w:hAnsi="VIC" w:cstheme="minorBidi"/>
          <w:color w:val="auto"/>
          <w:sz w:val="24"/>
        </w:rPr>
        <w:t>a patient’s condition may change whilst on the waiting list for surgery)</w:t>
      </w:r>
      <w:r w:rsidR="00612FD7" w:rsidRPr="003A78FF">
        <w:rPr>
          <w:rFonts w:ascii="VIC" w:eastAsiaTheme="minorEastAsia" w:hAnsi="VIC" w:cstheme="minorBidi"/>
          <w:color w:val="auto"/>
          <w:sz w:val="24"/>
        </w:rPr>
        <w:t xml:space="preserve">. Further assessment is also warranted </w:t>
      </w:r>
      <w:r w:rsidR="00207D59" w:rsidRPr="003A78FF">
        <w:rPr>
          <w:rFonts w:ascii="VIC" w:eastAsiaTheme="minorEastAsia" w:hAnsi="VIC" w:cstheme="minorBidi"/>
          <w:color w:val="auto"/>
          <w:sz w:val="24"/>
        </w:rPr>
        <w:t xml:space="preserve">on the day of surgery </w:t>
      </w:r>
      <w:r w:rsidR="00DE156D" w:rsidRPr="003A78FF">
        <w:rPr>
          <w:rFonts w:ascii="VIC" w:eastAsiaTheme="minorEastAsia" w:hAnsi="VIC" w:cstheme="minorBidi"/>
          <w:color w:val="auto"/>
          <w:sz w:val="24"/>
        </w:rPr>
        <w:t xml:space="preserve">to </w:t>
      </w:r>
      <w:r w:rsidR="008069AC" w:rsidRPr="003A78FF">
        <w:rPr>
          <w:rFonts w:ascii="VIC" w:eastAsiaTheme="minorEastAsia" w:hAnsi="VIC" w:cstheme="minorBidi"/>
          <w:color w:val="auto"/>
          <w:sz w:val="24"/>
        </w:rPr>
        <w:t>re-</w:t>
      </w:r>
      <w:r w:rsidR="00DE156D" w:rsidRPr="003A78FF">
        <w:rPr>
          <w:rFonts w:ascii="VIC" w:eastAsiaTheme="minorEastAsia" w:hAnsi="VIC" w:cstheme="minorBidi"/>
          <w:color w:val="auto"/>
          <w:sz w:val="24"/>
        </w:rPr>
        <w:t>assess</w:t>
      </w:r>
      <w:r w:rsidR="00882982" w:rsidRPr="003A78FF">
        <w:rPr>
          <w:rFonts w:ascii="VIC" w:eastAsiaTheme="minorEastAsia" w:hAnsi="VIC" w:cstheme="minorBidi"/>
          <w:color w:val="auto"/>
          <w:sz w:val="24"/>
        </w:rPr>
        <w:t xml:space="preserve"> </w:t>
      </w:r>
      <w:r w:rsidR="008069AC" w:rsidRPr="003A78FF">
        <w:rPr>
          <w:rFonts w:ascii="VIC" w:eastAsiaTheme="minorEastAsia" w:hAnsi="VIC" w:cstheme="minorBidi"/>
          <w:color w:val="auto"/>
          <w:sz w:val="24"/>
        </w:rPr>
        <w:t>suitability of same-day discharge</w:t>
      </w:r>
      <w:r w:rsidR="00EB27E9" w:rsidRPr="003A78FF">
        <w:rPr>
          <w:rFonts w:ascii="VIC" w:eastAsiaTheme="minorEastAsia" w:hAnsi="VIC" w:cstheme="minorBidi"/>
          <w:color w:val="auto"/>
          <w:sz w:val="24"/>
        </w:rPr>
        <w:t>,</w:t>
      </w:r>
      <w:r w:rsidR="004C188E" w:rsidRPr="003A78FF">
        <w:rPr>
          <w:rFonts w:ascii="VIC" w:eastAsiaTheme="minorEastAsia" w:hAnsi="VIC" w:cstheme="minorBidi"/>
          <w:color w:val="auto"/>
          <w:sz w:val="24"/>
        </w:rPr>
        <w:t xml:space="preserve"> especially </w:t>
      </w:r>
      <w:r w:rsidR="00EB27E9" w:rsidRPr="003A78FF">
        <w:rPr>
          <w:rFonts w:ascii="VIC" w:eastAsiaTheme="minorEastAsia" w:hAnsi="VIC" w:cstheme="minorBidi"/>
          <w:color w:val="auto"/>
          <w:sz w:val="24"/>
        </w:rPr>
        <w:t xml:space="preserve">considering any </w:t>
      </w:r>
      <w:r w:rsidR="610A9990" w:rsidRPr="003A78FF">
        <w:rPr>
          <w:rFonts w:ascii="VIC" w:eastAsiaTheme="minorEastAsia" w:hAnsi="VIC" w:cstheme="minorBidi"/>
          <w:color w:val="auto"/>
          <w:sz w:val="24"/>
        </w:rPr>
        <w:t xml:space="preserve">interoperative </w:t>
      </w:r>
      <w:r w:rsidR="00EB27E9" w:rsidRPr="003A78FF">
        <w:rPr>
          <w:rFonts w:ascii="VIC" w:eastAsiaTheme="minorEastAsia" w:hAnsi="VIC" w:cstheme="minorBidi"/>
          <w:color w:val="auto"/>
          <w:sz w:val="24"/>
        </w:rPr>
        <w:t xml:space="preserve">changes to </w:t>
      </w:r>
      <w:r w:rsidR="610A9990" w:rsidRPr="003A78FF">
        <w:rPr>
          <w:rFonts w:ascii="VIC" w:eastAsiaTheme="minorEastAsia" w:hAnsi="VIC" w:cstheme="minorBidi"/>
          <w:color w:val="auto"/>
          <w:sz w:val="24"/>
        </w:rPr>
        <w:t>condition</w:t>
      </w:r>
      <w:r w:rsidR="00612FD7" w:rsidRPr="003A78FF">
        <w:rPr>
          <w:rFonts w:ascii="VIC" w:eastAsiaTheme="minorEastAsia" w:hAnsi="VIC" w:cstheme="minorBidi"/>
          <w:color w:val="auto"/>
          <w:sz w:val="24"/>
        </w:rPr>
        <w:t xml:space="preserve"> </w:t>
      </w:r>
      <w:r w:rsidR="1785DBDC" w:rsidRPr="003A78FF">
        <w:rPr>
          <w:rFonts w:ascii="VIC" w:eastAsiaTheme="minorEastAsia" w:hAnsi="VIC" w:cstheme="minorBidi"/>
          <w:color w:val="auto"/>
          <w:sz w:val="24"/>
        </w:rPr>
        <w:t>that may change</w:t>
      </w:r>
      <w:r w:rsidR="00612FD7" w:rsidRPr="003A78FF">
        <w:rPr>
          <w:rFonts w:ascii="VIC" w:eastAsiaTheme="minorEastAsia" w:hAnsi="VIC" w:cstheme="minorBidi"/>
          <w:color w:val="auto"/>
          <w:sz w:val="24"/>
        </w:rPr>
        <w:t xml:space="preserve"> the </w:t>
      </w:r>
      <w:r w:rsidR="00BF7EAF" w:rsidRPr="003A78FF">
        <w:rPr>
          <w:rFonts w:ascii="VIC" w:eastAsiaTheme="minorEastAsia" w:hAnsi="VIC" w:cstheme="minorBidi"/>
          <w:color w:val="auto"/>
          <w:sz w:val="24"/>
        </w:rPr>
        <w:t>patient’s</w:t>
      </w:r>
      <w:r w:rsidR="00EC52B9" w:rsidRPr="003A78FF">
        <w:rPr>
          <w:rFonts w:ascii="VIC" w:eastAsiaTheme="minorEastAsia" w:hAnsi="VIC" w:cstheme="minorBidi"/>
          <w:color w:val="auto"/>
          <w:sz w:val="24"/>
        </w:rPr>
        <w:t xml:space="preserve"> expected </w:t>
      </w:r>
      <w:r w:rsidR="00207D59" w:rsidRPr="003A78FF">
        <w:rPr>
          <w:rFonts w:ascii="VIC" w:eastAsiaTheme="minorEastAsia" w:hAnsi="VIC" w:cstheme="minorBidi"/>
          <w:color w:val="auto"/>
          <w:sz w:val="24"/>
        </w:rPr>
        <w:t>postoperative recovery</w:t>
      </w:r>
      <w:r w:rsidR="00A0675A" w:rsidRPr="003A78FF">
        <w:rPr>
          <w:rFonts w:ascii="VIC" w:eastAsiaTheme="minorEastAsia" w:hAnsi="VIC" w:cstheme="minorBidi"/>
          <w:color w:val="auto"/>
          <w:sz w:val="24"/>
        </w:rPr>
        <w:t>.</w:t>
      </w:r>
      <w:r w:rsidR="004A2360" w:rsidRPr="003A78FF">
        <w:rPr>
          <w:rFonts w:ascii="VIC" w:eastAsiaTheme="minorEastAsia" w:hAnsi="VIC" w:cstheme="minorBidi"/>
          <w:color w:val="auto"/>
          <w:sz w:val="24"/>
        </w:rPr>
        <w:t xml:space="preserve"> </w:t>
      </w:r>
    </w:p>
    <w:p w14:paraId="57923742" w14:textId="05381B0E" w:rsidR="0034045B" w:rsidRPr="003A78FF" w:rsidRDefault="0034045B" w:rsidP="6FA5AF15">
      <w:pPr>
        <w:pStyle w:val="NormalWeb"/>
        <w:ind w:left="284"/>
        <w:rPr>
          <w:rFonts w:ascii="VIC" w:eastAsiaTheme="minorEastAsia" w:hAnsi="VIC" w:cstheme="minorBidi"/>
          <w:color w:val="auto"/>
          <w:sz w:val="24"/>
        </w:rPr>
      </w:pPr>
    </w:p>
    <w:p w14:paraId="7AC54AA2" w14:textId="12E26550" w:rsidR="0034045B" w:rsidRPr="003A78FF" w:rsidRDefault="00AA355F" w:rsidP="00AA355F">
      <w:pPr>
        <w:pStyle w:val="NormalWeb"/>
        <w:numPr>
          <w:ilvl w:val="0"/>
          <w:numId w:val="26"/>
        </w:numPr>
        <w:rPr>
          <w:rFonts w:ascii="VIC" w:eastAsiaTheme="minorEastAsia" w:hAnsi="VIC" w:cstheme="minorBidi"/>
          <w:color w:val="auto"/>
          <w:sz w:val="24"/>
        </w:rPr>
      </w:pPr>
      <w:r w:rsidRPr="003A78FF">
        <w:rPr>
          <w:rFonts w:ascii="VIC" w:eastAsiaTheme="minorEastAsia" w:hAnsi="VIC" w:cstheme="minorBidi"/>
          <w:b/>
          <w:bCs/>
          <w:color w:val="auto"/>
          <w:sz w:val="24"/>
        </w:rPr>
        <w:t>Inappropriate selection of patients:</w:t>
      </w:r>
      <w:r w:rsidRPr="003A78FF">
        <w:rPr>
          <w:rFonts w:ascii="VIC" w:eastAsiaTheme="minorEastAsia" w:hAnsi="VIC" w:cstheme="minorBidi"/>
          <w:color w:val="auto"/>
          <w:sz w:val="24"/>
        </w:rPr>
        <w:t xml:space="preserve"> </w:t>
      </w:r>
      <w:r w:rsidR="004A2360" w:rsidRPr="003A78FF">
        <w:rPr>
          <w:rFonts w:ascii="VIC" w:eastAsiaTheme="minorEastAsia" w:hAnsi="VIC" w:cstheme="minorBidi"/>
          <w:color w:val="auto"/>
          <w:sz w:val="24"/>
        </w:rPr>
        <w:t>Patient selection</w:t>
      </w:r>
      <w:r w:rsidR="000F370F" w:rsidRPr="003A78FF">
        <w:rPr>
          <w:rFonts w:ascii="VIC" w:eastAsiaTheme="minorEastAsia" w:hAnsi="VIC" w:cstheme="minorBidi"/>
          <w:color w:val="auto"/>
          <w:sz w:val="24"/>
        </w:rPr>
        <w:t xml:space="preserve"> for same-day surgery</w:t>
      </w:r>
      <w:r w:rsidR="004A2360" w:rsidRPr="003A78FF">
        <w:rPr>
          <w:rFonts w:ascii="VIC" w:eastAsiaTheme="minorEastAsia" w:hAnsi="VIC" w:cstheme="minorBidi"/>
          <w:color w:val="auto"/>
          <w:sz w:val="24"/>
        </w:rPr>
        <w:t xml:space="preserve"> requires a comprehensive baseline assessment of their perioperative risk and home circumstances</w:t>
      </w:r>
      <w:r w:rsidR="00E1613E" w:rsidRPr="003A78FF">
        <w:rPr>
          <w:rFonts w:ascii="VIC" w:eastAsiaTheme="minorEastAsia" w:hAnsi="VIC" w:cstheme="minorBidi"/>
          <w:color w:val="auto"/>
          <w:sz w:val="24"/>
        </w:rPr>
        <w:t>.</w:t>
      </w:r>
      <w:r w:rsidR="00BD3CB0" w:rsidRPr="003A78FF">
        <w:rPr>
          <w:rFonts w:ascii="VIC" w:eastAsiaTheme="minorEastAsia" w:hAnsi="VIC" w:cstheme="minorBidi"/>
          <w:color w:val="auto"/>
          <w:sz w:val="24"/>
        </w:rPr>
        <w:t xml:space="preserve"> </w:t>
      </w:r>
      <w:r w:rsidR="00A0675A" w:rsidRPr="003A78FF">
        <w:rPr>
          <w:rFonts w:ascii="VIC" w:eastAsiaTheme="minorEastAsia" w:hAnsi="VIC" w:cstheme="minorBidi"/>
          <w:color w:val="auto"/>
          <w:sz w:val="24"/>
        </w:rPr>
        <w:t>P</w:t>
      </w:r>
      <w:r w:rsidR="00BD3CB0" w:rsidRPr="003A78FF">
        <w:rPr>
          <w:rFonts w:ascii="VIC" w:eastAsiaTheme="minorEastAsia" w:hAnsi="VIC" w:cstheme="minorBidi"/>
          <w:color w:val="auto"/>
          <w:sz w:val="24"/>
        </w:rPr>
        <w:t>atients selected for day surgery should not have significant comorbidities</w:t>
      </w:r>
      <w:r w:rsidR="002A0EF5" w:rsidRPr="003A78FF">
        <w:rPr>
          <w:rFonts w:ascii="VIC" w:eastAsiaTheme="minorEastAsia" w:hAnsi="VIC" w:cstheme="minorBidi"/>
          <w:color w:val="auto"/>
          <w:sz w:val="24"/>
        </w:rPr>
        <w:t>, should have adequate cognitive function and health literacy to appropriately monitor their recovery and escalate issues as required,</w:t>
      </w:r>
      <w:r w:rsidR="00BD3CB0" w:rsidRPr="003A78FF">
        <w:rPr>
          <w:rFonts w:ascii="VIC" w:eastAsiaTheme="minorEastAsia" w:hAnsi="VIC" w:cstheme="minorBidi"/>
          <w:color w:val="auto"/>
          <w:sz w:val="24"/>
        </w:rPr>
        <w:t xml:space="preserve"> be ASA 1 &amp; 2</w:t>
      </w:r>
      <w:r w:rsidR="52C90AB3" w:rsidRPr="003A78FF">
        <w:rPr>
          <w:rFonts w:ascii="VIC" w:eastAsiaTheme="minorEastAsia" w:hAnsi="VIC" w:cstheme="minorBidi"/>
          <w:color w:val="auto"/>
          <w:sz w:val="24"/>
        </w:rPr>
        <w:t xml:space="preserve"> </w:t>
      </w:r>
      <w:r w:rsidR="00D0791C" w:rsidRPr="003A78FF">
        <w:rPr>
          <w:rFonts w:ascii="VIC" w:eastAsiaTheme="minorEastAsia" w:hAnsi="VIC" w:cstheme="minorBidi"/>
          <w:color w:val="auto"/>
          <w:sz w:val="24"/>
        </w:rPr>
        <w:t>(</w:t>
      </w:r>
      <w:r w:rsidR="01DACDFD" w:rsidRPr="003A78FF">
        <w:rPr>
          <w:rFonts w:ascii="VIC" w:eastAsiaTheme="minorEastAsia" w:hAnsi="VIC" w:cstheme="minorBidi"/>
          <w:color w:val="auto"/>
          <w:sz w:val="24"/>
        </w:rPr>
        <w:t>with</w:t>
      </w:r>
      <w:r w:rsidR="00D0791C" w:rsidRPr="003A78FF">
        <w:rPr>
          <w:rFonts w:ascii="VIC" w:eastAsiaTheme="minorEastAsia" w:hAnsi="VIC" w:cstheme="minorBidi"/>
          <w:color w:val="auto"/>
          <w:sz w:val="24"/>
        </w:rPr>
        <w:t xml:space="preserve"> some ASA 3 </w:t>
      </w:r>
      <w:r w:rsidR="52C90AB3" w:rsidRPr="003A78FF">
        <w:rPr>
          <w:rFonts w:ascii="VIC" w:eastAsiaTheme="minorEastAsia" w:hAnsi="VIC" w:cstheme="minorBidi"/>
          <w:color w:val="auto"/>
          <w:sz w:val="24"/>
        </w:rPr>
        <w:t xml:space="preserve">stable </w:t>
      </w:r>
      <w:r w:rsidR="00D0791C" w:rsidRPr="003A78FF">
        <w:rPr>
          <w:rFonts w:ascii="VIC" w:eastAsiaTheme="minorEastAsia" w:hAnsi="VIC" w:cstheme="minorBidi"/>
          <w:color w:val="auto"/>
          <w:sz w:val="24"/>
        </w:rPr>
        <w:t>patients</w:t>
      </w:r>
      <w:r w:rsidR="01DACDFD" w:rsidRPr="003A78FF">
        <w:rPr>
          <w:rFonts w:ascii="VIC" w:eastAsiaTheme="minorEastAsia" w:hAnsi="VIC" w:cstheme="minorBidi"/>
          <w:color w:val="auto"/>
          <w:sz w:val="24"/>
        </w:rPr>
        <w:t>)</w:t>
      </w:r>
      <w:r w:rsidR="00D0791C" w:rsidRPr="003A78FF">
        <w:rPr>
          <w:rFonts w:ascii="VIC" w:eastAsiaTheme="minorEastAsia" w:hAnsi="VIC" w:cstheme="minorBidi"/>
          <w:color w:val="auto"/>
          <w:sz w:val="24"/>
        </w:rPr>
        <w:t xml:space="preserve"> and</w:t>
      </w:r>
      <w:r w:rsidR="00BD3CB0" w:rsidRPr="003A78FF">
        <w:rPr>
          <w:rFonts w:ascii="VIC" w:eastAsiaTheme="minorEastAsia" w:hAnsi="VIC" w:cstheme="minorBidi"/>
          <w:color w:val="auto"/>
          <w:sz w:val="24"/>
        </w:rPr>
        <w:t xml:space="preserve"> have a BMI &lt; </w:t>
      </w:r>
      <w:r w:rsidR="00D00366" w:rsidRPr="003A78FF">
        <w:rPr>
          <w:rFonts w:ascii="VIC" w:eastAsiaTheme="minorEastAsia" w:hAnsi="VIC" w:cstheme="minorBidi"/>
          <w:color w:val="auto"/>
          <w:sz w:val="24"/>
        </w:rPr>
        <w:t>35 unless</w:t>
      </w:r>
      <w:r w:rsidR="00A36DA2" w:rsidRPr="003A78FF">
        <w:rPr>
          <w:rFonts w:ascii="VIC" w:eastAsiaTheme="minorEastAsia" w:hAnsi="VIC" w:cstheme="minorBidi"/>
          <w:color w:val="auto"/>
          <w:sz w:val="24"/>
        </w:rPr>
        <w:t xml:space="preserve"> the surgery is very minor and superficial</w:t>
      </w:r>
      <w:r w:rsidR="0034045B" w:rsidRPr="003A78FF">
        <w:rPr>
          <w:rFonts w:ascii="VIC" w:eastAsiaTheme="minorEastAsia" w:hAnsi="VIC" w:cstheme="minorBidi"/>
          <w:color w:val="auto"/>
          <w:sz w:val="24"/>
        </w:rPr>
        <w:t xml:space="preserve">. The </w:t>
      </w:r>
      <w:r w:rsidR="00FC1755" w:rsidRPr="003A78FF">
        <w:rPr>
          <w:rFonts w:ascii="VIC" w:eastAsiaTheme="minorEastAsia" w:hAnsi="VIC" w:cstheme="minorBidi"/>
          <w:color w:val="auto"/>
          <w:sz w:val="24"/>
        </w:rPr>
        <w:t xml:space="preserve">planned </w:t>
      </w:r>
      <w:r w:rsidR="0034045B" w:rsidRPr="003A78FF">
        <w:rPr>
          <w:rFonts w:ascii="VIC" w:eastAsiaTheme="minorEastAsia" w:hAnsi="VIC" w:cstheme="minorBidi"/>
          <w:color w:val="auto"/>
          <w:sz w:val="24"/>
        </w:rPr>
        <w:t>procedure’s known complications</w:t>
      </w:r>
      <w:r w:rsidR="00FC1755" w:rsidRPr="003A78FF">
        <w:rPr>
          <w:rFonts w:ascii="VIC" w:eastAsiaTheme="minorEastAsia" w:hAnsi="VIC" w:cstheme="minorBidi"/>
          <w:color w:val="auto"/>
          <w:sz w:val="24"/>
        </w:rPr>
        <w:t xml:space="preserve"> and</w:t>
      </w:r>
      <w:r w:rsidR="0034045B" w:rsidRPr="003A78FF">
        <w:rPr>
          <w:rFonts w:ascii="VIC" w:eastAsiaTheme="minorEastAsia" w:hAnsi="VIC" w:cstheme="minorBidi"/>
          <w:color w:val="auto"/>
          <w:sz w:val="24"/>
        </w:rPr>
        <w:t xml:space="preserve"> type of anaesthesia to be </w:t>
      </w:r>
      <w:r w:rsidR="004E0DDE" w:rsidRPr="003A78FF">
        <w:rPr>
          <w:rFonts w:ascii="VIC" w:eastAsiaTheme="minorEastAsia" w:hAnsi="VIC" w:cstheme="minorBidi"/>
          <w:color w:val="auto"/>
          <w:sz w:val="24"/>
        </w:rPr>
        <w:t>administered</w:t>
      </w:r>
      <w:r w:rsidR="00FC1755" w:rsidRPr="003A78FF">
        <w:rPr>
          <w:rFonts w:ascii="VIC" w:eastAsiaTheme="minorEastAsia" w:hAnsi="VIC" w:cstheme="minorBidi"/>
          <w:color w:val="auto"/>
          <w:sz w:val="24"/>
        </w:rPr>
        <w:t>,</w:t>
      </w:r>
      <w:r w:rsidR="0034045B" w:rsidRPr="003A78FF">
        <w:rPr>
          <w:rFonts w:ascii="VIC" w:eastAsiaTheme="minorEastAsia" w:hAnsi="VIC" w:cstheme="minorBidi"/>
          <w:color w:val="auto"/>
          <w:sz w:val="24"/>
        </w:rPr>
        <w:t xml:space="preserve"> and the healthcare postoperative monitoring it requires should be considered.</w:t>
      </w:r>
      <w:r w:rsidR="1F0D1574" w:rsidRPr="003A78FF">
        <w:rPr>
          <w:rFonts w:ascii="VIC" w:eastAsiaTheme="minorEastAsia" w:hAnsi="VIC" w:cstheme="minorBidi"/>
          <w:color w:val="auto"/>
          <w:sz w:val="24"/>
        </w:rPr>
        <w:t xml:space="preserve"> </w:t>
      </w:r>
      <w:r w:rsidR="00235808" w:rsidRPr="003A78FF">
        <w:rPr>
          <w:rFonts w:ascii="VIC" w:eastAsiaTheme="minorEastAsia" w:hAnsi="VIC" w:cstheme="minorBidi"/>
          <w:color w:val="auto"/>
          <w:sz w:val="24"/>
        </w:rPr>
        <w:t>C</w:t>
      </w:r>
      <w:r w:rsidR="00AB396E" w:rsidRPr="003A78FF">
        <w:rPr>
          <w:rFonts w:ascii="VIC" w:eastAsiaTheme="minorEastAsia" w:hAnsi="VIC" w:cstheme="minorBidi"/>
          <w:color w:val="auto"/>
          <w:sz w:val="24"/>
        </w:rPr>
        <w:t>onsiderations</w:t>
      </w:r>
      <w:r w:rsidR="1F0D1574" w:rsidRPr="003A78FF">
        <w:rPr>
          <w:rFonts w:ascii="VIC" w:eastAsiaTheme="minorEastAsia" w:hAnsi="VIC" w:cstheme="minorBidi"/>
          <w:color w:val="auto"/>
          <w:sz w:val="24"/>
        </w:rPr>
        <w:t xml:space="preserve"> </w:t>
      </w:r>
      <w:r w:rsidR="00235808" w:rsidRPr="003A78FF">
        <w:rPr>
          <w:rFonts w:ascii="VIC" w:eastAsiaTheme="minorEastAsia" w:hAnsi="VIC" w:cstheme="minorBidi"/>
          <w:color w:val="auto"/>
          <w:sz w:val="24"/>
        </w:rPr>
        <w:t xml:space="preserve">for safe </w:t>
      </w:r>
      <w:r w:rsidR="1F0D1574" w:rsidRPr="003A78FF">
        <w:rPr>
          <w:rFonts w:ascii="VIC" w:eastAsiaTheme="minorEastAsia" w:hAnsi="VIC" w:cstheme="minorBidi"/>
          <w:color w:val="auto"/>
          <w:sz w:val="24"/>
        </w:rPr>
        <w:t xml:space="preserve">discharge </w:t>
      </w:r>
      <w:r w:rsidR="00FA65B0" w:rsidRPr="003A78FF">
        <w:rPr>
          <w:rFonts w:ascii="VIC" w:eastAsiaTheme="minorEastAsia" w:hAnsi="VIC" w:cstheme="minorBidi"/>
          <w:color w:val="auto"/>
          <w:sz w:val="24"/>
        </w:rPr>
        <w:t>include</w:t>
      </w:r>
      <w:r w:rsidR="004F0A98" w:rsidRPr="003A78FF">
        <w:rPr>
          <w:rFonts w:ascii="VIC" w:eastAsiaTheme="minorEastAsia" w:hAnsi="VIC" w:cstheme="minorBidi"/>
          <w:color w:val="auto"/>
          <w:sz w:val="24"/>
        </w:rPr>
        <w:t xml:space="preserve"> transport, carer availability and capability, and discharge </w:t>
      </w:r>
      <w:r w:rsidR="1F0D1574" w:rsidRPr="003A78FF">
        <w:rPr>
          <w:rFonts w:ascii="VIC" w:eastAsiaTheme="minorEastAsia" w:hAnsi="VIC" w:cstheme="minorBidi"/>
          <w:color w:val="auto"/>
          <w:sz w:val="24"/>
        </w:rPr>
        <w:t>location</w:t>
      </w:r>
      <w:r w:rsidR="004F0A98" w:rsidRPr="003A78FF">
        <w:rPr>
          <w:rFonts w:ascii="VIC" w:eastAsiaTheme="minorEastAsia" w:hAnsi="VIC" w:cstheme="minorBidi"/>
          <w:color w:val="auto"/>
          <w:sz w:val="24"/>
        </w:rPr>
        <w:t xml:space="preserve"> and environment</w:t>
      </w:r>
      <w:r w:rsidR="1F0D1574" w:rsidRPr="003A78FF">
        <w:rPr>
          <w:rFonts w:ascii="VIC" w:eastAsiaTheme="minorEastAsia" w:hAnsi="VIC" w:cstheme="minorBidi"/>
          <w:color w:val="auto"/>
          <w:sz w:val="24"/>
        </w:rPr>
        <w:t xml:space="preserve">. </w:t>
      </w:r>
      <w:r w:rsidR="005B6D73" w:rsidRPr="003A78FF">
        <w:rPr>
          <w:rFonts w:ascii="VIC" w:eastAsiaTheme="minorEastAsia" w:hAnsi="VIC" w:cstheme="minorBidi"/>
          <w:color w:val="auto"/>
          <w:sz w:val="24"/>
        </w:rPr>
        <w:t>The patient will need</w:t>
      </w:r>
      <w:r w:rsidR="1F0D1574" w:rsidRPr="003A78FF">
        <w:rPr>
          <w:rFonts w:ascii="VIC" w:eastAsiaTheme="minorEastAsia" w:hAnsi="VIC" w:cstheme="minorBidi"/>
          <w:color w:val="auto"/>
          <w:sz w:val="24"/>
        </w:rPr>
        <w:t xml:space="preserve"> to </w:t>
      </w:r>
      <w:r w:rsidR="005B6D73" w:rsidRPr="003A78FF">
        <w:rPr>
          <w:rFonts w:ascii="VIC" w:eastAsiaTheme="minorEastAsia" w:hAnsi="VIC" w:cstheme="minorBidi"/>
          <w:color w:val="auto"/>
          <w:sz w:val="24"/>
        </w:rPr>
        <w:t>stay</w:t>
      </w:r>
      <w:r w:rsidR="1F0D1574" w:rsidRPr="003A78FF">
        <w:rPr>
          <w:rFonts w:ascii="VIC" w:eastAsiaTheme="minorEastAsia" w:hAnsi="VIC" w:cstheme="minorBidi"/>
          <w:color w:val="auto"/>
          <w:sz w:val="24"/>
        </w:rPr>
        <w:t xml:space="preserve"> within 30min </w:t>
      </w:r>
      <w:r w:rsidR="2E15C9BA" w:rsidRPr="003A78FF">
        <w:rPr>
          <w:rFonts w:ascii="VIC" w:eastAsiaTheme="minorEastAsia" w:hAnsi="VIC" w:cstheme="minorBidi"/>
          <w:color w:val="auto"/>
          <w:sz w:val="24"/>
        </w:rPr>
        <w:t>of</w:t>
      </w:r>
      <w:r w:rsidR="005C7B76" w:rsidRPr="003A78FF">
        <w:rPr>
          <w:rFonts w:ascii="VIC" w:eastAsiaTheme="minorEastAsia" w:hAnsi="VIC" w:cstheme="minorBidi"/>
          <w:color w:val="auto"/>
          <w:sz w:val="24"/>
        </w:rPr>
        <w:t xml:space="preserve"> their</w:t>
      </w:r>
      <w:r w:rsidR="1F0D1574" w:rsidRPr="003A78FF">
        <w:rPr>
          <w:rFonts w:ascii="VIC" w:eastAsiaTheme="minorEastAsia" w:hAnsi="VIC" w:cstheme="minorBidi"/>
          <w:color w:val="auto"/>
          <w:sz w:val="24"/>
        </w:rPr>
        <w:t xml:space="preserve"> nearest Health </w:t>
      </w:r>
      <w:r w:rsidR="005B6D73" w:rsidRPr="003A78FF">
        <w:rPr>
          <w:rFonts w:ascii="VIC" w:eastAsiaTheme="minorEastAsia" w:hAnsi="VIC" w:cstheme="minorBidi"/>
          <w:color w:val="auto"/>
          <w:sz w:val="24"/>
        </w:rPr>
        <w:t>S</w:t>
      </w:r>
      <w:r w:rsidR="1F0D1574" w:rsidRPr="003A78FF">
        <w:rPr>
          <w:rFonts w:ascii="VIC" w:eastAsiaTheme="minorEastAsia" w:hAnsi="VIC" w:cstheme="minorBidi"/>
          <w:color w:val="auto"/>
          <w:sz w:val="24"/>
        </w:rPr>
        <w:t>ervice</w:t>
      </w:r>
      <w:r w:rsidR="00865CA6" w:rsidRPr="003A78FF">
        <w:rPr>
          <w:rFonts w:ascii="VIC" w:eastAsiaTheme="minorEastAsia" w:hAnsi="VIC" w:cstheme="minorBidi"/>
          <w:color w:val="auto"/>
          <w:sz w:val="24"/>
        </w:rPr>
        <w:t xml:space="preserve"> in an environment considered safe and appropriate for their postoperative recovery</w:t>
      </w:r>
      <w:r w:rsidR="00235808" w:rsidRPr="003A78FF">
        <w:rPr>
          <w:rFonts w:ascii="VIC" w:eastAsiaTheme="minorEastAsia" w:hAnsi="VIC" w:cstheme="minorBidi"/>
          <w:color w:val="auto"/>
          <w:sz w:val="24"/>
        </w:rPr>
        <w:t xml:space="preserve">, have a designated carer </w:t>
      </w:r>
      <w:r w:rsidR="2E0DA72C" w:rsidRPr="003A78FF">
        <w:rPr>
          <w:rFonts w:ascii="VIC" w:eastAsiaTheme="minorEastAsia" w:hAnsi="VIC" w:cstheme="minorBidi"/>
          <w:color w:val="auto"/>
          <w:sz w:val="24"/>
        </w:rPr>
        <w:t>capable</w:t>
      </w:r>
      <w:r w:rsidR="00235808" w:rsidRPr="003A78FF">
        <w:rPr>
          <w:rFonts w:ascii="VIC" w:eastAsiaTheme="minorEastAsia" w:hAnsi="VIC" w:cstheme="minorBidi"/>
          <w:color w:val="auto"/>
          <w:sz w:val="24"/>
        </w:rPr>
        <w:t xml:space="preserve"> of monitoring recovery and providing care needs, and</w:t>
      </w:r>
      <w:r w:rsidR="00DD1FD8" w:rsidRPr="003A78FF">
        <w:rPr>
          <w:rFonts w:ascii="VIC" w:eastAsiaTheme="minorEastAsia" w:hAnsi="VIC" w:cstheme="minorBidi"/>
          <w:color w:val="auto"/>
          <w:sz w:val="24"/>
        </w:rPr>
        <w:t xml:space="preserve"> have access to appropriate </w:t>
      </w:r>
      <w:r w:rsidR="001433D1" w:rsidRPr="003A78FF">
        <w:rPr>
          <w:rFonts w:ascii="VIC" w:eastAsiaTheme="minorEastAsia" w:hAnsi="VIC" w:cstheme="minorBidi"/>
          <w:color w:val="auto"/>
          <w:sz w:val="24"/>
        </w:rPr>
        <w:t>transport from the hospital</w:t>
      </w:r>
      <w:r w:rsidR="1F0D1574" w:rsidRPr="003A78FF">
        <w:rPr>
          <w:rFonts w:ascii="VIC" w:eastAsiaTheme="minorEastAsia" w:hAnsi="VIC" w:cstheme="minorBidi"/>
          <w:color w:val="auto"/>
          <w:sz w:val="24"/>
        </w:rPr>
        <w:t xml:space="preserve">. Medihotels are an option for those who </w:t>
      </w:r>
      <w:r w:rsidR="00427572" w:rsidRPr="003A78FF">
        <w:rPr>
          <w:rFonts w:ascii="VIC" w:eastAsiaTheme="minorEastAsia" w:hAnsi="VIC" w:cstheme="minorBidi"/>
          <w:color w:val="auto"/>
          <w:sz w:val="24"/>
        </w:rPr>
        <w:t xml:space="preserve">do not have </w:t>
      </w:r>
      <w:r w:rsidR="00690811" w:rsidRPr="003A78FF">
        <w:rPr>
          <w:rFonts w:ascii="VIC" w:eastAsiaTheme="minorEastAsia" w:hAnsi="VIC" w:cstheme="minorBidi"/>
          <w:color w:val="auto"/>
          <w:sz w:val="24"/>
        </w:rPr>
        <w:t xml:space="preserve">appropriate </w:t>
      </w:r>
      <w:r w:rsidR="00427572" w:rsidRPr="003A78FF">
        <w:rPr>
          <w:rFonts w:ascii="VIC" w:eastAsiaTheme="minorEastAsia" w:hAnsi="VIC" w:cstheme="minorBidi"/>
          <w:color w:val="auto"/>
          <w:sz w:val="24"/>
        </w:rPr>
        <w:t>accommodation options close to</w:t>
      </w:r>
      <w:r w:rsidR="1F0D1574" w:rsidRPr="003A78FF">
        <w:rPr>
          <w:rFonts w:ascii="VIC" w:eastAsiaTheme="minorEastAsia" w:hAnsi="VIC" w:cstheme="minorBidi"/>
          <w:color w:val="auto"/>
          <w:sz w:val="24"/>
        </w:rPr>
        <w:t xml:space="preserve"> a health service</w:t>
      </w:r>
      <w:r w:rsidR="0047160C" w:rsidRPr="003A78FF">
        <w:rPr>
          <w:rFonts w:ascii="VIC" w:eastAsiaTheme="minorEastAsia" w:hAnsi="VIC" w:cstheme="minorBidi"/>
          <w:color w:val="auto"/>
          <w:sz w:val="24"/>
        </w:rPr>
        <w:t xml:space="preserve"> </w:t>
      </w:r>
      <w:hyperlink r:id="rId22" w:history="1">
        <w:r w:rsidR="00326223" w:rsidRPr="003A78FF">
          <w:rPr>
            <w:rStyle w:val="Hyperlink"/>
            <w:rFonts w:ascii="VIC" w:hAnsi="VIC"/>
            <w:sz w:val="24"/>
          </w:rPr>
          <w:t>Medihotels (health.vic.gov.au)</w:t>
        </w:r>
      </w:hyperlink>
      <w:r w:rsidR="003F40C6" w:rsidRPr="003A78FF">
        <w:rPr>
          <w:rStyle w:val="Hyperlink"/>
          <w:rFonts w:ascii="VIC" w:hAnsi="VIC"/>
          <w:sz w:val="24"/>
        </w:rPr>
        <w:t xml:space="preserve"> </w:t>
      </w:r>
      <w:r w:rsidR="003F40C6" w:rsidRPr="003A78FF">
        <w:rPr>
          <w:rStyle w:val="Hyperlink"/>
          <w:rFonts w:ascii="VIC" w:hAnsi="VIC"/>
          <w:color w:val="auto"/>
          <w:sz w:val="24"/>
          <w:u w:val="none"/>
        </w:rPr>
        <w:t>&lt;https://www.health.vic.gov.au/patient-care/medihotels&gt;</w:t>
      </w:r>
    </w:p>
    <w:p w14:paraId="45E49186" w14:textId="0898E512" w:rsidR="00152F10" w:rsidRPr="003A78FF" w:rsidRDefault="00A36DA2" w:rsidP="00152F10">
      <w:pPr>
        <w:pStyle w:val="NormalWeb"/>
        <w:ind w:left="284"/>
        <w:rPr>
          <w:rFonts w:ascii="VIC" w:hAnsi="VIC" w:cstheme="minorHAnsi"/>
          <w:color w:val="000000"/>
          <w:sz w:val="24"/>
        </w:rPr>
      </w:pPr>
      <w:r w:rsidRPr="003A78FF">
        <w:rPr>
          <w:rFonts w:ascii="VIC" w:eastAsiaTheme="minorEastAsia" w:hAnsi="VIC" w:cstheme="minorBidi"/>
          <w:color w:val="auto"/>
          <w:sz w:val="24"/>
        </w:rPr>
        <w:t xml:space="preserve"> </w:t>
      </w:r>
    </w:p>
    <w:p w14:paraId="326DD565" w14:textId="596F6220" w:rsidR="005324E2" w:rsidRPr="003A78FF" w:rsidRDefault="007E6F43" w:rsidP="00471E6E">
      <w:pPr>
        <w:pStyle w:val="NormalWeb"/>
        <w:numPr>
          <w:ilvl w:val="0"/>
          <w:numId w:val="26"/>
        </w:numPr>
        <w:rPr>
          <w:rFonts w:ascii="VIC" w:hAnsi="VIC" w:cstheme="minorHAnsi"/>
          <w:b/>
          <w:bCs/>
          <w:color w:val="000000"/>
          <w:sz w:val="24"/>
        </w:rPr>
      </w:pPr>
      <w:r w:rsidRPr="003A78FF">
        <w:rPr>
          <w:rFonts w:ascii="VIC" w:hAnsi="VIC" w:cstheme="minorBidi"/>
          <w:b/>
          <w:bCs/>
          <w:sz w:val="24"/>
        </w:rPr>
        <w:t>F</w:t>
      </w:r>
      <w:r w:rsidR="2368A66A" w:rsidRPr="003A78FF">
        <w:rPr>
          <w:rFonts w:ascii="VIC" w:hAnsi="VIC" w:cstheme="minorBidi"/>
          <w:b/>
          <w:bCs/>
          <w:sz w:val="24"/>
        </w:rPr>
        <w:t xml:space="preserve">ailure to respond to </w:t>
      </w:r>
      <w:r w:rsidR="51110233" w:rsidRPr="003A78FF">
        <w:rPr>
          <w:rFonts w:ascii="VIC" w:hAnsi="VIC" w:cstheme="minorBidi"/>
          <w:b/>
          <w:bCs/>
          <w:sz w:val="24"/>
        </w:rPr>
        <w:t xml:space="preserve">complications and </w:t>
      </w:r>
      <w:r w:rsidR="17B52E42" w:rsidRPr="003A78FF">
        <w:rPr>
          <w:rFonts w:ascii="VIC" w:hAnsi="VIC" w:cstheme="minorBidi"/>
          <w:b/>
          <w:bCs/>
          <w:sz w:val="24"/>
        </w:rPr>
        <w:t>deterioration in a timely manner</w:t>
      </w:r>
      <w:r w:rsidR="3B074449" w:rsidRPr="003A78FF">
        <w:rPr>
          <w:rFonts w:ascii="VIC" w:hAnsi="VIC" w:cstheme="minorBidi"/>
          <w:b/>
          <w:bCs/>
          <w:sz w:val="24"/>
        </w:rPr>
        <w:t>:</w:t>
      </w:r>
      <w:r w:rsidR="005D26E2" w:rsidRPr="003A78FF">
        <w:rPr>
          <w:rFonts w:ascii="VIC" w:hAnsi="VIC" w:cstheme="minorHAnsi"/>
          <w:b/>
          <w:bCs/>
          <w:color w:val="000000"/>
          <w:sz w:val="24"/>
        </w:rPr>
        <w:t xml:space="preserve"> </w:t>
      </w:r>
      <w:r w:rsidR="006A7552" w:rsidRPr="003A78FF">
        <w:rPr>
          <w:rFonts w:ascii="VIC" w:hAnsi="VIC" w:cstheme="minorBidi"/>
          <w:sz w:val="24"/>
        </w:rPr>
        <w:t xml:space="preserve">To ensure safety </w:t>
      </w:r>
      <w:r w:rsidR="004F09F6" w:rsidRPr="003A78FF">
        <w:rPr>
          <w:rFonts w:ascii="VIC" w:hAnsi="VIC" w:cstheme="minorBidi"/>
          <w:sz w:val="24"/>
        </w:rPr>
        <w:t>when</w:t>
      </w:r>
      <w:r w:rsidR="006A7552" w:rsidRPr="003A78FF">
        <w:rPr>
          <w:rFonts w:ascii="VIC" w:hAnsi="VIC" w:cstheme="minorBidi"/>
          <w:sz w:val="24"/>
        </w:rPr>
        <w:t xml:space="preserve"> expand</w:t>
      </w:r>
      <w:r w:rsidR="004F09F6" w:rsidRPr="003A78FF">
        <w:rPr>
          <w:rFonts w:ascii="VIC" w:hAnsi="VIC" w:cstheme="minorBidi"/>
          <w:sz w:val="24"/>
        </w:rPr>
        <w:t>ing</w:t>
      </w:r>
      <w:r w:rsidR="006A7552" w:rsidRPr="003A78FF">
        <w:rPr>
          <w:rFonts w:ascii="VIC" w:hAnsi="VIC" w:cstheme="minorBidi"/>
          <w:sz w:val="24"/>
        </w:rPr>
        <w:t xml:space="preserve"> same-day </w:t>
      </w:r>
      <w:r w:rsidR="00451F2E" w:rsidRPr="003A78FF">
        <w:rPr>
          <w:rFonts w:ascii="VIC" w:hAnsi="VIC" w:cstheme="minorBidi"/>
          <w:sz w:val="24"/>
        </w:rPr>
        <w:t>models of surgical care</w:t>
      </w:r>
      <w:r w:rsidR="00677CA6" w:rsidRPr="003A78FF">
        <w:rPr>
          <w:rFonts w:ascii="VIC" w:hAnsi="VIC" w:cstheme="minorBidi"/>
          <w:sz w:val="24"/>
        </w:rPr>
        <w:t>,</w:t>
      </w:r>
      <w:r w:rsidR="004F09F6" w:rsidRPr="003A78FF">
        <w:rPr>
          <w:rFonts w:ascii="VIC" w:hAnsi="VIC" w:cstheme="minorBidi"/>
          <w:sz w:val="24"/>
        </w:rPr>
        <w:t xml:space="preserve"> a</w:t>
      </w:r>
      <w:r w:rsidR="00A36DA2" w:rsidRPr="003A78FF">
        <w:rPr>
          <w:rFonts w:ascii="VIC" w:hAnsi="VIC" w:cstheme="minorBidi"/>
          <w:sz w:val="24"/>
        </w:rPr>
        <w:t xml:space="preserve">n escalation process </w:t>
      </w:r>
      <w:r w:rsidR="00451F2E" w:rsidRPr="003A78FF">
        <w:rPr>
          <w:rFonts w:ascii="VIC" w:hAnsi="VIC" w:cstheme="minorBidi"/>
          <w:sz w:val="24"/>
        </w:rPr>
        <w:t>will</w:t>
      </w:r>
      <w:r w:rsidR="00A36DA2" w:rsidRPr="003A78FF">
        <w:rPr>
          <w:rFonts w:ascii="VIC" w:hAnsi="VIC" w:cstheme="minorBidi"/>
          <w:sz w:val="24"/>
        </w:rPr>
        <w:t xml:space="preserve"> be understood and followed in the event of complications and/or deterioration</w:t>
      </w:r>
      <w:r w:rsidR="00976FF5" w:rsidRPr="003A78FF">
        <w:rPr>
          <w:rFonts w:ascii="VIC" w:hAnsi="VIC" w:cstheme="minorBidi"/>
          <w:sz w:val="24"/>
        </w:rPr>
        <w:t xml:space="preserve">. Post procedure monitoring will be utilised to help identify </w:t>
      </w:r>
      <w:r w:rsidR="00B64BCB" w:rsidRPr="003A78FF">
        <w:rPr>
          <w:rFonts w:ascii="VIC" w:hAnsi="VIC" w:cstheme="minorBidi"/>
          <w:sz w:val="24"/>
        </w:rPr>
        <w:t xml:space="preserve">early </w:t>
      </w:r>
      <w:r w:rsidR="00976FF5" w:rsidRPr="003A78FF">
        <w:rPr>
          <w:rFonts w:ascii="VIC" w:hAnsi="VIC" w:cstheme="minorBidi"/>
          <w:sz w:val="24"/>
        </w:rPr>
        <w:t>patient deterioration</w:t>
      </w:r>
      <w:r w:rsidR="00B64BCB" w:rsidRPr="003A78FF">
        <w:rPr>
          <w:rFonts w:ascii="VIC" w:hAnsi="VIC" w:cstheme="minorBidi"/>
          <w:sz w:val="24"/>
        </w:rPr>
        <w:t>.</w:t>
      </w:r>
      <w:r w:rsidR="00976FF5" w:rsidRPr="003A78FF">
        <w:rPr>
          <w:rFonts w:ascii="VIC" w:hAnsi="VIC" w:cstheme="minorBidi"/>
          <w:sz w:val="24"/>
        </w:rPr>
        <w:t xml:space="preserve"> </w:t>
      </w:r>
      <w:r w:rsidR="00310234" w:rsidRPr="003A78FF">
        <w:rPr>
          <w:rFonts w:ascii="VIC" w:hAnsi="VIC" w:cstheme="minorBidi"/>
          <w:sz w:val="24"/>
        </w:rPr>
        <w:t xml:space="preserve">In the instance </w:t>
      </w:r>
      <w:r w:rsidR="003845DF" w:rsidRPr="003A78FF">
        <w:rPr>
          <w:rFonts w:ascii="VIC" w:hAnsi="VIC" w:cstheme="minorBidi"/>
          <w:sz w:val="24"/>
        </w:rPr>
        <w:t xml:space="preserve">that </w:t>
      </w:r>
      <w:r w:rsidR="00310234" w:rsidRPr="003A78FF">
        <w:rPr>
          <w:rFonts w:ascii="VIC" w:hAnsi="VIC" w:cstheme="minorBidi"/>
          <w:sz w:val="24"/>
        </w:rPr>
        <w:t>a</w:t>
      </w:r>
      <w:r w:rsidR="00A36DA2" w:rsidRPr="003A78FF">
        <w:rPr>
          <w:rFonts w:ascii="VIC" w:hAnsi="VIC" w:cstheme="minorBidi"/>
          <w:sz w:val="24"/>
        </w:rPr>
        <w:t xml:space="preserve"> postoperative patient deviat</w:t>
      </w:r>
      <w:r w:rsidR="003845DF" w:rsidRPr="003A78FF">
        <w:rPr>
          <w:rFonts w:ascii="VIC" w:hAnsi="VIC" w:cstheme="minorBidi"/>
          <w:sz w:val="24"/>
        </w:rPr>
        <w:t>es</w:t>
      </w:r>
      <w:r w:rsidR="00A36DA2" w:rsidRPr="003A78FF">
        <w:rPr>
          <w:rFonts w:ascii="VIC" w:hAnsi="VIC" w:cstheme="minorBidi"/>
          <w:sz w:val="24"/>
        </w:rPr>
        <w:t xml:space="preserve"> from </w:t>
      </w:r>
      <w:r w:rsidR="00B64BCB" w:rsidRPr="003A78FF">
        <w:rPr>
          <w:rFonts w:ascii="VIC" w:hAnsi="VIC" w:cstheme="minorBidi"/>
          <w:sz w:val="24"/>
        </w:rPr>
        <w:t xml:space="preserve">the </w:t>
      </w:r>
      <w:r w:rsidR="00A36DA2" w:rsidRPr="003A78FF">
        <w:rPr>
          <w:rFonts w:ascii="VIC" w:hAnsi="VIC" w:cstheme="minorBidi"/>
          <w:sz w:val="24"/>
        </w:rPr>
        <w:t>expected</w:t>
      </w:r>
      <w:r w:rsidR="00B64BCB" w:rsidRPr="003A78FF">
        <w:rPr>
          <w:rFonts w:ascii="VIC" w:hAnsi="VIC" w:cstheme="minorBidi"/>
          <w:sz w:val="24"/>
        </w:rPr>
        <w:t xml:space="preserve"> recovery trajectory</w:t>
      </w:r>
      <w:r w:rsidR="00A815AE" w:rsidRPr="003A78FF">
        <w:rPr>
          <w:rFonts w:ascii="VIC" w:hAnsi="VIC" w:cstheme="minorBidi"/>
          <w:sz w:val="24"/>
        </w:rPr>
        <w:t xml:space="preserve">, the </w:t>
      </w:r>
      <w:r w:rsidR="003845DF" w:rsidRPr="003A78FF">
        <w:rPr>
          <w:rFonts w:ascii="VIC" w:hAnsi="VIC" w:cstheme="minorBidi"/>
          <w:sz w:val="24"/>
        </w:rPr>
        <w:lastRenderedPageBreak/>
        <w:t>patient should be reviewed to</w:t>
      </w:r>
      <w:r w:rsidR="001D10D6" w:rsidRPr="003A78FF">
        <w:rPr>
          <w:rFonts w:ascii="VIC" w:hAnsi="VIC" w:cstheme="minorBidi"/>
          <w:sz w:val="24"/>
        </w:rPr>
        <w:t xml:space="preserve"> determine if the</w:t>
      </w:r>
      <w:r w:rsidR="003845DF" w:rsidRPr="003A78FF">
        <w:rPr>
          <w:rFonts w:ascii="VIC" w:hAnsi="VIC" w:cstheme="minorBidi"/>
          <w:sz w:val="24"/>
        </w:rPr>
        <w:t>y are</w:t>
      </w:r>
      <w:r w:rsidR="001D10D6" w:rsidRPr="003A78FF">
        <w:rPr>
          <w:rFonts w:ascii="VIC" w:hAnsi="VIC" w:cstheme="minorBidi"/>
          <w:sz w:val="24"/>
        </w:rPr>
        <w:t xml:space="preserve"> suitable to remain on the same-day model of surgical care</w:t>
      </w:r>
      <w:r w:rsidR="00CF478D" w:rsidRPr="003A78FF">
        <w:rPr>
          <w:rFonts w:ascii="VIC" w:hAnsi="VIC" w:cstheme="minorBidi"/>
          <w:sz w:val="24"/>
        </w:rPr>
        <w:t xml:space="preserve"> pathway</w:t>
      </w:r>
      <w:r w:rsidR="00A36DA2" w:rsidRPr="003A78FF">
        <w:rPr>
          <w:rFonts w:ascii="VIC" w:hAnsi="VIC" w:cstheme="minorBidi"/>
          <w:sz w:val="24"/>
        </w:rPr>
        <w:t xml:space="preserve">. A facility performing day surgery should be able to initially manage complications and stabilise the patient in the event of deterioration, with a clear, demonstrable process in place for those who may need </w:t>
      </w:r>
      <w:r w:rsidR="002D2C37" w:rsidRPr="003A78FF">
        <w:rPr>
          <w:rFonts w:ascii="VIC" w:hAnsi="VIC" w:cstheme="minorBidi"/>
          <w:sz w:val="24"/>
        </w:rPr>
        <w:t xml:space="preserve">unplanned overnight </w:t>
      </w:r>
      <w:r w:rsidR="00A36DA2" w:rsidRPr="003A78FF">
        <w:rPr>
          <w:rFonts w:ascii="VIC" w:hAnsi="VIC" w:cstheme="minorBidi"/>
          <w:sz w:val="24"/>
        </w:rPr>
        <w:t>admission</w:t>
      </w:r>
      <w:r w:rsidR="002D2C37" w:rsidRPr="003A78FF">
        <w:rPr>
          <w:rFonts w:ascii="VIC" w:hAnsi="VIC" w:cstheme="minorBidi"/>
          <w:sz w:val="24"/>
        </w:rPr>
        <w:t xml:space="preserve">, </w:t>
      </w:r>
      <w:r w:rsidR="00A36DA2" w:rsidRPr="003A78FF">
        <w:rPr>
          <w:rFonts w:ascii="VIC" w:hAnsi="VIC" w:cstheme="minorBidi"/>
          <w:sz w:val="24"/>
        </w:rPr>
        <w:t>escalation</w:t>
      </w:r>
      <w:r w:rsidR="002D2C37" w:rsidRPr="003A78FF">
        <w:rPr>
          <w:rFonts w:ascii="VIC" w:hAnsi="VIC" w:cstheme="minorBidi"/>
          <w:sz w:val="24"/>
        </w:rPr>
        <w:t xml:space="preserve"> of monitoring and care</w:t>
      </w:r>
      <w:r w:rsidR="005324E2" w:rsidRPr="003A78FF">
        <w:rPr>
          <w:rFonts w:ascii="VIC" w:hAnsi="VIC" w:cstheme="minorBidi"/>
          <w:sz w:val="24"/>
        </w:rPr>
        <w:t xml:space="preserve">, or </w:t>
      </w:r>
      <w:r w:rsidR="00A36DA2" w:rsidRPr="003A78FF">
        <w:rPr>
          <w:rFonts w:ascii="VIC" w:hAnsi="VIC" w:cstheme="minorBidi"/>
          <w:sz w:val="24"/>
        </w:rPr>
        <w:t>transfer</w:t>
      </w:r>
      <w:r w:rsidR="005324E2" w:rsidRPr="003A78FF">
        <w:rPr>
          <w:rFonts w:ascii="VIC" w:hAnsi="VIC" w:cstheme="minorBidi"/>
          <w:sz w:val="24"/>
        </w:rPr>
        <w:t xml:space="preserve"> to another health facility</w:t>
      </w:r>
      <w:r w:rsidR="00A36DA2" w:rsidRPr="003A78FF">
        <w:rPr>
          <w:rFonts w:ascii="VIC" w:hAnsi="VIC" w:cstheme="minorBidi"/>
          <w:sz w:val="24"/>
        </w:rPr>
        <w:t>.</w:t>
      </w:r>
    </w:p>
    <w:p w14:paraId="15FA1877" w14:textId="77777777" w:rsidR="00FA4ED1" w:rsidRPr="003A78FF" w:rsidRDefault="00FA4ED1" w:rsidP="5B749D9B">
      <w:pPr>
        <w:pStyle w:val="NormalWeb"/>
        <w:ind w:left="284"/>
        <w:rPr>
          <w:rFonts w:ascii="VIC" w:hAnsi="VIC" w:cstheme="minorBidi"/>
          <w:sz w:val="24"/>
        </w:rPr>
      </w:pPr>
    </w:p>
    <w:p w14:paraId="7CE16EBE" w14:textId="6FA0EEB1" w:rsidR="0029655A" w:rsidRPr="003A78FF" w:rsidRDefault="005324E2">
      <w:pPr>
        <w:pStyle w:val="NormalWeb"/>
        <w:ind w:left="284"/>
        <w:rPr>
          <w:rFonts w:ascii="VIC" w:eastAsiaTheme="minorEastAsia" w:hAnsi="VIC" w:cstheme="minorBidi"/>
          <w:color w:val="auto"/>
          <w:sz w:val="24"/>
        </w:rPr>
      </w:pPr>
      <w:r w:rsidRPr="003A78FF">
        <w:rPr>
          <w:rFonts w:ascii="VIC" w:eastAsiaTheme="minorEastAsia" w:hAnsi="VIC" w:cstheme="minorBidi"/>
          <w:color w:val="auto"/>
          <w:sz w:val="24"/>
        </w:rPr>
        <w:t xml:space="preserve">The </w:t>
      </w:r>
      <w:hyperlink r:id="rId23">
        <w:r w:rsidRPr="003A78FF">
          <w:rPr>
            <w:rStyle w:val="Hyperlink"/>
            <w:rFonts w:ascii="VIC" w:eastAsiaTheme="minorEastAsia" w:hAnsi="VIC" w:cstheme="minorBidi"/>
            <w:sz w:val="24"/>
          </w:rPr>
          <w:t>ANZCA P15 guideline</w:t>
        </w:r>
      </w:hyperlink>
      <w:r w:rsidR="003F40C6" w:rsidRPr="003A78FF">
        <w:rPr>
          <w:rStyle w:val="Hyperlink"/>
          <w:rFonts w:ascii="VIC" w:eastAsiaTheme="minorEastAsia" w:hAnsi="VIC" w:cstheme="minorBidi"/>
          <w:sz w:val="24"/>
        </w:rPr>
        <w:t xml:space="preserve"> </w:t>
      </w:r>
      <w:r w:rsidR="003F40C6" w:rsidRPr="003A78FF">
        <w:rPr>
          <w:rStyle w:val="Hyperlink"/>
          <w:rFonts w:ascii="VIC" w:eastAsiaTheme="minorEastAsia" w:hAnsi="VIC" w:cstheme="minorBidi"/>
          <w:color w:val="auto"/>
          <w:sz w:val="24"/>
          <w:u w:val="none"/>
        </w:rPr>
        <w:t>&lt;https://www.anzca.edu.au/getattachment/021e4205-af5a-415d-815d-b16be1fe8b62/PG15(POM)-Guideline-for-the-perioperative-care-of-patients-selected-for-day-stay-procedures&gt;</w:t>
      </w:r>
      <w:r w:rsidRPr="003A78FF">
        <w:rPr>
          <w:rFonts w:ascii="VIC" w:eastAsiaTheme="minorEastAsia" w:hAnsi="VIC" w:cstheme="minorBidi"/>
          <w:color w:val="auto"/>
          <w:sz w:val="24"/>
        </w:rPr>
        <w:t xml:space="preserve"> provides detailed information including considerations for patient selection, procedure</w:t>
      </w:r>
      <w:r w:rsidR="775E3526" w:rsidRPr="003A78FF">
        <w:rPr>
          <w:rFonts w:ascii="VIC" w:eastAsiaTheme="minorEastAsia" w:hAnsi="VIC" w:cstheme="minorBidi"/>
          <w:color w:val="auto"/>
          <w:sz w:val="24"/>
        </w:rPr>
        <w:t>,</w:t>
      </w:r>
      <w:r w:rsidRPr="003A78FF">
        <w:rPr>
          <w:rFonts w:ascii="VIC" w:eastAsiaTheme="minorEastAsia" w:hAnsi="VIC" w:cstheme="minorBidi"/>
          <w:color w:val="auto"/>
          <w:sz w:val="24"/>
        </w:rPr>
        <w:t xml:space="preserve"> recovery and discharge arrangements. </w:t>
      </w:r>
      <w:r w:rsidR="007C50D6" w:rsidRPr="003A78FF">
        <w:rPr>
          <w:rFonts w:ascii="VIC" w:eastAsiaTheme="minorEastAsia" w:hAnsi="VIC" w:cstheme="minorBidi"/>
          <w:color w:val="auto"/>
          <w:sz w:val="24"/>
        </w:rPr>
        <w:t>T</w:t>
      </w:r>
      <w:r w:rsidR="00DD489B" w:rsidRPr="003A78FF">
        <w:rPr>
          <w:rFonts w:ascii="VIC" w:eastAsiaTheme="minorEastAsia" w:hAnsi="VIC" w:cstheme="minorBidi"/>
          <w:color w:val="auto"/>
          <w:sz w:val="24"/>
        </w:rPr>
        <w:t>his guideline</w:t>
      </w:r>
      <w:r w:rsidR="004554CF" w:rsidRPr="003A78FF">
        <w:rPr>
          <w:rFonts w:ascii="VIC" w:eastAsiaTheme="minorEastAsia" w:hAnsi="VIC" w:cstheme="minorBidi"/>
          <w:color w:val="auto"/>
          <w:sz w:val="24"/>
        </w:rPr>
        <w:t xml:space="preserve"> </w:t>
      </w:r>
      <w:r w:rsidR="187A50EB" w:rsidRPr="003A78FF">
        <w:rPr>
          <w:rFonts w:ascii="VIC" w:eastAsiaTheme="minorEastAsia" w:hAnsi="VIC" w:cstheme="minorBidi"/>
          <w:color w:val="auto"/>
          <w:sz w:val="24"/>
        </w:rPr>
        <w:t>remains applicable</w:t>
      </w:r>
      <w:r w:rsidR="123002B0" w:rsidRPr="003A78FF">
        <w:rPr>
          <w:rFonts w:ascii="VIC" w:eastAsiaTheme="minorEastAsia" w:hAnsi="VIC" w:cstheme="minorBidi"/>
          <w:color w:val="auto"/>
          <w:sz w:val="24"/>
        </w:rPr>
        <w:t xml:space="preserve"> to all decisions made about expanding same-day models of</w:t>
      </w:r>
      <w:r w:rsidR="187A50EB" w:rsidRPr="003A78FF">
        <w:rPr>
          <w:rFonts w:ascii="VIC" w:eastAsiaTheme="minorEastAsia" w:hAnsi="VIC" w:cstheme="minorBidi"/>
          <w:color w:val="auto"/>
          <w:sz w:val="24"/>
        </w:rPr>
        <w:t xml:space="preserve"> surgical</w:t>
      </w:r>
      <w:r w:rsidR="123002B0" w:rsidRPr="003A78FF">
        <w:rPr>
          <w:rFonts w:ascii="VIC" w:eastAsiaTheme="minorEastAsia" w:hAnsi="VIC" w:cstheme="minorBidi"/>
          <w:color w:val="auto"/>
          <w:sz w:val="24"/>
        </w:rPr>
        <w:t xml:space="preserve"> care</w:t>
      </w:r>
      <w:r w:rsidR="187A50EB" w:rsidRPr="003A78FF">
        <w:rPr>
          <w:rFonts w:ascii="VIC" w:eastAsiaTheme="minorEastAsia" w:hAnsi="VIC" w:cstheme="minorBidi"/>
          <w:color w:val="auto"/>
          <w:sz w:val="24"/>
        </w:rPr>
        <w:t>.</w:t>
      </w:r>
      <w:r w:rsidR="123002B0" w:rsidRPr="003A78FF">
        <w:rPr>
          <w:rFonts w:ascii="VIC" w:eastAsiaTheme="minorEastAsia" w:hAnsi="VIC" w:cstheme="minorBidi"/>
          <w:color w:val="auto"/>
          <w:sz w:val="24"/>
        </w:rPr>
        <w:t xml:space="preserve"> </w:t>
      </w:r>
    </w:p>
    <w:p w14:paraId="79486B25" w14:textId="14B7C568" w:rsidR="003A575D" w:rsidRPr="003A78FF" w:rsidRDefault="003A575D" w:rsidP="2F872297">
      <w:pPr>
        <w:pStyle w:val="NormalWeb"/>
        <w:ind w:left="284"/>
        <w:rPr>
          <w:rFonts w:ascii="VIC" w:eastAsiaTheme="minorEastAsia" w:hAnsi="VIC" w:cstheme="minorBidi"/>
          <w:sz w:val="24"/>
        </w:rPr>
      </w:pPr>
    </w:p>
    <w:p w14:paraId="7DFB776D" w14:textId="32621B3F" w:rsidR="00B83FCE" w:rsidRPr="003A78FF" w:rsidRDefault="6B9011F4" w:rsidP="003F40C6">
      <w:pPr>
        <w:pStyle w:val="NormalWeb"/>
        <w:ind w:left="284"/>
        <w:rPr>
          <w:rFonts w:ascii="VIC" w:hAnsi="VIC" w:cstheme="minorBidi"/>
          <w:sz w:val="24"/>
        </w:rPr>
      </w:pPr>
      <w:r w:rsidRPr="003A78FF">
        <w:rPr>
          <w:rFonts w:ascii="VIC" w:hAnsi="VIC" w:cstheme="minorBidi"/>
          <w:sz w:val="24"/>
        </w:rPr>
        <w:t>The</w:t>
      </w:r>
      <w:r w:rsidR="2F872297" w:rsidRPr="003A78FF">
        <w:rPr>
          <w:rFonts w:ascii="VIC" w:hAnsi="VIC" w:cstheme="minorBidi"/>
          <w:sz w:val="24"/>
        </w:rPr>
        <w:t xml:space="preserve"> risks and their mitigation are further </w:t>
      </w:r>
      <w:r w:rsidR="00D058AE" w:rsidRPr="003A78FF">
        <w:rPr>
          <w:rFonts w:ascii="VIC" w:hAnsi="VIC" w:cstheme="minorBidi"/>
          <w:sz w:val="24"/>
        </w:rPr>
        <w:t>tabulated</w:t>
      </w:r>
      <w:r w:rsidR="2F872297" w:rsidRPr="003A78FF">
        <w:rPr>
          <w:rFonts w:ascii="VIC" w:hAnsi="VIC" w:cstheme="minorBidi"/>
          <w:sz w:val="24"/>
        </w:rPr>
        <w:t xml:space="preserve"> in this report in the answer section 7.</w:t>
      </w:r>
    </w:p>
    <w:p w14:paraId="7B6F0784" w14:textId="1EAA140C" w:rsidR="00A36DA2" w:rsidRPr="003A78FF" w:rsidRDefault="00A36DA2" w:rsidP="00FE54E5">
      <w:pPr>
        <w:pStyle w:val="Heading3"/>
        <w:numPr>
          <w:ilvl w:val="0"/>
          <w:numId w:val="21"/>
        </w:numPr>
        <w:rPr>
          <w:rFonts w:ascii="VIC" w:hAnsi="VIC"/>
          <w:szCs w:val="24"/>
        </w:rPr>
      </w:pPr>
      <w:bookmarkStart w:id="9" w:name="_Toc111215091"/>
      <w:bookmarkStart w:id="10" w:name="_Toc111215148"/>
      <w:r w:rsidRPr="003A78FF">
        <w:rPr>
          <w:rFonts w:ascii="VIC" w:hAnsi="VIC"/>
          <w:szCs w:val="24"/>
        </w:rPr>
        <w:t>What same-day models of surgical care already exist in the Victorian health system?</w:t>
      </w:r>
      <w:bookmarkEnd w:id="9"/>
      <w:bookmarkEnd w:id="10"/>
      <w:r w:rsidRPr="003A78FF">
        <w:rPr>
          <w:rFonts w:ascii="Cambria" w:hAnsi="Cambria" w:cs="Cambria"/>
          <w:szCs w:val="24"/>
        </w:rPr>
        <w:t> </w:t>
      </w:r>
    </w:p>
    <w:p w14:paraId="26AA9623" w14:textId="63143961" w:rsidR="0029655A" w:rsidRPr="003A78FF" w:rsidRDefault="0029655A" w:rsidP="00683E84">
      <w:pPr>
        <w:pStyle w:val="SCVbody"/>
        <w:spacing w:before="0" w:after="0"/>
        <w:ind w:left="360"/>
        <w:rPr>
          <w:rFonts w:ascii="VIC" w:hAnsi="VIC"/>
          <w:sz w:val="24"/>
          <w:szCs w:val="24"/>
        </w:rPr>
      </w:pPr>
    </w:p>
    <w:tbl>
      <w:tblPr>
        <w:tblStyle w:val="TableGrid"/>
        <w:tblW w:w="9639" w:type="dxa"/>
        <w:tblInd w:w="284" w:type="dxa"/>
        <w:tblBorders>
          <w:top w:val="none" w:sz="0" w:space="0" w:color="auto"/>
          <w:bottom w:val="none" w:sz="0" w:space="0" w:color="auto"/>
          <w:insideH w:val="single" w:sz="4" w:space="0" w:color="auto"/>
        </w:tblBorders>
        <w:tblLook w:val="04A0" w:firstRow="1" w:lastRow="0" w:firstColumn="1" w:lastColumn="0" w:noHBand="0" w:noVBand="1"/>
      </w:tblPr>
      <w:tblGrid>
        <w:gridCol w:w="2254"/>
        <w:gridCol w:w="7050"/>
        <w:gridCol w:w="335"/>
      </w:tblGrid>
      <w:tr w:rsidR="00CF19B6" w:rsidRPr="003A78FF" w14:paraId="01C260E1" w14:textId="0C02BA6C" w:rsidTr="00166041">
        <w:trPr>
          <w:gridAfter w:val="1"/>
          <w:cnfStyle w:val="100000000000" w:firstRow="1" w:lastRow="0" w:firstColumn="0" w:lastColumn="0" w:oddVBand="0" w:evenVBand="0" w:oddHBand="0" w:evenHBand="0" w:firstRowFirstColumn="0" w:firstRowLastColumn="0" w:lastRowFirstColumn="0" w:lastRowLastColumn="0"/>
          <w:wAfter w:w="360" w:type="dxa"/>
          <w:trHeight w:val="259"/>
        </w:trPr>
        <w:tc>
          <w:tcPr>
            <w:tcW w:w="2268" w:type="dxa"/>
          </w:tcPr>
          <w:p w14:paraId="4BC275F3" w14:textId="20B70285" w:rsidR="00124E34" w:rsidRPr="003A78FF" w:rsidRDefault="00124E34" w:rsidP="00B91A5F">
            <w:pPr>
              <w:pStyle w:val="NormalWeb"/>
              <w:rPr>
                <w:rFonts w:ascii="VIC" w:hAnsi="VIC" w:cstheme="minorBidi"/>
                <w:b/>
                <w:bCs/>
                <w:sz w:val="24"/>
              </w:rPr>
            </w:pPr>
            <w:r w:rsidRPr="003A78FF">
              <w:rPr>
                <w:rFonts w:ascii="VIC" w:hAnsi="VIC" w:cstheme="minorBidi"/>
                <w:b/>
                <w:bCs/>
                <w:sz w:val="24"/>
              </w:rPr>
              <w:t>Specialty</w:t>
            </w:r>
          </w:p>
        </w:tc>
        <w:tc>
          <w:tcPr>
            <w:tcW w:w="7371" w:type="dxa"/>
          </w:tcPr>
          <w:p w14:paraId="0575621C" w14:textId="4C6FFEFD" w:rsidR="00CF19B6" w:rsidRPr="003A78FF" w:rsidRDefault="00CF19B6" w:rsidP="005C7B76">
            <w:pPr>
              <w:pStyle w:val="NormalWeb"/>
              <w:rPr>
                <w:rFonts w:ascii="VIC" w:hAnsi="VIC" w:cstheme="minorHAnsi"/>
                <w:b/>
                <w:bCs/>
                <w:color w:val="000000"/>
                <w:sz w:val="24"/>
              </w:rPr>
            </w:pPr>
            <w:r w:rsidRPr="003A78FF">
              <w:rPr>
                <w:rFonts w:ascii="VIC" w:hAnsi="VIC" w:cstheme="minorHAnsi"/>
                <w:b/>
                <w:bCs/>
                <w:color w:val="000000"/>
                <w:sz w:val="24"/>
              </w:rPr>
              <w:t>Procedure</w:t>
            </w:r>
          </w:p>
        </w:tc>
      </w:tr>
      <w:tr w:rsidR="00CF19B6" w:rsidRPr="003A78FF" w14:paraId="1C8E3396" w14:textId="5EEAF9C6" w:rsidTr="00166041">
        <w:trPr>
          <w:gridAfter w:val="1"/>
          <w:wAfter w:w="360" w:type="dxa"/>
          <w:trHeight w:val="301"/>
        </w:trPr>
        <w:tc>
          <w:tcPr>
            <w:tcW w:w="2268" w:type="dxa"/>
            <w:tcBorders>
              <w:bottom w:val="single" w:sz="4" w:space="0" w:color="auto"/>
            </w:tcBorders>
          </w:tcPr>
          <w:p w14:paraId="129944E3" w14:textId="31AD41DF" w:rsidR="00124E34" w:rsidRPr="003A78FF" w:rsidRDefault="00124E34" w:rsidP="00B91A5F">
            <w:pPr>
              <w:pStyle w:val="NormalWeb"/>
              <w:rPr>
                <w:rFonts w:ascii="VIC" w:hAnsi="VIC"/>
                <w:b/>
                <w:bCs/>
                <w:sz w:val="24"/>
              </w:rPr>
            </w:pPr>
            <w:r w:rsidRPr="003A78FF">
              <w:rPr>
                <w:rFonts w:ascii="VIC" w:hAnsi="VIC"/>
                <w:b/>
                <w:bCs/>
                <w:sz w:val="24"/>
              </w:rPr>
              <w:t>GI</w:t>
            </w:r>
            <w:r w:rsidR="084EC677" w:rsidRPr="003A78FF">
              <w:rPr>
                <w:rFonts w:ascii="VIC" w:hAnsi="VIC"/>
                <w:b/>
                <w:bCs/>
                <w:sz w:val="24"/>
              </w:rPr>
              <w:t>/General Surgery</w:t>
            </w:r>
          </w:p>
        </w:tc>
        <w:tc>
          <w:tcPr>
            <w:tcW w:w="7371" w:type="dxa"/>
          </w:tcPr>
          <w:p w14:paraId="190B4646" w14:textId="330ACBB1" w:rsidR="00CF19B6" w:rsidRPr="003A78FF" w:rsidRDefault="00CF19B6" w:rsidP="005C7B76">
            <w:pPr>
              <w:pStyle w:val="NormalWeb"/>
              <w:rPr>
                <w:rFonts w:ascii="VIC" w:hAnsi="VIC" w:cstheme="minorHAnsi"/>
                <w:color w:val="000000"/>
                <w:sz w:val="24"/>
              </w:rPr>
            </w:pPr>
            <w:r w:rsidRPr="003A78FF">
              <w:rPr>
                <w:rFonts w:ascii="VIC" w:hAnsi="VIC" w:cstheme="minorHAnsi"/>
                <w:color w:val="000000"/>
                <w:sz w:val="24"/>
              </w:rPr>
              <w:t>Endoscopy (gastroscopy and colonoscopy)</w:t>
            </w:r>
          </w:p>
        </w:tc>
      </w:tr>
      <w:tr w:rsidR="00CF19B6" w:rsidRPr="003A78FF" w14:paraId="532D1E75" w14:textId="484FB98F" w:rsidTr="00166041">
        <w:trPr>
          <w:gridAfter w:val="1"/>
          <w:wAfter w:w="360" w:type="dxa"/>
          <w:trHeight w:val="259"/>
        </w:trPr>
        <w:tc>
          <w:tcPr>
            <w:tcW w:w="2268" w:type="dxa"/>
            <w:vMerge w:val="restart"/>
            <w:tcBorders>
              <w:top w:val="single" w:sz="4" w:space="0" w:color="auto"/>
              <w:left w:val="nil"/>
            </w:tcBorders>
          </w:tcPr>
          <w:p w14:paraId="740EB9B9" w14:textId="3C2B282F" w:rsidR="00124E34" w:rsidRPr="003A78FF" w:rsidRDefault="00124E34" w:rsidP="00B91A5F">
            <w:pPr>
              <w:pStyle w:val="NormalWeb"/>
              <w:rPr>
                <w:rFonts w:ascii="VIC" w:hAnsi="VIC"/>
                <w:b/>
                <w:bCs/>
                <w:sz w:val="24"/>
              </w:rPr>
            </w:pPr>
            <w:r w:rsidRPr="003A78FF">
              <w:rPr>
                <w:rFonts w:ascii="VIC" w:hAnsi="VIC"/>
                <w:b/>
                <w:bCs/>
                <w:sz w:val="24"/>
              </w:rPr>
              <w:t>Urology</w:t>
            </w:r>
          </w:p>
        </w:tc>
        <w:tc>
          <w:tcPr>
            <w:tcW w:w="7371" w:type="dxa"/>
          </w:tcPr>
          <w:p w14:paraId="165DC215" w14:textId="5A8F3749" w:rsidR="00CF19B6" w:rsidRPr="003A78FF" w:rsidRDefault="00CF19B6" w:rsidP="005C7B76">
            <w:pPr>
              <w:pStyle w:val="NormalWeb"/>
              <w:rPr>
                <w:rFonts w:ascii="VIC" w:hAnsi="VIC" w:cstheme="minorHAnsi"/>
                <w:color w:val="000000"/>
                <w:sz w:val="24"/>
              </w:rPr>
            </w:pPr>
            <w:r w:rsidRPr="003A78FF">
              <w:rPr>
                <w:rFonts w:ascii="VIC" w:hAnsi="VIC" w:cstheme="minorBidi"/>
                <w:sz w:val="24"/>
              </w:rPr>
              <w:t>Cystoscopy</w:t>
            </w:r>
          </w:p>
        </w:tc>
      </w:tr>
      <w:tr w:rsidR="00CF19B6" w:rsidRPr="003A78FF" w14:paraId="597A5B39" w14:textId="0F363440" w:rsidTr="00166041">
        <w:trPr>
          <w:gridAfter w:val="1"/>
          <w:wAfter w:w="360" w:type="dxa"/>
          <w:trHeight w:val="285"/>
        </w:trPr>
        <w:tc>
          <w:tcPr>
            <w:tcW w:w="2268" w:type="dxa"/>
            <w:vMerge/>
            <w:tcBorders>
              <w:left w:val="nil"/>
            </w:tcBorders>
          </w:tcPr>
          <w:p w14:paraId="50FEBE41" w14:textId="54019D0F" w:rsidR="00124E34" w:rsidRPr="003A78FF" w:rsidRDefault="00124E34" w:rsidP="00B91A5F">
            <w:pPr>
              <w:pStyle w:val="NormalWeb"/>
              <w:rPr>
                <w:rFonts w:ascii="VIC" w:hAnsi="VIC"/>
                <w:sz w:val="24"/>
              </w:rPr>
            </w:pPr>
          </w:p>
        </w:tc>
        <w:tc>
          <w:tcPr>
            <w:tcW w:w="7371" w:type="dxa"/>
          </w:tcPr>
          <w:p w14:paraId="04F657EF" w14:textId="45246561" w:rsidR="00CF19B6" w:rsidRPr="003A78FF" w:rsidRDefault="00124E34" w:rsidP="005C7B76">
            <w:pPr>
              <w:pStyle w:val="NormalWeb"/>
              <w:rPr>
                <w:rFonts w:ascii="VIC" w:hAnsi="VIC" w:cstheme="minorBidi"/>
                <w:color w:val="000000"/>
                <w:sz w:val="24"/>
              </w:rPr>
            </w:pPr>
            <w:r w:rsidRPr="003A78FF">
              <w:rPr>
                <w:rFonts w:ascii="VIC" w:hAnsi="VIC" w:cstheme="minorBidi"/>
                <w:sz w:val="24"/>
              </w:rPr>
              <w:t>Transurethral bladder tumour</w:t>
            </w:r>
            <w:r w:rsidR="00CF19B6" w:rsidRPr="003A78FF">
              <w:rPr>
                <w:rFonts w:ascii="VIC" w:hAnsi="VIC" w:cstheme="minorBidi"/>
                <w:sz w:val="24"/>
              </w:rPr>
              <w:t xml:space="preserve"> </w:t>
            </w:r>
            <w:r w:rsidR="01AB2671" w:rsidRPr="003A78FF">
              <w:rPr>
                <w:rFonts w:ascii="VIC" w:hAnsi="VIC" w:cstheme="minorBidi"/>
                <w:sz w:val="24"/>
              </w:rPr>
              <w:t>and other procedures</w:t>
            </w:r>
          </w:p>
        </w:tc>
      </w:tr>
      <w:tr w:rsidR="00CF19B6" w:rsidRPr="003A78FF" w14:paraId="17AA54E8" w14:textId="67EE6EBF" w:rsidTr="00166041">
        <w:trPr>
          <w:gridAfter w:val="1"/>
          <w:wAfter w:w="360" w:type="dxa"/>
          <w:trHeight w:val="604"/>
        </w:trPr>
        <w:tc>
          <w:tcPr>
            <w:tcW w:w="2268" w:type="dxa"/>
            <w:vMerge/>
            <w:tcBorders>
              <w:left w:val="nil"/>
              <w:bottom w:val="single" w:sz="4" w:space="0" w:color="auto"/>
            </w:tcBorders>
          </w:tcPr>
          <w:p w14:paraId="43009D8E" w14:textId="61532959" w:rsidR="00124E34" w:rsidRPr="003A78FF" w:rsidRDefault="00124E34" w:rsidP="00B91A5F">
            <w:pPr>
              <w:pStyle w:val="NormalWeb"/>
              <w:rPr>
                <w:rFonts w:ascii="VIC" w:hAnsi="VIC"/>
                <w:sz w:val="24"/>
              </w:rPr>
            </w:pPr>
          </w:p>
        </w:tc>
        <w:tc>
          <w:tcPr>
            <w:tcW w:w="7371" w:type="dxa"/>
          </w:tcPr>
          <w:p w14:paraId="27817071" w14:textId="6A373FC0" w:rsidR="00CF19B6" w:rsidRPr="003A78FF" w:rsidRDefault="00CF19B6" w:rsidP="7E5C3ACF">
            <w:pPr>
              <w:pStyle w:val="NormalWeb"/>
              <w:rPr>
                <w:rFonts w:ascii="VIC" w:hAnsi="VIC" w:cstheme="minorBidi"/>
                <w:sz w:val="24"/>
              </w:rPr>
            </w:pPr>
            <w:r w:rsidRPr="003A78FF">
              <w:rPr>
                <w:rFonts w:ascii="VIC" w:hAnsi="VIC" w:cstheme="minorBidi"/>
                <w:sz w:val="24"/>
              </w:rPr>
              <w:t>Transurethral laser prostatectomy</w:t>
            </w:r>
          </w:p>
          <w:p w14:paraId="460A8F92" w14:textId="55D21891" w:rsidR="00CF19B6" w:rsidRPr="003A78FF" w:rsidRDefault="0B220AFA" w:rsidP="000D1CC1">
            <w:pPr>
              <w:pStyle w:val="NormalWeb"/>
              <w:rPr>
                <w:rFonts w:ascii="VIC" w:hAnsi="VIC" w:cstheme="minorBidi"/>
                <w:sz w:val="24"/>
              </w:rPr>
            </w:pPr>
            <w:r w:rsidRPr="003A78FF">
              <w:rPr>
                <w:rStyle w:val="jpfdse"/>
                <w:rFonts w:ascii="VIC" w:hAnsi="VIC" w:cs="Arial"/>
                <w:color w:val="202124"/>
                <w:sz w:val="24"/>
              </w:rPr>
              <w:t>Holmium</w:t>
            </w:r>
            <w:r w:rsidRPr="003A78FF">
              <w:rPr>
                <w:rFonts w:ascii="Cambria" w:hAnsi="Cambria" w:cs="Cambria"/>
                <w:color w:val="202124"/>
                <w:sz w:val="24"/>
              </w:rPr>
              <w:t> </w:t>
            </w:r>
            <w:r w:rsidRPr="003A78FF">
              <w:rPr>
                <w:rFonts w:ascii="VIC" w:hAnsi="VIC" w:cs="Arial"/>
                <w:color w:val="202124"/>
                <w:sz w:val="24"/>
              </w:rPr>
              <w:t xml:space="preserve">laser enucleation of the prostate (HoLEP) </w:t>
            </w:r>
            <w:r w:rsidRPr="003A78FF">
              <w:rPr>
                <w:rFonts w:ascii="VIC" w:hAnsi="VIC"/>
                <w:sz w:val="24"/>
              </w:rPr>
              <w:t>– laser prostatectomy</w:t>
            </w:r>
          </w:p>
        </w:tc>
      </w:tr>
      <w:tr w:rsidR="00CF19B6" w:rsidRPr="003A78FF" w14:paraId="3C717CB3" w14:textId="0E58F961" w:rsidTr="00166041">
        <w:trPr>
          <w:gridAfter w:val="1"/>
          <w:wAfter w:w="360" w:type="dxa"/>
          <w:trHeight w:val="369"/>
        </w:trPr>
        <w:tc>
          <w:tcPr>
            <w:tcW w:w="2268" w:type="dxa"/>
            <w:tcBorders>
              <w:top w:val="single" w:sz="4" w:space="0" w:color="auto"/>
            </w:tcBorders>
          </w:tcPr>
          <w:p w14:paraId="37CCBDD6" w14:textId="0545177B" w:rsidR="00124E34" w:rsidRPr="003A78FF" w:rsidRDefault="00124E34" w:rsidP="00B91A5F">
            <w:pPr>
              <w:pStyle w:val="NormalWeb"/>
              <w:rPr>
                <w:rFonts w:ascii="VIC" w:hAnsi="VIC"/>
                <w:b/>
                <w:bCs/>
                <w:sz w:val="24"/>
              </w:rPr>
            </w:pPr>
            <w:r w:rsidRPr="003A78FF">
              <w:rPr>
                <w:rFonts w:ascii="VIC" w:hAnsi="VIC"/>
                <w:b/>
                <w:bCs/>
                <w:sz w:val="24"/>
              </w:rPr>
              <w:t>Paediatrics</w:t>
            </w:r>
          </w:p>
        </w:tc>
        <w:tc>
          <w:tcPr>
            <w:tcW w:w="7371" w:type="dxa"/>
          </w:tcPr>
          <w:p w14:paraId="7C88092A" w14:textId="22AB1FCA" w:rsidR="00CF19B6" w:rsidRPr="003A78FF" w:rsidRDefault="00124E34" w:rsidP="000D1CC1">
            <w:pPr>
              <w:pStyle w:val="NormalWeb"/>
              <w:rPr>
                <w:rFonts w:ascii="VIC" w:hAnsi="VIC" w:cstheme="minorBidi"/>
                <w:color w:val="000000"/>
                <w:sz w:val="24"/>
              </w:rPr>
            </w:pPr>
            <w:r w:rsidRPr="003A78FF">
              <w:rPr>
                <w:rFonts w:ascii="VIC" w:hAnsi="VIC" w:cstheme="minorBidi"/>
                <w:sz w:val="24"/>
              </w:rPr>
              <w:t>Paediatric procedures- Grommets, OSA, tonsillectomy, adenoidectomy</w:t>
            </w:r>
          </w:p>
        </w:tc>
      </w:tr>
      <w:tr w:rsidR="00CF19B6" w:rsidRPr="003A78FF" w14:paraId="06CB9811" w14:textId="11D6F77A" w:rsidTr="00166041">
        <w:trPr>
          <w:gridAfter w:val="1"/>
          <w:wAfter w:w="360" w:type="dxa"/>
          <w:trHeight w:val="257"/>
        </w:trPr>
        <w:tc>
          <w:tcPr>
            <w:tcW w:w="2268" w:type="dxa"/>
          </w:tcPr>
          <w:p w14:paraId="25CC52C2" w14:textId="01DF8AB2" w:rsidR="00124E34" w:rsidRPr="003A78FF" w:rsidRDefault="00124E34" w:rsidP="00B91A5F">
            <w:pPr>
              <w:pStyle w:val="NormalWeb"/>
              <w:rPr>
                <w:rFonts w:ascii="VIC" w:hAnsi="VIC"/>
                <w:b/>
                <w:bCs/>
                <w:sz w:val="24"/>
              </w:rPr>
            </w:pPr>
            <w:r w:rsidRPr="003A78FF">
              <w:rPr>
                <w:rFonts w:ascii="VIC" w:hAnsi="VIC"/>
                <w:b/>
                <w:bCs/>
                <w:sz w:val="24"/>
              </w:rPr>
              <w:t>Ophthalmology</w:t>
            </w:r>
          </w:p>
        </w:tc>
        <w:tc>
          <w:tcPr>
            <w:tcW w:w="7371" w:type="dxa"/>
          </w:tcPr>
          <w:p w14:paraId="68C9AA8E" w14:textId="557B06AD" w:rsidR="00CF19B6" w:rsidRPr="003A78FF" w:rsidRDefault="00CF19B6" w:rsidP="000D1CC1">
            <w:pPr>
              <w:pStyle w:val="NormalWeb"/>
              <w:rPr>
                <w:rFonts w:ascii="VIC" w:hAnsi="VIC" w:cstheme="minorHAnsi"/>
                <w:color w:val="000000"/>
                <w:sz w:val="24"/>
              </w:rPr>
            </w:pPr>
            <w:r w:rsidRPr="003A78FF">
              <w:rPr>
                <w:rFonts w:ascii="VIC" w:hAnsi="VIC" w:cstheme="minorHAnsi"/>
                <w:color w:val="000000"/>
                <w:sz w:val="24"/>
              </w:rPr>
              <w:t xml:space="preserve">The majority of ophthalmological procedures done as day surgery </w:t>
            </w:r>
          </w:p>
        </w:tc>
      </w:tr>
      <w:tr w:rsidR="00CF19B6" w:rsidRPr="003A78FF" w14:paraId="04773767" w14:textId="3C62D735" w:rsidTr="00166041">
        <w:trPr>
          <w:gridAfter w:val="1"/>
          <w:wAfter w:w="360" w:type="dxa"/>
          <w:trHeight w:val="259"/>
        </w:trPr>
        <w:tc>
          <w:tcPr>
            <w:tcW w:w="2268" w:type="dxa"/>
            <w:vMerge w:val="restart"/>
          </w:tcPr>
          <w:p w14:paraId="54855BA0" w14:textId="2EBB5821" w:rsidR="00124E34" w:rsidRPr="003A78FF" w:rsidRDefault="00124E34" w:rsidP="00B91A5F">
            <w:pPr>
              <w:pStyle w:val="NormalWeb"/>
              <w:rPr>
                <w:rFonts w:ascii="VIC" w:hAnsi="VIC"/>
                <w:b/>
                <w:bCs/>
                <w:sz w:val="24"/>
              </w:rPr>
            </w:pPr>
            <w:r w:rsidRPr="003A78FF">
              <w:rPr>
                <w:rFonts w:ascii="VIC" w:hAnsi="VIC"/>
                <w:b/>
                <w:bCs/>
                <w:sz w:val="24"/>
              </w:rPr>
              <w:t>Gynaecology</w:t>
            </w:r>
          </w:p>
        </w:tc>
        <w:tc>
          <w:tcPr>
            <w:tcW w:w="7371" w:type="dxa"/>
          </w:tcPr>
          <w:p w14:paraId="4B957135" w14:textId="4FFB6911" w:rsidR="00CF19B6" w:rsidRPr="003A78FF" w:rsidRDefault="00CF19B6" w:rsidP="000D1CC1">
            <w:pPr>
              <w:pStyle w:val="NormalWeb"/>
              <w:rPr>
                <w:rFonts w:ascii="VIC" w:hAnsi="VIC" w:cstheme="minorBidi"/>
                <w:color w:val="000000"/>
                <w:sz w:val="24"/>
              </w:rPr>
            </w:pPr>
            <w:r w:rsidRPr="003A78FF">
              <w:rPr>
                <w:rFonts w:ascii="VIC" w:hAnsi="VIC" w:cstheme="minorBidi"/>
                <w:sz w:val="24"/>
              </w:rPr>
              <w:t>Surgical termination of pregnancy</w:t>
            </w:r>
            <w:r w:rsidRPr="003A78FF">
              <w:rPr>
                <w:rFonts w:ascii="Cambria" w:hAnsi="Cambria" w:cs="Cambria"/>
                <w:sz w:val="24"/>
              </w:rPr>
              <w:t> </w:t>
            </w:r>
          </w:p>
        </w:tc>
      </w:tr>
      <w:tr w:rsidR="00CF19B6" w:rsidRPr="003A78FF" w14:paraId="02C1E4BC" w14:textId="31F52C48" w:rsidTr="00166041">
        <w:trPr>
          <w:gridAfter w:val="1"/>
          <w:wAfter w:w="360" w:type="dxa"/>
          <w:trHeight w:val="274"/>
        </w:trPr>
        <w:tc>
          <w:tcPr>
            <w:tcW w:w="2268" w:type="dxa"/>
            <w:vMerge/>
          </w:tcPr>
          <w:p w14:paraId="078433B0" w14:textId="4450FDA5" w:rsidR="00124E34" w:rsidRPr="003A78FF" w:rsidRDefault="00124E34" w:rsidP="00B91A5F">
            <w:pPr>
              <w:pStyle w:val="NormalWeb"/>
              <w:rPr>
                <w:rFonts w:ascii="VIC" w:hAnsi="VIC"/>
                <w:sz w:val="24"/>
              </w:rPr>
            </w:pPr>
          </w:p>
        </w:tc>
        <w:tc>
          <w:tcPr>
            <w:tcW w:w="7371" w:type="dxa"/>
          </w:tcPr>
          <w:p w14:paraId="6C95186C" w14:textId="73E623D9" w:rsidR="00CF19B6" w:rsidRPr="003A78FF" w:rsidRDefault="00CF19B6" w:rsidP="000D1CC1">
            <w:pPr>
              <w:pStyle w:val="NormalWeb"/>
              <w:rPr>
                <w:rFonts w:ascii="VIC" w:hAnsi="VIC" w:cstheme="minorHAnsi"/>
                <w:color w:val="000000"/>
                <w:sz w:val="24"/>
              </w:rPr>
            </w:pPr>
            <w:r w:rsidRPr="003A78FF">
              <w:rPr>
                <w:rFonts w:ascii="VIC" w:hAnsi="VIC" w:cstheme="minorBidi"/>
                <w:sz w:val="24"/>
              </w:rPr>
              <w:t>Hysteroscopy</w:t>
            </w:r>
          </w:p>
        </w:tc>
      </w:tr>
      <w:tr w:rsidR="00CF19B6" w:rsidRPr="003A78FF" w14:paraId="3A26210B" w14:textId="0FB8869C" w:rsidTr="00166041">
        <w:trPr>
          <w:gridAfter w:val="1"/>
          <w:wAfter w:w="360" w:type="dxa"/>
          <w:trHeight w:val="274"/>
        </w:trPr>
        <w:tc>
          <w:tcPr>
            <w:tcW w:w="2268" w:type="dxa"/>
            <w:vMerge/>
          </w:tcPr>
          <w:p w14:paraId="4A920B0D" w14:textId="33D5BB25" w:rsidR="00124E34" w:rsidRPr="003A78FF" w:rsidRDefault="00124E34" w:rsidP="00B91A5F">
            <w:pPr>
              <w:pStyle w:val="NormalWeb"/>
              <w:rPr>
                <w:rFonts w:ascii="VIC" w:hAnsi="VIC"/>
                <w:sz w:val="24"/>
              </w:rPr>
            </w:pPr>
          </w:p>
        </w:tc>
        <w:tc>
          <w:tcPr>
            <w:tcW w:w="7371" w:type="dxa"/>
          </w:tcPr>
          <w:p w14:paraId="6370BA24" w14:textId="27DDD80B" w:rsidR="00CF19B6" w:rsidRPr="003A78FF" w:rsidRDefault="01AB2671" w:rsidP="000D1CC1">
            <w:pPr>
              <w:pStyle w:val="NormalWeb"/>
              <w:rPr>
                <w:rFonts w:ascii="VIC" w:hAnsi="VIC" w:cstheme="minorBidi"/>
                <w:color w:val="000000"/>
                <w:sz w:val="24"/>
              </w:rPr>
            </w:pPr>
            <w:r w:rsidRPr="003A78FF">
              <w:rPr>
                <w:rFonts w:ascii="VIC" w:hAnsi="VIC" w:cstheme="minorBidi"/>
                <w:sz w:val="24"/>
              </w:rPr>
              <w:t>Uterine</w:t>
            </w:r>
            <w:r w:rsidR="00CF19B6" w:rsidRPr="003A78FF">
              <w:rPr>
                <w:rFonts w:ascii="VIC" w:hAnsi="VIC" w:cstheme="minorBidi"/>
                <w:sz w:val="24"/>
              </w:rPr>
              <w:t xml:space="preserve"> endometrial procedures</w:t>
            </w:r>
          </w:p>
        </w:tc>
      </w:tr>
      <w:tr w:rsidR="00CF19B6" w:rsidRPr="003A78FF" w14:paraId="140A9A80" w14:textId="79E5F17E" w:rsidTr="00166041">
        <w:trPr>
          <w:gridAfter w:val="1"/>
          <w:wAfter w:w="360" w:type="dxa"/>
          <w:trHeight w:val="448"/>
        </w:trPr>
        <w:tc>
          <w:tcPr>
            <w:tcW w:w="2268" w:type="dxa"/>
            <w:vMerge/>
          </w:tcPr>
          <w:p w14:paraId="277A5B6F" w14:textId="1575F69E" w:rsidR="00124E34" w:rsidRPr="003A78FF" w:rsidRDefault="00124E34" w:rsidP="00B91A5F">
            <w:pPr>
              <w:pStyle w:val="NormalWeb"/>
              <w:rPr>
                <w:rFonts w:ascii="VIC" w:hAnsi="VIC"/>
                <w:sz w:val="24"/>
              </w:rPr>
            </w:pPr>
          </w:p>
        </w:tc>
        <w:tc>
          <w:tcPr>
            <w:tcW w:w="7371" w:type="dxa"/>
          </w:tcPr>
          <w:p w14:paraId="63CE8813" w14:textId="713B166E" w:rsidR="00CF19B6" w:rsidRPr="003A78FF" w:rsidRDefault="00CF19B6" w:rsidP="000D1CC1">
            <w:pPr>
              <w:pStyle w:val="NormalWeb"/>
              <w:rPr>
                <w:rFonts w:ascii="VIC" w:hAnsi="VIC" w:cstheme="minorBidi"/>
                <w:sz w:val="24"/>
              </w:rPr>
            </w:pPr>
            <w:r w:rsidRPr="003A78FF">
              <w:rPr>
                <w:rFonts w:ascii="VIC" w:hAnsi="VIC" w:cstheme="minorBidi"/>
                <w:sz w:val="24"/>
              </w:rPr>
              <w:t>Laparoscopic gynaecological procedures including laparoscopic tubal ligations, hysterectomy and tubo-ovarian procedures</w:t>
            </w:r>
          </w:p>
        </w:tc>
      </w:tr>
      <w:tr w:rsidR="00CF19B6" w:rsidRPr="003A78FF" w14:paraId="0291E32B" w14:textId="0624CF3B" w:rsidTr="00166041">
        <w:trPr>
          <w:gridAfter w:val="1"/>
          <w:wAfter w:w="360" w:type="dxa"/>
          <w:trHeight w:val="223"/>
        </w:trPr>
        <w:tc>
          <w:tcPr>
            <w:tcW w:w="2268" w:type="dxa"/>
            <w:vMerge w:val="restart"/>
          </w:tcPr>
          <w:p w14:paraId="367C40D0" w14:textId="69D94482" w:rsidR="00124E34" w:rsidRPr="003A78FF" w:rsidRDefault="00124E34" w:rsidP="00B91A5F">
            <w:pPr>
              <w:pStyle w:val="NormalWeb"/>
              <w:rPr>
                <w:rFonts w:ascii="VIC" w:hAnsi="VIC"/>
                <w:b/>
                <w:bCs/>
                <w:sz w:val="24"/>
              </w:rPr>
            </w:pPr>
            <w:r w:rsidRPr="003A78FF">
              <w:rPr>
                <w:rFonts w:ascii="VIC" w:hAnsi="VIC"/>
                <w:b/>
                <w:bCs/>
                <w:sz w:val="24"/>
              </w:rPr>
              <w:t>General Surgery</w:t>
            </w:r>
          </w:p>
        </w:tc>
        <w:tc>
          <w:tcPr>
            <w:tcW w:w="7371" w:type="dxa"/>
          </w:tcPr>
          <w:p w14:paraId="75D5DA31" w14:textId="18F4C143" w:rsidR="00CF19B6" w:rsidRPr="003A78FF" w:rsidRDefault="00CF19B6" w:rsidP="000D1CC1">
            <w:pPr>
              <w:pStyle w:val="NormalWeb"/>
              <w:rPr>
                <w:rFonts w:ascii="VIC" w:hAnsi="VIC" w:cstheme="minorBidi"/>
                <w:color w:val="000000"/>
                <w:sz w:val="24"/>
              </w:rPr>
            </w:pPr>
            <w:r w:rsidRPr="003A78FF">
              <w:rPr>
                <w:rFonts w:ascii="VIC" w:hAnsi="VIC" w:cstheme="minorBidi"/>
                <w:sz w:val="24"/>
              </w:rPr>
              <w:t>Unilateral inguinal hernia surgery</w:t>
            </w:r>
          </w:p>
        </w:tc>
      </w:tr>
      <w:tr w:rsidR="00CF19B6" w:rsidRPr="003A78FF" w14:paraId="065CE3E5" w14:textId="769EBC56" w:rsidTr="00166041">
        <w:trPr>
          <w:gridAfter w:val="1"/>
          <w:wAfter w:w="360" w:type="dxa"/>
          <w:trHeight w:val="274"/>
        </w:trPr>
        <w:tc>
          <w:tcPr>
            <w:tcW w:w="2268" w:type="dxa"/>
            <w:vMerge/>
          </w:tcPr>
          <w:p w14:paraId="608C2FE1" w14:textId="535FE9CF" w:rsidR="00124E34" w:rsidRPr="003A78FF" w:rsidRDefault="00124E34" w:rsidP="00B91A5F">
            <w:pPr>
              <w:pStyle w:val="NormalWeb"/>
              <w:rPr>
                <w:rFonts w:ascii="VIC" w:hAnsi="VIC"/>
                <w:sz w:val="24"/>
              </w:rPr>
            </w:pPr>
          </w:p>
        </w:tc>
        <w:tc>
          <w:tcPr>
            <w:tcW w:w="7371" w:type="dxa"/>
          </w:tcPr>
          <w:p w14:paraId="31C4902F" w14:textId="164EA5F6" w:rsidR="00CF19B6" w:rsidRPr="003A78FF" w:rsidRDefault="00CF19B6" w:rsidP="000D1CC1">
            <w:pPr>
              <w:pStyle w:val="NormalWeb"/>
              <w:rPr>
                <w:rFonts w:ascii="VIC" w:hAnsi="VIC" w:cstheme="minorHAnsi"/>
                <w:color w:val="000000"/>
                <w:sz w:val="24"/>
              </w:rPr>
            </w:pPr>
            <w:r w:rsidRPr="003A78FF">
              <w:rPr>
                <w:rFonts w:ascii="VIC" w:hAnsi="VIC" w:cstheme="minorHAnsi"/>
                <w:color w:val="000000"/>
                <w:sz w:val="24"/>
              </w:rPr>
              <w:t xml:space="preserve">Laparoscopic cholecystectomy </w:t>
            </w:r>
          </w:p>
        </w:tc>
      </w:tr>
      <w:tr w:rsidR="00124E34" w:rsidRPr="003A78FF" w14:paraId="51F31667" w14:textId="77777777" w:rsidTr="00166041">
        <w:trPr>
          <w:trHeight w:val="259"/>
        </w:trPr>
        <w:tc>
          <w:tcPr>
            <w:tcW w:w="2268" w:type="dxa"/>
          </w:tcPr>
          <w:p w14:paraId="16C182BE" w14:textId="77777777" w:rsidR="00124E34" w:rsidRPr="003A78FF" w:rsidRDefault="00124E34" w:rsidP="006D49DC">
            <w:pPr>
              <w:pStyle w:val="NormalWeb"/>
              <w:rPr>
                <w:rFonts w:ascii="VIC" w:hAnsi="VIC"/>
                <w:sz w:val="24"/>
              </w:rPr>
            </w:pPr>
          </w:p>
        </w:tc>
        <w:tc>
          <w:tcPr>
            <w:tcW w:w="7371" w:type="dxa"/>
            <w:gridSpan w:val="2"/>
          </w:tcPr>
          <w:p w14:paraId="18C183F3" w14:textId="6418BED8" w:rsidR="00124E34" w:rsidRPr="003A78FF" w:rsidRDefault="00124E34" w:rsidP="006D49DC">
            <w:pPr>
              <w:pStyle w:val="NormalWeb"/>
              <w:rPr>
                <w:rFonts w:ascii="VIC" w:hAnsi="VIC" w:cstheme="minorBidi"/>
                <w:color w:val="000000"/>
                <w:sz w:val="24"/>
              </w:rPr>
            </w:pPr>
            <w:r w:rsidRPr="003A78FF">
              <w:rPr>
                <w:rFonts w:ascii="VIC" w:hAnsi="VIC" w:cstheme="minorBidi"/>
                <w:sz w:val="24"/>
              </w:rPr>
              <w:t xml:space="preserve">Haemorrhoidectomy </w:t>
            </w:r>
            <w:r w:rsidR="002A4643" w:rsidRPr="003A78FF">
              <w:rPr>
                <w:rFonts w:ascii="VIC" w:hAnsi="VIC" w:cstheme="minorBidi"/>
                <w:sz w:val="24"/>
              </w:rPr>
              <w:t xml:space="preserve">and fistula </w:t>
            </w:r>
            <w:r w:rsidRPr="003A78FF">
              <w:rPr>
                <w:rFonts w:ascii="VIC" w:hAnsi="VIC" w:cstheme="minorBidi"/>
                <w:sz w:val="24"/>
              </w:rPr>
              <w:t>procedures</w:t>
            </w:r>
          </w:p>
        </w:tc>
      </w:tr>
      <w:tr w:rsidR="00CF19B6" w:rsidRPr="003A78FF" w14:paraId="42017446" w14:textId="05EB1A9C" w:rsidTr="00166041">
        <w:trPr>
          <w:gridAfter w:val="1"/>
          <w:wAfter w:w="360" w:type="dxa"/>
          <w:trHeight w:val="267"/>
        </w:trPr>
        <w:tc>
          <w:tcPr>
            <w:tcW w:w="2268" w:type="dxa"/>
            <w:vMerge w:val="restart"/>
          </w:tcPr>
          <w:p w14:paraId="41D0448E" w14:textId="2A45BD1A" w:rsidR="00124E34" w:rsidRPr="003A78FF" w:rsidRDefault="00124E34" w:rsidP="006D49DC">
            <w:pPr>
              <w:pStyle w:val="NormalWeb"/>
              <w:rPr>
                <w:rFonts w:ascii="VIC" w:hAnsi="VIC"/>
                <w:b/>
                <w:bCs/>
                <w:sz w:val="24"/>
              </w:rPr>
            </w:pPr>
            <w:r w:rsidRPr="003A78FF">
              <w:rPr>
                <w:rFonts w:ascii="VIC" w:hAnsi="VIC"/>
                <w:b/>
                <w:bCs/>
                <w:sz w:val="24"/>
              </w:rPr>
              <w:t>Orthopaedics</w:t>
            </w:r>
          </w:p>
        </w:tc>
        <w:tc>
          <w:tcPr>
            <w:tcW w:w="7371" w:type="dxa"/>
          </w:tcPr>
          <w:p w14:paraId="349F7826" w14:textId="2C79BFA3" w:rsidR="00CF19B6" w:rsidRPr="003A78FF" w:rsidRDefault="00CF19B6" w:rsidP="000D1CC1">
            <w:pPr>
              <w:pStyle w:val="NormalWeb"/>
              <w:rPr>
                <w:rFonts w:ascii="VIC" w:hAnsi="VIC" w:cstheme="minorBidi"/>
                <w:color w:val="000000"/>
                <w:sz w:val="24"/>
              </w:rPr>
            </w:pPr>
            <w:r w:rsidRPr="003A78FF">
              <w:rPr>
                <w:rFonts w:ascii="VIC" w:hAnsi="VIC" w:cstheme="minorBidi"/>
                <w:sz w:val="24"/>
              </w:rPr>
              <w:t xml:space="preserve">Knee procedures including arthroscopy </w:t>
            </w:r>
          </w:p>
        </w:tc>
      </w:tr>
      <w:tr w:rsidR="00CF19B6" w:rsidRPr="003A78FF" w14:paraId="6246BDB5" w14:textId="3055FB24" w:rsidTr="00166041">
        <w:trPr>
          <w:gridAfter w:val="1"/>
          <w:wAfter w:w="360" w:type="dxa"/>
          <w:trHeight w:val="274"/>
        </w:trPr>
        <w:tc>
          <w:tcPr>
            <w:tcW w:w="2268" w:type="dxa"/>
            <w:vMerge/>
          </w:tcPr>
          <w:p w14:paraId="279D3213" w14:textId="1CB5A419" w:rsidR="00124E34" w:rsidRPr="003A78FF" w:rsidRDefault="00124E34" w:rsidP="006D49DC">
            <w:pPr>
              <w:pStyle w:val="NormalWeb"/>
              <w:rPr>
                <w:rFonts w:ascii="VIC" w:hAnsi="VIC"/>
                <w:sz w:val="24"/>
              </w:rPr>
            </w:pPr>
          </w:p>
        </w:tc>
        <w:tc>
          <w:tcPr>
            <w:tcW w:w="7371" w:type="dxa"/>
          </w:tcPr>
          <w:p w14:paraId="4CD68469" w14:textId="254FBED5" w:rsidR="00CF19B6" w:rsidRPr="003A78FF" w:rsidRDefault="00CF19B6" w:rsidP="000D1CC1">
            <w:pPr>
              <w:pStyle w:val="NormalWeb"/>
              <w:rPr>
                <w:rFonts w:ascii="VIC" w:hAnsi="VIC" w:cstheme="minorBidi"/>
                <w:sz w:val="24"/>
              </w:rPr>
            </w:pPr>
            <w:r w:rsidRPr="003A78FF">
              <w:rPr>
                <w:rFonts w:ascii="VIC" w:hAnsi="VIC" w:cstheme="minorBidi"/>
                <w:sz w:val="24"/>
              </w:rPr>
              <w:t>Knee arthroplasty</w:t>
            </w:r>
          </w:p>
        </w:tc>
      </w:tr>
      <w:tr w:rsidR="00CF19B6" w:rsidRPr="003A78FF" w14:paraId="5114A278" w14:textId="420937C0" w:rsidTr="00166041">
        <w:trPr>
          <w:gridAfter w:val="1"/>
          <w:wAfter w:w="360" w:type="dxa"/>
          <w:trHeight w:val="292"/>
        </w:trPr>
        <w:tc>
          <w:tcPr>
            <w:tcW w:w="2268" w:type="dxa"/>
            <w:vMerge/>
          </w:tcPr>
          <w:p w14:paraId="29A970B4" w14:textId="675791DC" w:rsidR="00124E34" w:rsidRPr="003A78FF" w:rsidRDefault="00124E34" w:rsidP="006D49DC">
            <w:pPr>
              <w:pStyle w:val="NormalWeb"/>
              <w:rPr>
                <w:rFonts w:ascii="VIC" w:hAnsi="VIC"/>
                <w:sz w:val="24"/>
              </w:rPr>
            </w:pPr>
          </w:p>
        </w:tc>
        <w:tc>
          <w:tcPr>
            <w:tcW w:w="7371" w:type="dxa"/>
          </w:tcPr>
          <w:p w14:paraId="4EE8C4AF" w14:textId="582F280C" w:rsidR="00CF19B6" w:rsidRPr="003A78FF" w:rsidRDefault="00CF19B6" w:rsidP="000D1CC1">
            <w:pPr>
              <w:pStyle w:val="NormalWeb"/>
              <w:rPr>
                <w:rFonts w:ascii="VIC" w:hAnsi="VIC" w:cstheme="minorBidi"/>
                <w:color w:val="000000"/>
                <w:sz w:val="24"/>
              </w:rPr>
            </w:pPr>
            <w:r w:rsidRPr="003A78FF">
              <w:rPr>
                <w:rFonts w:ascii="VIC" w:hAnsi="VIC" w:cstheme="minorBidi"/>
                <w:sz w:val="24"/>
              </w:rPr>
              <w:t xml:space="preserve">Shoulder surgery including shoulder </w:t>
            </w:r>
            <w:r w:rsidR="01AB2671" w:rsidRPr="003A78FF">
              <w:rPr>
                <w:rFonts w:ascii="VIC" w:hAnsi="VIC" w:cstheme="minorBidi"/>
                <w:sz w:val="24"/>
              </w:rPr>
              <w:t>arthro</w:t>
            </w:r>
            <w:r w:rsidR="7A4743C3" w:rsidRPr="003A78FF">
              <w:rPr>
                <w:rFonts w:ascii="VIC" w:hAnsi="VIC" w:cstheme="minorBidi"/>
                <w:sz w:val="24"/>
              </w:rPr>
              <w:t>scope</w:t>
            </w:r>
            <w:r w:rsidR="00675BC3" w:rsidRPr="003A78FF">
              <w:rPr>
                <w:rFonts w:ascii="VIC" w:hAnsi="VIC" w:cstheme="minorBidi"/>
                <w:sz w:val="24"/>
              </w:rPr>
              <w:t xml:space="preserve"> and </w:t>
            </w:r>
            <w:r w:rsidRPr="003A78FF">
              <w:rPr>
                <w:rFonts w:ascii="VIC" w:hAnsi="VIC" w:cstheme="minorBidi"/>
                <w:sz w:val="24"/>
              </w:rPr>
              <w:t xml:space="preserve">reconstruction </w:t>
            </w:r>
          </w:p>
        </w:tc>
      </w:tr>
      <w:tr w:rsidR="00CF19B6" w:rsidRPr="003A78FF" w14:paraId="0B330628" w14:textId="3612DB2B" w:rsidTr="00166041">
        <w:trPr>
          <w:gridAfter w:val="1"/>
          <w:wAfter w:w="360" w:type="dxa"/>
          <w:trHeight w:val="213"/>
        </w:trPr>
        <w:tc>
          <w:tcPr>
            <w:tcW w:w="2268" w:type="dxa"/>
            <w:vMerge w:val="restart"/>
          </w:tcPr>
          <w:p w14:paraId="08175182" w14:textId="62641992" w:rsidR="00124E34" w:rsidRPr="003A78FF" w:rsidRDefault="00124E34" w:rsidP="006D49DC">
            <w:pPr>
              <w:pStyle w:val="NormalWeb"/>
              <w:rPr>
                <w:rFonts w:ascii="VIC" w:hAnsi="VIC"/>
                <w:b/>
                <w:bCs/>
                <w:sz w:val="24"/>
              </w:rPr>
            </w:pPr>
            <w:r w:rsidRPr="003A78FF">
              <w:rPr>
                <w:rFonts w:ascii="VIC" w:hAnsi="VIC"/>
                <w:b/>
                <w:bCs/>
                <w:sz w:val="24"/>
              </w:rPr>
              <w:t>Hand</w:t>
            </w:r>
          </w:p>
        </w:tc>
        <w:tc>
          <w:tcPr>
            <w:tcW w:w="7371" w:type="dxa"/>
          </w:tcPr>
          <w:p w14:paraId="1FA9B4D4" w14:textId="3623D473" w:rsidR="00CF19B6" w:rsidRPr="003A78FF" w:rsidRDefault="00CF19B6" w:rsidP="000D1CC1">
            <w:pPr>
              <w:pStyle w:val="NormalWeb"/>
              <w:rPr>
                <w:rFonts w:ascii="VIC" w:hAnsi="VIC" w:cstheme="minorHAnsi"/>
                <w:color w:val="000000"/>
                <w:sz w:val="24"/>
              </w:rPr>
            </w:pPr>
            <w:r w:rsidRPr="003A78FF">
              <w:rPr>
                <w:rFonts w:ascii="VIC" w:hAnsi="VIC" w:cstheme="minorHAnsi"/>
                <w:color w:val="000000"/>
                <w:sz w:val="24"/>
              </w:rPr>
              <w:t>Most carpal tunnel release procedures</w:t>
            </w:r>
            <w:r w:rsidRPr="003A78FF">
              <w:rPr>
                <w:rFonts w:ascii="Cambria" w:hAnsi="Cambria" w:cs="Cambria"/>
                <w:color w:val="000000"/>
                <w:sz w:val="24"/>
              </w:rPr>
              <w:t> </w:t>
            </w:r>
          </w:p>
        </w:tc>
      </w:tr>
      <w:tr w:rsidR="00CF19B6" w:rsidRPr="003A78FF" w14:paraId="137DB408" w14:textId="53A22961" w:rsidTr="00166041">
        <w:trPr>
          <w:gridAfter w:val="1"/>
          <w:wAfter w:w="360" w:type="dxa"/>
          <w:trHeight w:val="274"/>
        </w:trPr>
        <w:tc>
          <w:tcPr>
            <w:tcW w:w="2268" w:type="dxa"/>
            <w:vMerge/>
          </w:tcPr>
          <w:p w14:paraId="3170C5B4" w14:textId="7C7C80DB" w:rsidR="00124E34" w:rsidRPr="003A78FF" w:rsidRDefault="00124E34" w:rsidP="006D49DC">
            <w:pPr>
              <w:pStyle w:val="NormalWeb"/>
              <w:rPr>
                <w:rFonts w:ascii="VIC" w:hAnsi="VIC"/>
                <w:sz w:val="24"/>
              </w:rPr>
            </w:pPr>
          </w:p>
        </w:tc>
        <w:tc>
          <w:tcPr>
            <w:tcW w:w="7371" w:type="dxa"/>
          </w:tcPr>
          <w:p w14:paraId="3F7FEF5E" w14:textId="5B9F11E4" w:rsidR="00CF19B6" w:rsidRPr="003A78FF" w:rsidRDefault="00CF19B6" w:rsidP="000D1CC1">
            <w:pPr>
              <w:pStyle w:val="NormalWeb"/>
              <w:rPr>
                <w:rFonts w:ascii="VIC" w:hAnsi="VIC" w:cstheme="minorHAnsi"/>
                <w:color w:val="000000"/>
                <w:sz w:val="24"/>
              </w:rPr>
            </w:pPr>
            <w:r w:rsidRPr="003A78FF">
              <w:rPr>
                <w:rFonts w:ascii="VIC" w:hAnsi="VIC" w:cstheme="minorHAnsi"/>
                <w:color w:val="000000"/>
                <w:sz w:val="24"/>
              </w:rPr>
              <w:t>Most hand and wrist procedures</w:t>
            </w:r>
          </w:p>
        </w:tc>
      </w:tr>
      <w:tr w:rsidR="00CF19B6" w:rsidRPr="003A78FF" w14:paraId="4C7F62AD" w14:textId="7FD02BC4" w:rsidTr="00166041">
        <w:trPr>
          <w:gridAfter w:val="1"/>
          <w:wAfter w:w="360" w:type="dxa"/>
          <w:trHeight w:val="265"/>
        </w:trPr>
        <w:tc>
          <w:tcPr>
            <w:tcW w:w="2268" w:type="dxa"/>
          </w:tcPr>
          <w:p w14:paraId="05E0E880" w14:textId="6AB079F3" w:rsidR="00124E34" w:rsidRPr="003A78FF" w:rsidRDefault="00124E34" w:rsidP="006D49DC">
            <w:pPr>
              <w:pStyle w:val="NormalWeb"/>
              <w:rPr>
                <w:rFonts w:ascii="VIC" w:hAnsi="VIC"/>
                <w:b/>
                <w:bCs/>
                <w:sz w:val="24"/>
              </w:rPr>
            </w:pPr>
            <w:r w:rsidRPr="003A78FF">
              <w:rPr>
                <w:rFonts w:ascii="VIC" w:hAnsi="VIC"/>
                <w:b/>
                <w:bCs/>
                <w:sz w:val="24"/>
              </w:rPr>
              <w:t>Dermatology</w:t>
            </w:r>
          </w:p>
        </w:tc>
        <w:tc>
          <w:tcPr>
            <w:tcW w:w="7371" w:type="dxa"/>
          </w:tcPr>
          <w:p w14:paraId="58706535" w14:textId="5DFE5ACB" w:rsidR="00CF19B6" w:rsidRPr="003A78FF" w:rsidRDefault="00CF19B6" w:rsidP="000D1CC1">
            <w:pPr>
              <w:pStyle w:val="NormalWeb"/>
              <w:rPr>
                <w:rFonts w:ascii="VIC" w:hAnsi="VIC" w:cstheme="minorBidi"/>
                <w:color w:val="000000"/>
                <w:sz w:val="24"/>
              </w:rPr>
            </w:pPr>
            <w:r w:rsidRPr="003A78FF">
              <w:rPr>
                <w:rFonts w:ascii="VIC" w:hAnsi="VIC" w:cstheme="minorBidi"/>
                <w:sz w:val="24"/>
              </w:rPr>
              <w:t>Skin and subcutaneous procedures/excisions</w:t>
            </w:r>
          </w:p>
        </w:tc>
      </w:tr>
      <w:tr w:rsidR="00CF19B6" w:rsidRPr="003A78FF" w14:paraId="51D4C420" w14:textId="78DA7924" w:rsidTr="00166041">
        <w:trPr>
          <w:gridAfter w:val="1"/>
          <w:wAfter w:w="360" w:type="dxa"/>
          <w:trHeight w:val="259"/>
        </w:trPr>
        <w:tc>
          <w:tcPr>
            <w:tcW w:w="2268" w:type="dxa"/>
          </w:tcPr>
          <w:p w14:paraId="01A6972B" w14:textId="323E3359" w:rsidR="00124E34" w:rsidRPr="003A78FF" w:rsidRDefault="00124E34" w:rsidP="006D49DC">
            <w:pPr>
              <w:pStyle w:val="NormalWeb"/>
              <w:rPr>
                <w:rFonts w:ascii="VIC" w:hAnsi="VIC"/>
                <w:b/>
                <w:bCs/>
                <w:sz w:val="24"/>
              </w:rPr>
            </w:pPr>
            <w:r w:rsidRPr="003A78FF">
              <w:rPr>
                <w:rFonts w:ascii="VIC" w:hAnsi="VIC"/>
                <w:b/>
                <w:bCs/>
                <w:sz w:val="24"/>
              </w:rPr>
              <w:t>Breast</w:t>
            </w:r>
          </w:p>
        </w:tc>
        <w:tc>
          <w:tcPr>
            <w:tcW w:w="7371" w:type="dxa"/>
          </w:tcPr>
          <w:p w14:paraId="4DF9682E" w14:textId="54DDBBA2" w:rsidR="00CF19B6" w:rsidRPr="003A78FF" w:rsidRDefault="00CF19B6" w:rsidP="000D1CC1">
            <w:pPr>
              <w:pStyle w:val="NormalWeb"/>
              <w:rPr>
                <w:rFonts w:ascii="VIC" w:hAnsi="VIC" w:cstheme="minorBidi"/>
                <w:sz w:val="24"/>
              </w:rPr>
            </w:pPr>
            <w:r w:rsidRPr="003A78FF">
              <w:rPr>
                <w:rFonts w:ascii="VIC" w:hAnsi="VIC" w:cstheme="minorBidi"/>
                <w:sz w:val="24"/>
              </w:rPr>
              <w:t>Excisional breast biopsy</w:t>
            </w:r>
            <w:r w:rsidRPr="003A78FF">
              <w:rPr>
                <w:rFonts w:ascii="Cambria" w:hAnsi="Cambria" w:cs="Cambria"/>
                <w:sz w:val="24"/>
              </w:rPr>
              <w:t> </w:t>
            </w:r>
          </w:p>
        </w:tc>
      </w:tr>
      <w:tr w:rsidR="00CF19B6" w:rsidRPr="003A78FF" w14:paraId="4E14447A" w14:textId="2120FF13" w:rsidTr="00166041">
        <w:trPr>
          <w:gridAfter w:val="1"/>
          <w:wAfter w:w="360" w:type="dxa"/>
          <w:trHeight w:val="253"/>
        </w:trPr>
        <w:tc>
          <w:tcPr>
            <w:tcW w:w="2268" w:type="dxa"/>
            <w:vMerge w:val="restart"/>
          </w:tcPr>
          <w:p w14:paraId="4D56CF52" w14:textId="5BAC021B" w:rsidR="00124E34" w:rsidRPr="003A78FF" w:rsidRDefault="00124E34" w:rsidP="006D49DC">
            <w:pPr>
              <w:pStyle w:val="NormalWeb"/>
              <w:rPr>
                <w:rFonts w:ascii="VIC" w:hAnsi="VIC"/>
                <w:b/>
                <w:bCs/>
                <w:sz w:val="24"/>
              </w:rPr>
            </w:pPr>
            <w:r w:rsidRPr="003A78FF">
              <w:rPr>
                <w:rFonts w:ascii="VIC" w:hAnsi="VIC"/>
                <w:b/>
                <w:bCs/>
                <w:sz w:val="24"/>
              </w:rPr>
              <w:t>ENT</w:t>
            </w:r>
          </w:p>
        </w:tc>
        <w:tc>
          <w:tcPr>
            <w:tcW w:w="7371" w:type="dxa"/>
          </w:tcPr>
          <w:p w14:paraId="6A74F363" w14:textId="4C292155" w:rsidR="00CF19B6" w:rsidRPr="003A78FF" w:rsidRDefault="00CF19B6" w:rsidP="000D1CC1">
            <w:pPr>
              <w:pStyle w:val="NormalWeb"/>
              <w:rPr>
                <w:rFonts w:ascii="VIC" w:hAnsi="VIC" w:cstheme="minorBidi"/>
                <w:color w:val="000000"/>
                <w:sz w:val="24"/>
              </w:rPr>
            </w:pPr>
            <w:r w:rsidRPr="003A78FF">
              <w:rPr>
                <w:rFonts w:ascii="VIC" w:hAnsi="VIC" w:cstheme="minorBidi"/>
                <w:sz w:val="24"/>
              </w:rPr>
              <w:t>Nasal procedures</w:t>
            </w:r>
          </w:p>
        </w:tc>
      </w:tr>
      <w:tr w:rsidR="00CF19B6" w:rsidRPr="003A78FF" w14:paraId="6D3DD683" w14:textId="19A84E24" w:rsidTr="00166041">
        <w:trPr>
          <w:gridAfter w:val="1"/>
          <w:wAfter w:w="360" w:type="dxa"/>
          <w:trHeight w:val="274"/>
        </w:trPr>
        <w:tc>
          <w:tcPr>
            <w:tcW w:w="2268" w:type="dxa"/>
            <w:vMerge/>
          </w:tcPr>
          <w:p w14:paraId="788988B8" w14:textId="571956D3" w:rsidR="00124E34" w:rsidRPr="003A78FF" w:rsidRDefault="00124E34" w:rsidP="006D49DC">
            <w:pPr>
              <w:pStyle w:val="NormalWeb"/>
              <w:rPr>
                <w:rFonts w:ascii="VIC" w:hAnsi="VIC"/>
                <w:sz w:val="24"/>
              </w:rPr>
            </w:pPr>
          </w:p>
        </w:tc>
        <w:tc>
          <w:tcPr>
            <w:tcW w:w="7371" w:type="dxa"/>
          </w:tcPr>
          <w:p w14:paraId="2ACE8A2E" w14:textId="23579566" w:rsidR="00CF19B6" w:rsidRPr="003A78FF" w:rsidRDefault="00CF19B6" w:rsidP="005C7B76">
            <w:pPr>
              <w:pStyle w:val="NormalWeb"/>
              <w:rPr>
                <w:rFonts w:ascii="VIC" w:hAnsi="VIC" w:cstheme="minorHAnsi"/>
                <w:color w:val="000000"/>
                <w:sz w:val="24"/>
              </w:rPr>
            </w:pPr>
            <w:r w:rsidRPr="003A78FF">
              <w:rPr>
                <w:rFonts w:ascii="VIC" w:hAnsi="VIC" w:cstheme="minorBidi"/>
                <w:sz w:val="24"/>
              </w:rPr>
              <w:t>Sinus procedures</w:t>
            </w:r>
          </w:p>
        </w:tc>
      </w:tr>
      <w:tr w:rsidR="00CF19B6" w:rsidRPr="003A78FF" w14:paraId="21E5A6AB" w14:textId="63409554" w:rsidTr="00166041">
        <w:trPr>
          <w:gridAfter w:val="1"/>
          <w:wAfter w:w="360" w:type="dxa"/>
          <w:trHeight w:val="274"/>
        </w:trPr>
        <w:tc>
          <w:tcPr>
            <w:tcW w:w="2268" w:type="dxa"/>
            <w:vMerge/>
          </w:tcPr>
          <w:p w14:paraId="49064089" w14:textId="6A8CCFE3" w:rsidR="00124E34" w:rsidRPr="003A78FF" w:rsidRDefault="00124E34" w:rsidP="006D49DC">
            <w:pPr>
              <w:pStyle w:val="NormalWeb"/>
              <w:rPr>
                <w:rFonts w:ascii="VIC" w:hAnsi="VIC"/>
                <w:sz w:val="24"/>
              </w:rPr>
            </w:pPr>
          </w:p>
        </w:tc>
        <w:tc>
          <w:tcPr>
            <w:tcW w:w="7371" w:type="dxa"/>
          </w:tcPr>
          <w:p w14:paraId="0BEBCCFC" w14:textId="50CAF1BA" w:rsidR="00CF19B6" w:rsidRPr="003A78FF" w:rsidRDefault="00CF19B6" w:rsidP="005C7B76">
            <w:pPr>
              <w:pStyle w:val="NormalWeb"/>
              <w:rPr>
                <w:rFonts w:ascii="VIC" w:hAnsi="VIC" w:cstheme="minorHAnsi"/>
                <w:color w:val="000000"/>
                <w:sz w:val="24"/>
              </w:rPr>
            </w:pPr>
            <w:r w:rsidRPr="003A78FF">
              <w:rPr>
                <w:rFonts w:ascii="VIC" w:hAnsi="VIC" w:cstheme="minorBidi"/>
                <w:sz w:val="24"/>
              </w:rPr>
              <w:t>Grommets</w:t>
            </w:r>
          </w:p>
        </w:tc>
      </w:tr>
      <w:tr w:rsidR="00CF19B6" w:rsidRPr="003A78FF" w14:paraId="370A7C7E" w14:textId="570C2323" w:rsidTr="00166041">
        <w:trPr>
          <w:gridAfter w:val="1"/>
          <w:wAfter w:w="360" w:type="dxa"/>
          <w:trHeight w:val="274"/>
        </w:trPr>
        <w:tc>
          <w:tcPr>
            <w:tcW w:w="2268" w:type="dxa"/>
            <w:vMerge/>
          </w:tcPr>
          <w:p w14:paraId="1E5A6FB7" w14:textId="056BC84A" w:rsidR="00124E34" w:rsidRPr="003A78FF" w:rsidRDefault="00124E34" w:rsidP="006D49DC">
            <w:pPr>
              <w:pStyle w:val="NormalWeb"/>
              <w:rPr>
                <w:rFonts w:ascii="VIC" w:hAnsi="VIC"/>
                <w:sz w:val="24"/>
              </w:rPr>
            </w:pPr>
          </w:p>
        </w:tc>
        <w:tc>
          <w:tcPr>
            <w:tcW w:w="7371" w:type="dxa"/>
          </w:tcPr>
          <w:p w14:paraId="0237C438" w14:textId="22BB720B" w:rsidR="00CF19B6" w:rsidRPr="003A78FF" w:rsidRDefault="00CF19B6" w:rsidP="005C7B76">
            <w:pPr>
              <w:pStyle w:val="NormalWeb"/>
              <w:rPr>
                <w:rFonts w:ascii="VIC" w:hAnsi="VIC" w:cstheme="minorHAnsi"/>
                <w:color w:val="000000"/>
                <w:sz w:val="24"/>
              </w:rPr>
            </w:pPr>
            <w:r w:rsidRPr="003A78FF">
              <w:rPr>
                <w:rFonts w:ascii="VIC" w:hAnsi="VIC" w:cstheme="minorBidi"/>
                <w:sz w:val="24"/>
              </w:rPr>
              <w:t>Middle ear/mastoid procedures</w:t>
            </w:r>
          </w:p>
        </w:tc>
      </w:tr>
      <w:tr w:rsidR="00CF19B6" w:rsidRPr="003A78FF" w14:paraId="5B84A6DB" w14:textId="475B22AA" w:rsidTr="00166041">
        <w:trPr>
          <w:gridAfter w:val="1"/>
          <w:wAfter w:w="360" w:type="dxa"/>
          <w:trHeight w:val="259"/>
        </w:trPr>
        <w:tc>
          <w:tcPr>
            <w:tcW w:w="2268" w:type="dxa"/>
            <w:vMerge w:val="restart"/>
          </w:tcPr>
          <w:p w14:paraId="1FF8FB6C" w14:textId="1EE57DB5" w:rsidR="00124E34" w:rsidRPr="003A78FF" w:rsidRDefault="00124E34" w:rsidP="006D49DC">
            <w:pPr>
              <w:pStyle w:val="NormalWeb"/>
              <w:rPr>
                <w:rFonts w:ascii="VIC" w:hAnsi="VIC"/>
                <w:b/>
                <w:bCs/>
                <w:sz w:val="24"/>
              </w:rPr>
            </w:pPr>
            <w:r w:rsidRPr="003A78FF">
              <w:rPr>
                <w:rFonts w:ascii="VIC" w:hAnsi="VIC"/>
                <w:b/>
                <w:bCs/>
                <w:sz w:val="24"/>
              </w:rPr>
              <w:t>Neuro</w:t>
            </w:r>
          </w:p>
        </w:tc>
        <w:tc>
          <w:tcPr>
            <w:tcW w:w="7371" w:type="dxa"/>
          </w:tcPr>
          <w:p w14:paraId="2856C045" w14:textId="230D9028" w:rsidR="00CF19B6" w:rsidRPr="003A78FF" w:rsidRDefault="00CF19B6" w:rsidP="005C7B76">
            <w:pPr>
              <w:pStyle w:val="NormalWeb"/>
              <w:rPr>
                <w:rFonts w:ascii="VIC" w:hAnsi="VIC" w:cstheme="minorHAnsi"/>
                <w:color w:val="000000"/>
                <w:sz w:val="24"/>
              </w:rPr>
            </w:pPr>
            <w:r w:rsidRPr="003A78FF">
              <w:rPr>
                <w:rFonts w:ascii="VIC" w:hAnsi="VIC" w:cstheme="minorBidi"/>
                <w:sz w:val="24"/>
              </w:rPr>
              <w:t>Peripheral nerve surgery</w:t>
            </w:r>
          </w:p>
        </w:tc>
      </w:tr>
      <w:tr w:rsidR="00CF19B6" w:rsidRPr="003A78FF" w14:paraId="42DA7085" w14:textId="7D4E5EAA" w:rsidTr="00166041">
        <w:trPr>
          <w:gridAfter w:val="1"/>
          <w:wAfter w:w="360" w:type="dxa"/>
          <w:trHeight w:val="325"/>
        </w:trPr>
        <w:tc>
          <w:tcPr>
            <w:tcW w:w="2268" w:type="dxa"/>
            <w:vMerge/>
          </w:tcPr>
          <w:p w14:paraId="20F0FCD0" w14:textId="4EB1DE90" w:rsidR="00124E34" w:rsidRPr="003A78FF" w:rsidRDefault="00124E34" w:rsidP="006D49DC">
            <w:pPr>
              <w:pStyle w:val="NormalWeb"/>
              <w:rPr>
                <w:rFonts w:ascii="VIC" w:hAnsi="VIC"/>
                <w:sz w:val="24"/>
              </w:rPr>
            </w:pPr>
          </w:p>
        </w:tc>
        <w:tc>
          <w:tcPr>
            <w:tcW w:w="7371" w:type="dxa"/>
          </w:tcPr>
          <w:p w14:paraId="0B0215CD" w14:textId="3BC79333" w:rsidR="00CF19B6" w:rsidRPr="003A78FF" w:rsidRDefault="00CF19B6" w:rsidP="005C7B76">
            <w:pPr>
              <w:pStyle w:val="NormalWeb"/>
              <w:rPr>
                <w:rFonts w:ascii="VIC" w:hAnsi="VIC" w:cstheme="minorHAnsi"/>
                <w:color w:val="000000"/>
                <w:sz w:val="24"/>
              </w:rPr>
            </w:pPr>
            <w:r w:rsidRPr="003A78FF">
              <w:rPr>
                <w:rFonts w:ascii="VIC" w:hAnsi="VIC" w:cstheme="minorBidi"/>
                <w:sz w:val="24"/>
              </w:rPr>
              <w:t>Muscle, nerve and temporal artery biopsies</w:t>
            </w:r>
          </w:p>
        </w:tc>
      </w:tr>
      <w:tr w:rsidR="00CF19B6" w:rsidRPr="003A78FF" w14:paraId="1A0FCDFA" w14:textId="53F6533B" w:rsidTr="00166041">
        <w:trPr>
          <w:gridAfter w:val="1"/>
          <w:wAfter w:w="360" w:type="dxa"/>
          <w:trHeight w:val="347"/>
        </w:trPr>
        <w:tc>
          <w:tcPr>
            <w:tcW w:w="2268" w:type="dxa"/>
            <w:vMerge/>
          </w:tcPr>
          <w:p w14:paraId="7816334D" w14:textId="4863E6F3" w:rsidR="00124E34" w:rsidRPr="003A78FF" w:rsidRDefault="00124E34" w:rsidP="006D49DC">
            <w:pPr>
              <w:pStyle w:val="NormalWeb"/>
              <w:rPr>
                <w:rFonts w:ascii="VIC" w:hAnsi="VIC"/>
                <w:sz w:val="24"/>
              </w:rPr>
            </w:pPr>
          </w:p>
        </w:tc>
        <w:tc>
          <w:tcPr>
            <w:tcW w:w="7371" w:type="dxa"/>
          </w:tcPr>
          <w:p w14:paraId="511B8771" w14:textId="44BCC448" w:rsidR="00CF19B6" w:rsidRPr="003A78FF" w:rsidRDefault="00CF19B6" w:rsidP="005C7B76">
            <w:pPr>
              <w:pStyle w:val="NormalWeb"/>
              <w:rPr>
                <w:rFonts w:ascii="VIC" w:hAnsi="VIC" w:cstheme="minorHAnsi"/>
                <w:color w:val="000000"/>
                <w:sz w:val="24"/>
              </w:rPr>
            </w:pPr>
            <w:r w:rsidRPr="003A78FF">
              <w:rPr>
                <w:rFonts w:ascii="VIC" w:hAnsi="VIC" w:cstheme="minorBidi"/>
                <w:sz w:val="24"/>
              </w:rPr>
              <w:t>Simple lumbar decompression and microdiscectomies</w:t>
            </w:r>
          </w:p>
        </w:tc>
      </w:tr>
      <w:tr w:rsidR="00CF19B6" w:rsidRPr="003A78FF" w14:paraId="24B4E307" w14:textId="291F7BA9" w:rsidTr="00166041">
        <w:trPr>
          <w:gridAfter w:val="1"/>
          <w:wAfter w:w="360" w:type="dxa"/>
          <w:trHeight w:val="274"/>
        </w:trPr>
        <w:tc>
          <w:tcPr>
            <w:tcW w:w="2268" w:type="dxa"/>
            <w:vMerge/>
          </w:tcPr>
          <w:p w14:paraId="5684C893" w14:textId="46E86C58" w:rsidR="00124E34" w:rsidRPr="003A78FF" w:rsidRDefault="00124E34" w:rsidP="006D49DC">
            <w:pPr>
              <w:pStyle w:val="NormalWeb"/>
              <w:rPr>
                <w:rFonts w:ascii="VIC" w:hAnsi="VIC"/>
                <w:sz w:val="24"/>
              </w:rPr>
            </w:pPr>
          </w:p>
        </w:tc>
        <w:tc>
          <w:tcPr>
            <w:tcW w:w="7371" w:type="dxa"/>
          </w:tcPr>
          <w:p w14:paraId="6B5DBDBE" w14:textId="64EE91BB" w:rsidR="00CF19B6" w:rsidRPr="003A78FF" w:rsidRDefault="00CF19B6" w:rsidP="005C7B76">
            <w:pPr>
              <w:pStyle w:val="NormalWeb"/>
              <w:rPr>
                <w:rFonts w:ascii="VIC" w:hAnsi="VIC" w:cstheme="minorHAnsi"/>
                <w:color w:val="000000"/>
                <w:sz w:val="24"/>
              </w:rPr>
            </w:pPr>
            <w:r w:rsidRPr="003A78FF">
              <w:rPr>
                <w:rFonts w:ascii="VIC" w:hAnsi="VIC" w:cstheme="minorBidi"/>
                <w:sz w:val="24"/>
              </w:rPr>
              <w:t>Simple cervical decompression</w:t>
            </w:r>
          </w:p>
        </w:tc>
      </w:tr>
      <w:tr w:rsidR="00CF19B6" w:rsidRPr="003A78FF" w14:paraId="28EE848B" w14:textId="4CB01FE3" w:rsidTr="00166041">
        <w:trPr>
          <w:gridAfter w:val="1"/>
          <w:wAfter w:w="360" w:type="dxa"/>
          <w:trHeight w:val="274"/>
        </w:trPr>
        <w:tc>
          <w:tcPr>
            <w:tcW w:w="2268" w:type="dxa"/>
            <w:vMerge/>
          </w:tcPr>
          <w:p w14:paraId="4ECD776D" w14:textId="624D498C" w:rsidR="00124E34" w:rsidRPr="003A78FF" w:rsidRDefault="00124E34" w:rsidP="006D49DC">
            <w:pPr>
              <w:pStyle w:val="NormalWeb"/>
              <w:rPr>
                <w:rFonts w:ascii="VIC" w:hAnsi="VIC"/>
                <w:sz w:val="24"/>
              </w:rPr>
            </w:pPr>
          </w:p>
        </w:tc>
        <w:tc>
          <w:tcPr>
            <w:tcW w:w="7371" w:type="dxa"/>
          </w:tcPr>
          <w:p w14:paraId="4A764388" w14:textId="36A0DE10" w:rsidR="00CF19B6" w:rsidRPr="003A78FF" w:rsidRDefault="00CF19B6" w:rsidP="005C7B76">
            <w:pPr>
              <w:pStyle w:val="NormalWeb"/>
              <w:rPr>
                <w:rFonts w:ascii="VIC" w:hAnsi="VIC" w:cstheme="minorHAnsi"/>
                <w:color w:val="000000"/>
                <w:sz w:val="24"/>
              </w:rPr>
            </w:pPr>
            <w:r w:rsidRPr="003A78FF">
              <w:rPr>
                <w:rFonts w:ascii="VIC" w:hAnsi="VIC" w:cstheme="minorBidi"/>
                <w:sz w:val="24"/>
              </w:rPr>
              <w:t>Foraminotomies</w:t>
            </w:r>
          </w:p>
        </w:tc>
      </w:tr>
      <w:tr w:rsidR="00CF19B6" w:rsidRPr="003A78FF" w14:paraId="02503603" w14:textId="11DE273C" w:rsidTr="00166041">
        <w:trPr>
          <w:gridAfter w:val="1"/>
          <w:wAfter w:w="360" w:type="dxa"/>
          <w:trHeight w:val="221"/>
        </w:trPr>
        <w:tc>
          <w:tcPr>
            <w:tcW w:w="2268" w:type="dxa"/>
            <w:vMerge/>
          </w:tcPr>
          <w:p w14:paraId="59489E04" w14:textId="55F22BDE" w:rsidR="00124E34" w:rsidRPr="003A78FF" w:rsidRDefault="00124E34" w:rsidP="006D49DC">
            <w:pPr>
              <w:pStyle w:val="NormalWeb"/>
              <w:rPr>
                <w:rFonts w:ascii="VIC" w:hAnsi="VIC"/>
                <w:sz w:val="24"/>
              </w:rPr>
            </w:pPr>
          </w:p>
        </w:tc>
        <w:tc>
          <w:tcPr>
            <w:tcW w:w="7371" w:type="dxa"/>
          </w:tcPr>
          <w:p w14:paraId="615F888F" w14:textId="3DD2D26A" w:rsidR="00CF19B6" w:rsidRPr="003A78FF" w:rsidRDefault="00CF19B6" w:rsidP="005C7B76">
            <w:pPr>
              <w:pStyle w:val="NormalWeb"/>
              <w:rPr>
                <w:rFonts w:ascii="VIC" w:hAnsi="VIC" w:cstheme="minorHAnsi"/>
                <w:color w:val="000000"/>
                <w:sz w:val="24"/>
              </w:rPr>
            </w:pPr>
            <w:r w:rsidRPr="003A78FF">
              <w:rPr>
                <w:rFonts w:ascii="VIC" w:hAnsi="VIC" w:cstheme="minorBidi"/>
                <w:sz w:val="24"/>
              </w:rPr>
              <w:t>Anterior cervical discectomy and fusions (23hr stay)</w:t>
            </w:r>
          </w:p>
        </w:tc>
      </w:tr>
      <w:tr w:rsidR="00CF19B6" w:rsidRPr="003A78FF" w14:paraId="212695D0" w14:textId="748297BB" w:rsidTr="00166041">
        <w:trPr>
          <w:gridAfter w:val="1"/>
          <w:wAfter w:w="360" w:type="dxa"/>
          <w:trHeight w:val="257"/>
        </w:trPr>
        <w:tc>
          <w:tcPr>
            <w:tcW w:w="2268" w:type="dxa"/>
            <w:vMerge/>
          </w:tcPr>
          <w:p w14:paraId="74F4438D" w14:textId="35555353" w:rsidR="00124E34" w:rsidRPr="003A78FF" w:rsidRDefault="00124E34" w:rsidP="006D49DC">
            <w:pPr>
              <w:pStyle w:val="NormalWeb"/>
              <w:rPr>
                <w:rFonts w:ascii="VIC" w:hAnsi="VIC"/>
                <w:sz w:val="24"/>
              </w:rPr>
            </w:pPr>
          </w:p>
        </w:tc>
        <w:tc>
          <w:tcPr>
            <w:tcW w:w="7371" w:type="dxa"/>
          </w:tcPr>
          <w:p w14:paraId="5A34D187" w14:textId="29B4FCA4" w:rsidR="00CF19B6" w:rsidRPr="003A78FF" w:rsidRDefault="00CF19B6" w:rsidP="005C7B76">
            <w:pPr>
              <w:pStyle w:val="NormalWeb"/>
              <w:rPr>
                <w:rFonts w:ascii="VIC" w:hAnsi="VIC" w:cstheme="minorBidi"/>
                <w:color w:val="000000"/>
                <w:sz w:val="24"/>
              </w:rPr>
            </w:pPr>
            <w:r w:rsidRPr="003A78FF">
              <w:rPr>
                <w:rFonts w:ascii="VIC" w:hAnsi="VIC" w:cstheme="minorBidi"/>
                <w:sz w:val="24"/>
              </w:rPr>
              <w:t>Skull tumours - Wholly intraosseous lesions (but not intracranial tumours)</w:t>
            </w:r>
          </w:p>
        </w:tc>
      </w:tr>
      <w:tr w:rsidR="00CF19B6" w:rsidRPr="003A78FF" w14:paraId="48FC0063" w14:textId="77777777" w:rsidTr="00166041">
        <w:trPr>
          <w:gridAfter w:val="1"/>
          <w:wAfter w:w="360" w:type="dxa"/>
          <w:trHeight w:val="274"/>
        </w:trPr>
        <w:tc>
          <w:tcPr>
            <w:tcW w:w="2268" w:type="dxa"/>
            <w:vMerge/>
          </w:tcPr>
          <w:p w14:paraId="0BBDDDE1" w14:textId="05F1ABB0" w:rsidR="00124E34" w:rsidRPr="003A78FF" w:rsidRDefault="00124E34" w:rsidP="006D49DC">
            <w:pPr>
              <w:pStyle w:val="NormalWeb"/>
              <w:rPr>
                <w:rFonts w:ascii="VIC" w:hAnsi="VIC"/>
                <w:sz w:val="24"/>
              </w:rPr>
            </w:pPr>
          </w:p>
        </w:tc>
        <w:tc>
          <w:tcPr>
            <w:tcW w:w="7371" w:type="dxa"/>
            <w:tcBorders>
              <w:bottom w:val="single" w:sz="4" w:space="0" w:color="auto"/>
            </w:tcBorders>
          </w:tcPr>
          <w:p w14:paraId="3B21C6C8" w14:textId="49D1E6E6" w:rsidR="00CF19B6" w:rsidRPr="003A78FF" w:rsidRDefault="00CF19B6" w:rsidP="005C7B76">
            <w:pPr>
              <w:pStyle w:val="NormalWeb"/>
              <w:rPr>
                <w:rFonts w:ascii="VIC" w:hAnsi="VIC" w:cstheme="minorBidi"/>
                <w:sz w:val="24"/>
              </w:rPr>
            </w:pPr>
            <w:r w:rsidRPr="003A78FF">
              <w:rPr>
                <w:rFonts w:ascii="VIC" w:hAnsi="VIC" w:cstheme="minorBidi"/>
                <w:sz w:val="24"/>
              </w:rPr>
              <w:t>Haemorrhoidectomy procedures</w:t>
            </w:r>
          </w:p>
        </w:tc>
      </w:tr>
      <w:tr w:rsidR="00CF19B6" w:rsidRPr="003A78FF" w14:paraId="29B63D6C" w14:textId="77777777" w:rsidTr="00166041">
        <w:trPr>
          <w:gridAfter w:val="1"/>
          <w:wAfter w:w="360" w:type="dxa"/>
          <w:trHeight w:val="334"/>
        </w:trPr>
        <w:tc>
          <w:tcPr>
            <w:tcW w:w="2268" w:type="dxa"/>
            <w:tcBorders>
              <w:top w:val="single" w:sz="4" w:space="0" w:color="auto"/>
              <w:bottom w:val="single" w:sz="4" w:space="0" w:color="auto"/>
            </w:tcBorders>
          </w:tcPr>
          <w:p w14:paraId="3B0BADF4" w14:textId="0311B434" w:rsidR="00124E34" w:rsidRPr="003A78FF" w:rsidRDefault="00124E34" w:rsidP="006D49DC">
            <w:pPr>
              <w:pStyle w:val="NormalWeb"/>
              <w:rPr>
                <w:rFonts w:ascii="VIC" w:hAnsi="VIC"/>
                <w:b/>
                <w:bCs/>
                <w:sz w:val="24"/>
              </w:rPr>
            </w:pPr>
            <w:r w:rsidRPr="003A78FF">
              <w:rPr>
                <w:rFonts w:ascii="VIC" w:hAnsi="VIC"/>
                <w:b/>
                <w:bCs/>
                <w:sz w:val="24"/>
              </w:rPr>
              <w:t>Vascular</w:t>
            </w:r>
          </w:p>
        </w:tc>
        <w:tc>
          <w:tcPr>
            <w:tcW w:w="7371" w:type="dxa"/>
            <w:tcBorders>
              <w:top w:val="single" w:sz="4" w:space="0" w:color="auto"/>
              <w:bottom w:val="single" w:sz="4" w:space="0" w:color="auto"/>
            </w:tcBorders>
          </w:tcPr>
          <w:p w14:paraId="5EC4B0DA" w14:textId="62EF43F2" w:rsidR="00CF19B6" w:rsidRPr="003A78FF" w:rsidRDefault="00CF19B6" w:rsidP="005C7B76">
            <w:pPr>
              <w:pStyle w:val="NormalWeb"/>
              <w:rPr>
                <w:rFonts w:ascii="VIC" w:hAnsi="VIC" w:cstheme="minorBidi"/>
                <w:sz w:val="24"/>
              </w:rPr>
            </w:pPr>
            <w:r w:rsidRPr="003A78FF">
              <w:rPr>
                <w:rFonts w:ascii="VIC" w:hAnsi="VIC" w:cstheme="minorBidi"/>
                <w:sz w:val="24"/>
              </w:rPr>
              <w:t>Fistula procedures</w:t>
            </w:r>
          </w:p>
        </w:tc>
      </w:tr>
    </w:tbl>
    <w:p w14:paraId="7D274BEE" w14:textId="77777777" w:rsidR="00E93E85" w:rsidRPr="003A78FF" w:rsidRDefault="00E93E85" w:rsidP="00A47B68">
      <w:pPr>
        <w:spacing w:before="0" w:after="0" w:line="260" w:lineRule="atLeast"/>
        <w:rPr>
          <w:rFonts w:ascii="VIC" w:hAnsi="VIC"/>
          <w:sz w:val="24"/>
          <w:szCs w:val="24"/>
        </w:rPr>
      </w:pPr>
    </w:p>
    <w:p w14:paraId="0DCB4B80" w14:textId="77777777" w:rsidR="00E71A66" w:rsidRPr="003A78FF" w:rsidRDefault="00E71A66" w:rsidP="00683E84">
      <w:pPr>
        <w:pStyle w:val="ListParagraph"/>
        <w:spacing w:before="0" w:after="0" w:line="260" w:lineRule="atLeast"/>
        <w:ind w:left="786"/>
        <w:rPr>
          <w:rFonts w:ascii="VIC" w:hAnsi="VIC"/>
          <w:sz w:val="24"/>
          <w:szCs w:val="24"/>
        </w:rPr>
      </w:pPr>
    </w:p>
    <w:p w14:paraId="56DA44CB" w14:textId="3F9BFEAF" w:rsidR="000A3E9B" w:rsidRPr="003A78FF" w:rsidRDefault="008331B9" w:rsidP="00683E84">
      <w:pPr>
        <w:spacing w:before="0" w:after="0" w:line="260" w:lineRule="atLeast"/>
        <w:ind w:left="502"/>
        <w:rPr>
          <w:rFonts w:ascii="VIC" w:hAnsi="VIC"/>
          <w:b/>
          <w:bCs/>
          <w:sz w:val="24"/>
          <w:szCs w:val="24"/>
        </w:rPr>
      </w:pPr>
      <w:r w:rsidRPr="003A78FF">
        <w:rPr>
          <w:rFonts w:ascii="VIC" w:hAnsi="VIC"/>
          <w:b/>
          <w:bCs/>
          <w:sz w:val="24"/>
          <w:szCs w:val="24"/>
        </w:rPr>
        <w:t>Additional considerations for increasing</w:t>
      </w:r>
      <w:r w:rsidR="00071130" w:rsidRPr="003A78FF">
        <w:rPr>
          <w:rFonts w:ascii="VIC" w:hAnsi="VIC"/>
          <w:b/>
          <w:bCs/>
          <w:sz w:val="24"/>
          <w:szCs w:val="24"/>
        </w:rPr>
        <w:t xml:space="preserve"> same-day models of surgical care and/or alternative options for care include</w:t>
      </w:r>
      <w:r w:rsidR="000A3E9B" w:rsidRPr="003A78FF">
        <w:rPr>
          <w:rFonts w:ascii="VIC" w:hAnsi="VIC"/>
          <w:b/>
          <w:bCs/>
          <w:sz w:val="24"/>
          <w:szCs w:val="24"/>
        </w:rPr>
        <w:t>:</w:t>
      </w:r>
    </w:p>
    <w:p w14:paraId="7E98E0BE" w14:textId="3429804D" w:rsidR="00B138A1" w:rsidRPr="003A78FF" w:rsidRDefault="00D52E52" w:rsidP="000D7EFA">
      <w:pPr>
        <w:pStyle w:val="ListParagraph"/>
        <w:numPr>
          <w:ilvl w:val="0"/>
          <w:numId w:val="25"/>
        </w:numPr>
        <w:spacing w:after="0" w:line="260" w:lineRule="atLeast"/>
        <w:ind w:left="862"/>
        <w:rPr>
          <w:rFonts w:ascii="VIC" w:hAnsi="VIC"/>
          <w:sz w:val="24"/>
          <w:szCs w:val="24"/>
        </w:rPr>
      </w:pPr>
      <w:r w:rsidRPr="003A78FF">
        <w:rPr>
          <w:rFonts w:ascii="VIC" w:hAnsi="VIC"/>
          <w:b/>
          <w:bCs/>
          <w:sz w:val="24"/>
          <w:szCs w:val="24"/>
        </w:rPr>
        <w:t xml:space="preserve">Operational </w:t>
      </w:r>
      <w:r w:rsidR="00A470B3" w:rsidRPr="003A78FF">
        <w:rPr>
          <w:rFonts w:ascii="VIC" w:hAnsi="VIC"/>
          <w:b/>
          <w:bCs/>
          <w:sz w:val="24"/>
          <w:szCs w:val="24"/>
        </w:rPr>
        <w:t>consideration</w:t>
      </w:r>
      <w:r w:rsidR="00341EC9" w:rsidRPr="003A78FF">
        <w:rPr>
          <w:rFonts w:ascii="VIC" w:hAnsi="VIC"/>
          <w:b/>
          <w:bCs/>
          <w:sz w:val="24"/>
          <w:szCs w:val="24"/>
        </w:rPr>
        <w:t>s</w:t>
      </w:r>
    </w:p>
    <w:p w14:paraId="17DF68AD" w14:textId="19D43F9B" w:rsidR="71FC5483" w:rsidRPr="003A78FF" w:rsidRDefault="26DFEACF" w:rsidP="00CE06F0">
      <w:pPr>
        <w:pStyle w:val="ListParagraph"/>
        <w:numPr>
          <w:ilvl w:val="1"/>
          <w:numId w:val="25"/>
        </w:numPr>
        <w:spacing w:before="0" w:after="0" w:line="260" w:lineRule="atLeast"/>
        <w:rPr>
          <w:rFonts w:ascii="VIC" w:hAnsi="VIC"/>
          <w:sz w:val="24"/>
          <w:szCs w:val="24"/>
        </w:rPr>
      </w:pPr>
      <w:r w:rsidRPr="003A78FF">
        <w:rPr>
          <w:rFonts w:ascii="VIC" w:hAnsi="VIC"/>
          <w:sz w:val="24"/>
          <w:szCs w:val="24"/>
        </w:rPr>
        <w:t xml:space="preserve">Extended </w:t>
      </w:r>
      <w:r w:rsidR="00C137F0" w:rsidRPr="003A78FF">
        <w:rPr>
          <w:rFonts w:ascii="VIC" w:hAnsi="VIC"/>
          <w:sz w:val="24"/>
          <w:szCs w:val="24"/>
        </w:rPr>
        <w:t>d</w:t>
      </w:r>
      <w:r w:rsidRPr="003A78FF">
        <w:rPr>
          <w:rFonts w:ascii="VIC" w:hAnsi="VIC"/>
          <w:sz w:val="24"/>
          <w:szCs w:val="24"/>
        </w:rPr>
        <w:t xml:space="preserve">ay </w:t>
      </w:r>
      <w:r w:rsidR="3CAACE64" w:rsidRPr="003A78FF">
        <w:rPr>
          <w:rFonts w:ascii="VIC" w:hAnsi="VIC"/>
          <w:sz w:val="24"/>
          <w:szCs w:val="24"/>
        </w:rPr>
        <w:t xml:space="preserve">surgery </w:t>
      </w:r>
      <w:r w:rsidRPr="003A78FF">
        <w:rPr>
          <w:rFonts w:ascii="VIC" w:hAnsi="VIC"/>
          <w:sz w:val="24"/>
          <w:szCs w:val="24"/>
        </w:rPr>
        <w:t>operational times</w:t>
      </w:r>
      <w:r w:rsidR="48DAEB0A" w:rsidRPr="003A78FF">
        <w:rPr>
          <w:rFonts w:ascii="VIC" w:hAnsi="VIC"/>
          <w:sz w:val="24"/>
          <w:szCs w:val="24"/>
        </w:rPr>
        <w:t xml:space="preserve"> to </w:t>
      </w:r>
      <w:r w:rsidR="7A8D94A5" w:rsidRPr="003A78FF">
        <w:rPr>
          <w:rFonts w:ascii="VIC" w:hAnsi="VIC"/>
          <w:sz w:val="24"/>
          <w:szCs w:val="24"/>
        </w:rPr>
        <w:t xml:space="preserve">facilitate afternoon day </w:t>
      </w:r>
      <w:r w:rsidR="4131C0B4" w:rsidRPr="003A78FF">
        <w:rPr>
          <w:rFonts w:ascii="VIC" w:hAnsi="VIC"/>
          <w:sz w:val="24"/>
          <w:szCs w:val="24"/>
        </w:rPr>
        <w:t xml:space="preserve">cases to be </w:t>
      </w:r>
      <w:r w:rsidR="6483D6BB" w:rsidRPr="003A78FF">
        <w:rPr>
          <w:rFonts w:ascii="VIC" w:hAnsi="VIC"/>
          <w:sz w:val="24"/>
          <w:szCs w:val="24"/>
        </w:rPr>
        <w:t>performed</w:t>
      </w:r>
      <w:r w:rsidR="1FB98191" w:rsidRPr="003A78FF">
        <w:rPr>
          <w:rFonts w:ascii="VIC" w:hAnsi="VIC"/>
          <w:sz w:val="24"/>
          <w:szCs w:val="24"/>
        </w:rPr>
        <w:t xml:space="preserve">, and to provide adequate </w:t>
      </w:r>
      <w:r w:rsidR="2D46D09D" w:rsidRPr="003A78FF">
        <w:rPr>
          <w:rFonts w:ascii="VIC" w:hAnsi="VIC"/>
          <w:sz w:val="24"/>
          <w:szCs w:val="24"/>
        </w:rPr>
        <w:t>time for post</w:t>
      </w:r>
      <w:r w:rsidR="0085212D" w:rsidRPr="003A78FF">
        <w:rPr>
          <w:rFonts w:ascii="VIC" w:hAnsi="VIC"/>
          <w:sz w:val="24"/>
          <w:szCs w:val="24"/>
        </w:rPr>
        <w:t>-</w:t>
      </w:r>
      <w:r w:rsidR="2D46D09D" w:rsidRPr="003A78FF">
        <w:rPr>
          <w:rFonts w:ascii="VIC" w:hAnsi="VIC"/>
          <w:sz w:val="24"/>
          <w:szCs w:val="24"/>
        </w:rPr>
        <w:t xml:space="preserve">surgery and </w:t>
      </w:r>
      <w:r w:rsidR="5098E6A4" w:rsidRPr="003A78FF">
        <w:rPr>
          <w:rFonts w:ascii="VIC" w:hAnsi="VIC"/>
          <w:sz w:val="24"/>
          <w:szCs w:val="24"/>
        </w:rPr>
        <w:t>anaesthesia recovery</w:t>
      </w:r>
    </w:p>
    <w:p w14:paraId="6C3E90F0" w14:textId="6B5EB8A0" w:rsidR="000A3E9B" w:rsidRPr="003A78FF" w:rsidRDefault="002A4B3B" w:rsidP="00CE06F0">
      <w:pPr>
        <w:pStyle w:val="ListParagraph"/>
        <w:numPr>
          <w:ilvl w:val="1"/>
          <w:numId w:val="25"/>
        </w:numPr>
        <w:spacing w:before="0" w:after="0" w:line="260" w:lineRule="atLeast"/>
        <w:rPr>
          <w:rFonts w:ascii="VIC" w:hAnsi="VIC"/>
          <w:sz w:val="24"/>
          <w:szCs w:val="24"/>
        </w:rPr>
      </w:pPr>
      <w:r w:rsidRPr="003A78FF">
        <w:rPr>
          <w:rFonts w:ascii="VIC" w:hAnsi="VIC"/>
          <w:sz w:val="24"/>
          <w:szCs w:val="24"/>
        </w:rPr>
        <w:t>Expanding the use of the</w:t>
      </w:r>
      <w:r w:rsidR="002C537B" w:rsidRPr="003A78FF">
        <w:rPr>
          <w:rFonts w:ascii="VIC" w:hAnsi="VIC"/>
          <w:sz w:val="24"/>
          <w:szCs w:val="24"/>
        </w:rPr>
        <w:t xml:space="preserve"> </w:t>
      </w:r>
      <w:r w:rsidR="00484A51" w:rsidRPr="003A78FF">
        <w:rPr>
          <w:rFonts w:ascii="VIC" w:hAnsi="VIC"/>
          <w:sz w:val="24"/>
          <w:szCs w:val="24"/>
        </w:rPr>
        <w:t>Medi hotel</w:t>
      </w:r>
      <w:r w:rsidR="00D04E18" w:rsidRPr="003A78FF">
        <w:rPr>
          <w:rFonts w:ascii="VIC" w:hAnsi="VIC"/>
          <w:sz w:val="24"/>
          <w:szCs w:val="24"/>
        </w:rPr>
        <w:t xml:space="preserve"> model</w:t>
      </w:r>
      <w:r w:rsidR="253A6C64" w:rsidRPr="003A78FF">
        <w:rPr>
          <w:rFonts w:ascii="VIC" w:hAnsi="VIC"/>
          <w:sz w:val="24"/>
          <w:szCs w:val="24"/>
        </w:rPr>
        <w:t xml:space="preserve"> to reduce LOS in acute </w:t>
      </w:r>
      <w:r w:rsidR="002C537B" w:rsidRPr="003A78FF">
        <w:rPr>
          <w:rFonts w:ascii="VIC" w:hAnsi="VIC"/>
          <w:sz w:val="24"/>
          <w:szCs w:val="24"/>
        </w:rPr>
        <w:t>health services</w:t>
      </w:r>
    </w:p>
    <w:p w14:paraId="01A0BA99" w14:textId="363383BF" w:rsidR="00843C50" w:rsidRPr="003A78FF" w:rsidRDefault="00843C50" w:rsidP="00843C50">
      <w:pPr>
        <w:pStyle w:val="ListParagraph"/>
        <w:numPr>
          <w:ilvl w:val="1"/>
          <w:numId w:val="25"/>
        </w:numPr>
        <w:rPr>
          <w:rFonts w:ascii="VIC" w:hAnsi="VIC"/>
          <w:sz w:val="24"/>
          <w:szCs w:val="24"/>
        </w:rPr>
      </w:pPr>
      <w:r w:rsidRPr="003A78FF">
        <w:rPr>
          <w:rFonts w:ascii="VIC" w:hAnsi="VIC"/>
          <w:sz w:val="24"/>
          <w:szCs w:val="24"/>
        </w:rPr>
        <w:t>Expansion of specialist HITH models may be required (covered later in report)</w:t>
      </w:r>
    </w:p>
    <w:p w14:paraId="06DC68A6" w14:textId="77777777" w:rsidR="00187223" w:rsidRPr="003A78FF" w:rsidRDefault="00187223" w:rsidP="00CE06F0">
      <w:pPr>
        <w:pStyle w:val="ListParagraph"/>
        <w:numPr>
          <w:ilvl w:val="1"/>
          <w:numId w:val="25"/>
        </w:numPr>
        <w:rPr>
          <w:rFonts w:ascii="VIC" w:hAnsi="VIC"/>
          <w:sz w:val="24"/>
          <w:szCs w:val="24"/>
        </w:rPr>
      </w:pPr>
      <w:r w:rsidRPr="003A78FF">
        <w:rPr>
          <w:rFonts w:ascii="VIC" w:hAnsi="VIC"/>
          <w:sz w:val="24"/>
          <w:szCs w:val="24"/>
        </w:rPr>
        <w:t>Provide and promote community-based rehabilitation and follow up of same-day surgical patients</w:t>
      </w:r>
    </w:p>
    <w:p w14:paraId="6CBD0AE8" w14:textId="604AA3DC" w:rsidR="00187223" w:rsidRPr="003A78FF" w:rsidRDefault="00187223" w:rsidP="00CE06F0">
      <w:pPr>
        <w:pStyle w:val="ListParagraph"/>
        <w:numPr>
          <w:ilvl w:val="1"/>
          <w:numId w:val="25"/>
        </w:numPr>
        <w:rPr>
          <w:rFonts w:ascii="VIC" w:hAnsi="VIC"/>
          <w:color w:val="000000" w:themeColor="text1"/>
          <w:sz w:val="24"/>
          <w:szCs w:val="24"/>
        </w:rPr>
      </w:pPr>
      <w:r w:rsidRPr="003A78FF">
        <w:rPr>
          <w:rFonts w:ascii="VIC" w:hAnsi="VIC"/>
          <w:color w:val="000000" w:themeColor="text1"/>
          <w:sz w:val="24"/>
          <w:szCs w:val="24"/>
        </w:rPr>
        <w:t>Some same-day surgery models of care may involve visiting specialists operating on well selected patients in smaller hospitals with capacity and closer to the patient’s home</w:t>
      </w:r>
      <w:r w:rsidR="003A78FF" w:rsidRPr="003A78FF">
        <w:rPr>
          <w:rFonts w:ascii="VIC" w:hAnsi="VIC"/>
          <w:color w:val="000000" w:themeColor="text1"/>
          <w:sz w:val="24"/>
          <w:szCs w:val="24"/>
        </w:rPr>
        <w:br/>
      </w:r>
    </w:p>
    <w:p w14:paraId="0F258824" w14:textId="3B711F2A" w:rsidR="00187223" w:rsidRPr="003A78FF" w:rsidRDefault="00236B53" w:rsidP="000D7EFA">
      <w:pPr>
        <w:pStyle w:val="ListParagraph"/>
        <w:numPr>
          <w:ilvl w:val="0"/>
          <w:numId w:val="25"/>
        </w:numPr>
        <w:spacing w:after="0" w:line="260" w:lineRule="atLeast"/>
        <w:ind w:left="862"/>
        <w:rPr>
          <w:rFonts w:ascii="VIC" w:hAnsi="VIC"/>
          <w:b/>
          <w:bCs/>
          <w:sz w:val="24"/>
          <w:szCs w:val="24"/>
        </w:rPr>
      </w:pPr>
      <w:r w:rsidRPr="003A78FF">
        <w:rPr>
          <w:rFonts w:ascii="VIC" w:hAnsi="VIC"/>
          <w:b/>
          <w:bCs/>
          <w:sz w:val="24"/>
          <w:szCs w:val="24"/>
        </w:rPr>
        <w:t>Upskilling</w:t>
      </w:r>
      <w:r w:rsidR="00843C50" w:rsidRPr="003A78FF">
        <w:rPr>
          <w:rFonts w:ascii="VIC" w:hAnsi="VIC"/>
          <w:b/>
          <w:bCs/>
          <w:sz w:val="24"/>
          <w:szCs w:val="24"/>
        </w:rPr>
        <w:t xml:space="preserve"> workforce</w:t>
      </w:r>
      <w:r w:rsidRPr="003A78FF">
        <w:rPr>
          <w:rFonts w:ascii="VIC" w:hAnsi="VIC"/>
          <w:b/>
          <w:bCs/>
          <w:sz w:val="24"/>
          <w:szCs w:val="24"/>
        </w:rPr>
        <w:t xml:space="preserve"> </w:t>
      </w:r>
    </w:p>
    <w:p w14:paraId="1B77FB9F" w14:textId="17462222" w:rsidR="00E54AC3" w:rsidRPr="003A78FF" w:rsidRDefault="00850938" w:rsidP="00CE06F0">
      <w:pPr>
        <w:pStyle w:val="ListParagraph"/>
        <w:numPr>
          <w:ilvl w:val="1"/>
          <w:numId w:val="25"/>
        </w:numPr>
        <w:rPr>
          <w:rFonts w:ascii="VIC" w:hAnsi="VIC"/>
          <w:color w:val="000000" w:themeColor="text1"/>
          <w:sz w:val="24"/>
          <w:szCs w:val="24"/>
        </w:rPr>
      </w:pPr>
      <w:r w:rsidRPr="003A78FF">
        <w:rPr>
          <w:rFonts w:ascii="VIC" w:hAnsi="VIC"/>
          <w:color w:val="000000" w:themeColor="text1"/>
          <w:sz w:val="24"/>
          <w:szCs w:val="24"/>
        </w:rPr>
        <w:lastRenderedPageBreak/>
        <w:t>Same-day models require</w:t>
      </w:r>
      <w:r w:rsidR="00E54AC3" w:rsidRPr="003A78FF">
        <w:rPr>
          <w:rFonts w:ascii="VIC" w:hAnsi="VIC"/>
          <w:color w:val="000000" w:themeColor="text1"/>
          <w:sz w:val="24"/>
          <w:szCs w:val="24"/>
        </w:rPr>
        <w:t xml:space="preserve"> a team of multidisciplinary clinicians with </w:t>
      </w:r>
      <w:r w:rsidR="00416BEA" w:rsidRPr="003A78FF">
        <w:rPr>
          <w:rFonts w:ascii="VIC" w:hAnsi="VIC"/>
          <w:color w:val="000000" w:themeColor="text1"/>
          <w:sz w:val="24"/>
          <w:szCs w:val="24"/>
        </w:rPr>
        <w:t>the skills, capabilities</w:t>
      </w:r>
      <w:r w:rsidR="00D948DB" w:rsidRPr="003A78FF">
        <w:rPr>
          <w:rFonts w:ascii="VIC" w:hAnsi="VIC"/>
          <w:color w:val="000000" w:themeColor="text1"/>
          <w:sz w:val="24"/>
          <w:szCs w:val="24"/>
        </w:rPr>
        <w:t xml:space="preserve"> and understanding of patient requirements and </w:t>
      </w:r>
      <w:r w:rsidR="00416BEA" w:rsidRPr="003A78FF">
        <w:rPr>
          <w:rFonts w:ascii="VIC" w:hAnsi="VIC"/>
          <w:color w:val="000000" w:themeColor="text1"/>
          <w:sz w:val="24"/>
          <w:szCs w:val="24"/>
        </w:rPr>
        <w:t>a</w:t>
      </w:r>
      <w:r w:rsidR="006A6AB6" w:rsidRPr="003A78FF">
        <w:rPr>
          <w:rFonts w:ascii="VIC" w:hAnsi="VIC"/>
          <w:color w:val="000000" w:themeColor="text1"/>
          <w:sz w:val="24"/>
          <w:szCs w:val="24"/>
        </w:rPr>
        <w:t xml:space="preserve">bility to identify </w:t>
      </w:r>
      <w:r w:rsidR="003A78FF" w:rsidRPr="003A78FF">
        <w:rPr>
          <w:rFonts w:ascii="VIC" w:hAnsi="VIC"/>
          <w:color w:val="000000" w:themeColor="text1"/>
          <w:sz w:val="24"/>
          <w:szCs w:val="24"/>
        </w:rPr>
        <w:t>and escalate</w:t>
      </w:r>
      <w:r w:rsidR="00416BEA" w:rsidRPr="003A78FF">
        <w:rPr>
          <w:rFonts w:ascii="VIC" w:hAnsi="VIC"/>
          <w:color w:val="000000" w:themeColor="text1"/>
          <w:sz w:val="24"/>
          <w:szCs w:val="24"/>
        </w:rPr>
        <w:t xml:space="preserve"> co</w:t>
      </w:r>
      <w:r w:rsidR="006A6AB6" w:rsidRPr="003A78FF">
        <w:rPr>
          <w:rFonts w:ascii="VIC" w:hAnsi="VIC"/>
          <w:color w:val="000000" w:themeColor="text1"/>
          <w:sz w:val="24"/>
          <w:szCs w:val="24"/>
        </w:rPr>
        <w:t xml:space="preserve">ncerns appropriately. </w:t>
      </w:r>
      <w:r w:rsidR="003A78FF" w:rsidRPr="003A78FF">
        <w:rPr>
          <w:rFonts w:ascii="VIC" w:hAnsi="VIC"/>
          <w:color w:val="000000" w:themeColor="text1"/>
          <w:sz w:val="24"/>
          <w:szCs w:val="24"/>
        </w:rPr>
        <w:br/>
      </w:r>
    </w:p>
    <w:p w14:paraId="3DD5C5C0" w14:textId="77777777" w:rsidR="00187223" w:rsidRPr="003A78FF" w:rsidRDefault="00187223" w:rsidP="00683E84">
      <w:pPr>
        <w:pStyle w:val="ListParagraph"/>
        <w:numPr>
          <w:ilvl w:val="0"/>
          <w:numId w:val="25"/>
        </w:numPr>
        <w:ind w:left="862"/>
        <w:rPr>
          <w:rFonts w:ascii="VIC" w:hAnsi="VIC"/>
          <w:b/>
          <w:bCs/>
          <w:sz w:val="24"/>
          <w:szCs w:val="24"/>
        </w:rPr>
      </w:pPr>
      <w:r w:rsidRPr="003A78FF">
        <w:rPr>
          <w:rFonts w:ascii="VIC" w:hAnsi="VIC"/>
          <w:b/>
          <w:bCs/>
          <w:sz w:val="24"/>
          <w:szCs w:val="24"/>
        </w:rPr>
        <w:t>Alternative pathways</w:t>
      </w:r>
    </w:p>
    <w:p w14:paraId="70FE5B9D" w14:textId="79B60494" w:rsidR="0063549A" w:rsidRPr="003A78FF" w:rsidRDefault="00035BA2" w:rsidP="00187223">
      <w:pPr>
        <w:pStyle w:val="ListParagraph"/>
        <w:numPr>
          <w:ilvl w:val="1"/>
          <w:numId w:val="25"/>
        </w:numPr>
        <w:rPr>
          <w:rFonts w:ascii="VIC" w:hAnsi="VIC"/>
          <w:sz w:val="24"/>
          <w:szCs w:val="24"/>
        </w:rPr>
      </w:pPr>
      <w:r w:rsidRPr="003A78FF">
        <w:rPr>
          <w:rFonts w:ascii="VIC" w:hAnsi="VIC"/>
          <w:sz w:val="24"/>
          <w:szCs w:val="24"/>
        </w:rPr>
        <w:t>Non-surgical pathways: gynaecology pelvic pain models of care that include physiotherapy and pain clinics for same-day assessment and treatment (including non-surgical treatment)</w:t>
      </w:r>
      <w:r w:rsidR="003A78FF" w:rsidRPr="003A78FF">
        <w:rPr>
          <w:rFonts w:ascii="VIC" w:hAnsi="VIC"/>
          <w:sz w:val="24"/>
          <w:szCs w:val="24"/>
        </w:rPr>
        <w:br/>
      </w:r>
    </w:p>
    <w:p w14:paraId="01A169EB" w14:textId="54DD8FD5" w:rsidR="0037785F" w:rsidRPr="003A78FF" w:rsidRDefault="008663C7" w:rsidP="00683E84">
      <w:pPr>
        <w:pStyle w:val="ListParagraph"/>
        <w:numPr>
          <w:ilvl w:val="0"/>
          <w:numId w:val="25"/>
        </w:numPr>
        <w:ind w:left="862"/>
        <w:rPr>
          <w:rFonts w:ascii="VIC" w:hAnsi="VIC"/>
          <w:b/>
          <w:bCs/>
          <w:sz w:val="24"/>
          <w:szCs w:val="24"/>
        </w:rPr>
      </w:pPr>
      <w:r w:rsidRPr="003A78FF">
        <w:rPr>
          <w:rFonts w:ascii="VIC" w:hAnsi="VIC"/>
          <w:b/>
          <w:bCs/>
          <w:sz w:val="24"/>
          <w:szCs w:val="24"/>
        </w:rPr>
        <w:t>Patient supports</w:t>
      </w:r>
    </w:p>
    <w:p w14:paraId="0B2B49B5" w14:textId="0FC02366" w:rsidR="00222A7A" w:rsidRPr="003A78FF" w:rsidRDefault="008657F9" w:rsidP="00A06BA9">
      <w:pPr>
        <w:pStyle w:val="ListParagraph"/>
        <w:numPr>
          <w:ilvl w:val="1"/>
          <w:numId w:val="25"/>
        </w:numPr>
        <w:rPr>
          <w:rFonts w:ascii="VIC" w:hAnsi="VIC"/>
          <w:sz w:val="24"/>
          <w:szCs w:val="24"/>
        </w:rPr>
      </w:pPr>
      <w:r w:rsidRPr="003A78FF">
        <w:rPr>
          <w:rFonts w:ascii="VIC" w:hAnsi="VIC"/>
          <w:sz w:val="24"/>
          <w:szCs w:val="24"/>
        </w:rPr>
        <w:t xml:space="preserve">Expanding </w:t>
      </w:r>
      <w:r w:rsidR="00572AD7" w:rsidRPr="003A78FF">
        <w:rPr>
          <w:rFonts w:ascii="VIC" w:hAnsi="VIC"/>
          <w:sz w:val="24"/>
          <w:szCs w:val="24"/>
        </w:rPr>
        <w:t xml:space="preserve">the use of </w:t>
      </w:r>
      <w:r w:rsidR="0098059C" w:rsidRPr="003A78FF">
        <w:rPr>
          <w:rFonts w:ascii="VIC" w:hAnsi="VIC"/>
          <w:sz w:val="24"/>
          <w:szCs w:val="24"/>
        </w:rPr>
        <w:t>Patient Support Units</w:t>
      </w:r>
      <w:r w:rsidR="00572AD7" w:rsidRPr="003A78FF">
        <w:rPr>
          <w:rFonts w:ascii="VIC" w:hAnsi="VIC"/>
          <w:sz w:val="24"/>
          <w:szCs w:val="24"/>
        </w:rPr>
        <w:t xml:space="preserve"> in the patient journey,</w:t>
      </w:r>
      <w:r w:rsidR="0098059C" w:rsidRPr="003A78FF">
        <w:rPr>
          <w:rFonts w:ascii="VIC" w:hAnsi="VIC"/>
          <w:sz w:val="24"/>
          <w:szCs w:val="24"/>
        </w:rPr>
        <w:t xml:space="preserve"> </w:t>
      </w:r>
      <w:r w:rsidR="00DC6154" w:rsidRPr="003A78FF">
        <w:rPr>
          <w:rFonts w:ascii="VIC" w:hAnsi="VIC"/>
          <w:sz w:val="24"/>
          <w:szCs w:val="24"/>
        </w:rPr>
        <w:t>providing</w:t>
      </w:r>
      <w:r w:rsidR="0007003D" w:rsidRPr="003A78FF">
        <w:rPr>
          <w:rFonts w:ascii="VIC" w:hAnsi="VIC"/>
          <w:sz w:val="24"/>
          <w:szCs w:val="24"/>
        </w:rPr>
        <w:t xml:space="preserve"> </w:t>
      </w:r>
      <w:r w:rsidR="00EA6724" w:rsidRPr="003A78FF">
        <w:rPr>
          <w:rFonts w:ascii="VIC" w:hAnsi="VIC"/>
          <w:sz w:val="24"/>
          <w:szCs w:val="24"/>
        </w:rPr>
        <w:t>timely</w:t>
      </w:r>
      <w:r w:rsidR="0007003D" w:rsidRPr="003A78FF">
        <w:rPr>
          <w:rFonts w:ascii="VIC" w:hAnsi="VIC"/>
          <w:sz w:val="24"/>
          <w:szCs w:val="24"/>
        </w:rPr>
        <w:t xml:space="preserve"> case management </w:t>
      </w:r>
      <w:r w:rsidR="001E5B74" w:rsidRPr="003A78FF">
        <w:rPr>
          <w:rFonts w:ascii="VIC" w:hAnsi="VIC"/>
          <w:sz w:val="24"/>
          <w:szCs w:val="24"/>
        </w:rPr>
        <w:t xml:space="preserve">support </w:t>
      </w:r>
      <w:r w:rsidR="00EA6724" w:rsidRPr="003A78FF">
        <w:rPr>
          <w:rFonts w:ascii="VIC" w:hAnsi="VIC"/>
          <w:sz w:val="24"/>
          <w:szCs w:val="24"/>
        </w:rPr>
        <w:t xml:space="preserve">and </w:t>
      </w:r>
      <w:r w:rsidR="002534CB" w:rsidRPr="003A78FF">
        <w:rPr>
          <w:rFonts w:ascii="VIC" w:hAnsi="VIC"/>
          <w:sz w:val="24"/>
          <w:szCs w:val="24"/>
        </w:rPr>
        <w:t xml:space="preserve">referral to appropriate </w:t>
      </w:r>
      <w:r w:rsidR="0098059C" w:rsidRPr="003A78FF">
        <w:rPr>
          <w:rFonts w:ascii="VIC" w:hAnsi="VIC"/>
          <w:sz w:val="24"/>
          <w:szCs w:val="24"/>
        </w:rPr>
        <w:t>discharge</w:t>
      </w:r>
      <w:r w:rsidR="002534CB" w:rsidRPr="003A78FF">
        <w:rPr>
          <w:rFonts w:ascii="VIC" w:hAnsi="VIC"/>
          <w:sz w:val="24"/>
          <w:szCs w:val="24"/>
        </w:rPr>
        <w:t xml:space="preserve"> pathways</w:t>
      </w:r>
      <w:r w:rsidR="0098059C" w:rsidRPr="003A78FF">
        <w:rPr>
          <w:rFonts w:ascii="VIC" w:hAnsi="VIC"/>
          <w:sz w:val="24"/>
          <w:szCs w:val="24"/>
        </w:rPr>
        <w:t>.</w:t>
      </w:r>
    </w:p>
    <w:p w14:paraId="671EF32B" w14:textId="43E389D3" w:rsidR="00366BC1" w:rsidRPr="003A78FF" w:rsidRDefault="003823E6" w:rsidP="00A06BA9">
      <w:pPr>
        <w:pStyle w:val="ListParagraph"/>
        <w:numPr>
          <w:ilvl w:val="1"/>
          <w:numId w:val="25"/>
        </w:numPr>
        <w:rPr>
          <w:rFonts w:ascii="VIC" w:hAnsi="VIC"/>
          <w:sz w:val="24"/>
          <w:szCs w:val="24"/>
        </w:rPr>
      </w:pPr>
      <w:r w:rsidRPr="003A78FF">
        <w:rPr>
          <w:rFonts w:ascii="VIC" w:hAnsi="VIC"/>
          <w:sz w:val="24"/>
          <w:szCs w:val="24"/>
        </w:rPr>
        <w:t>Potential support to aid</w:t>
      </w:r>
      <w:r w:rsidR="00B94FFF" w:rsidRPr="003A78FF">
        <w:rPr>
          <w:rFonts w:ascii="VIC" w:hAnsi="VIC"/>
          <w:sz w:val="24"/>
          <w:szCs w:val="24"/>
        </w:rPr>
        <w:t xml:space="preserve"> patients</w:t>
      </w:r>
      <w:r w:rsidR="00B62C6C" w:rsidRPr="003A78FF">
        <w:rPr>
          <w:rFonts w:ascii="VIC" w:hAnsi="VIC"/>
          <w:sz w:val="24"/>
          <w:szCs w:val="24"/>
        </w:rPr>
        <w:t xml:space="preserve"> and their carers</w:t>
      </w:r>
      <w:r w:rsidR="00B94FFF" w:rsidRPr="003A78FF">
        <w:rPr>
          <w:rFonts w:ascii="VIC" w:hAnsi="VIC"/>
          <w:sz w:val="24"/>
          <w:szCs w:val="24"/>
        </w:rPr>
        <w:t xml:space="preserve"> when undergoing surgery in a health service </w:t>
      </w:r>
      <w:r w:rsidR="005E1AC1" w:rsidRPr="003A78FF">
        <w:rPr>
          <w:rFonts w:ascii="VIC" w:hAnsi="VIC"/>
          <w:sz w:val="24"/>
          <w:szCs w:val="24"/>
        </w:rPr>
        <w:t>distant</w:t>
      </w:r>
      <w:r w:rsidR="00324B08" w:rsidRPr="003A78FF">
        <w:rPr>
          <w:rFonts w:ascii="VIC" w:hAnsi="VIC"/>
          <w:sz w:val="24"/>
          <w:szCs w:val="24"/>
        </w:rPr>
        <w:t xml:space="preserve"> to their residence</w:t>
      </w:r>
      <w:r w:rsidR="00347701" w:rsidRPr="003A78FF">
        <w:rPr>
          <w:rFonts w:ascii="VIC" w:hAnsi="VIC"/>
          <w:sz w:val="24"/>
          <w:szCs w:val="24"/>
        </w:rPr>
        <w:t xml:space="preserve"> </w:t>
      </w:r>
      <w:r w:rsidRPr="003A78FF">
        <w:rPr>
          <w:rFonts w:ascii="VIC" w:hAnsi="VIC"/>
          <w:sz w:val="24"/>
          <w:szCs w:val="24"/>
        </w:rPr>
        <w:t xml:space="preserve">could include </w:t>
      </w:r>
      <w:r w:rsidR="007941E9" w:rsidRPr="003A78FF">
        <w:rPr>
          <w:rFonts w:ascii="VIC" w:hAnsi="VIC"/>
          <w:sz w:val="24"/>
          <w:szCs w:val="24"/>
        </w:rPr>
        <w:t>subsidis</w:t>
      </w:r>
      <w:r w:rsidR="00F835EB" w:rsidRPr="003A78FF">
        <w:rPr>
          <w:rFonts w:ascii="VIC" w:hAnsi="VIC"/>
          <w:sz w:val="24"/>
          <w:szCs w:val="24"/>
        </w:rPr>
        <w:t>ed</w:t>
      </w:r>
      <w:r w:rsidR="00B94FFF" w:rsidRPr="003A78FF">
        <w:rPr>
          <w:rFonts w:ascii="VIC" w:hAnsi="VIC"/>
          <w:sz w:val="24"/>
          <w:szCs w:val="24"/>
        </w:rPr>
        <w:t xml:space="preserve"> travel</w:t>
      </w:r>
      <w:r w:rsidR="006D54C6" w:rsidRPr="003A78FF">
        <w:rPr>
          <w:rFonts w:ascii="VIC" w:hAnsi="VIC"/>
          <w:sz w:val="24"/>
          <w:szCs w:val="24"/>
        </w:rPr>
        <w:t xml:space="preserve">, </w:t>
      </w:r>
      <w:r w:rsidR="00347701" w:rsidRPr="003A78FF">
        <w:rPr>
          <w:rFonts w:ascii="VIC" w:hAnsi="VIC"/>
          <w:sz w:val="24"/>
          <w:szCs w:val="24"/>
        </w:rPr>
        <w:t>accommodation</w:t>
      </w:r>
      <w:r w:rsidR="000A3CD2" w:rsidRPr="003A78FF">
        <w:rPr>
          <w:rFonts w:ascii="VIC" w:hAnsi="VIC"/>
          <w:sz w:val="24"/>
          <w:szCs w:val="24"/>
        </w:rPr>
        <w:t>,</w:t>
      </w:r>
      <w:r w:rsidR="00B94FFF" w:rsidRPr="003A78FF">
        <w:rPr>
          <w:rFonts w:ascii="VIC" w:hAnsi="VIC"/>
          <w:sz w:val="24"/>
          <w:szCs w:val="24"/>
        </w:rPr>
        <w:t xml:space="preserve"> and </w:t>
      </w:r>
      <w:r w:rsidR="00847CA4" w:rsidRPr="003A78FF">
        <w:rPr>
          <w:rFonts w:ascii="VIC" w:hAnsi="VIC"/>
          <w:sz w:val="24"/>
          <w:szCs w:val="24"/>
        </w:rPr>
        <w:t>parking</w:t>
      </w:r>
      <w:r w:rsidR="008663C7" w:rsidRPr="003A78FF">
        <w:rPr>
          <w:rFonts w:ascii="VIC" w:hAnsi="VIC"/>
          <w:sz w:val="24"/>
          <w:szCs w:val="24"/>
        </w:rPr>
        <w:t>.</w:t>
      </w:r>
    </w:p>
    <w:p w14:paraId="7E566930" w14:textId="43341F27" w:rsidR="008A0958" w:rsidRPr="003A78FF" w:rsidRDefault="008A0958" w:rsidP="00A06BA9">
      <w:pPr>
        <w:pStyle w:val="ListParagraph"/>
        <w:numPr>
          <w:ilvl w:val="1"/>
          <w:numId w:val="25"/>
        </w:numPr>
        <w:rPr>
          <w:rFonts w:ascii="VIC" w:hAnsi="VIC"/>
          <w:sz w:val="24"/>
          <w:szCs w:val="24"/>
        </w:rPr>
      </w:pPr>
      <w:r w:rsidRPr="003A78FF">
        <w:rPr>
          <w:rFonts w:ascii="VIC" w:hAnsi="VIC"/>
          <w:sz w:val="24"/>
          <w:szCs w:val="24"/>
        </w:rPr>
        <w:t xml:space="preserve">Supporting patients with </w:t>
      </w:r>
      <w:r w:rsidR="00222A7A" w:rsidRPr="003A78FF">
        <w:rPr>
          <w:rFonts w:ascii="VIC" w:hAnsi="VIC"/>
          <w:sz w:val="24"/>
          <w:szCs w:val="24"/>
        </w:rPr>
        <w:t>early connections to Aboriginal Health and Disability Liaison programs.</w:t>
      </w:r>
    </w:p>
    <w:p w14:paraId="62E0CA30" w14:textId="61699A42" w:rsidR="009A6545" w:rsidRPr="003A78FF" w:rsidRDefault="00D6533D" w:rsidP="00683E84">
      <w:pPr>
        <w:pStyle w:val="ListParagraph"/>
        <w:numPr>
          <w:ilvl w:val="0"/>
          <w:numId w:val="25"/>
        </w:numPr>
        <w:ind w:left="862"/>
        <w:rPr>
          <w:rFonts w:ascii="VIC" w:hAnsi="VIC"/>
          <w:b/>
          <w:bCs/>
          <w:sz w:val="24"/>
          <w:szCs w:val="24"/>
        </w:rPr>
      </w:pPr>
      <w:r w:rsidRPr="003A78FF">
        <w:rPr>
          <w:rFonts w:ascii="VIC" w:hAnsi="VIC"/>
          <w:b/>
          <w:bCs/>
          <w:sz w:val="24"/>
          <w:szCs w:val="24"/>
        </w:rPr>
        <w:t>Digital Health</w:t>
      </w:r>
    </w:p>
    <w:p w14:paraId="0B4E978F" w14:textId="6402CBB4" w:rsidR="00B94FFF" w:rsidRPr="003A78FF" w:rsidRDefault="00A85827" w:rsidP="00D6533D">
      <w:pPr>
        <w:pStyle w:val="ListParagraph"/>
        <w:numPr>
          <w:ilvl w:val="1"/>
          <w:numId w:val="25"/>
        </w:numPr>
        <w:rPr>
          <w:rFonts w:ascii="VIC" w:hAnsi="VIC"/>
          <w:sz w:val="24"/>
          <w:szCs w:val="24"/>
        </w:rPr>
      </w:pPr>
      <w:r w:rsidRPr="003A78FF">
        <w:rPr>
          <w:rFonts w:ascii="VIC" w:hAnsi="VIC"/>
          <w:sz w:val="24"/>
          <w:szCs w:val="24"/>
        </w:rPr>
        <w:t>Telehealth</w:t>
      </w:r>
      <w:r w:rsidR="00B94FFF" w:rsidRPr="003A78FF">
        <w:rPr>
          <w:rFonts w:ascii="VIC" w:hAnsi="VIC"/>
          <w:sz w:val="24"/>
          <w:szCs w:val="24"/>
        </w:rPr>
        <w:t xml:space="preserve"> system for </w:t>
      </w:r>
      <w:r w:rsidR="09FE190C" w:rsidRPr="003A78FF">
        <w:rPr>
          <w:rFonts w:ascii="VIC" w:hAnsi="VIC"/>
          <w:sz w:val="24"/>
          <w:szCs w:val="24"/>
        </w:rPr>
        <w:t xml:space="preserve">urgent review of </w:t>
      </w:r>
      <w:r w:rsidR="00B94FFF" w:rsidRPr="003A78FF">
        <w:rPr>
          <w:rFonts w:ascii="VIC" w:hAnsi="VIC"/>
          <w:sz w:val="24"/>
          <w:szCs w:val="24"/>
        </w:rPr>
        <w:t>post discharge surgical patients (</w:t>
      </w:r>
      <w:r w:rsidR="00D167BD" w:rsidRPr="003A78FF">
        <w:rPr>
          <w:rFonts w:ascii="VIC" w:hAnsi="VIC"/>
          <w:sz w:val="24"/>
          <w:szCs w:val="24"/>
        </w:rPr>
        <w:t xml:space="preserve">similar to </w:t>
      </w:r>
      <w:r w:rsidR="00C37665" w:rsidRPr="003A78FF">
        <w:rPr>
          <w:rFonts w:ascii="VIC" w:hAnsi="VIC"/>
          <w:sz w:val="24"/>
          <w:szCs w:val="24"/>
        </w:rPr>
        <w:t xml:space="preserve">the </w:t>
      </w:r>
      <w:r w:rsidR="00D167BD" w:rsidRPr="003A78FF">
        <w:rPr>
          <w:rFonts w:ascii="VIC" w:hAnsi="VIC"/>
          <w:sz w:val="24"/>
          <w:szCs w:val="24"/>
        </w:rPr>
        <w:t>virtual ED model</w:t>
      </w:r>
      <w:r w:rsidR="00B92B11" w:rsidRPr="003A78FF">
        <w:rPr>
          <w:rFonts w:ascii="VIC" w:hAnsi="VIC"/>
          <w:sz w:val="24"/>
          <w:szCs w:val="24"/>
        </w:rPr>
        <w:t>)</w:t>
      </w:r>
      <w:r w:rsidR="00B94FFF" w:rsidRPr="003A78FF">
        <w:rPr>
          <w:rFonts w:ascii="VIC" w:hAnsi="VIC"/>
          <w:sz w:val="24"/>
          <w:szCs w:val="24"/>
        </w:rPr>
        <w:t xml:space="preserve"> </w:t>
      </w:r>
      <w:r w:rsidR="000A3CD2" w:rsidRPr="003A78FF">
        <w:rPr>
          <w:rFonts w:ascii="VIC" w:hAnsi="VIC"/>
          <w:sz w:val="24"/>
          <w:szCs w:val="24"/>
        </w:rPr>
        <w:t>–</w:t>
      </w:r>
      <w:r w:rsidR="00B94FFF" w:rsidRPr="003A78FF">
        <w:rPr>
          <w:rFonts w:ascii="VIC" w:hAnsi="VIC"/>
          <w:sz w:val="24"/>
          <w:szCs w:val="24"/>
        </w:rPr>
        <w:t xml:space="preserve"> </w:t>
      </w:r>
      <w:r w:rsidR="000A3CD2" w:rsidRPr="003A78FF">
        <w:rPr>
          <w:rFonts w:ascii="VIC" w:hAnsi="VIC"/>
          <w:sz w:val="24"/>
          <w:szCs w:val="24"/>
        </w:rPr>
        <w:t xml:space="preserve">potential for </w:t>
      </w:r>
      <w:r w:rsidR="00B94FFF" w:rsidRPr="003A78FF">
        <w:rPr>
          <w:rFonts w:ascii="VIC" w:hAnsi="VIC"/>
          <w:sz w:val="24"/>
          <w:szCs w:val="24"/>
        </w:rPr>
        <w:t xml:space="preserve">a </w:t>
      </w:r>
      <w:r w:rsidR="006577A8" w:rsidRPr="003A78FF">
        <w:rPr>
          <w:rFonts w:ascii="VIC" w:hAnsi="VIC"/>
          <w:sz w:val="24"/>
          <w:szCs w:val="24"/>
        </w:rPr>
        <w:t>state-wide</w:t>
      </w:r>
      <w:r w:rsidR="00B94FFF" w:rsidRPr="003A78FF">
        <w:rPr>
          <w:rFonts w:ascii="VIC" w:hAnsi="VIC"/>
          <w:sz w:val="24"/>
          <w:szCs w:val="24"/>
        </w:rPr>
        <w:t>, or a health service partnership v</w:t>
      </w:r>
      <w:r w:rsidR="00D6021C" w:rsidRPr="003A78FF">
        <w:rPr>
          <w:rFonts w:ascii="VIC" w:hAnsi="VIC"/>
          <w:sz w:val="24"/>
          <w:szCs w:val="24"/>
        </w:rPr>
        <w:t>irtual care</w:t>
      </w:r>
      <w:r w:rsidR="00B94FFF" w:rsidRPr="003A78FF">
        <w:rPr>
          <w:rFonts w:ascii="VIC" w:hAnsi="VIC"/>
          <w:sz w:val="24"/>
          <w:szCs w:val="24"/>
        </w:rPr>
        <w:t xml:space="preserve"> support </w:t>
      </w:r>
      <w:r w:rsidR="00330F4F" w:rsidRPr="003A78FF">
        <w:rPr>
          <w:rFonts w:ascii="VIC" w:hAnsi="VIC"/>
          <w:sz w:val="24"/>
          <w:szCs w:val="24"/>
        </w:rPr>
        <w:t>model</w:t>
      </w:r>
      <w:r w:rsidR="00B94FFF" w:rsidRPr="003A78FF">
        <w:rPr>
          <w:rFonts w:ascii="VIC" w:hAnsi="VIC"/>
          <w:sz w:val="24"/>
          <w:szCs w:val="24"/>
        </w:rPr>
        <w:t xml:space="preserve"> </w:t>
      </w:r>
      <w:r w:rsidR="006577A8" w:rsidRPr="003A78FF">
        <w:rPr>
          <w:rFonts w:ascii="VIC" w:hAnsi="VIC"/>
          <w:sz w:val="24"/>
          <w:szCs w:val="24"/>
        </w:rPr>
        <w:t xml:space="preserve">for day surgery </w:t>
      </w:r>
      <w:r w:rsidR="00EE13BC" w:rsidRPr="003A78FF">
        <w:rPr>
          <w:rFonts w:ascii="VIC" w:hAnsi="VIC"/>
          <w:sz w:val="24"/>
          <w:szCs w:val="24"/>
        </w:rPr>
        <w:t xml:space="preserve">care and follow up. </w:t>
      </w:r>
    </w:p>
    <w:p w14:paraId="6118FCA6" w14:textId="2C5C9454" w:rsidR="00B94FFF" w:rsidRPr="003A78FF" w:rsidRDefault="00B94FFF" w:rsidP="00D6533D">
      <w:pPr>
        <w:pStyle w:val="ListParagraph"/>
        <w:numPr>
          <w:ilvl w:val="1"/>
          <w:numId w:val="25"/>
        </w:numPr>
        <w:rPr>
          <w:rFonts w:ascii="VIC" w:hAnsi="VIC"/>
          <w:sz w:val="24"/>
          <w:szCs w:val="24"/>
        </w:rPr>
      </w:pPr>
      <w:r w:rsidRPr="003A78FF">
        <w:rPr>
          <w:rFonts w:ascii="VIC" w:hAnsi="VIC"/>
          <w:sz w:val="24"/>
          <w:szCs w:val="24"/>
        </w:rPr>
        <w:t xml:space="preserve">Nurse </w:t>
      </w:r>
      <w:r w:rsidR="002B3F50" w:rsidRPr="003A78FF">
        <w:rPr>
          <w:rFonts w:ascii="VIC" w:hAnsi="VIC"/>
          <w:sz w:val="24"/>
          <w:szCs w:val="24"/>
        </w:rPr>
        <w:t>follow</w:t>
      </w:r>
      <w:r w:rsidR="00615707" w:rsidRPr="003A78FF">
        <w:rPr>
          <w:rFonts w:ascii="VIC" w:hAnsi="VIC"/>
          <w:sz w:val="24"/>
          <w:szCs w:val="24"/>
        </w:rPr>
        <w:t>-</w:t>
      </w:r>
      <w:r w:rsidR="002B3F50" w:rsidRPr="003A78FF">
        <w:rPr>
          <w:rFonts w:ascii="VIC" w:hAnsi="VIC"/>
          <w:sz w:val="24"/>
          <w:szCs w:val="24"/>
        </w:rPr>
        <w:t>up</w:t>
      </w:r>
      <w:r w:rsidRPr="003A78FF">
        <w:rPr>
          <w:rFonts w:ascii="VIC" w:hAnsi="VIC"/>
          <w:sz w:val="24"/>
          <w:szCs w:val="24"/>
        </w:rPr>
        <w:t xml:space="preserve"> phone calls for </w:t>
      </w:r>
      <w:r w:rsidR="001E29C6" w:rsidRPr="003A78FF">
        <w:rPr>
          <w:rFonts w:ascii="VIC" w:hAnsi="VIC"/>
          <w:sz w:val="24"/>
          <w:szCs w:val="24"/>
        </w:rPr>
        <w:t>same day</w:t>
      </w:r>
      <w:r w:rsidRPr="003A78FF">
        <w:rPr>
          <w:rFonts w:ascii="VIC" w:hAnsi="VIC"/>
          <w:sz w:val="24"/>
          <w:szCs w:val="24"/>
        </w:rPr>
        <w:t xml:space="preserve"> surgical patients (additional information below)</w:t>
      </w:r>
    </w:p>
    <w:p w14:paraId="671B2C31" w14:textId="07CB9F8D" w:rsidR="00CE06F0" w:rsidRPr="003A78FF" w:rsidRDefault="00CE06F0" w:rsidP="00CE06F0">
      <w:pPr>
        <w:pStyle w:val="ListParagraph"/>
        <w:numPr>
          <w:ilvl w:val="1"/>
          <w:numId w:val="25"/>
        </w:numPr>
        <w:rPr>
          <w:rFonts w:ascii="VIC" w:hAnsi="VIC"/>
          <w:sz w:val="24"/>
          <w:szCs w:val="24"/>
        </w:rPr>
      </w:pPr>
      <w:r w:rsidRPr="003A78FF">
        <w:rPr>
          <w:rFonts w:ascii="VIC" w:hAnsi="VIC"/>
          <w:sz w:val="24"/>
          <w:szCs w:val="24"/>
        </w:rPr>
        <w:t>App-based recovery programs (some testing in Victoria currently occurring with cardiac patients). This model would require further investigation</w:t>
      </w:r>
      <w:r w:rsidR="3DF6A0A3" w:rsidRPr="003A78FF">
        <w:rPr>
          <w:rFonts w:ascii="VIC" w:hAnsi="VIC"/>
          <w:sz w:val="24"/>
          <w:szCs w:val="24"/>
        </w:rPr>
        <w:t>.</w:t>
      </w:r>
      <w:r w:rsidR="003A78FF" w:rsidRPr="003A78FF">
        <w:rPr>
          <w:rFonts w:ascii="VIC" w:hAnsi="VIC"/>
          <w:sz w:val="24"/>
          <w:szCs w:val="24"/>
        </w:rPr>
        <w:br/>
      </w:r>
    </w:p>
    <w:p w14:paraId="0C5D44EF" w14:textId="77777777" w:rsidR="00D6533D" w:rsidRPr="003A78FF" w:rsidRDefault="00B94FFF" w:rsidP="00683E84">
      <w:pPr>
        <w:pStyle w:val="ListParagraph"/>
        <w:numPr>
          <w:ilvl w:val="0"/>
          <w:numId w:val="25"/>
        </w:numPr>
        <w:ind w:left="862"/>
        <w:rPr>
          <w:rFonts w:ascii="VIC" w:hAnsi="VIC"/>
          <w:sz w:val="24"/>
          <w:szCs w:val="24"/>
        </w:rPr>
      </w:pPr>
      <w:r w:rsidRPr="003A78FF">
        <w:rPr>
          <w:rFonts w:ascii="VIC" w:hAnsi="VIC"/>
          <w:b/>
          <w:sz w:val="24"/>
          <w:szCs w:val="24"/>
        </w:rPr>
        <w:t>Enhanced Recovery After Surgery (ERAS</w:t>
      </w:r>
      <w:r w:rsidRPr="003A78FF">
        <w:rPr>
          <w:rFonts w:ascii="VIC" w:hAnsi="VIC"/>
          <w:b/>
          <w:bCs/>
          <w:sz w:val="24"/>
          <w:szCs w:val="24"/>
        </w:rPr>
        <w:t>)</w:t>
      </w:r>
      <w:r w:rsidRPr="003A78FF">
        <w:rPr>
          <w:rFonts w:ascii="VIC" w:hAnsi="VIC"/>
          <w:sz w:val="24"/>
          <w:szCs w:val="24"/>
        </w:rPr>
        <w:t xml:space="preserve"> </w:t>
      </w:r>
    </w:p>
    <w:p w14:paraId="788603CF" w14:textId="630448C3" w:rsidR="00F14AD8" w:rsidRPr="003A78FF" w:rsidRDefault="00B94FFF" w:rsidP="00F14AD8">
      <w:pPr>
        <w:pStyle w:val="ListParagraph"/>
        <w:numPr>
          <w:ilvl w:val="1"/>
          <w:numId w:val="25"/>
        </w:numPr>
        <w:rPr>
          <w:rStyle w:val="Hyperlink"/>
          <w:rFonts w:ascii="VIC" w:hAnsi="VIC"/>
          <w:color w:val="auto"/>
          <w:sz w:val="24"/>
          <w:szCs w:val="24"/>
          <w:u w:val="none"/>
        </w:rPr>
      </w:pPr>
      <w:r w:rsidRPr="003A78FF">
        <w:rPr>
          <w:rFonts w:ascii="VIC" w:hAnsi="VIC"/>
          <w:sz w:val="24"/>
          <w:szCs w:val="24"/>
        </w:rPr>
        <w:t xml:space="preserve">The New South Wales Agency for Clinical Innovation has recently published </w:t>
      </w:r>
      <w:r w:rsidR="66CCBA39" w:rsidRPr="003A78FF">
        <w:rPr>
          <w:rFonts w:ascii="VIC" w:hAnsi="VIC"/>
          <w:sz w:val="24"/>
          <w:szCs w:val="24"/>
        </w:rPr>
        <w:t>‘</w:t>
      </w:r>
      <w:r w:rsidRPr="003A78FF">
        <w:rPr>
          <w:rFonts w:ascii="VIC" w:hAnsi="VIC"/>
          <w:sz w:val="24"/>
          <w:szCs w:val="24"/>
        </w:rPr>
        <w:t xml:space="preserve">Enhanced recovery after surgery: key principles for colorectal </w:t>
      </w:r>
      <w:r w:rsidR="66CCBA39" w:rsidRPr="003A78FF">
        <w:rPr>
          <w:rFonts w:ascii="VIC" w:hAnsi="VIC"/>
          <w:sz w:val="24"/>
          <w:szCs w:val="24"/>
        </w:rPr>
        <w:t>surgery’</w:t>
      </w:r>
      <w:r w:rsidRPr="003A78FF">
        <w:rPr>
          <w:rFonts w:ascii="VIC" w:hAnsi="VIC"/>
          <w:sz w:val="24"/>
          <w:szCs w:val="24"/>
        </w:rPr>
        <w:t xml:space="preserve"> which outlines steps and processes to provide safe and effective early discharge of patients following colorectal surgery</w:t>
      </w:r>
      <w:r w:rsidR="006D4021" w:rsidRPr="003A78FF">
        <w:rPr>
          <w:rFonts w:ascii="VIC" w:hAnsi="VIC"/>
          <w:sz w:val="24"/>
          <w:szCs w:val="24"/>
        </w:rPr>
        <w:t xml:space="preserve">- </w:t>
      </w:r>
      <w:hyperlink r:id="rId24" w:history="1">
        <w:r w:rsidR="006D4021" w:rsidRPr="003A78FF">
          <w:rPr>
            <w:rStyle w:val="Hyperlink"/>
            <w:rFonts w:ascii="VIC" w:hAnsi="VIC"/>
            <w:sz w:val="24"/>
            <w:szCs w:val="24"/>
          </w:rPr>
          <w:t>Enhanced recovery after surgery: key principles for implementation (nsw.gov.au)</w:t>
        </w:r>
      </w:hyperlink>
      <w:r w:rsidR="003F40C6" w:rsidRPr="003A78FF">
        <w:rPr>
          <w:rStyle w:val="Hyperlink"/>
          <w:rFonts w:ascii="VIC" w:hAnsi="VIC"/>
          <w:sz w:val="24"/>
          <w:szCs w:val="24"/>
        </w:rPr>
        <w:t xml:space="preserve"> </w:t>
      </w:r>
      <w:r w:rsidR="003F40C6" w:rsidRPr="003A78FF">
        <w:rPr>
          <w:rStyle w:val="Hyperlink"/>
          <w:rFonts w:ascii="VIC" w:hAnsi="VIC"/>
          <w:color w:val="auto"/>
          <w:sz w:val="24"/>
          <w:szCs w:val="24"/>
          <w:u w:val="none"/>
        </w:rPr>
        <w:t>&lt;https://aci.health.nsw.gov.au/__data/assets/pdf_file/0004/836104/ACI-ERAS-Key-Principles-for-implementation-of-models.pdf&gt;</w:t>
      </w:r>
    </w:p>
    <w:p w14:paraId="16A152E2" w14:textId="7689A55E" w:rsidR="00B94FFF" w:rsidRPr="003A78FF" w:rsidRDefault="00B94FFF" w:rsidP="00F14AD8">
      <w:pPr>
        <w:pStyle w:val="ListParagraph"/>
        <w:numPr>
          <w:ilvl w:val="1"/>
          <w:numId w:val="25"/>
        </w:numPr>
        <w:rPr>
          <w:rFonts w:ascii="VIC" w:hAnsi="VIC"/>
          <w:sz w:val="24"/>
          <w:szCs w:val="24"/>
        </w:rPr>
      </w:pPr>
      <w:r w:rsidRPr="003A78FF">
        <w:rPr>
          <w:rFonts w:ascii="VIC" w:hAnsi="VIC"/>
          <w:sz w:val="24"/>
          <w:szCs w:val="24"/>
        </w:rPr>
        <w:t xml:space="preserve">These key ERAS principles have been designed to promote early recovery after surgical procedures by maintaining preoperative organ function and reducing the profound stress response following surgery. Key elements of colorectal ERAS models include preoperative patient education, appropriate multi-modal analgesia, avoidance of nasogastric </w:t>
      </w:r>
      <w:r w:rsidRPr="003A78FF">
        <w:rPr>
          <w:rFonts w:ascii="VIC" w:hAnsi="VIC"/>
          <w:sz w:val="24"/>
          <w:szCs w:val="24"/>
        </w:rPr>
        <w:lastRenderedPageBreak/>
        <w:t xml:space="preserve">tube, early </w:t>
      </w:r>
      <w:r w:rsidR="003F40C6" w:rsidRPr="003A78FF">
        <w:rPr>
          <w:rFonts w:ascii="VIC" w:hAnsi="VIC"/>
          <w:sz w:val="24"/>
          <w:szCs w:val="24"/>
        </w:rPr>
        <w:t>feeding,</w:t>
      </w:r>
      <w:r w:rsidRPr="003A78FF">
        <w:rPr>
          <w:rFonts w:ascii="VIC" w:hAnsi="VIC"/>
          <w:sz w:val="24"/>
          <w:szCs w:val="24"/>
        </w:rPr>
        <w:t xml:space="preserve"> and early mobilisation</w:t>
      </w:r>
      <w:r w:rsidR="66CCBA39" w:rsidRPr="003A78FF">
        <w:rPr>
          <w:rFonts w:ascii="VIC" w:hAnsi="VIC"/>
          <w:sz w:val="24"/>
          <w:szCs w:val="24"/>
        </w:rPr>
        <w:t>.</w:t>
      </w:r>
      <w:r w:rsidR="003A78FF" w:rsidRPr="003A78FF">
        <w:rPr>
          <w:rFonts w:ascii="VIC" w:hAnsi="VIC"/>
          <w:sz w:val="24"/>
          <w:szCs w:val="24"/>
        </w:rPr>
        <w:br/>
      </w:r>
    </w:p>
    <w:p w14:paraId="00F5B6BD" w14:textId="65FE23BF" w:rsidR="002B44DD" w:rsidRPr="003A78FF" w:rsidRDefault="002B44DD" w:rsidP="002B44DD">
      <w:pPr>
        <w:pStyle w:val="ListParagraph"/>
        <w:numPr>
          <w:ilvl w:val="0"/>
          <w:numId w:val="25"/>
        </w:numPr>
        <w:ind w:left="862"/>
        <w:rPr>
          <w:rFonts w:ascii="VIC" w:hAnsi="VIC"/>
          <w:b/>
          <w:bCs/>
          <w:sz w:val="24"/>
          <w:szCs w:val="24"/>
        </w:rPr>
      </w:pPr>
      <w:r w:rsidRPr="003A78FF">
        <w:rPr>
          <w:rFonts w:ascii="VIC" w:hAnsi="VIC"/>
          <w:b/>
          <w:bCs/>
          <w:sz w:val="24"/>
          <w:szCs w:val="24"/>
        </w:rPr>
        <w:t>Primary Care</w:t>
      </w:r>
    </w:p>
    <w:p w14:paraId="57E065D6" w14:textId="29B849CE" w:rsidR="002B44DD" w:rsidRPr="003A78FF" w:rsidRDefault="418EADE9" w:rsidP="002B44DD">
      <w:pPr>
        <w:pStyle w:val="ListParagraph"/>
        <w:numPr>
          <w:ilvl w:val="1"/>
          <w:numId w:val="25"/>
        </w:numPr>
        <w:rPr>
          <w:rFonts w:ascii="VIC" w:hAnsi="VIC"/>
          <w:sz w:val="24"/>
          <w:szCs w:val="24"/>
        </w:rPr>
      </w:pPr>
      <w:r w:rsidRPr="003A78FF">
        <w:rPr>
          <w:rFonts w:ascii="VIC" w:hAnsi="VIC"/>
          <w:sz w:val="24"/>
          <w:szCs w:val="24"/>
        </w:rPr>
        <w:t>E</w:t>
      </w:r>
      <w:r w:rsidR="3BEE1FF4" w:rsidRPr="003A78FF">
        <w:rPr>
          <w:rFonts w:ascii="VIC" w:hAnsi="VIC"/>
          <w:sz w:val="24"/>
          <w:szCs w:val="24"/>
        </w:rPr>
        <w:t xml:space="preserve">xpansion of Health Pathways </w:t>
      </w:r>
      <w:r w:rsidR="00F07FDD" w:rsidRPr="003A78FF">
        <w:rPr>
          <w:rFonts w:ascii="VIC" w:hAnsi="VIC"/>
          <w:sz w:val="24"/>
          <w:szCs w:val="24"/>
        </w:rPr>
        <w:t xml:space="preserve">aligning with </w:t>
      </w:r>
      <w:r w:rsidR="0025685B" w:rsidRPr="003A78FF">
        <w:rPr>
          <w:rFonts w:ascii="VIC" w:hAnsi="VIC"/>
          <w:sz w:val="24"/>
          <w:szCs w:val="24"/>
        </w:rPr>
        <w:t>same-day</w:t>
      </w:r>
      <w:r w:rsidR="00F07FDD" w:rsidRPr="003A78FF">
        <w:rPr>
          <w:rFonts w:ascii="VIC" w:hAnsi="VIC"/>
          <w:sz w:val="24"/>
          <w:szCs w:val="24"/>
        </w:rPr>
        <w:t xml:space="preserve"> model of care to </w:t>
      </w:r>
      <w:r w:rsidR="3BEE1FF4" w:rsidRPr="003A78FF">
        <w:rPr>
          <w:rFonts w:ascii="VIC" w:hAnsi="VIC"/>
          <w:sz w:val="24"/>
          <w:szCs w:val="24"/>
        </w:rPr>
        <w:t>guid</w:t>
      </w:r>
      <w:r w:rsidR="00F07FDD" w:rsidRPr="003A78FF">
        <w:rPr>
          <w:rFonts w:ascii="VIC" w:hAnsi="VIC"/>
          <w:sz w:val="24"/>
          <w:szCs w:val="24"/>
        </w:rPr>
        <w:t>e</w:t>
      </w:r>
      <w:r w:rsidR="00F53BFC" w:rsidRPr="003A78FF">
        <w:rPr>
          <w:rFonts w:ascii="VIC" w:hAnsi="VIC"/>
          <w:sz w:val="24"/>
          <w:szCs w:val="24"/>
        </w:rPr>
        <w:t xml:space="preserve"> r</w:t>
      </w:r>
      <w:r w:rsidR="002D7A31" w:rsidRPr="003A78FF">
        <w:rPr>
          <w:rFonts w:ascii="VIC" w:hAnsi="VIC"/>
          <w:sz w:val="24"/>
          <w:szCs w:val="24"/>
        </w:rPr>
        <w:t xml:space="preserve">eferring primary care clinicians </w:t>
      </w:r>
    </w:p>
    <w:p w14:paraId="3CAA9A02" w14:textId="77777777" w:rsidR="002B44DD" w:rsidRPr="003A78FF" w:rsidRDefault="62683111" w:rsidP="002B44DD">
      <w:pPr>
        <w:pStyle w:val="ListParagraph"/>
        <w:numPr>
          <w:ilvl w:val="1"/>
          <w:numId w:val="25"/>
        </w:numPr>
        <w:rPr>
          <w:rFonts w:ascii="VIC" w:hAnsi="VIC"/>
          <w:sz w:val="24"/>
          <w:szCs w:val="24"/>
        </w:rPr>
      </w:pPr>
      <w:r w:rsidRPr="003A78FF">
        <w:rPr>
          <w:rFonts w:ascii="VIC" w:hAnsi="VIC"/>
          <w:sz w:val="24"/>
          <w:szCs w:val="24"/>
        </w:rPr>
        <w:t xml:space="preserve">Health Pathways enabling </w:t>
      </w:r>
      <w:r w:rsidR="007346B6" w:rsidRPr="003A78FF">
        <w:rPr>
          <w:rFonts w:ascii="VIC" w:hAnsi="VIC"/>
          <w:sz w:val="24"/>
          <w:szCs w:val="24"/>
        </w:rPr>
        <w:t xml:space="preserve">appropriate </w:t>
      </w:r>
      <w:r w:rsidR="0063549A" w:rsidRPr="003A78FF">
        <w:rPr>
          <w:rFonts w:ascii="VIC" w:hAnsi="VIC"/>
          <w:sz w:val="24"/>
          <w:szCs w:val="24"/>
        </w:rPr>
        <w:t>referral</w:t>
      </w:r>
      <w:r w:rsidR="00275F6F" w:rsidRPr="003A78FF">
        <w:rPr>
          <w:rFonts w:ascii="VIC" w:hAnsi="VIC"/>
          <w:sz w:val="24"/>
          <w:szCs w:val="24"/>
        </w:rPr>
        <w:t xml:space="preserve"> of </w:t>
      </w:r>
      <w:r w:rsidR="72E79278" w:rsidRPr="003A78FF">
        <w:rPr>
          <w:rFonts w:ascii="VIC" w:hAnsi="VIC"/>
          <w:sz w:val="24"/>
          <w:szCs w:val="24"/>
        </w:rPr>
        <w:t>suitab</w:t>
      </w:r>
      <w:r w:rsidR="00B27E8F" w:rsidRPr="003A78FF">
        <w:rPr>
          <w:rFonts w:ascii="VIC" w:hAnsi="VIC"/>
          <w:sz w:val="24"/>
          <w:szCs w:val="24"/>
        </w:rPr>
        <w:t>le patients</w:t>
      </w:r>
      <w:r w:rsidR="00D53231" w:rsidRPr="003A78FF">
        <w:rPr>
          <w:rFonts w:ascii="VIC" w:hAnsi="VIC"/>
          <w:sz w:val="24"/>
          <w:szCs w:val="24"/>
        </w:rPr>
        <w:t xml:space="preserve"> </w:t>
      </w:r>
      <w:r w:rsidR="07941DFD" w:rsidRPr="003A78FF">
        <w:rPr>
          <w:rFonts w:ascii="VIC" w:hAnsi="VIC"/>
          <w:sz w:val="24"/>
          <w:szCs w:val="24"/>
        </w:rPr>
        <w:t>(</w:t>
      </w:r>
      <w:r w:rsidR="009F1688" w:rsidRPr="003A78FF">
        <w:rPr>
          <w:rFonts w:ascii="VIC" w:hAnsi="VIC"/>
          <w:sz w:val="24"/>
          <w:szCs w:val="24"/>
        </w:rPr>
        <w:t>including rationale for exclusion</w:t>
      </w:r>
      <w:r w:rsidR="07941DFD" w:rsidRPr="003A78FF">
        <w:rPr>
          <w:rFonts w:ascii="VIC" w:hAnsi="VIC"/>
          <w:sz w:val="24"/>
          <w:szCs w:val="24"/>
        </w:rPr>
        <w:t>)</w:t>
      </w:r>
      <w:r w:rsidR="4E384A0B" w:rsidRPr="003A78FF">
        <w:rPr>
          <w:rFonts w:ascii="VIC" w:hAnsi="VIC"/>
          <w:sz w:val="24"/>
          <w:szCs w:val="24"/>
        </w:rPr>
        <w:t xml:space="preserve"> for day </w:t>
      </w:r>
      <w:r w:rsidR="382E8C21" w:rsidRPr="003A78FF">
        <w:rPr>
          <w:rFonts w:ascii="VIC" w:hAnsi="VIC"/>
          <w:sz w:val="24"/>
          <w:szCs w:val="24"/>
        </w:rPr>
        <w:t>surgery</w:t>
      </w:r>
    </w:p>
    <w:p w14:paraId="7365A472" w14:textId="2292AD03" w:rsidR="56C158D1" w:rsidRPr="003A78FF" w:rsidRDefault="0025685B" w:rsidP="002B44DD">
      <w:pPr>
        <w:pStyle w:val="ListParagraph"/>
        <w:numPr>
          <w:ilvl w:val="1"/>
          <w:numId w:val="25"/>
        </w:numPr>
        <w:rPr>
          <w:rFonts w:ascii="VIC" w:hAnsi="VIC"/>
          <w:sz w:val="24"/>
          <w:szCs w:val="24"/>
        </w:rPr>
      </w:pPr>
      <w:r w:rsidRPr="003A78FF">
        <w:rPr>
          <w:rFonts w:ascii="VIC" w:hAnsi="VIC"/>
          <w:sz w:val="24"/>
          <w:szCs w:val="24"/>
        </w:rPr>
        <w:t>Same-day</w:t>
      </w:r>
      <w:r w:rsidR="612DD5D9" w:rsidRPr="003A78FF">
        <w:rPr>
          <w:rFonts w:ascii="VIC" w:hAnsi="VIC"/>
          <w:sz w:val="24"/>
          <w:szCs w:val="24"/>
        </w:rPr>
        <w:t xml:space="preserve"> clinical handover to Primary Care Provider </w:t>
      </w:r>
      <w:r w:rsidR="00C86CA6" w:rsidRPr="003A78FF">
        <w:rPr>
          <w:rFonts w:ascii="VIC" w:hAnsi="VIC"/>
          <w:sz w:val="24"/>
          <w:szCs w:val="24"/>
        </w:rPr>
        <w:t xml:space="preserve">to enable appropriate </w:t>
      </w:r>
      <w:r w:rsidR="00D92D35" w:rsidRPr="003A78FF">
        <w:rPr>
          <w:rFonts w:ascii="VIC" w:hAnsi="VIC"/>
          <w:sz w:val="24"/>
          <w:szCs w:val="24"/>
        </w:rPr>
        <w:t>advice</w:t>
      </w:r>
      <w:r w:rsidR="00C86CA6" w:rsidRPr="003A78FF">
        <w:rPr>
          <w:rFonts w:ascii="VIC" w:hAnsi="VIC"/>
          <w:sz w:val="24"/>
          <w:szCs w:val="24"/>
        </w:rPr>
        <w:t xml:space="preserve">/response </w:t>
      </w:r>
      <w:r w:rsidR="00D92D35" w:rsidRPr="003A78FF">
        <w:rPr>
          <w:rFonts w:ascii="VIC" w:hAnsi="VIC"/>
          <w:sz w:val="24"/>
          <w:szCs w:val="24"/>
        </w:rPr>
        <w:t xml:space="preserve">if </w:t>
      </w:r>
      <w:r w:rsidR="00F629FB" w:rsidRPr="003A78FF">
        <w:rPr>
          <w:rFonts w:ascii="VIC" w:hAnsi="VIC"/>
          <w:sz w:val="24"/>
          <w:szCs w:val="24"/>
        </w:rPr>
        <w:t>s</w:t>
      </w:r>
      <w:r w:rsidR="007F4D89" w:rsidRPr="003A78FF">
        <w:rPr>
          <w:rFonts w:ascii="VIC" w:hAnsi="VIC"/>
          <w:sz w:val="24"/>
          <w:szCs w:val="24"/>
        </w:rPr>
        <w:t>ought by patient post-discharge</w:t>
      </w:r>
      <w:r w:rsidR="00343C19" w:rsidRPr="003A78FF">
        <w:rPr>
          <w:rFonts w:ascii="VIC" w:hAnsi="VIC"/>
          <w:sz w:val="24"/>
          <w:szCs w:val="24"/>
        </w:rPr>
        <w:t>.</w:t>
      </w:r>
      <w:r w:rsidR="00C86CA6" w:rsidRPr="003A78FF">
        <w:rPr>
          <w:rFonts w:ascii="VIC" w:hAnsi="VIC"/>
          <w:sz w:val="24"/>
          <w:szCs w:val="24"/>
        </w:rPr>
        <w:t xml:space="preserve"> </w:t>
      </w:r>
    </w:p>
    <w:p w14:paraId="4293B232" w14:textId="236E760A" w:rsidR="253A6C64" w:rsidRPr="003A78FF" w:rsidRDefault="253A6C64" w:rsidP="002A4D8C">
      <w:pPr>
        <w:pStyle w:val="ListParagraph"/>
        <w:ind w:left="426"/>
        <w:rPr>
          <w:rFonts w:ascii="VIC" w:hAnsi="VIC"/>
          <w:sz w:val="24"/>
          <w:szCs w:val="24"/>
        </w:rPr>
      </w:pPr>
      <w:r w:rsidRPr="003A78FF">
        <w:rPr>
          <w:rFonts w:ascii="VIC" w:hAnsi="VIC"/>
          <w:sz w:val="24"/>
          <w:szCs w:val="24"/>
        </w:rPr>
        <w:t xml:space="preserve"> </w:t>
      </w:r>
    </w:p>
    <w:p w14:paraId="7750511A" w14:textId="0F1283B6" w:rsidR="00A36DA2" w:rsidRPr="003A78FF" w:rsidRDefault="00A36DA2" w:rsidP="00FE54E5">
      <w:pPr>
        <w:pStyle w:val="Heading3"/>
        <w:numPr>
          <w:ilvl w:val="0"/>
          <w:numId w:val="21"/>
        </w:numPr>
        <w:rPr>
          <w:rFonts w:ascii="VIC" w:hAnsi="VIC"/>
          <w:szCs w:val="24"/>
        </w:rPr>
      </w:pPr>
      <w:bookmarkStart w:id="11" w:name="_Toc111215092"/>
      <w:bookmarkStart w:id="12" w:name="_Toc111215149"/>
      <w:r w:rsidRPr="003A78FF">
        <w:rPr>
          <w:rFonts w:ascii="VIC" w:hAnsi="VIC"/>
          <w:szCs w:val="24"/>
        </w:rPr>
        <w:t>Which surgical procedures, currently delivered as multi-stay, are suitable to be delivered as same-day models?</w:t>
      </w:r>
      <w:bookmarkEnd w:id="11"/>
      <w:bookmarkEnd w:id="12"/>
      <w:r w:rsidRPr="003A78FF">
        <w:rPr>
          <w:rFonts w:ascii="Cambria" w:hAnsi="Cambria" w:cs="Cambria"/>
          <w:szCs w:val="24"/>
        </w:rPr>
        <w:t> </w:t>
      </w:r>
    </w:p>
    <w:p w14:paraId="2A877581" w14:textId="77777777" w:rsidR="00E71A66" w:rsidRPr="003A78FF" w:rsidRDefault="00E71A66" w:rsidP="00683E84">
      <w:pPr>
        <w:pStyle w:val="NormalWeb"/>
        <w:ind w:left="360"/>
        <w:rPr>
          <w:rFonts w:ascii="VIC" w:hAnsi="VIC" w:cstheme="minorBidi"/>
          <w:b/>
          <w:bCs/>
          <w:sz w:val="24"/>
        </w:rPr>
      </w:pPr>
    </w:p>
    <w:p w14:paraId="2436F15E" w14:textId="3F6A2322" w:rsidR="003F7E90" w:rsidRPr="003A78FF" w:rsidRDefault="42D52545" w:rsidP="00683E84">
      <w:pPr>
        <w:pStyle w:val="NormalWeb"/>
        <w:ind w:left="360"/>
        <w:rPr>
          <w:rFonts w:ascii="VIC" w:hAnsi="VIC" w:cstheme="minorBidi"/>
          <w:b/>
          <w:bCs/>
          <w:color w:val="000000"/>
          <w:sz w:val="24"/>
        </w:rPr>
      </w:pPr>
      <w:r w:rsidRPr="003A78FF">
        <w:rPr>
          <w:rFonts w:ascii="VIC" w:hAnsi="VIC" w:cstheme="minorBidi"/>
          <w:b/>
          <w:bCs/>
          <w:sz w:val="24"/>
        </w:rPr>
        <w:t>Inguinal</w:t>
      </w:r>
      <w:r w:rsidR="730231FD" w:rsidRPr="003A78FF">
        <w:rPr>
          <w:rFonts w:ascii="VIC" w:hAnsi="VIC" w:cstheme="minorBidi"/>
          <w:b/>
          <w:bCs/>
          <w:sz w:val="24"/>
        </w:rPr>
        <w:t xml:space="preserve"> and umbilical hernia </w:t>
      </w:r>
      <w:r w:rsidRPr="003A78FF">
        <w:rPr>
          <w:rFonts w:ascii="VIC" w:hAnsi="VIC" w:cstheme="minorBidi"/>
          <w:b/>
          <w:bCs/>
          <w:sz w:val="24"/>
        </w:rPr>
        <w:t>repair</w:t>
      </w:r>
      <w:r w:rsidR="730231FD" w:rsidRPr="003A78FF">
        <w:rPr>
          <w:rFonts w:ascii="VIC" w:hAnsi="VIC" w:cstheme="minorBidi"/>
          <w:b/>
          <w:bCs/>
          <w:sz w:val="24"/>
        </w:rPr>
        <w:t xml:space="preserve"> </w:t>
      </w:r>
    </w:p>
    <w:p w14:paraId="6EE44E5C" w14:textId="42F1D035" w:rsidR="00463E94" w:rsidRPr="003A78FF" w:rsidRDefault="00210FE6" w:rsidP="00683E84">
      <w:pPr>
        <w:pStyle w:val="NormalWeb"/>
        <w:ind w:left="360"/>
        <w:rPr>
          <w:rFonts w:ascii="VIC" w:hAnsi="VIC" w:cstheme="minorBidi"/>
          <w:sz w:val="24"/>
        </w:rPr>
      </w:pPr>
      <w:r w:rsidRPr="003A78FF">
        <w:rPr>
          <w:rFonts w:ascii="VIC" w:hAnsi="VIC" w:cstheme="minorBidi"/>
          <w:sz w:val="24"/>
        </w:rPr>
        <w:t>Currently only 26% of unilateral inguinal hernia repairs are performed as same-day procedures despite evidence suggesting at least 50% could be appropriately achieved across the sector</w:t>
      </w:r>
      <w:r w:rsidR="00EC70F6" w:rsidRPr="003A78FF">
        <w:rPr>
          <w:rStyle w:val="FootnoteReference"/>
          <w:rFonts w:ascii="VIC" w:hAnsi="VIC" w:cstheme="minorBidi"/>
          <w:sz w:val="24"/>
        </w:rPr>
        <w:footnoteReference w:id="2"/>
      </w:r>
      <w:r w:rsidRPr="003A78FF">
        <w:rPr>
          <w:rFonts w:ascii="VIC" w:hAnsi="VIC" w:cstheme="minorBidi"/>
          <w:sz w:val="24"/>
        </w:rPr>
        <w:t>.</w:t>
      </w:r>
    </w:p>
    <w:p w14:paraId="7B524E99" w14:textId="77777777" w:rsidR="005F4955" w:rsidRPr="003A78FF" w:rsidRDefault="005F4955" w:rsidP="00683E84">
      <w:pPr>
        <w:pStyle w:val="NormalWeb"/>
        <w:ind w:left="360"/>
        <w:rPr>
          <w:rFonts w:ascii="VIC" w:hAnsi="VIC" w:cstheme="minorBidi"/>
          <w:sz w:val="24"/>
        </w:rPr>
      </w:pPr>
    </w:p>
    <w:p w14:paraId="650966B2" w14:textId="19FD098F" w:rsidR="005F4955" w:rsidRPr="003A78FF" w:rsidRDefault="730231FD" w:rsidP="00683E84">
      <w:pPr>
        <w:pStyle w:val="NormalWeb"/>
        <w:ind w:left="360"/>
        <w:rPr>
          <w:rFonts w:ascii="VIC" w:hAnsi="VIC" w:cstheme="minorBidi"/>
          <w:sz w:val="24"/>
        </w:rPr>
      </w:pPr>
      <w:r w:rsidRPr="003A78FF">
        <w:rPr>
          <w:rFonts w:ascii="VIC" w:hAnsi="VIC" w:cstheme="minorBidi"/>
          <w:sz w:val="24"/>
        </w:rPr>
        <w:t xml:space="preserve">Latrobe </w:t>
      </w:r>
      <w:r w:rsidR="00A609E8" w:rsidRPr="003A78FF">
        <w:rPr>
          <w:rFonts w:ascii="VIC" w:hAnsi="VIC" w:cstheme="minorBidi"/>
          <w:sz w:val="24"/>
        </w:rPr>
        <w:t>R</w:t>
      </w:r>
      <w:r w:rsidRPr="003A78FF">
        <w:rPr>
          <w:rFonts w:ascii="VIC" w:hAnsi="VIC" w:cstheme="minorBidi"/>
          <w:sz w:val="24"/>
        </w:rPr>
        <w:t xml:space="preserve">egional </w:t>
      </w:r>
      <w:r w:rsidR="00A609E8" w:rsidRPr="003A78FF">
        <w:rPr>
          <w:rFonts w:ascii="VIC" w:hAnsi="VIC" w:cstheme="minorBidi"/>
          <w:sz w:val="24"/>
        </w:rPr>
        <w:t>H</w:t>
      </w:r>
      <w:r w:rsidRPr="003A78FF">
        <w:rPr>
          <w:rFonts w:ascii="VIC" w:hAnsi="VIC" w:cstheme="minorBidi"/>
          <w:sz w:val="24"/>
        </w:rPr>
        <w:t xml:space="preserve">ospital, Colac </w:t>
      </w:r>
      <w:r w:rsidR="0079642F" w:rsidRPr="003A78FF">
        <w:rPr>
          <w:rFonts w:ascii="VIC" w:hAnsi="VIC" w:cstheme="minorBidi"/>
          <w:sz w:val="24"/>
        </w:rPr>
        <w:t xml:space="preserve">Area Health </w:t>
      </w:r>
      <w:r w:rsidRPr="003A78FF">
        <w:rPr>
          <w:rFonts w:ascii="VIC" w:hAnsi="VIC" w:cstheme="minorBidi"/>
          <w:sz w:val="24"/>
        </w:rPr>
        <w:t>and Castlemaine</w:t>
      </w:r>
      <w:r w:rsidR="0079642F" w:rsidRPr="003A78FF">
        <w:rPr>
          <w:rFonts w:ascii="VIC" w:hAnsi="VIC" w:cstheme="minorBidi"/>
          <w:sz w:val="24"/>
        </w:rPr>
        <w:t xml:space="preserve"> Health</w:t>
      </w:r>
      <w:r w:rsidRPr="003A78FF">
        <w:rPr>
          <w:rFonts w:ascii="VIC" w:hAnsi="VIC" w:cstheme="minorBidi"/>
          <w:sz w:val="24"/>
        </w:rPr>
        <w:t xml:space="preserve"> have </w:t>
      </w:r>
      <w:r w:rsidR="007928CF" w:rsidRPr="003A78FF">
        <w:rPr>
          <w:rFonts w:ascii="VIC" w:hAnsi="VIC" w:cstheme="minorBidi"/>
          <w:sz w:val="24"/>
        </w:rPr>
        <w:t xml:space="preserve">successful and safe </w:t>
      </w:r>
      <w:r w:rsidRPr="003A78FF">
        <w:rPr>
          <w:rFonts w:ascii="VIC" w:hAnsi="VIC" w:cstheme="minorBidi"/>
          <w:sz w:val="24"/>
        </w:rPr>
        <w:t xml:space="preserve">high rates of </w:t>
      </w:r>
      <w:r w:rsidR="007928CF" w:rsidRPr="003A78FF">
        <w:rPr>
          <w:rFonts w:ascii="VIC" w:hAnsi="VIC" w:cstheme="minorBidi"/>
          <w:sz w:val="24"/>
        </w:rPr>
        <w:t>same-day</w:t>
      </w:r>
      <w:r w:rsidRPr="003A78FF">
        <w:rPr>
          <w:rFonts w:ascii="VIC" w:hAnsi="VIC" w:cstheme="minorBidi"/>
          <w:sz w:val="24"/>
        </w:rPr>
        <w:t xml:space="preserve"> inguinal hernia repair</w:t>
      </w:r>
      <w:r w:rsidR="00E47ECD" w:rsidRPr="003A78FF">
        <w:rPr>
          <w:rFonts w:ascii="VIC" w:hAnsi="VIC" w:cstheme="minorBidi"/>
          <w:sz w:val="24"/>
        </w:rPr>
        <w:t>s</w:t>
      </w:r>
      <w:r w:rsidRPr="003A78FF">
        <w:rPr>
          <w:rFonts w:ascii="VIC" w:hAnsi="VIC" w:cstheme="minorBidi"/>
          <w:sz w:val="24"/>
        </w:rPr>
        <w:t xml:space="preserve">. </w:t>
      </w:r>
      <w:r w:rsidR="005F4955" w:rsidRPr="003A78FF">
        <w:rPr>
          <w:rFonts w:ascii="VIC" w:hAnsi="VIC" w:cstheme="minorBidi"/>
          <w:sz w:val="24"/>
        </w:rPr>
        <w:t xml:space="preserve">There is an opportunity for their </w:t>
      </w:r>
      <w:r w:rsidR="00E71A66" w:rsidRPr="003A78FF">
        <w:rPr>
          <w:rFonts w:ascii="VIC" w:hAnsi="VIC" w:cstheme="minorBidi"/>
          <w:sz w:val="24"/>
        </w:rPr>
        <w:t>models to</w:t>
      </w:r>
      <w:r w:rsidR="005F4955" w:rsidRPr="003A78FF">
        <w:rPr>
          <w:rFonts w:ascii="VIC" w:hAnsi="VIC" w:cstheme="minorBidi"/>
          <w:sz w:val="24"/>
        </w:rPr>
        <w:t xml:space="preserve"> be expanded across other health services.</w:t>
      </w:r>
    </w:p>
    <w:p w14:paraId="118239A9" w14:textId="34B5B639" w:rsidR="00693904" w:rsidRPr="003A78FF" w:rsidRDefault="00693904" w:rsidP="00683E84">
      <w:pPr>
        <w:pStyle w:val="NormalWeb"/>
        <w:ind w:left="360"/>
        <w:rPr>
          <w:rFonts w:ascii="VIC" w:hAnsi="VIC" w:cstheme="minorBidi"/>
          <w:sz w:val="24"/>
        </w:rPr>
      </w:pPr>
    </w:p>
    <w:p w14:paraId="04ED73E8" w14:textId="3DF018CF" w:rsidR="005E3DA3" w:rsidRPr="003A78FF" w:rsidRDefault="005E3DA3" w:rsidP="00683E84">
      <w:pPr>
        <w:pStyle w:val="NormalWeb"/>
        <w:ind w:left="360"/>
        <w:rPr>
          <w:rFonts w:ascii="VIC" w:hAnsi="VIC" w:cstheme="minorBidi"/>
          <w:b/>
          <w:bCs/>
          <w:sz w:val="24"/>
        </w:rPr>
      </w:pPr>
      <w:r w:rsidRPr="003A78FF">
        <w:rPr>
          <w:rFonts w:ascii="VIC" w:hAnsi="VIC" w:cstheme="minorBidi"/>
          <w:b/>
          <w:bCs/>
          <w:sz w:val="24"/>
        </w:rPr>
        <w:t>Laparoscopic cholecystectomy</w:t>
      </w:r>
    </w:p>
    <w:p w14:paraId="5F735972" w14:textId="01CBE67F" w:rsidR="00F01EDE" w:rsidRPr="003A78FF" w:rsidRDefault="00DB7DF8" w:rsidP="00683E84">
      <w:pPr>
        <w:pStyle w:val="NormalWeb"/>
        <w:ind w:left="360"/>
        <w:rPr>
          <w:rFonts w:ascii="VIC" w:hAnsi="VIC" w:cstheme="minorBidi"/>
          <w:sz w:val="24"/>
        </w:rPr>
      </w:pPr>
      <w:r w:rsidRPr="003A78FF">
        <w:rPr>
          <w:rFonts w:ascii="VIC" w:hAnsi="VIC" w:cstheme="minorBidi"/>
          <w:sz w:val="24"/>
        </w:rPr>
        <w:t>L</w:t>
      </w:r>
      <w:r w:rsidR="730231FD" w:rsidRPr="003A78FF">
        <w:rPr>
          <w:rFonts w:ascii="VIC" w:hAnsi="VIC" w:cstheme="minorBidi"/>
          <w:sz w:val="24"/>
        </w:rPr>
        <w:t xml:space="preserve">aparoscopic cholecystectomy </w:t>
      </w:r>
      <w:r w:rsidRPr="003A78FF">
        <w:rPr>
          <w:rFonts w:ascii="VIC" w:hAnsi="VIC" w:cstheme="minorBidi"/>
          <w:sz w:val="24"/>
        </w:rPr>
        <w:t xml:space="preserve">procedures can be safely delivered </w:t>
      </w:r>
      <w:r w:rsidR="007A59C8" w:rsidRPr="003A78FF">
        <w:rPr>
          <w:rFonts w:ascii="VIC" w:hAnsi="VIC" w:cstheme="minorBidi"/>
          <w:sz w:val="24"/>
        </w:rPr>
        <w:t xml:space="preserve">as same-day procedures </w:t>
      </w:r>
      <w:r w:rsidRPr="003A78FF">
        <w:rPr>
          <w:rFonts w:ascii="VIC" w:hAnsi="VIC" w:cstheme="minorBidi"/>
          <w:sz w:val="24"/>
        </w:rPr>
        <w:t xml:space="preserve">on select </w:t>
      </w:r>
      <w:r w:rsidR="00F25F39" w:rsidRPr="003A78FF">
        <w:rPr>
          <w:rFonts w:ascii="VIC" w:hAnsi="VIC" w:cstheme="minorBidi"/>
          <w:sz w:val="24"/>
        </w:rPr>
        <w:t>patients</w:t>
      </w:r>
      <w:r w:rsidRPr="003A78FF">
        <w:rPr>
          <w:rFonts w:ascii="VIC" w:hAnsi="VIC" w:cstheme="minorBidi"/>
          <w:sz w:val="24"/>
        </w:rPr>
        <w:t xml:space="preserve"> including those with a</w:t>
      </w:r>
      <w:r w:rsidR="730231FD" w:rsidRPr="003A78FF">
        <w:rPr>
          <w:rFonts w:ascii="VIC" w:hAnsi="VIC" w:cstheme="minorBidi"/>
          <w:sz w:val="24"/>
        </w:rPr>
        <w:t xml:space="preserve">n ASA 1 &amp; 2 and perhaps some carefully selected ASA 3 stable patients. </w:t>
      </w:r>
    </w:p>
    <w:p w14:paraId="33BD249E" w14:textId="77777777" w:rsidR="00F01EDE" w:rsidRPr="003A78FF" w:rsidRDefault="00F01EDE" w:rsidP="00683E84">
      <w:pPr>
        <w:pStyle w:val="NormalWeb"/>
        <w:ind w:left="360"/>
        <w:rPr>
          <w:rFonts w:ascii="VIC" w:hAnsi="VIC" w:cstheme="minorBidi"/>
          <w:sz w:val="24"/>
        </w:rPr>
      </w:pPr>
    </w:p>
    <w:p w14:paraId="13C5CBF9" w14:textId="0587169D" w:rsidR="00462766" w:rsidRPr="003A78FF" w:rsidRDefault="730231FD" w:rsidP="00683E84">
      <w:pPr>
        <w:pStyle w:val="NormalWeb"/>
        <w:ind w:left="360"/>
        <w:rPr>
          <w:rFonts w:ascii="VIC" w:hAnsi="VIC" w:cstheme="minorBidi"/>
          <w:sz w:val="24"/>
        </w:rPr>
      </w:pPr>
      <w:r w:rsidRPr="003A78FF">
        <w:rPr>
          <w:rFonts w:ascii="VIC" w:hAnsi="VIC" w:cstheme="minorBidi"/>
          <w:sz w:val="24"/>
        </w:rPr>
        <w:t xml:space="preserve">A randomised controlled trial </w:t>
      </w:r>
      <w:r w:rsidR="001A3058" w:rsidRPr="003A78FF">
        <w:rPr>
          <w:rFonts w:ascii="VIC" w:hAnsi="VIC" w:cstheme="minorBidi"/>
          <w:sz w:val="24"/>
        </w:rPr>
        <w:t>regarding same-da</w:t>
      </w:r>
      <w:r w:rsidR="00CE0C9E" w:rsidRPr="003A78FF">
        <w:rPr>
          <w:rFonts w:ascii="VIC" w:hAnsi="VIC" w:cstheme="minorBidi"/>
          <w:sz w:val="24"/>
        </w:rPr>
        <w:t xml:space="preserve">y cholecystectomy </w:t>
      </w:r>
      <w:r w:rsidRPr="003A78FF">
        <w:rPr>
          <w:rFonts w:ascii="VIC" w:hAnsi="VIC" w:cstheme="minorBidi"/>
          <w:sz w:val="24"/>
        </w:rPr>
        <w:t xml:space="preserve">was conducted in South Australia in 1999 and </w:t>
      </w:r>
      <w:r w:rsidR="00C77C4C" w:rsidRPr="003A78FF">
        <w:rPr>
          <w:rFonts w:ascii="VIC" w:hAnsi="VIC" w:cstheme="minorBidi"/>
          <w:sz w:val="24"/>
        </w:rPr>
        <w:t>has since been implemented</w:t>
      </w:r>
      <w:r w:rsidR="00CE0C9E" w:rsidRPr="003A78FF">
        <w:rPr>
          <w:rFonts w:ascii="VIC" w:hAnsi="VIC" w:cstheme="minorBidi"/>
          <w:sz w:val="24"/>
        </w:rPr>
        <w:t xml:space="preserve"> throughout the state</w:t>
      </w:r>
      <w:r w:rsidR="00E35B6F" w:rsidRPr="003A78FF">
        <w:rPr>
          <w:rStyle w:val="FootnoteReference"/>
          <w:rFonts w:ascii="VIC" w:hAnsi="VIC" w:cstheme="minorBidi"/>
          <w:sz w:val="24"/>
        </w:rPr>
        <w:footnoteReference w:id="3"/>
      </w:r>
      <w:r w:rsidRPr="003A78FF">
        <w:rPr>
          <w:rFonts w:ascii="VIC" w:hAnsi="VIC" w:cstheme="minorBidi"/>
          <w:sz w:val="24"/>
        </w:rPr>
        <w:t xml:space="preserve">. There are </w:t>
      </w:r>
      <w:r w:rsidR="00CE0B89" w:rsidRPr="003A78FF">
        <w:rPr>
          <w:rFonts w:ascii="VIC" w:hAnsi="VIC" w:cstheme="minorBidi"/>
          <w:sz w:val="24"/>
        </w:rPr>
        <w:t>already</w:t>
      </w:r>
      <w:r w:rsidR="00F85192" w:rsidRPr="003A78FF">
        <w:rPr>
          <w:rFonts w:ascii="VIC" w:hAnsi="VIC" w:cstheme="minorBidi"/>
          <w:sz w:val="24"/>
        </w:rPr>
        <w:t xml:space="preserve"> Victorian</w:t>
      </w:r>
      <w:r w:rsidR="00CE0B89" w:rsidRPr="003A78FF">
        <w:rPr>
          <w:rFonts w:ascii="VIC" w:hAnsi="VIC" w:cstheme="minorBidi"/>
          <w:sz w:val="24"/>
        </w:rPr>
        <w:t xml:space="preserve"> </w:t>
      </w:r>
      <w:r w:rsidRPr="003A78FF">
        <w:rPr>
          <w:rFonts w:ascii="VIC" w:hAnsi="VIC" w:cstheme="minorBidi"/>
          <w:sz w:val="24"/>
        </w:rPr>
        <w:t xml:space="preserve">health services promoting </w:t>
      </w:r>
      <w:r w:rsidR="00CE0B89" w:rsidRPr="003A78FF">
        <w:rPr>
          <w:rFonts w:ascii="VIC" w:hAnsi="VIC" w:cstheme="minorBidi"/>
          <w:sz w:val="24"/>
        </w:rPr>
        <w:t>same-day</w:t>
      </w:r>
      <w:r w:rsidRPr="003A78FF">
        <w:rPr>
          <w:rFonts w:ascii="VIC" w:hAnsi="VIC" w:cstheme="minorBidi"/>
          <w:sz w:val="24"/>
        </w:rPr>
        <w:t xml:space="preserve"> cholecystectomy for suitable cases </w:t>
      </w:r>
      <w:r w:rsidR="00CE0B89" w:rsidRPr="003A78FF">
        <w:rPr>
          <w:rFonts w:ascii="VIC" w:hAnsi="VIC" w:cstheme="minorBidi"/>
          <w:sz w:val="24"/>
        </w:rPr>
        <w:t>including</w:t>
      </w:r>
      <w:r w:rsidRPr="003A78FF">
        <w:rPr>
          <w:rFonts w:ascii="VIC" w:hAnsi="VIC" w:cstheme="minorBidi"/>
          <w:sz w:val="24"/>
        </w:rPr>
        <w:t xml:space="preserve"> </w:t>
      </w:r>
      <w:r w:rsidR="00655731" w:rsidRPr="003A78FF">
        <w:rPr>
          <w:rFonts w:ascii="VIC" w:hAnsi="VIC" w:cstheme="minorBidi"/>
          <w:sz w:val="24"/>
        </w:rPr>
        <w:t>Warrnambool</w:t>
      </w:r>
      <w:r w:rsidR="00B81258" w:rsidRPr="003A78FF">
        <w:rPr>
          <w:rFonts w:ascii="VIC" w:hAnsi="VIC" w:cstheme="minorBidi"/>
          <w:sz w:val="24"/>
        </w:rPr>
        <w:t xml:space="preserve"> Base Hospital</w:t>
      </w:r>
      <w:r w:rsidRPr="003A78FF">
        <w:rPr>
          <w:rFonts w:ascii="VIC" w:hAnsi="VIC" w:cstheme="minorBidi"/>
          <w:sz w:val="24"/>
        </w:rPr>
        <w:t>, St Vincent</w:t>
      </w:r>
      <w:r w:rsidR="00655731" w:rsidRPr="003A78FF">
        <w:rPr>
          <w:rFonts w:ascii="VIC" w:hAnsi="VIC" w:cstheme="minorBidi"/>
          <w:sz w:val="24"/>
        </w:rPr>
        <w:t>’</w:t>
      </w:r>
      <w:r w:rsidRPr="003A78FF">
        <w:rPr>
          <w:rFonts w:ascii="VIC" w:hAnsi="VIC" w:cstheme="minorBidi"/>
          <w:sz w:val="24"/>
        </w:rPr>
        <w:t>s</w:t>
      </w:r>
      <w:r w:rsidR="00B81258" w:rsidRPr="003A78FF">
        <w:rPr>
          <w:rFonts w:ascii="VIC" w:hAnsi="VIC" w:cstheme="minorBidi"/>
          <w:sz w:val="24"/>
        </w:rPr>
        <w:t xml:space="preserve"> </w:t>
      </w:r>
      <w:r w:rsidR="00655731" w:rsidRPr="003A78FF">
        <w:rPr>
          <w:rFonts w:ascii="VIC" w:hAnsi="VIC" w:cstheme="minorBidi"/>
          <w:sz w:val="24"/>
        </w:rPr>
        <w:t>Health Australia</w:t>
      </w:r>
      <w:r w:rsidRPr="003A78FF">
        <w:rPr>
          <w:rFonts w:ascii="VIC" w:hAnsi="VIC" w:cstheme="minorBidi"/>
          <w:sz w:val="24"/>
        </w:rPr>
        <w:t xml:space="preserve">, Northern </w:t>
      </w:r>
      <w:r w:rsidR="00655731" w:rsidRPr="003A78FF">
        <w:rPr>
          <w:rFonts w:ascii="VIC" w:hAnsi="VIC" w:cstheme="minorBidi"/>
          <w:sz w:val="24"/>
        </w:rPr>
        <w:t>H</w:t>
      </w:r>
      <w:r w:rsidRPr="003A78FF">
        <w:rPr>
          <w:rFonts w:ascii="VIC" w:hAnsi="VIC" w:cstheme="minorBidi"/>
          <w:sz w:val="24"/>
        </w:rPr>
        <w:t>ealth and Monash</w:t>
      </w:r>
      <w:r w:rsidR="00655731" w:rsidRPr="003A78FF">
        <w:rPr>
          <w:rFonts w:ascii="VIC" w:hAnsi="VIC" w:cstheme="minorBidi"/>
          <w:sz w:val="24"/>
        </w:rPr>
        <w:t xml:space="preserve"> Health</w:t>
      </w:r>
      <w:r w:rsidRPr="003A78FF">
        <w:rPr>
          <w:rFonts w:ascii="VIC" w:hAnsi="VIC" w:cstheme="minorBidi"/>
          <w:sz w:val="24"/>
        </w:rPr>
        <w:t xml:space="preserve">. </w:t>
      </w:r>
    </w:p>
    <w:p w14:paraId="6B7EE536" w14:textId="7F9D757E" w:rsidR="008051B7" w:rsidRPr="003A78FF" w:rsidRDefault="730231FD" w:rsidP="00683E84">
      <w:pPr>
        <w:pStyle w:val="NormalWeb"/>
        <w:ind w:left="360"/>
        <w:rPr>
          <w:rFonts w:ascii="VIC" w:hAnsi="VIC" w:cstheme="minorBidi"/>
          <w:sz w:val="24"/>
        </w:rPr>
      </w:pPr>
      <w:r w:rsidRPr="003A78FF">
        <w:rPr>
          <w:rFonts w:ascii="VIC" w:hAnsi="VIC" w:cstheme="minorBidi"/>
          <w:sz w:val="24"/>
        </w:rPr>
        <w:t>University Hospital Geelong</w:t>
      </w:r>
      <w:r w:rsidR="00E270C9" w:rsidRPr="003A78FF">
        <w:rPr>
          <w:rFonts w:ascii="VIC" w:hAnsi="VIC" w:cstheme="minorBidi"/>
          <w:sz w:val="24"/>
        </w:rPr>
        <w:t xml:space="preserve"> trialled</w:t>
      </w:r>
      <w:r w:rsidRPr="003A78FF">
        <w:rPr>
          <w:rFonts w:ascii="VIC" w:hAnsi="VIC" w:cstheme="minorBidi"/>
          <w:sz w:val="24"/>
        </w:rPr>
        <w:t xml:space="preserve"> 9 cases prior to </w:t>
      </w:r>
      <w:r w:rsidR="00E270C9" w:rsidRPr="003A78FF">
        <w:rPr>
          <w:rFonts w:ascii="VIC" w:hAnsi="VIC" w:cstheme="minorBidi"/>
          <w:sz w:val="24"/>
        </w:rPr>
        <w:t xml:space="preserve">the </w:t>
      </w:r>
      <w:r w:rsidRPr="003A78FF">
        <w:rPr>
          <w:rFonts w:ascii="VIC" w:hAnsi="VIC" w:cstheme="minorBidi"/>
          <w:sz w:val="24"/>
        </w:rPr>
        <w:t>COVID</w:t>
      </w:r>
      <w:r w:rsidR="00E270C9" w:rsidRPr="003A78FF">
        <w:rPr>
          <w:rFonts w:ascii="VIC" w:hAnsi="VIC" w:cstheme="minorBidi"/>
          <w:sz w:val="24"/>
        </w:rPr>
        <w:t>-19 pandemic</w:t>
      </w:r>
      <w:r w:rsidRPr="003A78FF">
        <w:rPr>
          <w:rFonts w:ascii="VIC" w:hAnsi="VIC" w:cstheme="minorBidi"/>
          <w:sz w:val="24"/>
        </w:rPr>
        <w:t xml:space="preserve"> and has</w:t>
      </w:r>
      <w:r w:rsidR="000113F8" w:rsidRPr="003A78FF">
        <w:rPr>
          <w:rFonts w:ascii="VIC" w:hAnsi="VIC" w:cstheme="minorBidi"/>
          <w:sz w:val="24"/>
        </w:rPr>
        <w:t xml:space="preserve"> since</w:t>
      </w:r>
      <w:r w:rsidRPr="003A78FF">
        <w:rPr>
          <w:rFonts w:ascii="VIC" w:hAnsi="VIC" w:cstheme="minorBidi"/>
          <w:sz w:val="24"/>
        </w:rPr>
        <w:t xml:space="preserve"> </w:t>
      </w:r>
      <w:r w:rsidR="007A3478" w:rsidRPr="003A78FF">
        <w:rPr>
          <w:rFonts w:ascii="VIC" w:hAnsi="VIC" w:cstheme="minorBidi"/>
          <w:sz w:val="24"/>
        </w:rPr>
        <w:t xml:space="preserve">established </w:t>
      </w:r>
      <w:r w:rsidRPr="003A78FF">
        <w:rPr>
          <w:rFonts w:ascii="VIC" w:hAnsi="VIC" w:cstheme="minorBidi"/>
          <w:sz w:val="24"/>
        </w:rPr>
        <w:t xml:space="preserve">an agreed protocol. Monash Health </w:t>
      </w:r>
      <w:r w:rsidR="007A3478" w:rsidRPr="003A78FF">
        <w:rPr>
          <w:rFonts w:ascii="VIC" w:hAnsi="VIC" w:cstheme="minorBidi"/>
          <w:sz w:val="24"/>
        </w:rPr>
        <w:t xml:space="preserve">plans to </w:t>
      </w:r>
      <w:r w:rsidRPr="003A78FF">
        <w:rPr>
          <w:rFonts w:ascii="VIC" w:hAnsi="VIC" w:cstheme="minorBidi"/>
          <w:sz w:val="24"/>
        </w:rPr>
        <w:t xml:space="preserve">release a revised protocol based on the UK Day Surgery protocol </w:t>
      </w:r>
      <w:r w:rsidR="007A3478" w:rsidRPr="003A78FF">
        <w:rPr>
          <w:rFonts w:ascii="VIC" w:hAnsi="VIC" w:cstheme="minorBidi"/>
          <w:sz w:val="24"/>
        </w:rPr>
        <w:t>in August 2022</w:t>
      </w:r>
      <w:r w:rsidRPr="003A78FF">
        <w:rPr>
          <w:rFonts w:ascii="VIC" w:hAnsi="VIC" w:cstheme="minorBidi"/>
          <w:sz w:val="24"/>
        </w:rPr>
        <w:t xml:space="preserve">. </w:t>
      </w:r>
    </w:p>
    <w:p w14:paraId="07596143" w14:textId="77777777" w:rsidR="0062594E" w:rsidRPr="003A78FF" w:rsidRDefault="0062594E" w:rsidP="00683E84">
      <w:pPr>
        <w:pStyle w:val="NormalWeb"/>
        <w:ind w:left="360"/>
        <w:rPr>
          <w:rFonts w:ascii="VIC" w:hAnsi="VIC" w:cstheme="minorBidi"/>
          <w:sz w:val="24"/>
        </w:rPr>
      </w:pPr>
    </w:p>
    <w:p w14:paraId="215F72F3" w14:textId="73FFB8FF" w:rsidR="00005CB6" w:rsidRPr="003A78FF" w:rsidRDefault="00005CB6" w:rsidP="00683E84">
      <w:pPr>
        <w:pStyle w:val="NormalWeb"/>
        <w:ind w:left="360"/>
        <w:rPr>
          <w:rFonts w:ascii="VIC" w:hAnsi="VIC" w:cstheme="minorBidi"/>
          <w:sz w:val="24"/>
        </w:rPr>
      </w:pPr>
      <w:r w:rsidRPr="003A78FF">
        <w:rPr>
          <w:rFonts w:ascii="VIC" w:hAnsi="VIC" w:cstheme="minorBidi"/>
          <w:sz w:val="24"/>
        </w:rPr>
        <w:t>The Victorian Directors of Surgery are supporti</w:t>
      </w:r>
      <w:r w:rsidR="0062594E" w:rsidRPr="003A78FF">
        <w:rPr>
          <w:rFonts w:ascii="VIC" w:hAnsi="VIC" w:cstheme="minorBidi"/>
          <w:sz w:val="24"/>
        </w:rPr>
        <w:t>ve of performing more day stay laparoscopic cholecystectomies in Victorian Public hospitals.</w:t>
      </w:r>
    </w:p>
    <w:p w14:paraId="3EE07B86" w14:textId="77777777" w:rsidR="008051B7" w:rsidRPr="003A78FF" w:rsidRDefault="008051B7" w:rsidP="0085212D">
      <w:pPr>
        <w:pStyle w:val="NormalWeb"/>
        <w:rPr>
          <w:rFonts w:ascii="VIC" w:hAnsi="VIC" w:cstheme="minorBidi"/>
          <w:sz w:val="24"/>
        </w:rPr>
      </w:pPr>
    </w:p>
    <w:p w14:paraId="1E353040" w14:textId="27F4832D" w:rsidR="003A7A58" w:rsidRPr="003A78FF" w:rsidRDefault="003A7A58" w:rsidP="00683E84">
      <w:pPr>
        <w:pStyle w:val="NormalWeb"/>
        <w:ind w:left="360"/>
        <w:rPr>
          <w:rFonts w:ascii="VIC" w:hAnsi="VIC" w:cstheme="minorHAnsi"/>
          <w:b/>
          <w:bCs/>
          <w:color w:val="000000"/>
          <w:sz w:val="24"/>
        </w:rPr>
      </w:pPr>
      <w:r w:rsidRPr="003A78FF">
        <w:rPr>
          <w:rFonts w:ascii="VIC" w:hAnsi="VIC" w:cstheme="minorBidi"/>
          <w:b/>
          <w:sz w:val="24"/>
        </w:rPr>
        <w:t>Acute cholecystitis</w:t>
      </w:r>
    </w:p>
    <w:p w14:paraId="778D16F3" w14:textId="7FD5288C" w:rsidR="00A36DA2" w:rsidRPr="003A78FF" w:rsidRDefault="00A36DA2" w:rsidP="00683E84">
      <w:pPr>
        <w:pStyle w:val="NormalWeb"/>
        <w:ind w:left="360"/>
        <w:rPr>
          <w:rFonts w:ascii="VIC" w:hAnsi="VIC" w:cstheme="minorHAnsi"/>
          <w:color w:val="000000"/>
          <w:sz w:val="24"/>
        </w:rPr>
      </w:pPr>
      <w:r w:rsidRPr="003A78FF">
        <w:rPr>
          <w:rFonts w:ascii="VIC" w:hAnsi="VIC" w:cstheme="minorBidi"/>
          <w:sz w:val="24"/>
        </w:rPr>
        <w:t xml:space="preserve">Some patients with acute cholecystitis (without acute pancreatitis) who have had a diagnostic ultrasound and appropriate pain relief could be discharged home from </w:t>
      </w:r>
      <w:r w:rsidR="008E0A33" w:rsidRPr="003A78FF">
        <w:rPr>
          <w:rFonts w:ascii="VIC" w:hAnsi="VIC" w:cstheme="minorBidi"/>
          <w:sz w:val="24"/>
        </w:rPr>
        <w:t xml:space="preserve">the </w:t>
      </w:r>
      <w:r w:rsidR="00E3728F" w:rsidRPr="003A78FF">
        <w:rPr>
          <w:rFonts w:ascii="VIC" w:hAnsi="VIC" w:cstheme="minorBidi"/>
          <w:sz w:val="24"/>
        </w:rPr>
        <w:t>emergency department</w:t>
      </w:r>
      <w:r w:rsidRPr="003A78FF">
        <w:rPr>
          <w:rFonts w:ascii="VIC" w:hAnsi="VIC" w:cstheme="minorBidi"/>
          <w:sz w:val="24"/>
        </w:rPr>
        <w:t xml:space="preserve"> and brought back the next day for </w:t>
      </w:r>
      <w:r w:rsidR="00E3728F" w:rsidRPr="003A78FF">
        <w:rPr>
          <w:rFonts w:ascii="VIC" w:hAnsi="VIC" w:cstheme="minorBidi"/>
          <w:sz w:val="24"/>
        </w:rPr>
        <w:t>their</w:t>
      </w:r>
      <w:r w:rsidRPr="003A78FF">
        <w:rPr>
          <w:rFonts w:ascii="VIC" w:hAnsi="VIC" w:cstheme="minorBidi"/>
          <w:sz w:val="24"/>
        </w:rPr>
        <w:t xml:space="preserve"> acute cholecystectomy</w:t>
      </w:r>
      <w:r w:rsidR="00E3728F" w:rsidRPr="003A78FF">
        <w:rPr>
          <w:rFonts w:ascii="VIC" w:hAnsi="VIC" w:cstheme="minorBidi"/>
          <w:sz w:val="24"/>
        </w:rPr>
        <w:t xml:space="preserve"> procedure. This wil</w:t>
      </w:r>
      <w:r w:rsidR="00715222" w:rsidRPr="003A78FF">
        <w:rPr>
          <w:rFonts w:ascii="VIC" w:hAnsi="VIC" w:cstheme="minorBidi"/>
          <w:sz w:val="24"/>
        </w:rPr>
        <w:t>l have direct effects on service bed capacity by</w:t>
      </w:r>
      <w:r w:rsidRPr="003A78FF">
        <w:rPr>
          <w:rFonts w:ascii="VIC" w:hAnsi="VIC" w:cstheme="minorBidi"/>
          <w:sz w:val="24"/>
        </w:rPr>
        <w:t xml:space="preserve"> saving at least one night in hospital.</w:t>
      </w:r>
      <w:r w:rsidRPr="003A78FF">
        <w:rPr>
          <w:rFonts w:ascii="Cambria" w:hAnsi="Cambria" w:cs="Cambria"/>
          <w:sz w:val="24"/>
        </w:rPr>
        <w:t> </w:t>
      </w:r>
    </w:p>
    <w:p w14:paraId="671F5E7A" w14:textId="77777777" w:rsidR="00A36DA2" w:rsidRPr="003A78FF" w:rsidRDefault="00A36DA2" w:rsidP="00683E84">
      <w:pPr>
        <w:pStyle w:val="NormalWeb"/>
        <w:ind w:left="360"/>
        <w:rPr>
          <w:rFonts w:ascii="VIC" w:hAnsi="VIC" w:cstheme="minorHAnsi"/>
          <w:color w:val="000000"/>
          <w:sz w:val="24"/>
        </w:rPr>
      </w:pPr>
    </w:p>
    <w:p w14:paraId="430C1E0A" w14:textId="12EC2AC8" w:rsidR="00263F9E" w:rsidRPr="003A78FF" w:rsidRDefault="00204DFA" w:rsidP="00683E84">
      <w:pPr>
        <w:pStyle w:val="NormalWeb"/>
        <w:ind w:left="360"/>
        <w:rPr>
          <w:rFonts w:ascii="VIC" w:hAnsi="VIC" w:cstheme="minorBidi"/>
          <w:b/>
          <w:color w:val="000000"/>
          <w:sz w:val="24"/>
        </w:rPr>
      </w:pPr>
      <w:r w:rsidRPr="003A78FF">
        <w:rPr>
          <w:rFonts w:ascii="VIC" w:hAnsi="VIC" w:cstheme="minorBidi"/>
          <w:b/>
          <w:sz w:val="24"/>
        </w:rPr>
        <w:t>Surgery for pelvic pain</w:t>
      </w:r>
    </w:p>
    <w:p w14:paraId="42F02DA1" w14:textId="06D68229" w:rsidR="00A75F5B" w:rsidRPr="003A78FF" w:rsidRDefault="00A75F5B" w:rsidP="00683E84">
      <w:pPr>
        <w:pStyle w:val="NormalWeb"/>
        <w:ind w:left="360"/>
        <w:rPr>
          <w:rFonts w:ascii="VIC" w:hAnsi="VIC" w:cstheme="minorBidi"/>
          <w:sz w:val="24"/>
        </w:rPr>
      </w:pPr>
      <w:r w:rsidRPr="003A78FF">
        <w:rPr>
          <w:rFonts w:ascii="VIC" w:hAnsi="VIC" w:cstheme="minorBidi"/>
          <w:sz w:val="24"/>
        </w:rPr>
        <w:t xml:space="preserve">Surgery +/- laparoscopy for pelvic pain has been demonstrated to provide low value care with short lasting benefits (30% of patients report worse pain scores at 2 years post-surgery). The </w:t>
      </w:r>
      <w:r w:rsidR="007F53A8" w:rsidRPr="003A78FF">
        <w:rPr>
          <w:rFonts w:ascii="VIC" w:hAnsi="VIC" w:cstheme="minorBidi"/>
          <w:sz w:val="24"/>
        </w:rPr>
        <w:t xml:space="preserve">barriers to </w:t>
      </w:r>
      <w:r w:rsidRPr="003A78FF">
        <w:rPr>
          <w:rFonts w:ascii="VIC" w:hAnsi="VIC" w:cstheme="minorBidi"/>
          <w:sz w:val="24"/>
        </w:rPr>
        <w:t>challeng</w:t>
      </w:r>
      <w:r w:rsidR="007F53A8" w:rsidRPr="003A78FF">
        <w:rPr>
          <w:rFonts w:ascii="VIC" w:hAnsi="VIC" w:cstheme="minorBidi"/>
          <w:sz w:val="24"/>
        </w:rPr>
        <w:t xml:space="preserve">ing </w:t>
      </w:r>
      <w:r w:rsidR="00362223" w:rsidRPr="003A78FF">
        <w:rPr>
          <w:rFonts w:ascii="VIC" w:hAnsi="VIC" w:cstheme="minorBidi"/>
          <w:sz w:val="24"/>
        </w:rPr>
        <w:t>surgical intervention</w:t>
      </w:r>
      <w:r w:rsidRPr="003A78FF">
        <w:rPr>
          <w:rFonts w:ascii="VIC" w:hAnsi="VIC" w:cstheme="minorBidi"/>
          <w:sz w:val="24"/>
        </w:rPr>
        <w:t xml:space="preserve"> is th</w:t>
      </w:r>
      <w:r w:rsidR="008261E0" w:rsidRPr="003A78FF">
        <w:rPr>
          <w:rFonts w:ascii="VIC" w:hAnsi="VIC" w:cstheme="minorBidi"/>
          <w:sz w:val="24"/>
        </w:rPr>
        <w:t xml:space="preserve">at </w:t>
      </w:r>
      <w:r w:rsidRPr="003A78FF">
        <w:rPr>
          <w:rFonts w:ascii="VIC" w:hAnsi="VIC" w:cstheme="minorBidi"/>
          <w:sz w:val="24"/>
        </w:rPr>
        <w:t>vested interest in operating (surgeons once consulted may be inclined to operate)</w:t>
      </w:r>
      <w:r w:rsidR="006221DA" w:rsidRPr="003A78FF">
        <w:rPr>
          <w:rFonts w:ascii="VIC" w:hAnsi="VIC" w:cstheme="minorBidi"/>
          <w:sz w:val="24"/>
        </w:rPr>
        <w:t xml:space="preserve"> is</w:t>
      </w:r>
      <w:r w:rsidRPr="003A78FF">
        <w:rPr>
          <w:rFonts w:ascii="VIC" w:hAnsi="VIC" w:cstheme="minorBidi"/>
          <w:sz w:val="24"/>
        </w:rPr>
        <w:t xml:space="preserve"> supported by “accepted practice” and ongoing medical teaching regarding this. Other factors that drive </w:t>
      </w:r>
      <w:r w:rsidR="00FF62CA" w:rsidRPr="003A78FF">
        <w:rPr>
          <w:rFonts w:ascii="VIC" w:hAnsi="VIC" w:cstheme="minorBidi"/>
          <w:sz w:val="24"/>
        </w:rPr>
        <w:t xml:space="preserve">continuation of </w:t>
      </w:r>
      <w:r w:rsidRPr="003A78FF">
        <w:rPr>
          <w:rFonts w:ascii="VIC" w:hAnsi="VIC" w:cstheme="minorBidi"/>
          <w:sz w:val="24"/>
        </w:rPr>
        <w:t>low value procedures include patient expectations of the value of surgery and/or the cost of allied health alternative treatments to the patient.</w:t>
      </w:r>
    </w:p>
    <w:p w14:paraId="52D3E18D" w14:textId="1D86DC24" w:rsidR="00962518" w:rsidRPr="003A78FF" w:rsidRDefault="00A75F5B" w:rsidP="003F40C6">
      <w:pPr>
        <w:pStyle w:val="NormalWeb"/>
        <w:spacing w:before="240"/>
        <w:ind w:left="360"/>
        <w:rPr>
          <w:rFonts w:ascii="VIC" w:hAnsi="VIC" w:cstheme="minorBidi"/>
          <w:color w:val="000000"/>
          <w:sz w:val="24"/>
        </w:rPr>
      </w:pPr>
      <w:r w:rsidRPr="003A78FF">
        <w:rPr>
          <w:rFonts w:ascii="VIC" w:hAnsi="VIC" w:cstheme="minorBidi"/>
          <w:sz w:val="24"/>
        </w:rPr>
        <w:t xml:space="preserve">In order to challenge accepted and routine practice, a larger focus on alternate pathways and raising awareness regarding low value care and alternative therapies </w:t>
      </w:r>
      <w:r w:rsidR="00E9268F" w:rsidRPr="003A78FF">
        <w:rPr>
          <w:rFonts w:ascii="VIC" w:hAnsi="VIC" w:cstheme="minorBidi"/>
          <w:sz w:val="24"/>
        </w:rPr>
        <w:t>e.g.</w:t>
      </w:r>
      <w:r w:rsidRPr="003A78FF">
        <w:rPr>
          <w:rFonts w:ascii="VIC" w:hAnsi="VIC" w:cstheme="minorBidi"/>
          <w:sz w:val="24"/>
        </w:rPr>
        <w:t xml:space="preserve"> pelvic floor physiotherapy, and potentially expanded use of the Intra Uterine Device (Mirena) is warranted. </w:t>
      </w:r>
    </w:p>
    <w:p w14:paraId="7573B92F" w14:textId="77777777" w:rsidR="0025685B" w:rsidRPr="003A78FF" w:rsidRDefault="0025685B" w:rsidP="00683E84">
      <w:pPr>
        <w:pStyle w:val="NormalWeb"/>
        <w:ind w:left="360"/>
        <w:rPr>
          <w:rFonts w:ascii="VIC" w:hAnsi="VIC" w:cstheme="minorBidi"/>
          <w:b/>
          <w:sz w:val="24"/>
        </w:rPr>
      </w:pPr>
    </w:p>
    <w:p w14:paraId="220BC903" w14:textId="6EBD7663" w:rsidR="006A16F5" w:rsidRPr="003A78FF" w:rsidRDefault="006A16F5" w:rsidP="00683E84">
      <w:pPr>
        <w:pStyle w:val="NormalWeb"/>
        <w:ind w:left="360"/>
        <w:rPr>
          <w:rFonts w:ascii="VIC" w:hAnsi="VIC" w:cstheme="minorBidi"/>
          <w:b/>
          <w:bCs/>
          <w:sz w:val="24"/>
        </w:rPr>
      </w:pPr>
      <w:r w:rsidRPr="003A78FF">
        <w:rPr>
          <w:rFonts w:ascii="VIC" w:hAnsi="VIC" w:cstheme="minorBidi"/>
          <w:b/>
          <w:sz w:val="24"/>
        </w:rPr>
        <w:t>Heavy menstrual bleeding</w:t>
      </w:r>
    </w:p>
    <w:p w14:paraId="3319FB4D" w14:textId="6A112EBD" w:rsidR="00F01A4F" w:rsidRPr="003A78FF" w:rsidRDefault="00F01A4F" w:rsidP="00683E84">
      <w:pPr>
        <w:pStyle w:val="NormalWeb"/>
        <w:ind w:left="360"/>
        <w:rPr>
          <w:rFonts w:ascii="VIC" w:hAnsi="VIC" w:cstheme="minorBidi"/>
          <w:color w:val="000000"/>
          <w:sz w:val="24"/>
        </w:rPr>
      </w:pPr>
      <w:r w:rsidRPr="003A78FF">
        <w:rPr>
          <w:rFonts w:ascii="VIC" w:hAnsi="VIC" w:cstheme="minorBidi"/>
          <w:sz w:val="24"/>
        </w:rPr>
        <w:t xml:space="preserve">The Atlas of Healthcare Variation in 2017 noted hysterectomy and endometrial ablation are commonly used to treat heavy menstrual bleeding. Rates of hysterectomies in Australia have </w:t>
      </w:r>
      <w:r w:rsidR="00504F4A" w:rsidRPr="003A78FF">
        <w:rPr>
          <w:rFonts w:ascii="VIC" w:hAnsi="VIC" w:cstheme="minorBidi"/>
          <w:sz w:val="24"/>
        </w:rPr>
        <w:t>raised</w:t>
      </w:r>
      <w:r w:rsidRPr="003A78FF">
        <w:rPr>
          <w:rFonts w:ascii="VIC" w:hAnsi="VIC" w:cstheme="minorBidi"/>
          <w:sz w:val="24"/>
        </w:rPr>
        <w:t xml:space="preserve"> concern</w:t>
      </w:r>
      <w:r w:rsidR="00504F4A" w:rsidRPr="003A78FF">
        <w:rPr>
          <w:rFonts w:ascii="VIC" w:hAnsi="VIC" w:cstheme="minorBidi"/>
          <w:sz w:val="24"/>
        </w:rPr>
        <w:t>s</w:t>
      </w:r>
      <w:r w:rsidRPr="003A78FF">
        <w:rPr>
          <w:rFonts w:ascii="VIC" w:hAnsi="VIC" w:cstheme="minorBidi"/>
          <w:sz w:val="24"/>
        </w:rPr>
        <w:t xml:space="preserve"> that it may be overused to treat benign conditions. Pharmaceutical treatment is recommended as the first-line treatment for heavy menstrual bleeding, and endometrial ablation as the first surgical option, if appropriate, there are no flags for malignancy, and the woman prefers it. Improving access to some alternative treatments may help some women avoid the need for major surgery.</w:t>
      </w:r>
    </w:p>
    <w:p w14:paraId="36C0C1C6" w14:textId="77777777" w:rsidR="006A16F5" w:rsidRPr="003A78FF" w:rsidRDefault="006A16F5" w:rsidP="00683E84">
      <w:pPr>
        <w:pStyle w:val="NormalWeb"/>
        <w:ind w:left="360"/>
        <w:rPr>
          <w:rFonts w:ascii="VIC" w:hAnsi="VIC" w:cstheme="minorBidi"/>
          <w:b/>
          <w:bCs/>
          <w:sz w:val="24"/>
        </w:rPr>
      </w:pPr>
    </w:p>
    <w:p w14:paraId="5C6358B1" w14:textId="21AE4CB0" w:rsidR="00097452" w:rsidRPr="003A78FF" w:rsidRDefault="00097452" w:rsidP="00683E84">
      <w:pPr>
        <w:pStyle w:val="NormalWeb"/>
        <w:ind w:left="360"/>
        <w:rPr>
          <w:rFonts w:ascii="VIC" w:hAnsi="VIC" w:cstheme="minorBidi"/>
          <w:b/>
          <w:bCs/>
          <w:sz w:val="24"/>
        </w:rPr>
      </w:pPr>
      <w:r w:rsidRPr="003A78FF">
        <w:rPr>
          <w:rFonts w:ascii="VIC" w:hAnsi="VIC" w:cstheme="minorBidi"/>
          <w:b/>
          <w:bCs/>
          <w:sz w:val="24"/>
        </w:rPr>
        <w:t>Same-day</w:t>
      </w:r>
      <w:r w:rsidR="00A36DA2" w:rsidRPr="003A78FF">
        <w:rPr>
          <w:rFonts w:ascii="VIC" w:hAnsi="VIC" w:cstheme="minorBidi"/>
          <w:b/>
          <w:bCs/>
          <w:sz w:val="24"/>
        </w:rPr>
        <w:t xml:space="preserve"> knee arthroplasty</w:t>
      </w:r>
    </w:p>
    <w:p w14:paraId="2E035D9A" w14:textId="0334A5DF" w:rsidR="0051087E" w:rsidRPr="003A78FF" w:rsidRDefault="0051087E" w:rsidP="00683E84">
      <w:pPr>
        <w:pStyle w:val="NormalWeb"/>
        <w:ind w:left="360"/>
        <w:rPr>
          <w:rFonts w:ascii="VIC" w:hAnsi="VIC" w:cstheme="minorBidi"/>
          <w:sz w:val="24"/>
        </w:rPr>
      </w:pPr>
      <w:r w:rsidRPr="003A78FF">
        <w:rPr>
          <w:rFonts w:ascii="VIC" w:hAnsi="VIC" w:cstheme="minorBidi"/>
          <w:sz w:val="24"/>
        </w:rPr>
        <w:t xml:space="preserve">Current trends </w:t>
      </w:r>
      <w:r w:rsidR="00F15234" w:rsidRPr="003A78FF">
        <w:rPr>
          <w:rFonts w:ascii="VIC" w:hAnsi="VIC" w:cstheme="minorBidi"/>
          <w:sz w:val="24"/>
        </w:rPr>
        <w:t>demonstrate a reduction in</w:t>
      </w:r>
      <w:r w:rsidRPr="003A78FF">
        <w:rPr>
          <w:rFonts w:ascii="VIC" w:hAnsi="VIC" w:cstheme="minorBidi"/>
          <w:sz w:val="24"/>
        </w:rPr>
        <w:t xml:space="preserve"> readmissions or</w:t>
      </w:r>
      <w:r w:rsidR="730231FD" w:rsidRPr="003A78FF">
        <w:rPr>
          <w:rFonts w:ascii="VIC" w:hAnsi="VIC" w:cstheme="minorBidi"/>
          <w:sz w:val="24"/>
        </w:rPr>
        <w:t xml:space="preserve"> return</w:t>
      </w:r>
      <w:r w:rsidRPr="003A78FF">
        <w:rPr>
          <w:rFonts w:ascii="VIC" w:hAnsi="VIC" w:cstheme="minorBidi"/>
          <w:sz w:val="24"/>
        </w:rPr>
        <w:t xml:space="preserve"> visits for review</w:t>
      </w:r>
      <w:r w:rsidR="730231FD" w:rsidRPr="003A78FF">
        <w:rPr>
          <w:rFonts w:ascii="VIC" w:hAnsi="VIC" w:cstheme="minorBidi"/>
          <w:sz w:val="24"/>
        </w:rPr>
        <w:t xml:space="preserve"> for some common </w:t>
      </w:r>
      <w:r w:rsidR="005378D2" w:rsidRPr="003A78FF">
        <w:rPr>
          <w:rFonts w:ascii="VIC" w:hAnsi="VIC" w:cstheme="minorBidi"/>
          <w:sz w:val="24"/>
        </w:rPr>
        <w:t xml:space="preserve">surgical </w:t>
      </w:r>
      <w:r w:rsidR="730231FD" w:rsidRPr="003A78FF">
        <w:rPr>
          <w:rFonts w:ascii="VIC" w:hAnsi="VIC" w:cstheme="minorBidi"/>
          <w:sz w:val="24"/>
        </w:rPr>
        <w:t>procedures including knee and hip arthroplasty</w:t>
      </w:r>
      <w:r w:rsidRPr="003A78FF">
        <w:rPr>
          <w:rFonts w:ascii="VIC" w:hAnsi="VIC" w:cstheme="minorBidi"/>
          <w:sz w:val="24"/>
        </w:rPr>
        <w:t>. The</w:t>
      </w:r>
      <w:r w:rsidR="0010676D" w:rsidRPr="003A78FF">
        <w:rPr>
          <w:rFonts w:ascii="VIC" w:hAnsi="VIC" w:cstheme="minorBidi"/>
          <w:sz w:val="24"/>
        </w:rPr>
        <w:t xml:space="preserve"> LOS</w:t>
      </w:r>
      <w:r w:rsidRPr="003A78FF">
        <w:rPr>
          <w:rFonts w:ascii="VIC" w:hAnsi="VIC" w:cstheme="minorBidi"/>
          <w:sz w:val="24"/>
        </w:rPr>
        <w:t xml:space="preserve"> for this patient cohort continues to </w:t>
      </w:r>
      <w:r w:rsidR="00B45718" w:rsidRPr="003A78FF">
        <w:rPr>
          <w:rFonts w:ascii="VIC" w:hAnsi="VIC" w:cstheme="minorBidi"/>
          <w:sz w:val="24"/>
        </w:rPr>
        <w:t>diminish</w:t>
      </w:r>
      <w:r w:rsidR="007B5B4B" w:rsidRPr="003A78FF">
        <w:rPr>
          <w:rFonts w:ascii="VIC" w:hAnsi="VIC" w:cstheme="minorBidi"/>
          <w:sz w:val="24"/>
        </w:rPr>
        <w:t xml:space="preserve"> indicating that o</w:t>
      </w:r>
      <w:r w:rsidR="730231FD" w:rsidRPr="003A78FF">
        <w:rPr>
          <w:rFonts w:ascii="VIC" w:hAnsi="VIC" w:cstheme="minorBidi"/>
          <w:sz w:val="24"/>
        </w:rPr>
        <w:t xml:space="preserve">vernight and two-day stays for these procedures </w:t>
      </w:r>
      <w:r w:rsidR="007B5B4B" w:rsidRPr="003A78FF">
        <w:rPr>
          <w:rFonts w:ascii="VIC" w:hAnsi="VIC" w:cstheme="minorBidi"/>
          <w:sz w:val="24"/>
        </w:rPr>
        <w:t xml:space="preserve">will be effective and safe </w:t>
      </w:r>
      <w:r w:rsidR="730231FD" w:rsidRPr="003A78FF">
        <w:rPr>
          <w:rFonts w:ascii="VIC" w:hAnsi="VIC" w:cstheme="minorBidi"/>
          <w:sz w:val="24"/>
        </w:rPr>
        <w:t xml:space="preserve">for well selected patients. </w:t>
      </w:r>
      <w:r w:rsidR="730231FD" w:rsidRPr="003A78FF">
        <w:rPr>
          <w:rFonts w:ascii="Cambria" w:hAnsi="Cambria" w:cs="Cambria"/>
          <w:sz w:val="24"/>
        </w:rPr>
        <w:t> </w:t>
      </w:r>
    </w:p>
    <w:p w14:paraId="66C0EB41" w14:textId="77777777" w:rsidR="6FA5AF15" w:rsidRPr="003A78FF" w:rsidRDefault="6FA5AF15" w:rsidP="00683E84">
      <w:pPr>
        <w:pStyle w:val="NormalWeb"/>
        <w:ind w:left="360"/>
        <w:rPr>
          <w:rFonts w:ascii="VIC" w:hAnsi="VIC" w:cstheme="minorBidi"/>
          <w:sz w:val="24"/>
        </w:rPr>
      </w:pPr>
    </w:p>
    <w:p w14:paraId="5ABC360A" w14:textId="64EFB810" w:rsidR="007C0309" w:rsidRPr="003A78FF" w:rsidRDefault="007C0309" w:rsidP="00683E84">
      <w:pPr>
        <w:pStyle w:val="NormalWeb"/>
        <w:ind w:left="360"/>
        <w:rPr>
          <w:rFonts w:ascii="VIC" w:hAnsi="VIC" w:cstheme="minorBidi"/>
          <w:sz w:val="24"/>
        </w:rPr>
      </w:pPr>
      <w:r w:rsidRPr="003A78FF">
        <w:rPr>
          <w:rFonts w:ascii="VIC" w:hAnsi="VIC" w:cstheme="minorBidi"/>
          <w:sz w:val="24"/>
        </w:rPr>
        <w:t>While Victorian experience</w:t>
      </w:r>
      <w:r w:rsidR="00DD362A" w:rsidRPr="003A78FF">
        <w:rPr>
          <w:rFonts w:ascii="VIC" w:hAnsi="VIC" w:cstheme="minorBidi"/>
          <w:sz w:val="24"/>
        </w:rPr>
        <w:t xml:space="preserve"> suggests</w:t>
      </w:r>
      <w:r w:rsidR="00550C2B" w:rsidRPr="003A78FF">
        <w:rPr>
          <w:rFonts w:ascii="VIC" w:hAnsi="VIC" w:cstheme="minorBidi"/>
          <w:sz w:val="24"/>
        </w:rPr>
        <w:t xml:space="preserve"> </w:t>
      </w:r>
      <w:r w:rsidR="00DD362A" w:rsidRPr="003A78FF">
        <w:rPr>
          <w:rFonts w:ascii="VIC" w:hAnsi="VIC" w:cstheme="minorBidi"/>
          <w:sz w:val="24"/>
        </w:rPr>
        <w:t xml:space="preserve">that </w:t>
      </w:r>
      <w:r w:rsidRPr="003A78FF">
        <w:rPr>
          <w:rFonts w:ascii="VIC" w:hAnsi="VIC" w:cstheme="minorBidi"/>
          <w:sz w:val="24"/>
        </w:rPr>
        <w:t>s</w:t>
      </w:r>
      <w:r w:rsidR="006E7B7B" w:rsidRPr="003A78FF">
        <w:rPr>
          <w:rFonts w:ascii="VIC" w:hAnsi="VIC" w:cstheme="minorBidi"/>
          <w:sz w:val="24"/>
        </w:rPr>
        <w:t>ame-day</w:t>
      </w:r>
      <w:r w:rsidR="253A6C64" w:rsidRPr="003A78FF">
        <w:rPr>
          <w:rFonts w:ascii="VIC" w:hAnsi="VIC" w:cstheme="minorBidi"/>
          <w:sz w:val="24"/>
        </w:rPr>
        <w:t xml:space="preserve"> arthroplasty protocols may only result in </w:t>
      </w:r>
      <w:r w:rsidR="006E7B7B" w:rsidRPr="003A78FF">
        <w:rPr>
          <w:rFonts w:ascii="VIC" w:hAnsi="VIC" w:cstheme="minorBidi"/>
          <w:sz w:val="24"/>
        </w:rPr>
        <w:t>approximately</w:t>
      </w:r>
      <w:r w:rsidR="253A6C64" w:rsidRPr="003A78FF">
        <w:rPr>
          <w:rFonts w:ascii="VIC" w:hAnsi="VIC" w:cstheme="minorBidi"/>
          <w:sz w:val="24"/>
        </w:rPr>
        <w:t xml:space="preserve"> 10% of patients being suitable for day surgery</w:t>
      </w:r>
      <w:r w:rsidRPr="003A78FF">
        <w:rPr>
          <w:rFonts w:ascii="VIC" w:hAnsi="VIC" w:cstheme="minorBidi"/>
          <w:sz w:val="24"/>
        </w:rPr>
        <w:t>,</w:t>
      </w:r>
      <w:r w:rsidR="253A6C64" w:rsidRPr="003A78FF">
        <w:rPr>
          <w:rFonts w:ascii="VIC" w:hAnsi="VIC" w:cstheme="minorBidi"/>
          <w:sz w:val="24"/>
        </w:rPr>
        <w:t xml:space="preserve"> flow </w:t>
      </w:r>
      <w:r w:rsidR="253A6C64" w:rsidRPr="003A78FF">
        <w:rPr>
          <w:rFonts w:ascii="VIC" w:hAnsi="VIC" w:cstheme="minorBidi"/>
          <w:sz w:val="24"/>
        </w:rPr>
        <w:lastRenderedPageBreak/>
        <w:t xml:space="preserve">on </w:t>
      </w:r>
      <w:r w:rsidR="002F6E44" w:rsidRPr="003A78FF">
        <w:rPr>
          <w:rFonts w:ascii="VIC" w:hAnsi="VIC" w:cstheme="minorBidi"/>
          <w:sz w:val="24"/>
        </w:rPr>
        <w:t>benefits include</w:t>
      </w:r>
      <w:r w:rsidR="008C35B9" w:rsidRPr="003A78FF">
        <w:rPr>
          <w:rFonts w:ascii="VIC" w:hAnsi="VIC" w:cstheme="minorBidi"/>
          <w:sz w:val="24"/>
        </w:rPr>
        <w:t xml:space="preserve"> more available </w:t>
      </w:r>
      <w:r w:rsidR="00E575F6" w:rsidRPr="003A78FF">
        <w:rPr>
          <w:rFonts w:ascii="VIC" w:hAnsi="VIC" w:cstheme="minorBidi"/>
          <w:sz w:val="24"/>
        </w:rPr>
        <w:t>inpatient</w:t>
      </w:r>
      <w:r w:rsidR="008C35B9" w:rsidRPr="003A78FF">
        <w:rPr>
          <w:rFonts w:ascii="VIC" w:hAnsi="VIC" w:cstheme="minorBidi"/>
          <w:sz w:val="24"/>
        </w:rPr>
        <w:t xml:space="preserve"> beds as a result</w:t>
      </w:r>
      <w:r w:rsidR="253A6C64" w:rsidRPr="003A78FF">
        <w:rPr>
          <w:rFonts w:ascii="VIC" w:hAnsi="VIC" w:cstheme="minorBidi"/>
          <w:sz w:val="24"/>
        </w:rPr>
        <w:t xml:space="preserve"> </w:t>
      </w:r>
      <w:r w:rsidR="008C35B9" w:rsidRPr="003A78FF">
        <w:rPr>
          <w:rFonts w:ascii="VIC" w:hAnsi="VIC" w:cstheme="minorBidi"/>
          <w:sz w:val="24"/>
        </w:rPr>
        <w:t>of</w:t>
      </w:r>
      <w:r w:rsidR="253A6C64" w:rsidRPr="003A78FF">
        <w:rPr>
          <w:rFonts w:ascii="VIC" w:hAnsi="VIC" w:cstheme="minorBidi"/>
          <w:sz w:val="24"/>
        </w:rPr>
        <w:t xml:space="preserve"> </w:t>
      </w:r>
      <w:r w:rsidR="00E575F6" w:rsidRPr="003A78FF">
        <w:rPr>
          <w:rFonts w:ascii="VIC" w:hAnsi="VIC" w:cstheme="minorBidi"/>
          <w:sz w:val="24"/>
        </w:rPr>
        <w:t>admitted surgical</w:t>
      </w:r>
      <w:r w:rsidR="00092AC7" w:rsidRPr="003A78FF">
        <w:rPr>
          <w:rFonts w:ascii="VIC" w:hAnsi="VIC" w:cstheme="minorBidi"/>
          <w:sz w:val="24"/>
        </w:rPr>
        <w:t xml:space="preserve"> </w:t>
      </w:r>
      <w:r w:rsidR="253A6C64" w:rsidRPr="003A78FF">
        <w:rPr>
          <w:rFonts w:ascii="VIC" w:hAnsi="VIC" w:cstheme="minorBidi"/>
          <w:sz w:val="24"/>
        </w:rPr>
        <w:t>patients</w:t>
      </w:r>
      <w:r w:rsidR="00092AC7" w:rsidRPr="003A78FF">
        <w:rPr>
          <w:rFonts w:ascii="VIC" w:hAnsi="VIC" w:cstheme="minorBidi"/>
          <w:sz w:val="24"/>
        </w:rPr>
        <w:t xml:space="preserve"> </w:t>
      </w:r>
      <w:r w:rsidR="253A6C64" w:rsidRPr="003A78FF">
        <w:rPr>
          <w:rFonts w:ascii="VIC" w:hAnsi="VIC" w:cstheme="minorBidi"/>
          <w:sz w:val="24"/>
        </w:rPr>
        <w:t xml:space="preserve">experiencing </w:t>
      </w:r>
      <w:r w:rsidR="00092AC7" w:rsidRPr="003A78FF">
        <w:rPr>
          <w:rFonts w:ascii="VIC" w:hAnsi="VIC" w:cstheme="minorBidi"/>
          <w:sz w:val="24"/>
        </w:rPr>
        <w:t xml:space="preserve">a </w:t>
      </w:r>
      <w:r w:rsidR="253A6C64" w:rsidRPr="003A78FF">
        <w:rPr>
          <w:rFonts w:ascii="VIC" w:hAnsi="VIC" w:cstheme="minorBidi"/>
          <w:sz w:val="24"/>
        </w:rPr>
        <w:t xml:space="preserve">shorter </w:t>
      </w:r>
      <w:r w:rsidR="0068753F" w:rsidRPr="003A78FF">
        <w:rPr>
          <w:rFonts w:ascii="VIC" w:hAnsi="VIC" w:cstheme="minorBidi"/>
          <w:sz w:val="24"/>
        </w:rPr>
        <w:t>LOS</w:t>
      </w:r>
      <w:r w:rsidR="253A6C64" w:rsidRPr="003A78FF">
        <w:rPr>
          <w:rFonts w:ascii="VIC" w:hAnsi="VIC" w:cstheme="minorBidi"/>
          <w:sz w:val="24"/>
        </w:rPr>
        <w:t xml:space="preserve"> and earlier return home or</w:t>
      </w:r>
      <w:r w:rsidR="00092AC7" w:rsidRPr="003A78FF">
        <w:rPr>
          <w:rFonts w:ascii="VIC" w:hAnsi="VIC" w:cstheme="minorBidi"/>
          <w:sz w:val="24"/>
        </w:rPr>
        <w:t xml:space="preserve"> transfer to a</w:t>
      </w:r>
      <w:r w:rsidR="253A6C64" w:rsidRPr="003A78FF">
        <w:rPr>
          <w:rFonts w:ascii="VIC" w:hAnsi="VIC" w:cstheme="minorBidi"/>
          <w:sz w:val="24"/>
        </w:rPr>
        <w:t xml:space="preserve"> rehabilitation</w:t>
      </w:r>
      <w:r w:rsidR="00092AC7" w:rsidRPr="003A78FF">
        <w:rPr>
          <w:rFonts w:ascii="VIC" w:hAnsi="VIC" w:cstheme="minorBidi"/>
          <w:sz w:val="24"/>
        </w:rPr>
        <w:t xml:space="preserve"> facility</w:t>
      </w:r>
      <w:r w:rsidR="253A6C64" w:rsidRPr="003A78FF">
        <w:rPr>
          <w:rFonts w:ascii="VIC" w:hAnsi="VIC" w:cstheme="minorBidi"/>
          <w:sz w:val="24"/>
        </w:rPr>
        <w:t>.</w:t>
      </w:r>
    </w:p>
    <w:p w14:paraId="62BE7B61" w14:textId="77777777" w:rsidR="6FA5AF15" w:rsidRPr="003A78FF" w:rsidRDefault="6FA5AF15" w:rsidP="00683E84">
      <w:pPr>
        <w:pStyle w:val="NormalWeb"/>
        <w:ind w:left="360"/>
        <w:rPr>
          <w:rFonts w:ascii="VIC" w:hAnsi="VIC" w:cstheme="minorBidi"/>
          <w:sz w:val="24"/>
        </w:rPr>
      </w:pPr>
    </w:p>
    <w:p w14:paraId="4C082FD5" w14:textId="387123A9" w:rsidR="0073098A" w:rsidRPr="003A78FF" w:rsidRDefault="0073098A" w:rsidP="00683E84">
      <w:pPr>
        <w:pStyle w:val="NormalWeb"/>
        <w:ind w:left="360"/>
        <w:rPr>
          <w:rFonts w:ascii="VIC" w:hAnsi="VIC" w:cstheme="minorBidi"/>
          <w:sz w:val="24"/>
        </w:rPr>
      </w:pPr>
      <w:r w:rsidRPr="003A78FF">
        <w:rPr>
          <w:rFonts w:ascii="VIC" w:hAnsi="VIC" w:cstheme="minorBidi"/>
          <w:sz w:val="24"/>
        </w:rPr>
        <w:t>To further reduce LOS and</w:t>
      </w:r>
      <w:r w:rsidR="00E97B69" w:rsidRPr="003A78FF">
        <w:rPr>
          <w:rFonts w:ascii="VIC" w:hAnsi="VIC" w:cstheme="minorBidi"/>
          <w:sz w:val="24"/>
        </w:rPr>
        <w:t xml:space="preserve"> to</w:t>
      </w:r>
      <w:r w:rsidRPr="003A78FF">
        <w:rPr>
          <w:rFonts w:ascii="VIC" w:hAnsi="VIC" w:cstheme="minorBidi"/>
          <w:sz w:val="24"/>
        </w:rPr>
        <w:t xml:space="preserve"> </w:t>
      </w:r>
      <w:r w:rsidR="00845DF8" w:rsidRPr="003A78FF">
        <w:rPr>
          <w:rFonts w:ascii="VIC" w:hAnsi="VIC" w:cstheme="minorBidi"/>
          <w:sz w:val="24"/>
        </w:rPr>
        <w:t>safely introduce</w:t>
      </w:r>
      <w:r w:rsidRPr="003A78FF">
        <w:rPr>
          <w:rFonts w:ascii="VIC" w:hAnsi="VIC" w:cstheme="minorBidi"/>
          <w:sz w:val="24"/>
        </w:rPr>
        <w:t xml:space="preserve"> day surgery arthroplasty</w:t>
      </w:r>
      <w:r w:rsidR="00845DF8" w:rsidRPr="003A78FF">
        <w:rPr>
          <w:rFonts w:ascii="VIC" w:hAnsi="VIC" w:cstheme="minorBidi"/>
          <w:sz w:val="24"/>
        </w:rPr>
        <w:t>, c</w:t>
      </w:r>
      <w:r w:rsidR="730231FD" w:rsidRPr="003A78FF">
        <w:rPr>
          <w:rFonts w:ascii="VIC" w:hAnsi="VIC" w:cstheme="minorBidi"/>
          <w:sz w:val="24"/>
        </w:rPr>
        <w:t xml:space="preserve">onsiderable </w:t>
      </w:r>
      <w:r w:rsidR="004C36A5" w:rsidRPr="003A78FF">
        <w:rPr>
          <w:rFonts w:ascii="VIC" w:hAnsi="VIC" w:cstheme="minorBidi"/>
          <w:sz w:val="24"/>
        </w:rPr>
        <w:t>A</w:t>
      </w:r>
      <w:r w:rsidR="730231FD" w:rsidRPr="003A78FF">
        <w:rPr>
          <w:rFonts w:ascii="VIC" w:hAnsi="VIC" w:cstheme="minorBidi"/>
          <w:sz w:val="24"/>
        </w:rPr>
        <w:t xml:space="preserve">llied </w:t>
      </w:r>
      <w:r w:rsidR="004C36A5" w:rsidRPr="003A78FF">
        <w:rPr>
          <w:rFonts w:ascii="VIC" w:hAnsi="VIC" w:cstheme="minorBidi"/>
          <w:sz w:val="24"/>
        </w:rPr>
        <w:t>H</w:t>
      </w:r>
      <w:r w:rsidR="730231FD" w:rsidRPr="003A78FF">
        <w:rPr>
          <w:rFonts w:ascii="VIC" w:hAnsi="VIC" w:cstheme="minorBidi"/>
          <w:sz w:val="24"/>
        </w:rPr>
        <w:t xml:space="preserve">ealth </w:t>
      </w:r>
      <w:r w:rsidR="004C36A5" w:rsidRPr="003A78FF">
        <w:rPr>
          <w:rFonts w:ascii="VIC" w:hAnsi="VIC" w:cstheme="minorBidi"/>
          <w:sz w:val="24"/>
        </w:rPr>
        <w:t xml:space="preserve">and Nursing/Hospital in the Home (HITH) </w:t>
      </w:r>
      <w:r w:rsidR="730231FD" w:rsidRPr="003A78FF">
        <w:rPr>
          <w:rFonts w:ascii="VIC" w:hAnsi="VIC" w:cstheme="minorBidi"/>
          <w:sz w:val="24"/>
        </w:rPr>
        <w:t>investment is required</w:t>
      </w:r>
      <w:r w:rsidR="004C36A5" w:rsidRPr="003A78FF">
        <w:rPr>
          <w:rFonts w:ascii="VIC" w:hAnsi="VIC" w:cstheme="minorBidi"/>
          <w:sz w:val="24"/>
        </w:rPr>
        <w:t>.</w:t>
      </w:r>
      <w:r w:rsidR="00A133FB" w:rsidRPr="003A78FF">
        <w:rPr>
          <w:rFonts w:ascii="VIC" w:hAnsi="VIC" w:cstheme="minorBidi"/>
          <w:sz w:val="24"/>
        </w:rPr>
        <w:t xml:space="preserve"> For example, </w:t>
      </w:r>
      <w:r w:rsidR="253A6C64" w:rsidRPr="003A78FF">
        <w:rPr>
          <w:rFonts w:ascii="VIC" w:hAnsi="VIC" w:cstheme="minorBidi"/>
          <w:sz w:val="24"/>
        </w:rPr>
        <w:t xml:space="preserve">early input </w:t>
      </w:r>
      <w:r w:rsidR="00A133FB" w:rsidRPr="003A78FF">
        <w:rPr>
          <w:rFonts w:ascii="VIC" w:hAnsi="VIC" w:cstheme="minorBidi"/>
          <w:sz w:val="24"/>
        </w:rPr>
        <w:t>from an Allied Health professional</w:t>
      </w:r>
      <w:r w:rsidR="253A6C64" w:rsidRPr="003A78FF">
        <w:rPr>
          <w:rFonts w:ascii="VIC" w:hAnsi="VIC" w:cstheme="minorBidi"/>
          <w:sz w:val="24"/>
        </w:rPr>
        <w:t xml:space="preserve"> (e</w:t>
      </w:r>
      <w:r w:rsidR="000902E0" w:rsidRPr="003A78FF">
        <w:rPr>
          <w:rFonts w:ascii="VIC" w:hAnsi="VIC" w:cstheme="minorBidi"/>
          <w:sz w:val="24"/>
        </w:rPr>
        <w:t>.</w:t>
      </w:r>
      <w:r w:rsidR="253A6C64" w:rsidRPr="003A78FF">
        <w:rPr>
          <w:rFonts w:ascii="VIC" w:hAnsi="VIC" w:cstheme="minorBidi"/>
          <w:sz w:val="24"/>
        </w:rPr>
        <w:t>g</w:t>
      </w:r>
      <w:r w:rsidR="000902E0" w:rsidRPr="003A78FF">
        <w:rPr>
          <w:rFonts w:ascii="VIC" w:hAnsi="VIC" w:cstheme="minorBidi"/>
          <w:sz w:val="24"/>
        </w:rPr>
        <w:t>.</w:t>
      </w:r>
      <w:r w:rsidR="253A6C64" w:rsidRPr="003A78FF">
        <w:rPr>
          <w:rFonts w:ascii="VIC" w:hAnsi="VIC" w:cstheme="minorBidi"/>
          <w:sz w:val="24"/>
        </w:rPr>
        <w:t xml:space="preserve"> </w:t>
      </w:r>
      <w:r w:rsidR="00B77784" w:rsidRPr="003A78FF">
        <w:rPr>
          <w:rFonts w:ascii="VIC" w:hAnsi="VIC" w:cstheme="minorBidi"/>
          <w:sz w:val="24"/>
        </w:rPr>
        <w:t xml:space="preserve">physiotherapy </w:t>
      </w:r>
      <w:r w:rsidR="00451F38" w:rsidRPr="003A78FF">
        <w:rPr>
          <w:rFonts w:ascii="VIC" w:hAnsi="VIC" w:cstheme="minorBidi"/>
          <w:sz w:val="24"/>
        </w:rPr>
        <w:t xml:space="preserve">assessing and </w:t>
      </w:r>
      <w:r w:rsidR="000902E0" w:rsidRPr="003A78FF">
        <w:rPr>
          <w:rFonts w:ascii="VIC" w:hAnsi="VIC" w:cstheme="minorBidi"/>
          <w:sz w:val="24"/>
        </w:rPr>
        <w:t xml:space="preserve">mobilising </w:t>
      </w:r>
      <w:r w:rsidR="253A6C64" w:rsidRPr="003A78FF">
        <w:rPr>
          <w:rFonts w:ascii="VIC" w:hAnsi="VIC" w:cstheme="minorBidi"/>
          <w:sz w:val="24"/>
        </w:rPr>
        <w:t>on the day of surgery, social work facilitating in home supports</w:t>
      </w:r>
      <w:r w:rsidR="00C37665" w:rsidRPr="003A78FF">
        <w:rPr>
          <w:rFonts w:ascii="VIC" w:hAnsi="VIC" w:cstheme="minorBidi"/>
          <w:sz w:val="24"/>
        </w:rPr>
        <w:t>, occupational therapy ensuring appropriate equipment and safe environmental setup</w:t>
      </w:r>
      <w:r w:rsidR="253A6C64" w:rsidRPr="003A78FF">
        <w:rPr>
          <w:rFonts w:ascii="VIC" w:hAnsi="VIC" w:cstheme="minorBidi"/>
          <w:sz w:val="24"/>
        </w:rPr>
        <w:t>) will benefit all patients</w:t>
      </w:r>
      <w:r w:rsidR="00A133FB" w:rsidRPr="003A78FF">
        <w:rPr>
          <w:rFonts w:ascii="VIC" w:hAnsi="VIC" w:cstheme="minorBidi"/>
          <w:sz w:val="24"/>
        </w:rPr>
        <w:t xml:space="preserve"> in their recovery and suitability to return home sooner, regardless as to whether they are scheduled for day or multi-day stays. </w:t>
      </w:r>
    </w:p>
    <w:p w14:paraId="3A95044F" w14:textId="77777777" w:rsidR="6FA5AF15" w:rsidRPr="003A78FF" w:rsidRDefault="6FA5AF15" w:rsidP="00683E84">
      <w:pPr>
        <w:pStyle w:val="NormalWeb"/>
        <w:ind w:left="360"/>
        <w:rPr>
          <w:rFonts w:ascii="VIC" w:hAnsi="VIC" w:cstheme="minorBidi"/>
          <w:sz w:val="24"/>
        </w:rPr>
      </w:pPr>
    </w:p>
    <w:p w14:paraId="436BAD4B" w14:textId="007ABF51" w:rsidR="00A133FB" w:rsidRPr="003A78FF" w:rsidRDefault="00A133FB" w:rsidP="00683E84">
      <w:pPr>
        <w:pStyle w:val="NormalWeb"/>
        <w:ind w:left="360"/>
        <w:rPr>
          <w:rFonts w:ascii="VIC" w:hAnsi="VIC" w:cstheme="minorBidi"/>
          <w:sz w:val="24"/>
        </w:rPr>
      </w:pPr>
      <w:r w:rsidRPr="003A78FF">
        <w:rPr>
          <w:rFonts w:ascii="VIC" w:hAnsi="VIC" w:cstheme="minorBidi"/>
          <w:sz w:val="24"/>
        </w:rPr>
        <w:t xml:space="preserve">Current </w:t>
      </w:r>
      <w:r w:rsidR="00B141BD" w:rsidRPr="003A78FF">
        <w:rPr>
          <w:rFonts w:ascii="VIC" w:hAnsi="VIC" w:cstheme="minorBidi"/>
          <w:sz w:val="24"/>
        </w:rPr>
        <w:t>same-day</w:t>
      </w:r>
      <w:r w:rsidR="730231FD" w:rsidRPr="003A78FF">
        <w:rPr>
          <w:rFonts w:ascii="VIC" w:hAnsi="VIC" w:cstheme="minorBidi"/>
          <w:sz w:val="24"/>
        </w:rPr>
        <w:t xml:space="preserve"> models</w:t>
      </w:r>
      <w:r w:rsidR="00B141BD" w:rsidRPr="003A78FF">
        <w:rPr>
          <w:rFonts w:ascii="VIC" w:hAnsi="VIC" w:cstheme="minorBidi"/>
          <w:sz w:val="24"/>
        </w:rPr>
        <w:t xml:space="preserve"> of surgical care</w:t>
      </w:r>
      <w:r w:rsidR="730231FD" w:rsidRPr="003A78FF">
        <w:rPr>
          <w:rFonts w:ascii="VIC" w:hAnsi="VIC" w:cstheme="minorBidi"/>
          <w:sz w:val="24"/>
        </w:rPr>
        <w:t xml:space="preserve"> are suitable for </w:t>
      </w:r>
      <w:r w:rsidR="1CD19C88" w:rsidRPr="003A78FF">
        <w:rPr>
          <w:rFonts w:ascii="VIC" w:hAnsi="VIC" w:cstheme="minorBidi"/>
          <w:sz w:val="24"/>
        </w:rPr>
        <w:t xml:space="preserve">piloting </w:t>
      </w:r>
      <w:r w:rsidR="730231FD" w:rsidRPr="003A78FF">
        <w:rPr>
          <w:rFonts w:ascii="VIC" w:hAnsi="VIC" w:cstheme="minorBidi"/>
          <w:sz w:val="24"/>
        </w:rPr>
        <w:t>but would require engagement and support from the A</w:t>
      </w:r>
      <w:r w:rsidR="00E33861" w:rsidRPr="003A78FF">
        <w:rPr>
          <w:rFonts w:ascii="VIC" w:hAnsi="VIC" w:cstheme="minorBidi"/>
          <w:sz w:val="24"/>
        </w:rPr>
        <w:t xml:space="preserve">ustralian </w:t>
      </w:r>
      <w:r w:rsidR="730231FD" w:rsidRPr="003A78FF">
        <w:rPr>
          <w:rFonts w:ascii="VIC" w:hAnsi="VIC" w:cstheme="minorBidi"/>
          <w:sz w:val="24"/>
        </w:rPr>
        <w:t>O</w:t>
      </w:r>
      <w:r w:rsidR="00E33861" w:rsidRPr="003A78FF">
        <w:rPr>
          <w:rFonts w:ascii="VIC" w:hAnsi="VIC" w:cstheme="minorBidi"/>
          <w:sz w:val="24"/>
        </w:rPr>
        <w:t>rthopaedi</w:t>
      </w:r>
      <w:r w:rsidR="004572A6" w:rsidRPr="003A78FF">
        <w:rPr>
          <w:rFonts w:ascii="VIC" w:hAnsi="VIC" w:cstheme="minorBidi"/>
          <w:sz w:val="24"/>
        </w:rPr>
        <w:t xml:space="preserve">c Association </w:t>
      </w:r>
      <w:r w:rsidR="730231FD" w:rsidRPr="003A78FF">
        <w:rPr>
          <w:rFonts w:ascii="VIC" w:hAnsi="VIC" w:cstheme="minorBidi"/>
          <w:sz w:val="24"/>
        </w:rPr>
        <w:t xml:space="preserve">and Victorian </w:t>
      </w:r>
      <w:r w:rsidR="00B141BD" w:rsidRPr="003A78FF">
        <w:rPr>
          <w:rFonts w:ascii="VIC" w:hAnsi="VIC" w:cstheme="minorBidi"/>
          <w:sz w:val="24"/>
        </w:rPr>
        <w:t>O</w:t>
      </w:r>
      <w:r w:rsidR="730231FD" w:rsidRPr="003A78FF">
        <w:rPr>
          <w:rFonts w:ascii="VIC" w:hAnsi="VIC" w:cstheme="minorBidi"/>
          <w:sz w:val="24"/>
        </w:rPr>
        <w:t xml:space="preserve">rthopaedic </w:t>
      </w:r>
      <w:r w:rsidR="00B141BD" w:rsidRPr="003A78FF">
        <w:rPr>
          <w:rFonts w:ascii="VIC" w:hAnsi="VIC" w:cstheme="minorBidi"/>
          <w:sz w:val="24"/>
        </w:rPr>
        <w:t>D</w:t>
      </w:r>
      <w:r w:rsidR="730231FD" w:rsidRPr="003A78FF">
        <w:rPr>
          <w:rFonts w:ascii="VIC" w:hAnsi="VIC" w:cstheme="minorBidi"/>
          <w:sz w:val="24"/>
        </w:rPr>
        <w:t>irectors.</w:t>
      </w:r>
      <w:r w:rsidR="730231FD" w:rsidRPr="003A78FF">
        <w:rPr>
          <w:rFonts w:ascii="Cambria" w:hAnsi="Cambria" w:cs="Cambria"/>
          <w:sz w:val="24"/>
        </w:rPr>
        <w:t> </w:t>
      </w:r>
      <w:r w:rsidRPr="003A78FF">
        <w:rPr>
          <w:rFonts w:ascii="VIC" w:hAnsi="VIC" w:cstheme="minorBidi"/>
          <w:sz w:val="24"/>
        </w:rPr>
        <w:t xml:space="preserve">Effective </w:t>
      </w:r>
      <w:r w:rsidR="00CD3EFB" w:rsidRPr="003A78FF">
        <w:rPr>
          <w:rFonts w:ascii="VIC" w:hAnsi="VIC" w:cstheme="minorBidi"/>
          <w:sz w:val="24"/>
        </w:rPr>
        <w:t>s</w:t>
      </w:r>
      <w:r w:rsidRPr="003A78FF">
        <w:rPr>
          <w:rFonts w:ascii="VIC" w:hAnsi="VIC" w:cstheme="minorBidi"/>
          <w:sz w:val="24"/>
        </w:rPr>
        <w:t>ame</w:t>
      </w:r>
      <w:r w:rsidR="00CD3EFB" w:rsidRPr="003A78FF">
        <w:rPr>
          <w:rFonts w:ascii="VIC" w:hAnsi="VIC" w:cstheme="minorBidi"/>
          <w:sz w:val="24"/>
        </w:rPr>
        <w:t>-</w:t>
      </w:r>
      <w:r w:rsidRPr="003A78FF">
        <w:rPr>
          <w:rFonts w:ascii="VIC" w:hAnsi="VIC" w:cstheme="minorBidi"/>
          <w:sz w:val="24"/>
        </w:rPr>
        <w:t>day models of</w:t>
      </w:r>
      <w:r w:rsidR="00CD3EFB" w:rsidRPr="003A78FF">
        <w:rPr>
          <w:rFonts w:ascii="VIC" w:hAnsi="VIC" w:cstheme="minorBidi"/>
          <w:sz w:val="24"/>
        </w:rPr>
        <w:t xml:space="preserve"> surgical</w:t>
      </w:r>
      <w:r w:rsidRPr="003A78FF">
        <w:rPr>
          <w:rFonts w:ascii="VIC" w:hAnsi="VIC" w:cstheme="minorBidi"/>
          <w:sz w:val="24"/>
        </w:rPr>
        <w:t xml:space="preserve"> care have already been developed for knee arthroplasty </w:t>
      </w:r>
      <w:r w:rsidR="00D37E1D" w:rsidRPr="003A78FF">
        <w:rPr>
          <w:rFonts w:ascii="VIC" w:hAnsi="VIC" w:cstheme="minorBidi"/>
          <w:sz w:val="24"/>
        </w:rPr>
        <w:t xml:space="preserve">at several Victorian health services. </w:t>
      </w:r>
    </w:p>
    <w:p w14:paraId="2E3C9A9E" w14:textId="0E7DD7F5" w:rsidR="6E62CB37" w:rsidRPr="003A78FF" w:rsidRDefault="6E62CB37" w:rsidP="6E62CB37">
      <w:pPr>
        <w:pStyle w:val="NormalWeb"/>
        <w:ind w:left="360"/>
        <w:rPr>
          <w:rFonts w:ascii="VIC" w:hAnsi="VIC" w:cstheme="minorBidi"/>
          <w:sz w:val="24"/>
        </w:rPr>
      </w:pPr>
    </w:p>
    <w:p w14:paraId="39354364" w14:textId="67452475" w:rsidR="00DE7A3C" w:rsidRPr="003A78FF" w:rsidRDefault="00DE7A3C" w:rsidP="6E62CB37">
      <w:pPr>
        <w:pStyle w:val="NormalWeb"/>
        <w:ind w:left="360"/>
        <w:rPr>
          <w:rFonts w:ascii="VIC" w:hAnsi="VIC" w:cstheme="minorBidi"/>
          <w:sz w:val="24"/>
        </w:rPr>
      </w:pPr>
      <w:r w:rsidRPr="003A78FF">
        <w:rPr>
          <w:rFonts w:ascii="VIC" w:hAnsi="VIC" w:cstheme="minorBidi"/>
          <w:sz w:val="24"/>
        </w:rPr>
        <w:t xml:space="preserve">In addition to total knee replacement, some total </w:t>
      </w:r>
      <w:r w:rsidR="009C0D85" w:rsidRPr="003A78FF">
        <w:rPr>
          <w:rFonts w:ascii="VIC" w:hAnsi="VIC" w:cstheme="minorBidi"/>
          <w:sz w:val="24"/>
        </w:rPr>
        <w:t>h</w:t>
      </w:r>
      <w:r w:rsidRPr="003A78FF">
        <w:rPr>
          <w:rFonts w:ascii="VIC" w:hAnsi="VIC" w:cstheme="minorBidi"/>
          <w:sz w:val="24"/>
        </w:rPr>
        <w:t xml:space="preserve">ip </w:t>
      </w:r>
      <w:r w:rsidR="009C0D85" w:rsidRPr="003A78FF">
        <w:rPr>
          <w:rFonts w:ascii="VIC" w:hAnsi="VIC" w:cstheme="minorBidi"/>
          <w:sz w:val="24"/>
        </w:rPr>
        <w:t>r</w:t>
      </w:r>
      <w:r w:rsidRPr="003A78FF">
        <w:rPr>
          <w:rFonts w:ascii="VIC" w:hAnsi="VIC" w:cstheme="minorBidi"/>
          <w:sz w:val="24"/>
        </w:rPr>
        <w:t>eplacements</w:t>
      </w:r>
      <w:r w:rsidR="004901CD" w:rsidRPr="003A78FF">
        <w:rPr>
          <w:rFonts w:ascii="VIC" w:hAnsi="VIC" w:cstheme="minorBidi"/>
          <w:sz w:val="24"/>
        </w:rPr>
        <w:t xml:space="preserve">, </w:t>
      </w:r>
      <w:r w:rsidR="00491033" w:rsidRPr="003A78FF">
        <w:rPr>
          <w:rFonts w:ascii="VIC" w:hAnsi="VIC" w:cstheme="minorBidi"/>
          <w:sz w:val="24"/>
        </w:rPr>
        <w:t xml:space="preserve">and </w:t>
      </w:r>
      <w:r w:rsidR="006657B4" w:rsidRPr="003A78FF">
        <w:rPr>
          <w:rFonts w:ascii="VIC" w:hAnsi="VIC" w:cstheme="minorBidi"/>
          <w:sz w:val="24"/>
        </w:rPr>
        <w:t>uni-</w:t>
      </w:r>
      <w:r w:rsidR="00C40751" w:rsidRPr="003A78FF">
        <w:rPr>
          <w:rFonts w:ascii="VIC" w:hAnsi="VIC" w:cstheme="minorBidi"/>
          <w:sz w:val="24"/>
        </w:rPr>
        <w:t xml:space="preserve">compartmental knee procedures are </w:t>
      </w:r>
      <w:r w:rsidR="762B008C" w:rsidRPr="003A78FF">
        <w:rPr>
          <w:rFonts w:ascii="VIC" w:hAnsi="VIC" w:cstheme="minorBidi"/>
          <w:sz w:val="24"/>
        </w:rPr>
        <w:t>could</w:t>
      </w:r>
      <w:r w:rsidR="00C40751" w:rsidRPr="003A78FF">
        <w:rPr>
          <w:rFonts w:ascii="VIC" w:hAnsi="VIC" w:cstheme="minorBidi"/>
          <w:sz w:val="24"/>
        </w:rPr>
        <w:t xml:space="preserve"> potentially </w:t>
      </w:r>
      <w:r w:rsidR="762B008C" w:rsidRPr="003A78FF">
        <w:rPr>
          <w:rFonts w:ascii="VIC" w:hAnsi="VIC" w:cstheme="minorBidi"/>
          <w:sz w:val="24"/>
        </w:rPr>
        <w:t xml:space="preserve">be </w:t>
      </w:r>
      <w:r w:rsidR="00C40751" w:rsidRPr="003A78FF">
        <w:rPr>
          <w:rFonts w:ascii="VIC" w:hAnsi="VIC" w:cstheme="minorBidi"/>
          <w:sz w:val="24"/>
        </w:rPr>
        <w:t>delivered as same-day procedures.</w:t>
      </w:r>
    </w:p>
    <w:p w14:paraId="024D7C9D" w14:textId="77777777" w:rsidR="6FA5AF15" w:rsidRPr="003A78FF" w:rsidRDefault="6FA5AF15" w:rsidP="00683E84">
      <w:pPr>
        <w:pStyle w:val="NormalWeb"/>
        <w:ind w:left="360"/>
        <w:rPr>
          <w:rFonts w:ascii="VIC" w:hAnsi="VIC" w:cstheme="minorBidi"/>
          <w:sz w:val="24"/>
        </w:rPr>
      </w:pPr>
    </w:p>
    <w:p w14:paraId="16BE6751" w14:textId="11F0D25E" w:rsidR="00660761" w:rsidRPr="003A78FF" w:rsidRDefault="00660761" w:rsidP="00683E84">
      <w:pPr>
        <w:pStyle w:val="NormalWeb"/>
        <w:ind w:left="360"/>
        <w:rPr>
          <w:rFonts w:ascii="VIC" w:hAnsi="VIC" w:cstheme="minorBidi"/>
          <w:sz w:val="24"/>
        </w:rPr>
      </w:pPr>
      <w:r w:rsidRPr="003A78FF">
        <w:rPr>
          <w:rFonts w:ascii="VIC" w:hAnsi="VIC" w:cstheme="minorBidi"/>
          <w:sz w:val="24"/>
        </w:rPr>
        <w:t>Currently promoted in New South Wales, same-day joint replacement surgery provides an</w:t>
      </w:r>
    </w:p>
    <w:p w14:paraId="6097EE81" w14:textId="628B651A" w:rsidR="00B97716" w:rsidRPr="003A78FF" w:rsidRDefault="00660761" w:rsidP="00683E84">
      <w:pPr>
        <w:pStyle w:val="NormalWeb"/>
        <w:ind w:left="360"/>
        <w:rPr>
          <w:rFonts w:ascii="VIC" w:hAnsi="VIC" w:cstheme="minorBidi"/>
          <w:sz w:val="24"/>
        </w:rPr>
      </w:pPr>
      <w:r w:rsidRPr="003A78FF">
        <w:rPr>
          <w:rFonts w:ascii="VIC" w:hAnsi="VIC" w:cstheme="minorBidi"/>
          <w:sz w:val="24"/>
        </w:rPr>
        <w:t>opportunity for an alternative care pathway for selected low-risk patients</w:t>
      </w:r>
      <w:r w:rsidR="00760677" w:rsidRPr="003A78FF">
        <w:rPr>
          <w:rFonts w:ascii="VIC" w:hAnsi="VIC" w:cstheme="minorBidi"/>
          <w:sz w:val="24"/>
        </w:rPr>
        <w:t xml:space="preserve"> </w:t>
      </w:r>
      <w:r w:rsidRPr="003A78FF">
        <w:rPr>
          <w:rFonts w:ascii="VIC" w:hAnsi="VIC" w:cstheme="minorBidi"/>
          <w:sz w:val="24"/>
        </w:rPr>
        <w:t>accessing joint replacement surgery</w:t>
      </w:r>
      <w:r w:rsidR="00760677" w:rsidRPr="003A78FF">
        <w:rPr>
          <w:rFonts w:ascii="VIC" w:hAnsi="VIC" w:cstheme="minorBidi"/>
          <w:sz w:val="24"/>
        </w:rPr>
        <w:t xml:space="preserve">. </w:t>
      </w:r>
      <w:r w:rsidR="00B97716" w:rsidRPr="003A78FF">
        <w:rPr>
          <w:rFonts w:ascii="VIC" w:hAnsi="VIC" w:cstheme="minorBidi"/>
          <w:sz w:val="24"/>
        </w:rPr>
        <w:t xml:space="preserve">A </w:t>
      </w:r>
      <w:r w:rsidR="00B97716" w:rsidRPr="003A78FF">
        <w:rPr>
          <w:rFonts w:ascii="VIC" w:hAnsi="VIC" w:cstheme="minorBidi"/>
          <w:i/>
          <w:iCs/>
          <w:sz w:val="24"/>
        </w:rPr>
        <w:t>key principles</w:t>
      </w:r>
      <w:r w:rsidR="00B97716" w:rsidRPr="003A78FF">
        <w:rPr>
          <w:rFonts w:ascii="VIC" w:hAnsi="VIC" w:cstheme="minorBidi"/>
          <w:sz w:val="24"/>
        </w:rPr>
        <w:t xml:space="preserve"> document developed, provides significant detail regarding patient selection, processes and trouble shooting. You can read more about the </w:t>
      </w:r>
      <w:hyperlink r:id="rId25">
        <w:r w:rsidR="00B97716" w:rsidRPr="003A78FF">
          <w:rPr>
            <w:rStyle w:val="Hyperlink"/>
            <w:rFonts w:ascii="VIC" w:hAnsi="VIC" w:cstheme="minorBidi"/>
            <w:sz w:val="24"/>
          </w:rPr>
          <w:t>same-day hip and knee joint replacement surgery key principles here</w:t>
        </w:r>
      </w:hyperlink>
      <w:r w:rsidR="003F40C6" w:rsidRPr="003A78FF">
        <w:rPr>
          <w:rFonts w:ascii="VIC" w:hAnsi="VIC" w:cstheme="minorBidi"/>
          <w:sz w:val="24"/>
        </w:rPr>
        <w:t xml:space="preserve"> &lt;https://aci.health.nsw.gov.au/__data/assets/pdf_file/0009/717876/ACI-Same-day-hip-and-knee-joint-replacement-surgery-key-principles.pdf&gt;</w:t>
      </w:r>
    </w:p>
    <w:p w14:paraId="06E590C7" w14:textId="77777777" w:rsidR="00FD52AC" w:rsidRPr="003A78FF" w:rsidRDefault="00FD52AC" w:rsidP="00683E84">
      <w:pPr>
        <w:pStyle w:val="NormalWeb"/>
        <w:ind w:left="360"/>
        <w:rPr>
          <w:rFonts w:ascii="VIC" w:hAnsi="VIC" w:cstheme="minorHAnsi"/>
          <w:color w:val="000000"/>
          <w:sz w:val="24"/>
        </w:rPr>
      </w:pPr>
    </w:p>
    <w:p w14:paraId="4B044A9C" w14:textId="569437CC" w:rsidR="00FD52AC" w:rsidRPr="003A78FF" w:rsidRDefault="00FD52AC" w:rsidP="00683E84">
      <w:pPr>
        <w:pStyle w:val="NormalWeb"/>
        <w:ind w:left="360"/>
        <w:rPr>
          <w:rFonts w:ascii="VIC" w:hAnsi="VIC" w:cstheme="minorBidi"/>
          <w:b/>
          <w:color w:val="000000"/>
          <w:sz w:val="24"/>
        </w:rPr>
      </w:pPr>
      <w:r w:rsidRPr="003A78FF">
        <w:rPr>
          <w:rFonts w:ascii="VIC" w:hAnsi="VIC" w:cstheme="minorBidi"/>
          <w:b/>
          <w:bCs/>
          <w:sz w:val="24"/>
        </w:rPr>
        <w:t>Colorectal surgery</w:t>
      </w:r>
    </w:p>
    <w:p w14:paraId="4FE0F6D0" w14:textId="13293E0A" w:rsidR="00A40877" w:rsidRPr="003A78FF" w:rsidRDefault="0B6F30DC" w:rsidP="00683E84">
      <w:pPr>
        <w:pStyle w:val="NormalWeb"/>
        <w:ind w:left="360"/>
        <w:rPr>
          <w:rFonts w:ascii="VIC" w:hAnsi="VIC" w:cstheme="minorBidi"/>
          <w:color w:val="000000"/>
          <w:sz w:val="24"/>
        </w:rPr>
      </w:pPr>
      <w:r w:rsidRPr="003A78FF">
        <w:rPr>
          <w:rFonts w:ascii="VIC" w:hAnsi="VIC" w:cstheme="minorBidi"/>
          <w:sz w:val="24"/>
        </w:rPr>
        <w:t>A</w:t>
      </w:r>
      <w:r w:rsidR="004C1EAB" w:rsidRPr="003A78FF">
        <w:rPr>
          <w:rFonts w:ascii="VIC" w:hAnsi="VIC" w:cstheme="minorBidi"/>
          <w:sz w:val="24"/>
        </w:rPr>
        <w:t>lthough a</w:t>
      </w:r>
      <w:r w:rsidRPr="003A78FF">
        <w:rPr>
          <w:rFonts w:ascii="VIC" w:hAnsi="VIC" w:cstheme="minorBidi"/>
          <w:sz w:val="24"/>
        </w:rPr>
        <w:t xml:space="preserve"> small number of major colorectal resection patients could be discharged same</w:t>
      </w:r>
      <w:r w:rsidR="004C1EAB" w:rsidRPr="003A78FF">
        <w:rPr>
          <w:rFonts w:ascii="VIC" w:hAnsi="VIC" w:cstheme="minorBidi"/>
          <w:sz w:val="24"/>
        </w:rPr>
        <w:t>-</w:t>
      </w:r>
      <w:r w:rsidRPr="003A78FF">
        <w:rPr>
          <w:rFonts w:ascii="VIC" w:hAnsi="VIC" w:cstheme="minorBidi"/>
          <w:sz w:val="24"/>
        </w:rPr>
        <w:t>day</w:t>
      </w:r>
      <w:r w:rsidR="004C1EAB" w:rsidRPr="003A78FF">
        <w:rPr>
          <w:rFonts w:ascii="VIC" w:hAnsi="VIC" w:cstheme="minorBidi"/>
          <w:sz w:val="24"/>
        </w:rPr>
        <w:t>,</w:t>
      </w:r>
      <w:r w:rsidRPr="003A78FF">
        <w:rPr>
          <w:rFonts w:ascii="VIC" w:hAnsi="VIC" w:cstheme="minorBidi"/>
          <w:sz w:val="24"/>
        </w:rPr>
        <w:t xml:space="preserve"> enhanced recovery (ERAS) programs are more likely to achieve reductions in LOS for the majority of planned multi-day stay patients. </w:t>
      </w:r>
      <w:r w:rsidR="00655B7C" w:rsidRPr="003A78FF">
        <w:rPr>
          <w:rFonts w:ascii="VIC" w:hAnsi="VIC" w:cstheme="minorBidi"/>
          <w:sz w:val="24"/>
        </w:rPr>
        <w:t>Several Victorian</w:t>
      </w:r>
      <w:r w:rsidRPr="003A78FF">
        <w:rPr>
          <w:rFonts w:ascii="VIC" w:hAnsi="VIC" w:cstheme="minorBidi"/>
          <w:sz w:val="24"/>
        </w:rPr>
        <w:t xml:space="preserve"> </w:t>
      </w:r>
      <w:r w:rsidR="003A30A8" w:rsidRPr="003A78FF">
        <w:rPr>
          <w:rFonts w:ascii="VIC" w:hAnsi="VIC" w:cstheme="minorBidi"/>
          <w:sz w:val="24"/>
        </w:rPr>
        <w:t xml:space="preserve">health services </w:t>
      </w:r>
      <w:r w:rsidR="00655B7C" w:rsidRPr="003A78FF">
        <w:rPr>
          <w:rFonts w:ascii="VIC" w:hAnsi="VIC" w:cstheme="minorBidi"/>
          <w:sz w:val="24"/>
        </w:rPr>
        <w:t>p</w:t>
      </w:r>
      <w:r w:rsidRPr="003A78FF">
        <w:rPr>
          <w:rFonts w:ascii="VIC" w:hAnsi="VIC" w:cstheme="minorBidi"/>
          <w:sz w:val="24"/>
        </w:rPr>
        <w:t xml:space="preserve">romote ERAS </w:t>
      </w:r>
      <w:r w:rsidR="003A30A8" w:rsidRPr="003A78FF">
        <w:rPr>
          <w:rFonts w:ascii="VIC" w:hAnsi="VIC" w:cstheme="minorBidi"/>
          <w:sz w:val="24"/>
        </w:rPr>
        <w:t>throughout</w:t>
      </w:r>
      <w:r w:rsidRPr="003A78FF">
        <w:rPr>
          <w:rFonts w:ascii="VIC" w:hAnsi="VIC" w:cstheme="minorBidi"/>
          <w:sz w:val="24"/>
        </w:rPr>
        <w:t xml:space="preserve"> Victoria.</w:t>
      </w:r>
    </w:p>
    <w:p w14:paraId="4F4ACBC3" w14:textId="3BF23521" w:rsidR="0B6F30DC" w:rsidRPr="003A78FF" w:rsidRDefault="0B6F30DC" w:rsidP="00683E84">
      <w:pPr>
        <w:pStyle w:val="NormalWeb"/>
        <w:ind w:left="360"/>
        <w:rPr>
          <w:rFonts w:ascii="VIC" w:hAnsi="VIC" w:cstheme="minorBidi"/>
          <w:sz w:val="24"/>
        </w:rPr>
      </w:pPr>
    </w:p>
    <w:p w14:paraId="779804BB" w14:textId="27C780DB" w:rsidR="0B6F30DC" w:rsidRPr="003A78FF" w:rsidRDefault="0B6F30DC" w:rsidP="00683E84">
      <w:pPr>
        <w:pStyle w:val="NormalWeb"/>
        <w:ind w:left="360"/>
        <w:rPr>
          <w:rFonts w:ascii="VIC" w:hAnsi="VIC" w:cstheme="minorBidi"/>
          <w:sz w:val="24"/>
        </w:rPr>
      </w:pPr>
      <w:r w:rsidRPr="003A78FF">
        <w:rPr>
          <w:rFonts w:ascii="VIC" w:hAnsi="VIC" w:cstheme="minorBidi"/>
          <w:sz w:val="24"/>
        </w:rPr>
        <w:t>Complications</w:t>
      </w:r>
      <w:r w:rsidR="0025496C" w:rsidRPr="003A78FF">
        <w:rPr>
          <w:rFonts w:ascii="VIC" w:hAnsi="VIC" w:cstheme="minorBidi"/>
          <w:sz w:val="24"/>
        </w:rPr>
        <w:t xml:space="preserve"> following major </w:t>
      </w:r>
      <w:r w:rsidRPr="003A78FF">
        <w:rPr>
          <w:rFonts w:ascii="VIC" w:hAnsi="VIC" w:cstheme="minorBidi"/>
          <w:sz w:val="24"/>
        </w:rPr>
        <w:t xml:space="preserve">colorectal surgery often </w:t>
      </w:r>
      <w:r w:rsidR="0025496C" w:rsidRPr="003A78FF">
        <w:rPr>
          <w:rFonts w:ascii="VIC" w:hAnsi="VIC" w:cstheme="minorBidi"/>
          <w:sz w:val="24"/>
        </w:rPr>
        <w:t xml:space="preserve">develop </w:t>
      </w:r>
      <w:r w:rsidRPr="003A78FF">
        <w:rPr>
          <w:rFonts w:ascii="VIC" w:hAnsi="VIC" w:cstheme="minorBidi"/>
          <w:sz w:val="24"/>
        </w:rPr>
        <w:t xml:space="preserve">between </w:t>
      </w:r>
      <w:r w:rsidR="0025496C" w:rsidRPr="003A78FF">
        <w:rPr>
          <w:rFonts w:ascii="VIC" w:hAnsi="VIC" w:cstheme="minorBidi"/>
          <w:sz w:val="24"/>
        </w:rPr>
        <w:t xml:space="preserve">day </w:t>
      </w:r>
      <w:r w:rsidRPr="003A78FF">
        <w:rPr>
          <w:rFonts w:ascii="VIC" w:hAnsi="VIC" w:cstheme="minorBidi"/>
          <w:sz w:val="24"/>
        </w:rPr>
        <w:t xml:space="preserve">5-10 </w:t>
      </w:r>
      <w:r w:rsidR="00F05480" w:rsidRPr="003A78FF">
        <w:rPr>
          <w:rFonts w:ascii="VIC" w:hAnsi="VIC" w:cstheme="minorBidi"/>
          <w:sz w:val="24"/>
        </w:rPr>
        <w:t xml:space="preserve">in the </w:t>
      </w:r>
      <w:r w:rsidR="0025496C" w:rsidRPr="003A78FF">
        <w:rPr>
          <w:rFonts w:ascii="VIC" w:hAnsi="VIC" w:cstheme="minorBidi"/>
          <w:sz w:val="24"/>
        </w:rPr>
        <w:t>postoperative</w:t>
      </w:r>
      <w:r w:rsidRPr="003A78FF">
        <w:rPr>
          <w:rFonts w:ascii="VIC" w:hAnsi="VIC" w:cstheme="minorBidi"/>
          <w:sz w:val="24"/>
        </w:rPr>
        <w:t xml:space="preserve"> period</w:t>
      </w:r>
      <w:r w:rsidR="00011C69" w:rsidRPr="003A78FF">
        <w:rPr>
          <w:rFonts w:ascii="VIC" w:hAnsi="VIC" w:cstheme="minorBidi"/>
          <w:sz w:val="24"/>
        </w:rPr>
        <w:t>. Investing in routine</w:t>
      </w:r>
      <w:r w:rsidRPr="003A78FF">
        <w:rPr>
          <w:rFonts w:ascii="VIC" w:hAnsi="VIC" w:cstheme="minorBidi"/>
          <w:sz w:val="24"/>
        </w:rPr>
        <w:t xml:space="preserve"> </w:t>
      </w:r>
      <w:r w:rsidR="00F05480" w:rsidRPr="003A78FF">
        <w:rPr>
          <w:rFonts w:ascii="VIC" w:hAnsi="VIC" w:cstheme="minorBidi"/>
          <w:sz w:val="24"/>
        </w:rPr>
        <w:t>C-Reactive Protein (</w:t>
      </w:r>
      <w:r w:rsidRPr="003A78FF">
        <w:rPr>
          <w:rFonts w:ascii="VIC" w:hAnsi="VIC" w:cstheme="minorBidi"/>
          <w:sz w:val="24"/>
        </w:rPr>
        <w:t>CRP</w:t>
      </w:r>
      <w:r w:rsidR="00F05480" w:rsidRPr="003A78FF">
        <w:rPr>
          <w:rFonts w:ascii="VIC" w:hAnsi="VIC" w:cstheme="minorBidi"/>
          <w:sz w:val="24"/>
        </w:rPr>
        <w:t>)</w:t>
      </w:r>
      <w:r w:rsidRPr="003A78FF">
        <w:rPr>
          <w:rFonts w:ascii="VIC" w:hAnsi="VIC" w:cstheme="minorBidi"/>
          <w:sz w:val="24"/>
        </w:rPr>
        <w:t xml:space="preserve"> and white blood count</w:t>
      </w:r>
      <w:r w:rsidR="00011C69" w:rsidRPr="003A78FF">
        <w:rPr>
          <w:rFonts w:ascii="VIC" w:hAnsi="VIC" w:cstheme="minorBidi"/>
          <w:sz w:val="24"/>
        </w:rPr>
        <w:t xml:space="preserve"> blood tests on day 3 post</w:t>
      </w:r>
      <w:r w:rsidR="00E05272" w:rsidRPr="003A78FF">
        <w:rPr>
          <w:rFonts w:ascii="VIC" w:hAnsi="VIC" w:cstheme="minorBidi"/>
          <w:sz w:val="24"/>
        </w:rPr>
        <w:t xml:space="preserve"> </w:t>
      </w:r>
      <w:r w:rsidR="00011C69" w:rsidRPr="003A78FF">
        <w:rPr>
          <w:rFonts w:ascii="VIC" w:hAnsi="VIC" w:cstheme="minorBidi"/>
          <w:sz w:val="24"/>
        </w:rPr>
        <w:t>operation</w:t>
      </w:r>
      <w:r w:rsidRPr="003A78FF">
        <w:rPr>
          <w:rFonts w:ascii="VIC" w:hAnsi="VIC" w:cstheme="minorBidi"/>
          <w:sz w:val="24"/>
        </w:rPr>
        <w:t xml:space="preserve"> (standard practice in </w:t>
      </w:r>
      <w:r w:rsidRPr="003A78FF">
        <w:rPr>
          <w:rFonts w:ascii="VIC" w:hAnsi="VIC" w:cstheme="minorBidi"/>
          <w:sz w:val="24"/>
        </w:rPr>
        <w:lastRenderedPageBreak/>
        <w:t xml:space="preserve">hospital) </w:t>
      </w:r>
      <w:r w:rsidR="00E05272" w:rsidRPr="003A78FF">
        <w:rPr>
          <w:rFonts w:ascii="VIC" w:hAnsi="VIC" w:cstheme="minorBidi"/>
          <w:sz w:val="24"/>
        </w:rPr>
        <w:t>may</w:t>
      </w:r>
      <w:r w:rsidRPr="003A78FF">
        <w:rPr>
          <w:rFonts w:ascii="VIC" w:hAnsi="VIC" w:cstheme="minorBidi"/>
          <w:sz w:val="24"/>
        </w:rPr>
        <w:t xml:space="preserve"> help </w:t>
      </w:r>
      <w:r w:rsidR="00104DD4" w:rsidRPr="003A78FF">
        <w:rPr>
          <w:rFonts w:ascii="VIC" w:hAnsi="VIC" w:cstheme="minorBidi"/>
          <w:sz w:val="24"/>
        </w:rPr>
        <w:t xml:space="preserve">early </w:t>
      </w:r>
      <w:r w:rsidRPr="003A78FF">
        <w:rPr>
          <w:rFonts w:ascii="VIC" w:hAnsi="VIC" w:cstheme="minorBidi"/>
          <w:sz w:val="24"/>
        </w:rPr>
        <w:t>predict</w:t>
      </w:r>
      <w:r w:rsidR="00104DD4" w:rsidRPr="003A78FF">
        <w:rPr>
          <w:rFonts w:ascii="VIC" w:hAnsi="VIC" w:cstheme="minorBidi"/>
          <w:sz w:val="24"/>
        </w:rPr>
        <w:t>ion of</w:t>
      </w:r>
      <w:r w:rsidRPr="003A78FF">
        <w:rPr>
          <w:rFonts w:ascii="VIC" w:hAnsi="VIC" w:cstheme="minorBidi"/>
          <w:sz w:val="24"/>
        </w:rPr>
        <w:t xml:space="preserve"> anastomotic leak and infection complications.</w:t>
      </w:r>
    </w:p>
    <w:p w14:paraId="0E34D732" w14:textId="77777777" w:rsidR="00962518" w:rsidRPr="003A78FF" w:rsidRDefault="00962518" w:rsidP="003F40C6">
      <w:pPr>
        <w:pStyle w:val="NormalWeb"/>
        <w:rPr>
          <w:rFonts w:ascii="VIC" w:hAnsi="VIC" w:cstheme="minorBidi"/>
          <w:b/>
          <w:bCs/>
          <w:sz w:val="24"/>
        </w:rPr>
      </w:pPr>
    </w:p>
    <w:p w14:paraId="4915614A" w14:textId="0BBEA1AD" w:rsidR="009D40C9" w:rsidRPr="003A78FF" w:rsidRDefault="0025685B" w:rsidP="00683E84">
      <w:pPr>
        <w:pStyle w:val="NormalWeb"/>
        <w:ind w:left="360"/>
        <w:rPr>
          <w:rFonts w:ascii="VIC" w:hAnsi="VIC" w:cstheme="minorBidi"/>
          <w:b/>
          <w:bCs/>
          <w:sz w:val="24"/>
        </w:rPr>
      </w:pPr>
      <w:r w:rsidRPr="003A78FF">
        <w:rPr>
          <w:rFonts w:ascii="VIC" w:hAnsi="VIC" w:cstheme="minorBidi"/>
          <w:b/>
          <w:bCs/>
          <w:sz w:val="24"/>
        </w:rPr>
        <w:t>Same-day</w:t>
      </w:r>
      <w:r w:rsidR="009D40C9" w:rsidRPr="003A78FF">
        <w:rPr>
          <w:rFonts w:ascii="VIC" w:hAnsi="VIC" w:cstheme="minorBidi"/>
          <w:b/>
          <w:bCs/>
          <w:sz w:val="24"/>
        </w:rPr>
        <w:t xml:space="preserve"> haemorrhoidectomy and fistula procedures</w:t>
      </w:r>
    </w:p>
    <w:p w14:paraId="50DB3145" w14:textId="4A338851" w:rsidR="00391FB2" w:rsidRPr="003A78FF" w:rsidRDefault="0025685B" w:rsidP="00683E84">
      <w:pPr>
        <w:pStyle w:val="NormalWeb"/>
        <w:ind w:left="360"/>
        <w:rPr>
          <w:rFonts w:ascii="VIC" w:hAnsi="VIC" w:cstheme="minorBidi"/>
          <w:sz w:val="24"/>
        </w:rPr>
      </w:pPr>
      <w:r w:rsidRPr="003A78FF">
        <w:rPr>
          <w:rFonts w:ascii="VIC" w:hAnsi="VIC" w:cstheme="minorBidi"/>
          <w:sz w:val="24"/>
        </w:rPr>
        <w:t>Same-day</w:t>
      </w:r>
      <w:r w:rsidR="00A40877" w:rsidRPr="003A78FF">
        <w:rPr>
          <w:rFonts w:ascii="VIC" w:hAnsi="VIC" w:cstheme="minorBidi"/>
          <w:sz w:val="24"/>
        </w:rPr>
        <w:t xml:space="preserve"> haemorrhoidectomy and fistula procedures can be performed with HITH support and some colorectal surgeons in Victoria already offer this model of care.</w:t>
      </w:r>
    </w:p>
    <w:p w14:paraId="6E5A9DB0" w14:textId="793FD17C" w:rsidR="002E3865" w:rsidRPr="003A78FF" w:rsidRDefault="002E3865" w:rsidP="00683E84">
      <w:pPr>
        <w:pStyle w:val="NormalWeb"/>
        <w:ind w:left="360"/>
        <w:rPr>
          <w:rFonts w:ascii="VIC" w:hAnsi="VIC" w:cstheme="minorBidi"/>
          <w:sz w:val="24"/>
        </w:rPr>
      </w:pPr>
    </w:p>
    <w:p w14:paraId="478B8B72" w14:textId="0F9B77DF" w:rsidR="00A36DA2" w:rsidRPr="003A78FF" w:rsidRDefault="00A36DA2" w:rsidP="00FE54E5">
      <w:pPr>
        <w:pStyle w:val="Heading3"/>
        <w:numPr>
          <w:ilvl w:val="0"/>
          <w:numId w:val="21"/>
        </w:numPr>
        <w:rPr>
          <w:rFonts w:ascii="VIC" w:hAnsi="VIC"/>
          <w:szCs w:val="24"/>
        </w:rPr>
      </w:pPr>
      <w:bookmarkStart w:id="13" w:name="_Toc111215093"/>
      <w:bookmarkStart w:id="14" w:name="_Toc111215150"/>
      <w:r w:rsidRPr="003A78FF">
        <w:rPr>
          <w:rFonts w:ascii="VIC" w:hAnsi="VIC"/>
          <w:szCs w:val="24"/>
        </w:rPr>
        <w:t>Which surgical procedures should be majority same-day but are often multi-stay?</w:t>
      </w:r>
      <w:bookmarkEnd w:id="13"/>
      <w:bookmarkEnd w:id="14"/>
      <w:r w:rsidRPr="003A78FF">
        <w:rPr>
          <w:rFonts w:ascii="Cambria" w:hAnsi="Cambria" w:cs="Cambria"/>
          <w:szCs w:val="24"/>
        </w:rPr>
        <w:t> </w:t>
      </w:r>
    </w:p>
    <w:p w14:paraId="53324C73" w14:textId="4658515D" w:rsidR="00666F44" w:rsidRPr="003A78FF" w:rsidRDefault="00666F44" w:rsidP="13514918">
      <w:pPr>
        <w:pStyle w:val="NormalWeb"/>
        <w:ind w:left="360"/>
        <w:rPr>
          <w:rFonts w:ascii="VIC" w:hAnsi="VIC" w:cstheme="minorBidi"/>
          <w:sz w:val="24"/>
        </w:rPr>
      </w:pPr>
    </w:p>
    <w:p w14:paraId="76E02F33" w14:textId="75465610" w:rsidR="13514918" w:rsidRPr="003A78FF" w:rsidRDefault="13514918" w:rsidP="13514918">
      <w:pPr>
        <w:pStyle w:val="NormalWeb"/>
        <w:ind w:left="360"/>
        <w:rPr>
          <w:rFonts w:ascii="VIC" w:hAnsi="VIC" w:cstheme="minorBidi"/>
          <w:sz w:val="24"/>
        </w:rPr>
      </w:pPr>
      <w:r w:rsidRPr="003A78FF">
        <w:rPr>
          <w:rFonts w:ascii="VIC" w:hAnsi="VIC" w:cstheme="minorBidi"/>
          <w:sz w:val="24"/>
        </w:rPr>
        <w:t xml:space="preserve">The procedure, the patient </w:t>
      </w:r>
      <w:r w:rsidR="3E615AB9" w:rsidRPr="003A78FF">
        <w:rPr>
          <w:rFonts w:ascii="VIC" w:hAnsi="VIC" w:cstheme="minorBidi"/>
          <w:sz w:val="24"/>
        </w:rPr>
        <w:t xml:space="preserve">and the </w:t>
      </w:r>
      <w:r w:rsidR="003C0470" w:rsidRPr="003A78FF">
        <w:rPr>
          <w:rFonts w:ascii="VIC" w:hAnsi="VIC" w:cstheme="minorBidi"/>
          <w:sz w:val="24"/>
        </w:rPr>
        <w:t xml:space="preserve">discharge </w:t>
      </w:r>
      <w:r w:rsidR="00C16CA0" w:rsidRPr="003A78FF">
        <w:rPr>
          <w:rFonts w:ascii="VIC" w:hAnsi="VIC" w:cstheme="minorBidi"/>
          <w:sz w:val="24"/>
        </w:rPr>
        <w:t>destination</w:t>
      </w:r>
      <w:r w:rsidR="3E615AB9" w:rsidRPr="003A78FF">
        <w:rPr>
          <w:rFonts w:ascii="VIC" w:hAnsi="VIC" w:cstheme="minorBidi"/>
          <w:sz w:val="24"/>
        </w:rPr>
        <w:t xml:space="preserve"> </w:t>
      </w:r>
      <w:r w:rsidR="0055486D" w:rsidRPr="003A78FF">
        <w:rPr>
          <w:rFonts w:ascii="VIC" w:hAnsi="VIC" w:cstheme="minorBidi"/>
          <w:sz w:val="24"/>
        </w:rPr>
        <w:t>must</w:t>
      </w:r>
      <w:r w:rsidRPr="003A78FF">
        <w:rPr>
          <w:rFonts w:ascii="VIC" w:hAnsi="VIC" w:cstheme="minorBidi"/>
          <w:sz w:val="24"/>
        </w:rPr>
        <w:t xml:space="preserve"> be suitable for safe same-day surgery.</w:t>
      </w:r>
    </w:p>
    <w:p w14:paraId="1164138C" w14:textId="336C55D5" w:rsidR="13514918" w:rsidRPr="003A78FF" w:rsidRDefault="13514918" w:rsidP="13514918">
      <w:pPr>
        <w:pStyle w:val="NormalWeb"/>
        <w:ind w:left="360"/>
        <w:rPr>
          <w:rFonts w:ascii="VIC" w:hAnsi="VIC" w:cstheme="minorBidi"/>
          <w:sz w:val="24"/>
        </w:rPr>
      </w:pPr>
    </w:p>
    <w:p w14:paraId="1F1BA281" w14:textId="750AF069" w:rsidR="00BA2307" w:rsidRPr="003A78FF" w:rsidRDefault="00BA2307" w:rsidP="00343B79">
      <w:pPr>
        <w:pStyle w:val="NormalWeb"/>
        <w:ind w:left="360"/>
        <w:rPr>
          <w:rFonts w:ascii="VIC" w:hAnsi="VIC" w:cstheme="minorBidi"/>
          <w:sz w:val="24"/>
        </w:rPr>
      </w:pPr>
      <w:r w:rsidRPr="003A78FF">
        <w:rPr>
          <w:rFonts w:ascii="VIC" w:hAnsi="VIC" w:cstheme="minorBidi"/>
          <w:sz w:val="24"/>
        </w:rPr>
        <w:t>Current rates of same-day procedures,</w:t>
      </w:r>
      <w:r w:rsidR="00343B79" w:rsidRPr="003A78FF">
        <w:rPr>
          <w:rFonts w:ascii="VIC" w:hAnsi="VIC" w:cstheme="minorBidi"/>
          <w:sz w:val="24"/>
        </w:rPr>
        <w:t xml:space="preserve"> </w:t>
      </w:r>
      <w:r w:rsidRPr="003A78FF">
        <w:rPr>
          <w:rFonts w:ascii="VIC" w:hAnsi="VIC" w:cstheme="minorBidi"/>
          <w:sz w:val="24"/>
        </w:rPr>
        <w:t>ASA/comorbidities and social circumstances of patients who require these procedures</w:t>
      </w:r>
      <w:r w:rsidR="0078636A" w:rsidRPr="003A78FF">
        <w:rPr>
          <w:rFonts w:ascii="VIC" w:hAnsi="VIC" w:cstheme="minorBidi"/>
          <w:sz w:val="24"/>
        </w:rPr>
        <w:t xml:space="preserve"> must be considered</w:t>
      </w:r>
      <w:r w:rsidRPr="003A78FF">
        <w:rPr>
          <w:rFonts w:ascii="VIC" w:hAnsi="VIC" w:cstheme="minorBidi"/>
          <w:sz w:val="24"/>
        </w:rPr>
        <w:t>. The data from the Victorian Agency of Health Information suggests that over 50% of patients for the procedures that may be suitable to be day-stay cases are ASA 1 &amp; 2.</w:t>
      </w:r>
      <w:r w:rsidRPr="003A78FF">
        <w:rPr>
          <w:rFonts w:ascii="Cambria" w:hAnsi="Cambria" w:cs="Cambria"/>
          <w:sz w:val="24"/>
        </w:rPr>
        <w:t> </w:t>
      </w:r>
      <w:r w:rsidR="3CF9905F" w:rsidRPr="003A78FF">
        <w:rPr>
          <w:rFonts w:ascii="VIC" w:hAnsi="VIC" w:cstheme="minorBidi"/>
          <w:sz w:val="24"/>
        </w:rPr>
        <w:t>Over 50% of patients for</w:t>
      </w:r>
      <w:r w:rsidRPr="003A78FF">
        <w:rPr>
          <w:rFonts w:ascii="VIC" w:hAnsi="VIC" w:cstheme="minorBidi"/>
          <w:sz w:val="24"/>
        </w:rPr>
        <w:t xml:space="preserve"> operations such as unilateral inguinal hernia, laparoscopic cholecystectomy,</w:t>
      </w:r>
      <w:r w:rsidR="00D65637" w:rsidRPr="003A78FF">
        <w:rPr>
          <w:rFonts w:ascii="VIC" w:hAnsi="VIC" w:cstheme="minorBidi"/>
          <w:sz w:val="24"/>
        </w:rPr>
        <w:t xml:space="preserve"> and</w:t>
      </w:r>
      <w:r w:rsidRPr="003A78FF">
        <w:rPr>
          <w:rFonts w:ascii="VIC" w:hAnsi="VIC" w:cstheme="minorBidi"/>
          <w:sz w:val="24"/>
        </w:rPr>
        <w:t xml:space="preserve"> tonsillectomy are ASA 1 &amp; 2. Some ASA 3 patients are stable and may be also suitable for </w:t>
      </w:r>
      <w:r w:rsidR="0025685B" w:rsidRPr="003A78FF">
        <w:rPr>
          <w:rFonts w:ascii="VIC" w:hAnsi="VIC" w:cstheme="minorBidi"/>
          <w:sz w:val="24"/>
        </w:rPr>
        <w:t>same-day</w:t>
      </w:r>
      <w:r w:rsidRPr="003A78FF">
        <w:rPr>
          <w:rFonts w:ascii="VIC" w:hAnsi="VIC" w:cstheme="minorBidi"/>
          <w:sz w:val="24"/>
        </w:rPr>
        <w:t xml:space="preserve"> surgery.</w:t>
      </w:r>
    </w:p>
    <w:p w14:paraId="7EBC1625" w14:textId="77777777" w:rsidR="00BA2307" w:rsidRPr="003A78FF" w:rsidRDefault="00BA2307" w:rsidP="00683E84">
      <w:pPr>
        <w:pStyle w:val="NormalWeb"/>
        <w:ind w:left="360"/>
        <w:rPr>
          <w:rFonts w:ascii="VIC" w:hAnsi="VIC" w:cstheme="minorBidi"/>
          <w:sz w:val="24"/>
        </w:rPr>
      </w:pPr>
    </w:p>
    <w:p w14:paraId="3ADAA01A" w14:textId="77D6AEE2" w:rsidR="00270C38" w:rsidRPr="003A78FF" w:rsidRDefault="00680333" w:rsidP="00683E84">
      <w:pPr>
        <w:pStyle w:val="NormalWeb"/>
        <w:ind w:left="360"/>
        <w:rPr>
          <w:rFonts w:ascii="VIC" w:hAnsi="VIC" w:cstheme="minorBidi"/>
          <w:sz w:val="24"/>
        </w:rPr>
      </w:pPr>
      <w:r w:rsidRPr="003A78FF">
        <w:rPr>
          <w:rFonts w:ascii="VIC" w:hAnsi="VIC" w:cstheme="minorBidi"/>
          <w:sz w:val="24"/>
        </w:rPr>
        <w:t xml:space="preserve">We </w:t>
      </w:r>
      <w:r w:rsidR="0071060A" w:rsidRPr="003A78FF">
        <w:rPr>
          <w:rFonts w:ascii="VIC" w:hAnsi="VIC" w:cstheme="minorBidi"/>
          <w:sz w:val="24"/>
        </w:rPr>
        <w:t>expect</w:t>
      </w:r>
      <w:r w:rsidRPr="003A78FF">
        <w:rPr>
          <w:rFonts w:ascii="VIC" w:hAnsi="VIC" w:cstheme="minorBidi"/>
          <w:sz w:val="24"/>
        </w:rPr>
        <w:t xml:space="preserve"> procedures requiring local or regional anaesthesia, and those performed under sedation, are likely to be appropriate for same-day surgery</w:t>
      </w:r>
      <w:r w:rsidR="00620B9E" w:rsidRPr="003A78FF">
        <w:rPr>
          <w:rFonts w:ascii="VIC" w:hAnsi="VIC" w:cstheme="minorBidi"/>
          <w:sz w:val="24"/>
        </w:rPr>
        <w:t xml:space="preserve"> and worth investigating.</w:t>
      </w:r>
      <w:r w:rsidR="009019C8" w:rsidRPr="003A78FF">
        <w:rPr>
          <w:rFonts w:ascii="VIC" w:hAnsi="VIC" w:cstheme="minorBidi"/>
          <w:sz w:val="24"/>
        </w:rPr>
        <w:t xml:space="preserve"> We </w:t>
      </w:r>
      <w:r w:rsidR="00805B03" w:rsidRPr="003A78FF">
        <w:rPr>
          <w:rFonts w:ascii="VIC" w:hAnsi="VIC" w:cstheme="minorBidi"/>
          <w:sz w:val="24"/>
        </w:rPr>
        <w:t>anticipate</w:t>
      </w:r>
      <w:r w:rsidR="00BA121E" w:rsidRPr="003A78FF">
        <w:rPr>
          <w:rFonts w:ascii="VIC" w:hAnsi="VIC" w:cstheme="minorBidi"/>
          <w:sz w:val="24"/>
        </w:rPr>
        <w:t xml:space="preserve"> </w:t>
      </w:r>
      <w:r w:rsidR="00270C38" w:rsidRPr="003A78FF">
        <w:rPr>
          <w:rFonts w:ascii="VIC" w:hAnsi="VIC" w:cstheme="minorBidi"/>
          <w:sz w:val="24"/>
        </w:rPr>
        <w:t>50% or more unilateral inguinal or umbilical hernia procedures</w:t>
      </w:r>
      <w:r w:rsidR="00BA121E" w:rsidRPr="003A78FF">
        <w:rPr>
          <w:rFonts w:ascii="VIC" w:hAnsi="VIC" w:cstheme="minorBidi"/>
          <w:sz w:val="24"/>
        </w:rPr>
        <w:t>,</w:t>
      </w:r>
      <w:r w:rsidR="00270C38" w:rsidRPr="003A78FF">
        <w:rPr>
          <w:rFonts w:ascii="VIC" w:hAnsi="VIC" w:cstheme="minorBidi"/>
          <w:sz w:val="24"/>
        </w:rPr>
        <w:t xml:space="preserve"> planned laparoscopic cholecystectomies</w:t>
      </w:r>
      <w:r w:rsidR="007F1DF9" w:rsidRPr="003A78FF">
        <w:rPr>
          <w:rFonts w:ascii="VIC" w:hAnsi="VIC" w:cstheme="minorBidi"/>
          <w:sz w:val="24"/>
        </w:rPr>
        <w:t>,</w:t>
      </w:r>
      <w:r w:rsidR="00BA121E" w:rsidRPr="003A78FF">
        <w:rPr>
          <w:rFonts w:ascii="VIC" w:hAnsi="VIC" w:cstheme="minorBidi"/>
          <w:sz w:val="24"/>
        </w:rPr>
        <w:t xml:space="preserve"> tonsillectomy and sinus procedures</w:t>
      </w:r>
      <w:r w:rsidR="00270C38" w:rsidRPr="003A78FF">
        <w:rPr>
          <w:rFonts w:ascii="VIC" w:hAnsi="VIC" w:cstheme="minorBidi"/>
          <w:sz w:val="24"/>
        </w:rPr>
        <w:t xml:space="preserve"> could be </w:t>
      </w:r>
      <w:r w:rsidR="00BA121E" w:rsidRPr="003A78FF">
        <w:rPr>
          <w:rFonts w:ascii="VIC" w:hAnsi="VIC" w:cstheme="minorBidi"/>
          <w:sz w:val="24"/>
        </w:rPr>
        <w:t xml:space="preserve">safely </w:t>
      </w:r>
      <w:r w:rsidR="00270C38" w:rsidRPr="003A78FF">
        <w:rPr>
          <w:rFonts w:ascii="VIC" w:hAnsi="VIC" w:cstheme="minorBidi"/>
          <w:sz w:val="24"/>
        </w:rPr>
        <w:t xml:space="preserve">performed as day surgery. Many gynaecological procedures could also be provided as day stay. </w:t>
      </w:r>
    </w:p>
    <w:p w14:paraId="3B0967C0" w14:textId="77777777" w:rsidR="00391FB2" w:rsidRPr="003A78FF" w:rsidRDefault="00391FB2" w:rsidP="00723767">
      <w:pPr>
        <w:pStyle w:val="NormalWeb"/>
        <w:rPr>
          <w:rFonts w:ascii="VIC" w:hAnsi="VIC" w:cstheme="minorHAnsi"/>
          <w:color w:val="000000"/>
          <w:sz w:val="24"/>
        </w:rPr>
      </w:pPr>
    </w:p>
    <w:p w14:paraId="5852725D" w14:textId="3C5F24DD" w:rsidR="00A36DA2" w:rsidRPr="003A78FF" w:rsidRDefault="00A36DA2" w:rsidP="00FE54E5">
      <w:pPr>
        <w:pStyle w:val="Heading3"/>
        <w:numPr>
          <w:ilvl w:val="0"/>
          <w:numId w:val="21"/>
        </w:numPr>
        <w:rPr>
          <w:rFonts w:ascii="VIC" w:hAnsi="VIC"/>
          <w:color w:val="007586" w:themeColor="accent2"/>
          <w:szCs w:val="24"/>
        </w:rPr>
      </w:pPr>
      <w:bookmarkStart w:id="15" w:name="_Toc111215094"/>
      <w:bookmarkStart w:id="16" w:name="_Toc111215151"/>
      <w:r w:rsidRPr="003A78FF">
        <w:rPr>
          <w:rFonts w:ascii="VIC" w:hAnsi="VIC"/>
          <w:color w:val="007586" w:themeColor="accent2"/>
          <w:szCs w:val="24"/>
        </w:rPr>
        <w:t>Which surgical procedures should be prioritised as same-day models, in terms of patient outcomes and improving system efficiencies?</w:t>
      </w:r>
      <w:bookmarkEnd w:id="15"/>
      <w:bookmarkEnd w:id="16"/>
      <w:r w:rsidRPr="003A78FF">
        <w:rPr>
          <w:rFonts w:ascii="Cambria" w:hAnsi="Cambria" w:cs="Cambria"/>
          <w:color w:val="007586" w:themeColor="accent2"/>
          <w:szCs w:val="24"/>
        </w:rPr>
        <w:t> </w:t>
      </w:r>
    </w:p>
    <w:p w14:paraId="2DB15869" w14:textId="77777777" w:rsidR="00B06297" w:rsidRPr="003A78FF" w:rsidRDefault="00B06297" w:rsidP="00016FE6">
      <w:pPr>
        <w:pStyle w:val="SCVbody"/>
        <w:spacing w:before="0" w:after="0"/>
        <w:ind w:left="360"/>
        <w:rPr>
          <w:rFonts w:ascii="VIC" w:hAnsi="VIC"/>
          <w:sz w:val="24"/>
          <w:szCs w:val="24"/>
        </w:rPr>
      </w:pPr>
    </w:p>
    <w:p w14:paraId="03C52FE3" w14:textId="3D017DC1" w:rsidR="00F32E1D" w:rsidRPr="003A78FF" w:rsidRDefault="00731248" w:rsidP="00016FE6">
      <w:pPr>
        <w:pStyle w:val="SCVbody"/>
        <w:spacing w:before="0" w:after="0"/>
        <w:ind w:left="360"/>
        <w:rPr>
          <w:rFonts w:ascii="VIC" w:hAnsi="VIC"/>
          <w:sz w:val="24"/>
          <w:szCs w:val="24"/>
        </w:rPr>
      </w:pPr>
      <w:r w:rsidRPr="003A78FF">
        <w:rPr>
          <w:rFonts w:ascii="VIC" w:hAnsi="VIC"/>
          <w:sz w:val="24"/>
          <w:szCs w:val="24"/>
        </w:rPr>
        <w:t xml:space="preserve">Prioritisation of procedures needs </w:t>
      </w:r>
      <w:r w:rsidR="00C8484F" w:rsidRPr="003A78FF">
        <w:rPr>
          <w:rFonts w:ascii="VIC" w:hAnsi="VIC"/>
          <w:sz w:val="24"/>
          <w:szCs w:val="24"/>
        </w:rPr>
        <w:t>to consider the</w:t>
      </w:r>
      <w:r w:rsidR="001C3A5A" w:rsidRPr="003A78FF">
        <w:rPr>
          <w:rFonts w:ascii="VIC" w:hAnsi="VIC"/>
          <w:sz w:val="24"/>
          <w:szCs w:val="24"/>
        </w:rPr>
        <w:t xml:space="preserve"> volume and</w:t>
      </w:r>
      <w:r w:rsidR="00C8484F" w:rsidRPr="003A78FF">
        <w:rPr>
          <w:rFonts w:ascii="VIC" w:hAnsi="VIC"/>
          <w:sz w:val="24"/>
          <w:szCs w:val="24"/>
        </w:rPr>
        <w:t xml:space="preserve"> complexity of the procedure</w:t>
      </w:r>
      <w:r w:rsidR="001C3A5A" w:rsidRPr="003A78FF">
        <w:rPr>
          <w:rFonts w:ascii="VIC" w:hAnsi="VIC"/>
          <w:sz w:val="24"/>
          <w:szCs w:val="24"/>
        </w:rPr>
        <w:t xml:space="preserve">. Procedures </w:t>
      </w:r>
      <w:r w:rsidR="00F32E1D" w:rsidRPr="003A78FF">
        <w:rPr>
          <w:rFonts w:ascii="VIC" w:hAnsi="VIC"/>
          <w:sz w:val="24"/>
          <w:szCs w:val="24"/>
        </w:rPr>
        <w:t xml:space="preserve">that </w:t>
      </w:r>
      <w:r w:rsidR="00672000" w:rsidRPr="003A78FF">
        <w:rPr>
          <w:rFonts w:ascii="VIC" w:hAnsi="VIC"/>
          <w:sz w:val="24"/>
          <w:szCs w:val="24"/>
        </w:rPr>
        <w:t>are uncomplicated</w:t>
      </w:r>
      <w:r w:rsidRPr="003A78FF">
        <w:rPr>
          <w:rFonts w:ascii="VIC" w:hAnsi="VIC"/>
          <w:sz w:val="24"/>
          <w:szCs w:val="24"/>
        </w:rPr>
        <w:t xml:space="preserve">, </w:t>
      </w:r>
      <w:r w:rsidR="00C55F6C" w:rsidRPr="003A78FF">
        <w:rPr>
          <w:rFonts w:ascii="VIC" w:hAnsi="VIC"/>
          <w:sz w:val="24"/>
          <w:szCs w:val="24"/>
        </w:rPr>
        <w:t>likely to be highly successful within same-day models of care</w:t>
      </w:r>
      <w:r w:rsidR="006C6187" w:rsidRPr="003A78FF">
        <w:rPr>
          <w:rFonts w:ascii="VIC" w:hAnsi="VIC"/>
          <w:sz w:val="24"/>
          <w:szCs w:val="24"/>
        </w:rPr>
        <w:t xml:space="preserve">, and </w:t>
      </w:r>
      <w:r w:rsidR="001C3A5A" w:rsidRPr="003A78FF">
        <w:rPr>
          <w:rFonts w:ascii="VIC" w:hAnsi="VIC"/>
          <w:sz w:val="24"/>
          <w:szCs w:val="24"/>
        </w:rPr>
        <w:t xml:space="preserve">undertaken in high </w:t>
      </w:r>
      <w:r w:rsidR="00DF1AFF" w:rsidRPr="003A78FF">
        <w:rPr>
          <w:rFonts w:ascii="VIC" w:hAnsi="VIC"/>
          <w:sz w:val="24"/>
          <w:szCs w:val="24"/>
        </w:rPr>
        <w:t>volume</w:t>
      </w:r>
      <w:r w:rsidR="001C3A5A" w:rsidRPr="003A78FF">
        <w:rPr>
          <w:rFonts w:ascii="VIC" w:hAnsi="VIC"/>
          <w:sz w:val="24"/>
          <w:szCs w:val="24"/>
        </w:rPr>
        <w:t xml:space="preserve"> </w:t>
      </w:r>
      <w:r w:rsidRPr="003A78FF">
        <w:rPr>
          <w:rFonts w:ascii="VIC" w:hAnsi="VIC"/>
          <w:sz w:val="24"/>
          <w:szCs w:val="24"/>
        </w:rPr>
        <w:t>should be p</w:t>
      </w:r>
      <w:r w:rsidR="001C3A5A" w:rsidRPr="003A78FF">
        <w:rPr>
          <w:rFonts w:ascii="VIC" w:hAnsi="VIC"/>
          <w:sz w:val="24"/>
          <w:szCs w:val="24"/>
        </w:rPr>
        <w:t xml:space="preserve">rioritised </w:t>
      </w:r>
      <w:r w:rsidR="005B07EA" w:rsidRPr="003A78FF">
        <w:rPr>
          <w:rFonts w:ascii="VIC" w:hAnsi="VIC"/>
          <w:sz w:val="24"/>
          <w:szCs w:val="24"/>
        </w:rPr>
        <w:t>first</w:t>
      </w:r>
      <w:r w:rsidR="00BF2D32" w:rsidRPr="003A78FF">
        <w:rPr>
          <w:rFonts w:ascii="VIC" w:hAnsi="VIC"/>
          <w:sz w:val="24"/>
          <w:szCs w:val="24"/>
        </w:rPr>
        <w:t xml:space="preserve">, as these will enable </w:t>
      </w:r>
      <w:r w:rsidR="00C16CA0" w:rsidRPr="003A78FF">
        <w:rPr>
          <w:rFonts w:ascii="VIC" w:hAnsi="VIC"/>
          <w:sz w:val="24"/>
          <w:szCs w:val="24"/>
        </w:rPr>
        <w:t>services</w:t>
      </w:r>
      <w:r w:rsidR="00303615" w:rsidRPr="003A78FF">
        <w:rPr>
          <w:rFonts w:ascii="VIC" w:hAnsi="VIC"/>
          <w:sz w:val="24"/>
          <w:szCs w:val="24"/>
        </w:rPr>
        <w:t xml:space="preserve"> to gain quick wins, build confidence and </w:t>
      </w:r>
      <w:r w:rsidR="004917CC" w:rsidRPr="003A78FF">
        <w:rPr>
          <w:rFonts w:ascii="VIC" w:hAnsi="VIC"/>
          <w:sz w:val="24"/>
          <w:szCs w:val="24"/>
        </w:rPr>
        <w:t>observe</w:t>
      </w:r>
      <w:r w:rsidR="00303615" w:rsidRPr="003A78FF">
        <w:rPr>
          <w:rFonts w:ascii="VIC" w:hAnsi="VIC"/>
          <w:sz w:val="24"/>
          <w:szCs w:val="24"/>
        </w:rPr>
        <w:t xml:space="preserve"> </w:t>
      </w:r>
      <w:r w:rsidR="00DD44DB" w:rsidRPr="003A78FF">
        <w:rPr>
          <w:rFonts w:ascii="VIC" w:hAnsi="VIC"/>
          <w:sz w:val="24"/>
          <w:szCs w:val="24"/>
        </w:rPr>
        <w:t>beneficial</w:t>
      </w:r>
      <w:r w:rsidR="0086684A" w:rsidRPr="003A78FF">
        <w:rPr>
          <w:rFonts w:ascii="VIC" w:hAnsi="VIC"/>
          <w:sz w:val="24"/>
          <w:szCs w:val="24"/>
        </w:rPr>
        <w:t xml:space="preserve"> process efficiencies and outcomes </w:t>
      </w:r>
      <w:r w:rsidR="00DD44DB" w:rsidRPr="003A78FF">
        <w:rPr>
          <w:rFonts w:ascii="VIC" w:hAnsi="VIC"/>
          <w:sz w:val="24"/>
          <w:szCs w:val="24"/>
        </w:rPr>
        <w:t xml:space="preserve">to </w:t>
      </w:r>
      <w:r w:rsidR="0086684A" w:rsidRPr="003A78FF">
        <w:rPr>
          <w:rFonts w:ascii="VIC" w:hAnsi="VIC"/>
          <w:sz w:val="24"/>
          <w:szCs w:val="24"/>
        </w:rPr>
        <w:t xml:space="preserve">the </w:t>
      </w:r>
      <w:r w:rsidR="007C1176" w:rsidRPr="003A78FF">
        <w:rPr>
          <w:rFonts w:ascii="VIC" w:hAnsi="VIC"/>
          <w:sz w:val="24"/>
          <w:szCs w:val="24"/>
        </w:rPr>
        <w:t>organisation, services/staff and patients</w:t>
      </w:r>
      <w:r w:rsidR="0086684A" w:rsidRPr="003A78FF">
        <w:rPr>
          <w:rFonts w:ascii="VIC" w:hAnsi="VIC"/>
          <w:sz w:val="24"/>
          <w:szCs w:val="24"/>
        </w:rPr>
        <w:t>/carers</w:t>
      </w:r>
      <w:r w:rsidR="00B411AB" w:rsidRPr="003A78FF">
        <w:rPr>
          <w:rFonts w:ascii="VIC" w:hAnsi="VIC"/>
          <w:sz w:val="24"/>
          <w:szCs w:val="24"/>
        </w:rPr>
        <w:t xml:space="preserve">. This </w:t>
      </w:r>
      <w:r w:rsidR="00C55B40" w:rsidRPr="003A78FF">
        <w:rPr>
          <w:rFonts w:ascii="VIC" w:hAnsi="VIC"/>
          <w:sz w:val="24"/>
          <w:szCs w:val="24"/>
        </w:rPr>
        <w:t>will</w:t>
      </w:r>
      <w:r w:rsidR="00373176" w:rsidRPr="003A78FF">
        <w:rPr>
          <w:rFonts w:ascii="VIC" w:hAnsi="VIC"/>
          <w:sz w:val="24"/>
          <w:szCs w:val="24"/>
        </w:rPr>
        <w:t xml:space="preserve"> </w:t>
      </w:r>
      <w:r w:rsidR="00C55B40" w:rsidRPr="003A78FF">
        <w:rPr>
          <w:rFonts w:ascii="VIC" w:hAnsi="VIC"/>
          <w:sz w:val="24"/>
          <w:szCs w:val="24"/>
        </w:rPr>
        <w:t xml:space="preserve">motivate </w:t>
      </w:r>
      <w:r w:rsidR="00187F9D" w:rsidRPr="003A78FF">
        <w:rPr>
          <w:rFonts w:ascii="VIC" w:hAnsi="VIC"/>
          <w:sz w:val="24"/>
          <w:szCs w:val="24"/>
        </w:rPr>
        <w:t xml:space="preserve">and enable </w:t>
      </w:r>
      <w:r w:rsidR="00C55B40" w:rsidRPr="003A78FF">
        <w:rPr>
          <w:rFonts w:ascii="VIC" w:hAnsi="VIC"/>
          <w:sz w:val="24"/>
          <w:szCs w:val="24"/>
        </w:rPr>
        <w:t>further</w:t>
      </w:r>
      <w:r w:rsidR="00E22BB5" w:rsidRPr="003A78FF">
        <w:rPr>
          <w:rFonts w:ascii="VIC" w:hAnsi="VIC"/>
          <w:sz w:val="24"/>
          <w:szCs w:val="24"/>
        </w:rPr>
        <w:t xml:space="preserve"> implementation</w:t>
      </w:r>
      <w:r w:rsidR="00FA4387" w:rsidRPr="003A78FF">
        <w:rPr>
          <w:rFonts w:ascii="VIC" w:hAnsi="VIC"/>
          <w:sz w:val="24"/>
          <w:szCs w:val="24"/>
        </w:rPr>
        <w:t xml:space="preserve"> of same-day models</w:t>
      </w:r>
      <w:r w:rsidR="006B06AC" w:rsidRPr="003A78FF">
        <w:rPr>
          <w:rFonts w:ascii="VIC" w:hAnsi="VIC"/>
          <w:sz w:val="24"/>
          <w:szCs w:val="24"/>
        </w:rPr>
        <w:t>.</w:t>
      </w:r>
      <w:r w:rsidR="00EB03DA" w:rsidRPr="003A78FF">
        <w:rPr>
          <w:rFonts w:ascii="VIC" w:hAnsi="VIC"/>
          <w:sz w:val="24"/>
          <w:szCs w:val="24"/>
        </w:rPr>
        <w:t xml:space="preserve"> </w:t>
      </w:r>
      <w:r w:rsidR="00C55B40" w:rsidRPr="003A78FF">
        <w:rPr>
          <w:rFonts w:ascii="VIC" w:hAnsi="VIC"/>
          <w:sz w:val="24"/>
          <w:szCs w:val="24"/>
        </w:rPr>
        <w:t xml:space="preserve"> </w:t>
      </w:r>
      <w:r w:rsidR="007C1176" w:rsidRPr="003A78FF">
        <w:rPr>
          <w:rFonts w:ascii="VIC" w:hAnsi="VIC"/>
          <w:sz w:val="24"/>
          <w:szCs w:val="24"/>
        </w:rPr>
        <w:t xml:space="preserve"> </w:t>
      </w:r>
    </w:p>
    <w:p w14:paraId="3402F04E" w14:textId="619E0AAD" w:rsidR="0C3D2154" w:rsidRPr="003A78FF" w:rsidRDefault="0C3D2154" w:rsidP="0C3D2154">
      <w:pPr>
        <w:pStyle w:val="SCVbody"/>
        <w:spacing w:before="0" w:after="0"/>
        <w:ind w:left="360"/>
        <w:rPr>
          <w:rFonts w:ascii="VIC" w:hAnsi="VIC"/>
          <w:sz w:val="24"/>
          <w:szCs w:val="24"/>
        </w:rPr>
      </w:pPr>
    </w:p>
    <w:p w14:paraId="4CAF2698" w14:textId="4B3D42C4" w:rsidR="488B07A0" w:rsidRPr="003A78FF" w:rsidRDefault="488B07A0" w:rsidP="488B07A0">
      <w:pPr>
        <w:pStyle w:val="SCVbody"/>
        <w:spacing w:before="0" w:after="0"/>
        <w:ind w:left="360"/>
        <w:rPr>
          <w:rFonts w:ascii="VIC" w:hAnsi="VIC"/>
          <w:sz w:val="24"/>
          <w:szCs w:val="24"/>
        </w:rPr>
      </w:pPr>
      <w:r w:rsidRPr="003A78FF">
        <w:rPr>
          <w:rFonts w:ascii="VIC" w:hAnsi="VIC"/>
          <w:sz w:val="24"/>
          <w:szCs w:val="24"/>
        </w:rPr>
        <w:lastRenderedPageBreak/>
        <w:t xml:space="preserve">The table </w:t>
      </w:r>
      <w:r w:rsidR="3DEFCAEF" w:rsidRPr="003A78FF">
        <w:rPr>
          <w:rFonts w:ascii="VIC" w:hAnsi="VIC"/>
          <w:sz w:val="24"/>
          <w:szCs w:val="24"/>
        </w:rPr>
        <w:t xml:space="preserve">below </w:t>
      </w:r>
      <w:r w:rsidR="6F1426F1" w:rsidRPr="003A78FF">
        <w:rPr>
          <w:rFonts w:ascii="VIC" w:hAnsi="VIC"/>
          <w:sz w:val="24"/>
          <w:szCs w:val="24"/>
        </w:rPr>
        <w:t xml:space="preserve">shows </w:t>
      </w:r>
      <w:r w:rsidR="2A49D1C7" w:rsidRPr="003A78FF">
        <w:rPr>
          <w:rFonts w:ascii="VIC" w:hAnsi="VIC"/>
          <w:sz w:val="24"/>
          <w:szCs w:val="24"/>
        </w:rPr>
        <w:t xml:space="preserve">procedures where there may be benefit in </w:t>
      </w:r>
      <w:r w:rsidR="631BB7DA" w:rsidRPr="003A78FF">
        <w:rPr>
          <w:rFonts w:ascii="VIC" w:hAnsi="VIC"/>
          <w:sz w:val="24"/>
          <w:szCs w:val="24"/>
        </w:rPr>
        <w:t xml:space="preserve">promoting (in bold) with </w:t>
      </w:r>
      <w:r w:rsidR="7BD29130" w:rsidRPr="003A78FF">
        <w:rPr>
          <w:rFonts w:ascii="VIC" w:hAnsi="VIC"/>
          <w:sz w:val="24"/>
          <w:szCs w:val="24"/>
        </w:rPr>
        <w:t>clinical craft groups and for which</w:t>
      </w:r>
      <w:r w:rsidR="13B625FF" w:rsidRPr="003A78FF">
        <w:rPr>
          <w:rFonts w:ascii="VIC" w:hAnsi="VIC"/>
          <w:sz w:val="24"/>
          <w:szCs w:val="24"/>
        </w:rPr>
        <w:t xml:space="preserve"> there </w:t>
      </w:r>
      <w:r w:rsidR="0C0CFBA9" w:rsidRPr="003A78FF">
        <w:rPr>
          <w:rFonts w:ascii="VIC" w:hAnsi="VIC"/>
          <w:sz w:val="24"/>
          <w:szCs w:val="24"/>
        </w:rPr>
        <w:t xml:space="preserve">are potential </w:t>
      </w:r>
      <w:r w:rsidR="24358766" w:rsidRPr="003A78FF">
        <w:rPr>
          <w:rFonts w:ascii="VIC" w:hAnsi="VIC"/>
          <w:sz w:val="24"/>
          <w:szCs w:val="24"/>
        </w:rPr>
        <w:t xml:space="preserve">specialty </w:t>
      </w:r>
      <w:r w:rsidR="603E76C3" w:rsidRPr="003A78FF">
        <w:rPr>
          <w:rFonts w:ascii="VIC" w:hAnsi="VIC"/>
          <w:sz w:val="24"/>
          <w:szCs w:val="24"/>
        </w:rPr>
        <w:t xml:space="preserve">champions and/or health </w:t>
      </w:r>
      <w:r w:rsidR="317DDF83" w:rsidRPr="003A78FF">
        <w:rPr>
          <w:rFonts w:ascii="VIC" w:hAnsi="VIC"/>
          <w:sz w:val="24"/>
          <w:szCs w:val="24"/>
        </w:rPr>
        <w:t xml:space="preserve">service </w:t>
      </w:r>
      <w:r w:rsidR="5EE1445D" w:rsidRPr="003A78FF">
        <w:rPr>
          <w:rFonts w:ascii="VIC" w:hAnsi="VIC"/>
          <w:sz w:val="24"/>
          <w:szCs w:val="24"/>
        </w:rPr>
        <w:t>successful</w:t>
      </w:r>
      <w:r w:rsidR="77981DB3" w:rsidRPr="003A78FF">
        <w:rPr>
          <w:rFonts w:ascii="VIC" w:hAnsi="VIC"/>
          <w:sz w:val="24"/>
          <w:szCs w:val="24"/>
        </w:rPr>
        <w:t xml:space="preserve"> models in Victoria</w:t>
      </w:r>
      <w:r w:rsidR="0FC0A971" w:rsidRPr="003A78FF">
        <w:rPr>
          <w:rFonts w:ascii="VIC" w:hAnsi="VIC"/>
          <w:sz w:val="24"/>
          <w:szCs w:val="24"/>
        </w:rPr>
        <w:t>.</w:t>
      </w:r>
    </w:p>
    <w:p w14:paraId="518D4E05" w14:textId="77777777" w:rsidR="009C6702" w:rsidRPr="003A78FF" w:rsidRDefault="009C6702" w:rsidP="00683E84">
      <w:pPr>
        <w:pStyle w:val="SCVbody"/>
        <w:spacing w:before="0" w:after="0"/>
        <w:rPr>
          <w:rFonts w:ascii="VIC" w:hAnsi="VIC"/>
          <w:sz w:val="24"/>
          <w:szCs w:val="24"/>
        </w:rPr>
      </w:pPr>
    </w:p>
    <w:tbl>
      <w:tblPr>
        <w:tblStyle w:val="TableGrid"/>
        <w:tblW w:w="0" w:type="auto"/>
        <w:tblInd w:w="426" w:type="dxa"/>
        <w:tblLook w:val="04A0" w:firstRow="1" w:lastRow="0" w:firstColumn="1" w:lastColumn="0" w:noHBand="0" w:noVBand="1"/>
      </w:tblPr>
      <w:tblGrid>
        <w:gridCol w:w="4491"/>
        <w:gridCol w:w="4918"/>
      </w:tblGrid>
      <w:tr w:rsidR="00B70BB2" w:rsidRPr="003A78FF" w14:paraId="5AC0A4E6" w14:textId="77777777" w:rsidTr="00683E84">
        <w:trPr>
          <w:cnfStyle w:val="100000000000" w:firstRow="1" w:lastRow="0" w:firstColumn="0" w:lastColumn="0" w:oddVBand="0" w:evenVBand="0" w:oddHBand="0" w:evenHBand="0" w:firstRowFirstColumn="0" w:firstRowLastColumn="0" w:lastRowFirstColumn="0" w:lastRowLastColumn="0"/>
        </w:trPr>
        <w:tc>
          <w:tcPr>
            <w:tcW w:w="4491" w:type="dxa"/>
          </w:tcPr>
          <w:p w14:paraId="4849790B" w14:textId="46B1550C" w:rsidR="00B70BB2" w:rsidRPr="003A78FF" w:rsidRDefault="00B70BB2" w:rsidP="00DD0BC2">
            <w:pPr>
              <w:pStyle w:val="NormalWeb"/>
              <w:rPr>
                <w:rFonts w:ascii="VIC" w:hAnsi="VIC" w:cstheme="minorBidi"/>
                <w:b/>
                <w:bCs/>
                <w:color w:val="000000"/>
                <w:sz w:val="24"/>
              </w:rPr>
            </w:pPr>
            <w:r w:rsidRPr="003A78FF">
              <w:rPr>
                <w:rFonts w:ascii="VIC" w:hAnsi="VIC" w:cstheme="minorBidi"/>
                <w:b/>
                <w:bCs/>
                <w:color w:val="000000"/>
                <w:sz w:val="24"/>
              </w:rPr>
              <w:t>Procedure</w:t>
            </w:r>
          </w:p>
        </w:tc>
        <w:tc>
          <w:tcPr>
            <w:tcW w:w="4918" w:type="dxa"/>
          </w:tcPr>
          <w:p w14:paraId="45B563C0" w14:textId="5A6144D5" w:rsidR="00B70BB2" w:rsidRPr="003A78FF" w:rsidRDefault="00B70BB2" w:rsidP="00DD0BC2">
            <w:pPr>
              <w:pStyle w:val="NormalWeb"/>
              <w:rPr>
                <w:rFonts w:ascii="VIC" w:hAnsi="VIC" w:cstheme="minorBidi"/>
                <w:b/>
                <w:bCs/>
                <w:color w:val="000000"/>
                <w:sz w:val="24"/>
              </w:rPr>
            </w:pPr>
            <w:r w:rsidRPr="003A78FF">
              <w:rPr>
                <w:rFonts w:ascii="VIC" w:hAnsi="VIC" w:cstheme="minorBidi"/>
                <w:b/>
                <w:bCs/>
                <w:color w:val="000000"/>
                <w:sz w:val="24"/>
              </w:rPr>
              <w:t>Comments</w:t>
            </w:r>
          </w:p>
        </w:tc>
      </w:tr>
      <w:tr w:rsidR="00B70BB2" w:rsidRPr="003A78FF" w14:paraId="39FAFB47" w14:textId="77777777" w:rsidTr="00683E84">
        <w:tc>
          <w:tcPr>
            <w:tcW w:w="4491" w:type="dxa"/>
          </w:tcPr>
          <w:p w14:paraId="2B82F7D4" w14:textId="4CB227EC" w:rsidR="00B70BB2" w:rsidRPr="003A78FF" w:rsidRDefault="00B70BB2" w:rsidP="00DD0BC2">
            <w:pPr>
              <w:pStyle w:val="NormalWeb"/>
              <w:rPr>
                <w:rFonts w:ascii="VIC" w:hAnsi="VIC" w:cstheme="minorBidi"/>
                <w:color w:val="000000"/>
                <w:sz w:val="24"/>
              </w:rPr>
            </w:pPr>
            <w:r w:rsidRPr="003A78FF">
              <w:rPr>
                <w:rFonts w:ascii="VIC" w:hAnsi="VIC" w:cstheme="minorBidi"/>
                <w:sz w:val="24"/>
              </w:rPr>
              <w:t>lens procedures</w:t>
            </w:r>
          </w:p>
        </w:tc>
        <w:tc>
          <w:tcPr>
            <w:tcW w:w="4918" w:type="dxa"/>
          </w:tcPr>
          <w:p w14:paraId="5A6A458C" w14:textId="2FC78534" w:rsidR="00B70BB2" w:rsidRPr="003A78FF" w:rsidRDefault="00B70BB2" w:rsidP="00DD0BC2">
            <w:pPr>
              <w:pStyle w:val="NormalWeb"/>
              <w:rPr>
                <w:rFonts w:ascii="VIC" w:hAnsi="VIC" w:cstheme="minorBidi"/>
                <w:color w:val="000000"/>
                <w:sz w:val="24"/>
              </w:rPr>
            </w:pPr>
            <w:r w:rsidRPr="003A78FF">
              <w:rPr>
                <w:rFonts w:ascii="VIC" w:hAnsi="VIC" w:cstheme="minorBidi"/>
                <w:sz w:val="24"/>
              </w:rPr>
              <w:t>already occurring</w:t>
            </w:r>
          </w:p>
        </w:tc>
      </w:tr>
      <w:tr w:rsidR="00B70BB2" w:rsidRPr="003A78FF" w14:paraId="67EACA91" w14:textId="77777777" w:rsidTr="00683E84">
        <w:tc>
          <w:tcPr>
            <w:tcW w:w="4491" w:type="dxa"/>
          </w:tcPr>
          <w:p w14:paraId="6C86B073" w14:textId="3B8F3F8E" w:rsidR="00B70BB2" w:rsidRPr="003A78FF" w:rsidRDefault="00B70BB2" w:rsidP="00DD0BC2">
            <w:pPr>
              <w:pStyle w:val="NormalWeb"/>
              <w:rPr>
                <w:rFonts w:ascii="VIC" w:hAnsi="VIC" w:cstheme="minorBidi"/>
                <w:color w:val="000000"/>
                <w:sz w:val="24"/>
              </w:rPr>
            </w:pPr>
            <w:r w:rsidRPr="003A78FF">
              <w:rPr>
                <w:rFonts w:ascii="VIC" w:hAnsi="VIC" w:cstheme="minorBidi"/>
                <w:sz w:val="24"/>
              </w:rPr>
              <w:t>surgical termination of pregnancy</w:t>
            </w:r>
          </w:p>
        </w:tc>
        <w:tc>
          <w:tcPr>
            <w:tcW w:w="4918" w:type="dxa"/>
          </w:tcPr>
          <w:p w14:paraId="062C2DEF" w14:textId="70FD149A" w:rsidR="00B70BB2" w:rsidRPr="003A78FF" w:rsidRDefault="00B70BB2" w:rsidP="00DD0BC2">
            <w:pPr>
              <w:pStyle w:val="NormalWeb"/>
              <w:rPr>
                <w:rFonts w:ascii="VIC" w:hAnsi="VIC" w:cstheme="minorBidi"/>
                <w:color w:val="000000"/>
                <w:sz w:val="24"/>
              </w:rPr>
            </w:pPr>
            <w:r w:rsidRPr="003A78FF">
              <w:rPr>
                <w:rFonts w:ascii="VIC" w:hAnsi="VIC" w:cstheme="minorBidi"/>
                <w:sz w:val="24"/>
              </w:rPr>
              <w:t>already offered</w:t>
            </w:r>
          </w:p>
        </w:tc>
      </w:tr>
      <w:tr w:rsidR="00B70BB2" w:rsidRPr="003A78FF" w14:paraId="2498636A" w14:textId="77777777" w:rsidTr="00683E84">
        <w:tc>
          <w:tcPr>
            <w:tcW w:w="4491" w:type="dxa"/>
          </w:tcPr>
          <w:p w14:paraId="356A04FA" w14:textId="179265A5" w:rsidR="00B70BB2" w:rsidRPr="003A78FF" w:rsidRDefault="00B70BB2" w:rsidP="00DD0BC2">
            <w:pPr>
              <w:pStyle w:val="NormalWeb"/>
              <w:rPr>
                <w:rFonts w:ascii="VIC" w:hAnsi="VIC" w:cstheme="minorBidi"/>
                <w:b/>
                <w:color w:val="000000"/>
                <w:sz w:val="24"/>
              </w:rPr>
            </w:pPr>
            <w:r w:rsidRPr="003A78FF">
              <w:rPr>
                <w:rFonts w:ascii="VIC" w:hAnsi="VIC" w:cstheme="minorBidi"/>
                <w:b/>
                <w:sz w:val="24"/>
              </w:rPr>
              <w:t>inguinal hernia repair</w:t>
            </w:r>
          </w:p>
        </w:tc>
        <w:tc>
          <w:tcPr>
            <w:tcW w:w="4918" w:type="dxa"/>
          </w:tcPr>
          <w:p w14:paraId="3F4DBEAA" w14:textId="437E1661" w:rsidR="00B70BB2" w:rsidRPr="003A78FF" w:rsidRDefault="00B70BB2" w:rsidP="00DD0BC2">
            <w:pPr>
              <w:pStyle w:val="NormalWeb"/>
              <w:rPr>
                <w:rFonts w:ascii="VIC" w:hAnsi="VIC" w:cstheme="minorBidi"/>
                <w:b/>
                <w:color w:val="auto"/>
                <w:sz w:val="24"/>
              </w:rPr>
            </w:pPr>
            <w:r w:rsidRPr="003A78FF">
              <w:rPr>
                <w:rFonts w:ascii="VIC" w:hAnsi="VIC" w:cstheme="minorBidi"/>
                <w:b/>
                <w:color w:val="auto"/>
                <w:sz w:val="24"/>
              </w:rPr>
              <w:t>needs to be promoted</w:t>
            </w:r>
          </w:p>
        </w:tc>
      </w:tr>
      <w:tr w:rsidR="00B70BB2" w:rsidRPr="003A78FF" w14:paraId="484E8E27" w14:textId="77777777" w:rsidTr="00683E84">
        <w:tc>
          <w:tcPr>
            <w:tcW w:w="4491" w:type="dxa"/>
          </w:tcPr>
          <w:p w14:paraId="052AA351" w14:textId="6C5E04BB" w:rsidR="00B70BB2" w:rsidRPr="003A78FF" w:rsidRDefault="00B70BB2" w:rsidP="00DD0BC2">
            <w:pPr>
              <w:pStyle w:val="NormalWeb"/>
              <w:rPr>
                <w:rFonts w:ascii="VIC" w:hAnsi="VIC" w:cstheme="minorBidi"/>
                <w:b/>
                <w:color w:val="000000"/>
                <w:sz w:val="24"/>
              </w:rPr>
            </w:pPr>
            <w:r w:rsidRPr="003A78FF">
              <w:rPr>
                <w:rFonts w:ascii="VIC" w:hAnsi="VIC" w:cstheme="minorBidi"/>
                <w:b/>
                <w:sz w:val="24"/>
              </w:rPr>
              <w:t>umbilical hernia repair</w:t>
            </w:r>
          </w:p>
        </w:tc>
        <w:tc>
          <w:tcPr>
            <w:tcW w:w="4918" w:type="dxa"/>
          </w:tcPr>
          <w:p w14:paraId="4FC80AAE" w14:textId="1C80A21C" w:rsidR="00B70BB2" w:rsidRPr="003A78FF" w:rsidRDefault="00DC63BB" w:rsidP="00DD0BC2">
            <w:pPr>
              <w:pStyle w:val="NormalWeb"/>
              <w:rPr>
                <w:rFonts w:ascii="VIC" w:hAnsi="VIC" w:cstheme="minorBidi"/>
                <w:b/>
                <w:color w:val="auto"/>
                <w:sz w:val="24"/>
              </w:rPr>
            </w:pPr>
            <w:r w:rsidRPr="003A78FF">
              <w:rPr>
                <w:rFonts w:ascii="VIC" w:hAnsi="VIC" w:cstheme="minorBidi"/>
                <w:b/>
                <w:color w:val="auto"/>
                <w:sz w:val="24"/>
              </w:rPr>
              <w:t>needs to be promoted</w:t>
            </w:r>
          </w:p>
        </w:tc>
      </w:tr>
      <w:tr w:rsidR="00B70BB2" w:rsidRPr="003A78FF" w14:paraId="7B9B6C6B" w14:textId="77777777" w:rsidTr="00683E84">
        <w:tc>
          <w:tcPr>
            <w:tcW w:w="4491" w:type="dxa"/>
          </w:tcPr>
          <w:p w14:paraId="08B038F3" w14:textId="43A7158D" w:rsidR="00B70BB2" w:rsidRPr="003A78FF" w:rsidRDefault="00DC63BB" w:rsidP="00DD0BC2">
            <w:pPr>
              <w:pStyle w:val="NormalWeb"/>
              <w:rPr>
                <w:rFonts w:ascii="VIC" w:hAnsi="VIC" w:cstheme="minorBidi"/>
                <w:b/>
                <w:color w:val="000000"/>
                <w:sz w:val="24"/>
              </w:rPr>
            </w:pPr>
            <w:r w:rsidRPr="003A78FF">
              <w:rPr>
                <w:rFonts w:ascii="VIC" w:hAnsi="VIC" w:cstheme="minorBidi"/>
                <w:b/>
                <w:sz w:val="24"/>
              </w:rPr>
              <w:t>laparoscopic cholecystectomy</w:t>
            </w:r>
          </w:p>
        </w:tc>
        <w:tc>
          <w:tcPr>
            <w:tcW w:w="4918" w:type="dxa"/>
          </w:tcPr>
          <w:p w14:paraId="6B858064" w14:textId="5FC1D4C4" w:rsidR="00B70BB2" w:rsidRPr="003A78FF" w:rsidRDefault="00DC63BB" w:rsidP="00DD0BC2">
            <w:pPr>
              <w:pStyle w:val="NormalWeb"/>
              <w:rPr>
                <w:rFonts w:ascii="VIC" w:hAnsi="VIC" w:cstheme="minorBidi"/>
                <w:b/>
                <w:color w:val="auto"/>
                <w:sz w:val="24"/>
              </w:rPr>
            </w:pPr>
            <w:r w:rsidRPr="003A78FF">
              <w:rPr>
                <w:rFonts w:ascii="VIC" w:hAnsi="VIC" w:cstheme="minorBidi"/>
                <w:b/>
                <w:color w:val="auto"/>
                <w:sz w:val="24"/>
              </w:rPr>
              <w:t>needs to be promoted</w:t>
            </w:r>
          </w:p>
        </w:tc>
      </w:tr>
      <w:tr w:rsidR="00B70BB2" w:rsidRPr="003A78FF" w14:paraId="78846E87" w14:textId="77777777" w:rsidTr="00683E84">
        <w:tc>
          <w:tcPr>
            <w:tcW w:w="4491" w:type="dxa"/>
          </w:tcPr>
          <w:p w14:paraId="149B3AE3" w14:textId="2B369B50" w:rsidR="00B70BB2" w:rsidRPr="003A78FF" w:rsidRDefault="00DC63BB" w:rsidP="00DD0BC2">
            <w:pPr>
              <w:pStyle w:val="NormalWeb"/>
              <w:rPr>
                <w:rFonts w:ascii="VIC" w:hAnsi="VIC" w:cstheme="minorBidi"/>
                <w:color w:val="000000"/>
                <w:sz w:val="24"/>
              </w:rPr>
            </w:pPr>
            <w:r w:rsidRPr="003A78FF">
              <w:rPr>
                <w:rFonts w:ascii="VIC" w:hAnsi="VIC" w:cstheme="minorBidi"/>
                <w:sz w:val="24"/>
              </w:rPr>
              <w:t xml:space="preserve">knee procedures including arthroscopy  </w:t>
            </w:r>
          </w:p>
        </w:tc>
        <w:tc>
          <w:tcPr>
            <w:tcW w:w="4918" w:type="dxa"/>
          </w:tcPr>
          <w:p w14:paraId="222ECD3D" w14:textId="653794E0" w:rsidR="00B70BB2" w:rsidRPr="003A78FF" w:rsidRDefault="00DC63BB" w:rsidP="00DD0BC2">
            <w:pPr>
              <w:pStyle w:val="NormalWeb"/>
              <w:rPr>
                <w:rFonts w:ascii="VIC" w:hAnsi="VIC" w:cstheme="minorBidi"/>
                <w:color w:val="auto"/>
                <w:sz w:val="24"/>
              </w:rPr>
            </w:pPr>
            <w:r w:rsidRPr="003A78FF">
              <w:rPr>
                <w:rFonts w:ascii="VIC" w:hAnsi="VIC" w:cstheme="minorBidi"/>
                <w:color w:val="auto"/>
                <w:sz w:val="24"/>
              </w:rPr>
              <w:t>already the standard</w:t>
            </w:r>
          </w:p>
        </w:tc>
      </w:tr>
      <w:tr w:rsidR="00B70BB2" w:rsidRPr="003A78FF" w14:paraId="4E0F078F" w14:textId="77777777" w:rsidTr="00683E84">
        <w:tc>
          <w:tcPr>
            <w:tcW w:w="4491" w:type="dxa"/>
          </w:tcPr>
          <w:p w14:paraId="0B913B4A" w14:textId="74159402" w:rsidR="00B70BB2" w:rsidRPr="003A78FF" w:rsidRDefault="00DC63BB" w:rsidP="00DD0BC2">
            <w:pPr>
              <w:pStyle w:val="NormalWeb"/>
              <w:rPr>
                <w:rFonts w:ascii="VIC" w:hAnsi="VIC" w:cstheme="minorBidi"/>
                <w:b/>
                <w:color w:val="000000"/>
                <w:sz w:val="24"/>
              </w:rPr>
            </w:pPr>
            <w:r w:rsidRPr="003A78FF">
              <w:rPr>
                <w:rFonts w:ascii="VIC" w:hAnsi="VIC" w:cstheme="minorBidi"/>
                <w:b/>
                <w:sz w:val="24"/>
              </w:rPr>
              <w:t>knee arthroplasty and osteotomy</w:t>
            </w:r>
          </w:p>
        </w:tc>
        <w:tc>
          <w:tcPr>
            <w:tcW w:w="4918" w:type="dxa"/>
          </w:tcPr>
          <w:p w14:paraId="5D9C3E4D" w14:textId="29514927" w:rsidR="00B70BB2" w:rsidRPr="003A78FF" w:rsidRDefault="00DC63BB" w:rsidP="00DD0BC2">
            <w:pPr>
              <w:pStyle w:val="NormalWeb"/>
              <w:rPr>
                <w:rFonts w:ascii="VIC" w:hAnsi="VIC" w:cstheme="minorBidi"/>
                <w:b/>
                <w:color w:val="auto"/>
                <w:sz w:val="24"/>
              </w:rPr>
            </w:pPr>
            <w:r w:rsidRPr="003A78FF">
              <w:rPr>
                <w:rFonts w:ascii="VIC" w:hAnsi="VIC" w:cstheme="minorBidi"/>
                <w:b/>
                <w:color w:val="auto"/>
                <w:sz w:val="24"/>
              </w:rPr>
              <w:t>within enhanced recovery program</w:t>
            </w:r>
          </w:p>
        </w:tc>
      </w:tr>
      <w:tr w:rsidR="00DC63BB" w:rsidRPr="003A78FF" w14:paraId="23BCACFB" w14:textId="77777777" w:rsidTr="00683E84">
        <w:tc>
          <w:tcPr>
            <w:tcW w:w="4491" w:type="dxa"/>
          </w:tcPr>
          <w:p w14:paraId="1FE4510C" w14:textId="097AD23D" w:rsidR="00DC63BB" w:rsidRPr="003A78FF" w:rsidRDefault="00DC63BB" w:rsidP="00DD0BC2">
            <w:pPr>
              <w:pStyle w:val="NormalWeb"/>
              <w:rPr>
                <w:rFonts w:ascii="VIC" w:hAnsi="VIC" w:cstheme="minorBidi"/>
                <w:b/>
                <w:color w:val="000000"/>
                <w:sz w:val="24"/>
              </w:rPr>
            </w:pPr>
            <w:r w:rsidRPr="003A78FF">
              <w:rPr>
                <w:rFonts w:ascii="VIC" w:hAnsi="VIC" w:cstheme="minorBidi"/>
                <w:b/>
                <w:sz w:val="24"/>
              </w:rPr>
              <w:t>some shoulder procedures</w:t>
            </w:r>
          </w:p>
        </w:tc>
        <w:tc>
          <w:tcPr>
            <w:tcW w:w="4918" w:type="dxa"/>
          </w:tcPr>
          <w:p w14:paraId="15060A0F" w14:textId="43591DEE" w:rsidR="00DC63BB" w:rsidRPr="003A78FF" w:rsidRDefault="57B52653" w:rsidP="00DD0BC2">
            <w:pPr>
              <w:pStyle w:val="NormalWeb"/>
              <w:rPr>
                <w:rFonts w:ascii="VIC" w:hAnsi="VIC" w:cstheme="minorBidi"/>
                <w:b/>
                <w:color w:val="auto"/>
                <w:sz w:val="24"/>
              </w:rPr>
            </w:pPr>
            <w:r w:rsidRPr="003A78FF">
              <w:rPr>
                <w:rFonts w:ascii="VIC" w:hAnsi="VIC" w:cstheme="minorBidi"/>
                <w:b/>
                <w:color w:val="auto"/>
                <w:sz w:val="24"/>
              </w:rPr>
              <w:t>within enhanced recovery program</w:t>
            </w:r>
          </w:p>
        </w:tc>
      </w:tr>
      <w:tr w:rsidR="00DC63BB" w:rsidRPr="003A78FF" w14:paraId="57440AD3" w14:textId="77777777" w:rsidTr="00683E84">
        <w:tc>
          <w:tcPr>
            <w:tcW w:w="4491" w:type="dxa"/>
          </w:tcPr>
          <w:p w14:paraId="6A1867D7" w14:textId="000D542B" w:rsidR="00DC63BB" w:rsidRPr="003A78FF" w:rsidRDefault="00DC63BB" w:rsidP="00DD0BC2">
            <w:pPr>
              <w:pStyle w:val="NormalWeb"/>
              <w:rPr>
                <w:rFonts w:ascii="VIC" w:hAnsi="VIC" w:cstheme="minorBidi"/>
                <w:sz w:val="24"/>
              </w:rPr>
            </w:pPr>
            <w:r w:rsidRPr="003A78FF">
              <w:rPr>
                <w:rFonts w:ascii="VIC" w:hAnsi="VIC" w:cstheme="minorBidi"/>
                <w:sz w:val="24"/>
              </w:rPr>
              <w:t>most carpal tunnel release</w:t>
            </w:r>
          </w:p>
        </w:tc>
        <w:tc>
          <w:tcPr>
            <w:tcW w:w="4918" w:type="dxa"/>
          </w:tcPr>
          <w:p w14:paraId="45548A22" w14:textId="04228C94" w:rsidR="00DC63BB" w:rsidRPr="003A78FF" w:rsidRDefault="00DC63BB" w:rsidP="00DD0BC2">
            <w:pPr>
              <w:pStyle w:val="NormalWeb"/>
              <w:rPr>
                <w:rFonts w:ascii="VIC" w:hAnsi="VIC" w:cstheme="minorBidi"/>
                <w:color w:val="auto"/>
                <w:sz w:val="24"/>
              </w:rPr>
            </w:pPr>
            <w:r w:rsidRPr="003A78FF">
              <w:rPr>
                <w:rFonts w:ascii="VIC" w:hAnsi="VIC" w:cstheme="minorBidi"/>
                <w:color w:val="auto"/>
                <w:sz w:val="24"/>
              </w:rPr>
              <w:t>already occurring</w:t>
            </w:r>
          </w:p>
        </w:tc>
      </w:tr>
      <w:tr w:rsidR="00DC63BB" w:rsidRPr="003A78FF" w14:paraId="729E3367" w14:textId="77777777" w:rsidTr="00683E84">
        <w:tc>
          <w:tcPr>
            <w:tcW w:w="4491" w:type="dxa"/>
          </w:tcPr>
          <w:p w14:paraId="285E1D93" w14:textId="380F1CE7" w:rsidR="00DC63BB" w:rsidRPr="003A78FF" w:rsidRDefault="00DC63BB" w:rsidP="00DD0BC2">
            <w:pPr>
              <w:pStyle w:val="NormalWeb"/>
              <w:rPr>
                <w:rFonts w:ascii="VIC" w:hAnsi="VIC" w:cstheme="minorBidi"/>
                <w:sz w:val="24"/>
              </w:rPr>
            </w:pPr>
            <w:r w:rsidRPr="003A78FF">
              <w:rPr>
                <w:rFonts w:ascii="VIC" w:hAnsi="VIC" w:cstheme="minorBidi"/>
                <w:sz w:val="24"/>
              </w:rPr>
              <w:t>hand procedures</w:t>
            </w:r>
          </w:p>
        </w:tc>
        <w:tc>
          <w:tcPr>
            <w:tcW w:w="4918" w:type="dxa"/>
          </w:tcPr>
          <w:p w14:paraId="3DA15DF4" w14:textId="431E2D5B" w:rsidR="00DC63BB" w:rsidRPr="003A78FF" w:rsidRDefault="00DC63BB" w:rsidP="00DD0BC2">
            <w:pPr>
              <w:pStyle w:val="NormalWeb"/>
              <w:rPr>
                <w:rFonts w:ascii="VIC" w:hAnsi="VIC" w:cstheme="minorBidi"/>
                <w:color w:val="auto"/>
                <w:sz w:val="24"/>
              </w:rPr>
            </w:pPr>
            <w:r w:rsidRPr="003A78FF">
              <w:rPr>
                <w:rFonts w:ascii="VIC" w:hAnsi="VIC" w:cstheme="minorBidi"/>
                <w:color w:val="auto"/>
                <w:sz w:val="24"/>
              </w:rPr>
              <w:t>already occurring</w:t>
            </w:r>
          </w:p>
        </w:tc>
      </w:tr>
      <w:tr w:rsidR="00DC63BB" w:rsidRPr="003A78FF" w14:paraId="2860B092" w14:textId="77777777" w:rsidTr="00683E84">
        <w:tc>
          <w:tcPr>
            <w:tcW w:w="4491" w:type="dxa"/>
          </w:tcPr>
          <w:p w14:paraId="01723C05" w14:textId="69CE700E" w:rsidR="00DC63BB" w:rsidRPr="003A78FF" w:rsidRDefault="00DC63BB" w:rsidP="00DD0BC2">
            <w:pPr>
              <w:pStyle w:val="NormalWeb"/>
              <w:rPr>
                <w:rFonts w:ascii="VIC" w:hAnsi="VIC" w:cstheme="minorBidi"/>
                <w:sz w:val="24"/>
              </w:rPr>
            </w:pPr>
            <w:r w:rsidRPr="003A78FF">
              <w:rPr>
                <w:rFonts w:ascii="VIC" w:hAnsi="VIC" w:cstheme="minorBidi"/>
                <w:sz w:val="24"/>
              </w:rPr>
              <w:t>skin and subcutaneous procedures/excisions</w:t>
            </w:r>
          </w:p>
        </w:tc>
        <w:tc>
          <w:tcPr>
            <w:tcW w:w="4918" w:type="dxa"/>
          </w:tcPr>
          <w:p w14:paraId="16752D89" w14:textId="0B0DE18A" w:rsidR="00DC63BB" w:rsidRPr="003A78FF" w:rsidRDefault="00DC63BB" w:rsidP="00DD0BC2">
            <w:pPr>
              <w:pStyle w:val="NormalWeb"/>
              <w:rPr>
                <w:rFonts w:ascii="VIC" w:hAnsi="VIC" w:cstheme="minorBidi"/>
                <w:color w:val="auto"/>
                <w:sz w:val="24"/>
              </w:rPr>
            </w:pPr>
            <w:r w:rsidRPr="003A78FF">
              <w:rPr>
                <w:rFonts w:ascii="VIC" w:hAnsi="VIC" w:cstheme="minorBidi"/>
                <w:color w:val="auto"/>
                <w:sz w:val="24"/>
              </w:rPr>
              <w:t>already occurring</w:t>
            </w:r>
          </w:p>
        </w:tc>
      </w:tr>
      <w:tr w:rsidR="00DC63BB" w:rsidRPr="003A78FF" w14:paraId="6A995B13" w14:textId="77777777" w:rsidTr="00683E84">
        <w:tc>
          <w:tcPr>
            <w:tcW w:w="4491" w:type="dxa"/>
          </w:tcPr>
          <w:p w14:paraId="3A022B3C" w14:textId="3FA078F7" w:rsidR="00DC63BB" w:rsidRPr="003A78FF" w:rsidRDefault="00DC63BB" w:rsidP="00DD0BC2">
            <w:pPr>
              <w:pStyle w:val="NormalWeb"/>
              <w:rPr>
                <w:rFonts w:ascii="VIC" w:hAnsi="VIC" w:cstheme="minorBidi"/>
                <w:b/>
                <w:sz w:val="24"/>
              </w:rPr>
            </w:pPr>
            <w:r w:rsidRPr="003A78FF">
              <w:rPr>
                <w:rFonts w:ascii="VIC" w:hAnsi="VIC" w:cstheme="minorBidi"/>
                <w:b/>
                <w:sz w:val="24"/>
              </w:rPr>
              <w:t>breast biopsy</w:t>
            </w:r>
          </w:p>
        </w:tc>
        <w:tc>
          <w:tcPr>
            <w:tcW w:w="4918" w:type="dxa"/>
          </w:tcPr>
          <w:p w14:paraId="004177B0" w14:textId="1370688D" w:rsidR="00DC63BB" w:rsidRPr="003A78FF" w:rsidRDefault="00DC63BB" w:rsidP="00DD0BC2">
            <w:pPr>
              <w:pStyle w:val="NormalWeb"/>
              <w:rPr>
                <w:rFonts w:ascii="VIC" w:hAnsi="VIC" w:cstheme="minorBidi"/>
                <w:b/>
                <w:color w:val="auto"/>
                <w:sz w:val="24"/>
              </w:rPr>
            </w:pPr>
            <w:r w:rsidRPr="003A78FF">
              <w:rPr>
                <w:rFonts w:ascii="VIC" w:hAnsi="VIC" w:cstheme="minorBidi"/>
                <w:b/>
                <w:color w:val="auto"/>
                <w:sz w:val="24"/>
              </w:rPr>
              <w:t>some variability in practice and more patients could be done as a day case</w:t>
            </w:r>
          </w:p>
        </w:tc>
      </w:tr>
      <w:tr w:rsidR="00DC63BB" w:rsidRPr="003A78FF" w14:paraId="742C5FD0" w14:textId="77777777" w:rsidTr="00683E84">
        <w:tc>
          <w:tcPr>
            <w:tcW w:w="4491" w:type="dxa"/>
          </w:tcPr>
          <w:p w14:paraId="1E0F2964" w14:textId="0A8ECFFF" w:rsidR="00DC63BB" w:rsidRPr="003A78FF" w:rsidRDefault="00D2730E" w:rsidP="00DD0BC2">
            <w:pPr>
              <w:pStyle w:val="NormalWeb"/>
              <w:rPr>
                <w:rFonts w:ascii="VIC" w:hAnsi="VIC" w:cstheme="minorBidi"/>
                <w:sz w:val="24"/>
              </w:rPr>
            </w:pPr>
            <w:r w:rsidRPr="003A78FF">
              <w:rPr>
                <w:rFonts w:ascii="VIC" w:hAnsi="VIC" w:cstheme="minorBidi"/>
                <w:sz w:val="24"/>
              </w:rPr>
              <w:t>peripheral nerve surgery</w:t>
            </w:r>
          </w:p>
        </w:tc>
        <w:tc>
          <w:tcPr>
            <w:tcW w:w="4918" w:type="dxa"/>
          </w:tcPr>
          <w:p w14:paraId="46B3A0CB" w14:textId="70583940" w:rsidR="00DC63BB" w:rsidRPr="003A78FF" w:rsidRDefault="00D2730E" w:rsidP="00DD0BC2">
            <w:pPr>
              <w:pStyle w:val="NormalWeb"/>
              <w:rPr>
                <w:rFonts w:ascii="VIC" w:hAnsi="VIC" w:cstheme="minorBidi"/>
                <w:color w:val="auto"/>
                <w:sz w:val="24"/>
              </w:rPr>
            </w:pPr>
            <w:r w:rsidRPr="003A78FF">
              <w:rPr>
                <w:rFonts w:ascii="VIC" w:hAnsi="VIC" w:cstheme="minorBidi"/>
                <w:color w:val="auto"/>
                <w:sz w:val="24"/>
              </w:rPr>
              <w:t>decompression/rhizolysis, lesion resection, transpositions</w:t>
            </w:r>
          </w:p>
        </w:tc>
      </w:tr>
      <w:tr w:rsidR="00DC63BB" w:rsidRPr="003A78FF" w14:paraId="562588B5" w14:textId="77777777" w:rsidTr="00683E84">
        <w:tc>
          <w:tcPr>
            <w:tcW w:w="4491" w:type="dxa"/>
          </w:tcPr>
          <w:p w14:paraId="411051F2" w14:textId="6DBCBD9D" w:rsidR="00DC63BB" w:rsidRPr="003A78FF" w:rsidRDefault="00D2730E" w:rsidP="00DD0BC2">
            <w:pPr>
              <w:pStyle w:val="NormalWeb"/>
              <w:rPr>
                <w:rFonts w:ascii="VIC" w:hAnsi="VIC" w:cstheme="minorBidi"/>
                <w:color w:val="000000"/>
                <w:sz w:val="24"/>
              </w:rPr>
            </w:pPr>
            <w:r w:rsidRPr="003A78FF">
              <w:rPr>
                <w:rFonts w:ascii="VIC" w:hAnsi="VIC" w:cstheme="minorBidi"/>
                <w:sz w:val="24"/>
              </w:rPr>
              <w:t>muscle, nerve and temporal artery biopsies</w:t>
            </w:r>
          </w:p>
        </w:tc>
        <w:tc>
          <w:tcPr>
            <w:tcW w:w="4918" w:type="dxa"/>
          </w:tcPr>
          <w:p w14:paraId="2A248596" w14:textId="60D9CAD7" w:rsidR="00DC63BB" w:rsidRPr="003A78FF" w:rsidRDefault="2F4B3FB2" w:rsidP="00DD0BC2">
            <w:pPr>
              <w:pStyle w:val="NormalWeb"/>
              <w:rPr>
                <w:rFonts w:ascii="VIC" w:hAnsi="VIC" w:cstheme="minorBidi"/>
                <w:color w:val="auto"/>
                <w:sz w:val="24"/>
              </w:rPr>
            </w:pPr>
            <w:r w:rsidRPr="003A78FF">
              <w:rPr>
                <w:rFonts w:ascii="VIC" w:hAnsi="VIC" w:cstheme="minorBidi"/>
                <w:color w:val="auto"/>
                <w:sz w:val="24"/>
              </w:rPr>
              <w:t>Already occurring in suitable patients</w:t>
            </w:r>
          </w:p>
        </w:tc>
      </w:tr>
      <w:tr w:rsidR="00DC63BB" w:rsidRPr="003A78FF" w14:paraId="1EDD54B9" w14:textId="77777777" w:rsidTr="00683E84">
        <w:tc>
          <w:tcPr>
            <w:tcW w:w="4491" w:type="dxa"/>
          </w:tcPr>
          <w:p w14:paraId="6216FA0C" w14:textId="350F99E2" w:rsidR="00DC63BB" w:rsidRPr="003A78FF" w:rsidRDefault="00D2730E" w:rsidP="00DD0BC2">
            <w:pPr>
              <w:pStyle w:val="NormalWeb"/>
              <w:rPr>
                <w:rFonts w:ascii="VIC" w:hAnsi="VIC" w:cstheme="minorBidi"/>
                <w:b/>
                <w:color w:val="000000"/>
                <w:sz w:val="24"/>
              </w:rPr>
            </w:pPr>
            <w:r w:rsidRPr="003A78FF">
              <w:rPr>
                <w:rFonts w:ascii="VIC" w:hAnsi="VIC" w:cstheme="minorBidi"/>
                <w:b/>
                <w:sz w:val="24"/>
              </w:rPr>
              <w:t>simple lumbar decompression and microdiscectomies</w:t>
            </w:r>
          </w:p>
        </w:tc>
        <w:tc>
          <w:tcPr>
            <w:tcW w:w="4918" w:type="dxa"/>
          </w:tcPr>
          <w:p w14:paraId="268386F6" w14:textId="17EECD05" w:rsidR="00DC63BB" w:rsidRPr="003A78FF" w:rsidRDefault="2F4B3FB2" w:rsidP="00DD0BC2">
            <w:pPr>
              <w:pStyle w:val="NormalWeb"/>
              <w:rPr>
                <w:rFonts w:ascii="VIC" w:hAnsi="VIC" w:cstheme="minorBidi"/>
                <w:b/>
                <w:color w:val="auto"/>
                <w:sz w:val="24"/>
              </w:rPr>
            </w:pPr>
            <w:r w:rsidRPr="003A78FF">
              <w:rPr>
                <w:rFonts w:ascii="VIC" w:hAnsi="VIC" w:cstheme="minorBidi"/>
                <w:b/>
                <w:color w:val="auto"/>
                <w:sz w:val="24"/>
              </w:rPr>
              <w:t>Potential based</w:t>
            </w:r>
            <w:r w:rsidR="450F6F35" w:rsidRPr="003A78FF">
              <w:rPr>
                <w:rFonts w:ascii="VIC" w:hAnsi="VIC" w:cstheme="minorBidi"/>
                <w:b/>
                <w:color w:val="auto"/>
                <w:sz w:val="24"/>
              </w:rPr>
              <w:t xml:space="preserve"> on advice from neurosurgery</w:t>
            </w:r>
          </w:p>
        </w:tc>
      </w:tr>
      <w:tr w:rsidR="00D2730E" w:rsidRPr="003A78FF" w14:paraId="310FF5D6" w14:textId="77777777" w:rsidTr="00683E84">
        <w:tc>
          <w:tcPr>
            <w:tcW w:w="4491" w:type="dxa"/>
          </w:tcPr>
          <w:p w14:paraId="270CC488" w14:textId="6EFBE883" w:rsidR="00D2730E" w:rsidRPr="003A78FF" w:rsidRDefault="00D2730E" w:rsidP="00DD0BC2">
            <w:pPr>
              <w:pStyle w:val="NormalWeb"/>
              <w:rPr>
                <w:rFonts w:ascii="VIC" w:hAnsi="VIC" w:cstheme="minorBidi"/>
                <w:b/>
                <w:color w:val="000000"/>
                <w:sz w:val="24"/>
              </w:rPr>
            </w:pPr>
            <w:r w:rsidRPr="003A78FF">
              <w:rPr>
                <w:rFonts w:ascii="VIC" w:hAnsi="VIC" w:cstheme="minorBidi"/>
                <w:b/>
                <w:sz w:val="24"/>
              </w:rPr>
              <w:t>simple cervical decompression and foraminotomies</w:t>
            </w:r>
          </w:p>
        </w:tc>
        <w:tc>
          <w:tcPr>
            <w:tcW w:w="4918" w:type="dxa"/>
          </w:tcPr>
          <w:p w14:paraId="66C029E4" w14:textId="4B1C9C5D" w:rsidR="00D2730E" w:rsidRPr="003A78FF" w:rsidRDefault="56A83B03" w:rsidP="450F6F35">
            <w:pPr>
              <w:pStyle w:val="NormalWeb"/>
              <w:rPr>
                <w:rFonts w:ascii="VIC" w:hAnsi="VIC" w:cstheme="minorBidi"/>
                <w:b/>
                <w:color w:val="auto"/>
                <w:sz w:val="24"/>
              </w:rPr>
            </w:pPr>
            <w:r w:rsidRPr="003A78FF">
              <w:rPr>
                <w:rFonts w:ascii="VIC" w:hAnsi="VIC" w:cstheme="minorBidi"/>
                <w:b/>
                <w:color w:val="auto"/>
                <w:sz w:val="24"/>
              </w:rPr>
              <w:t>Potential</w:t>
            </w:r>
            <w:r w:rsidR="2F4B3FB2" w:rsidRPr="003A78FF">
              <w:rPr>
                <w:rFonts w:ascii="VIC" w:hAnsi="VIC" w:cstheme="minorBidi"/>
                <w:b/>
                <w:color w:val="auto"/>
                <w:sz w:val="24"/>
              </w:rPr>
              <w:t xml:space="preserve"> based</w:t>
            </w:r>
            <w:r w:rsidR="450F6F35" w:rsidRPr="003A78FF">
              <w:rPr>
                <w:rFonts w:ascii="VIC" w:hAnsi="VIC" w:cstheme="minorBidi"/>
                <w:b/>
                <w:color w:val="auto"/>
                <w:sz w:val="24"/>
              </w:rPr>
              <w:t xml:space="preserve"> on advice from neurosurgery</w:t>
            </w:r>
          </w:p>
          <w:p w14:paraId="2FDC4A02" w14:textId="14CF629E" w:rsidR="00D2730E" w:rsidRPr="003A78FF" w:rsidRDefault="00D2730E" w:rsidP="00DD0BC2">
            <w:pPr>
              <w:pStyle w:val="NormalWeb"/>
              <w:rPr>
                <w:rFonts w:ascii="VIC" w:hAnsi="VIC" w:cstheme="minorBidi"/>
                <w:b/>
                <w:color w:val="auto"/>
                <w:sz w:val="24"/>
              </w:rPr>
            </w:pPr>
          </w:p>
        </w:tc>
      </w:tr>
      <w:tr w:rsidR="00D2730E" w:rsidRPr="003A78FF" w14:paraId="15566575" w14:textId="77777777" w:rsidTr="00683E84">
        <w:tc>
          <w:tcPr>
            <w:tcW w:w="4491" w:type="dxa"/>
          </w:tcPr>
          <w:p w14:paraId="037212F1" w14:textId="6B338369" w:rsidR="00D2730E" w:rsidRPr="003A78FF" w:rsidRDefault="00D2730E" w:rsidP="008F70C1">
            <w:pPr>
              <w:pStyle w:val="NormalWeb"/>
              <w:rPr>
                <w:rFonts w:ascii="VIC" w:hAnsi="VIC" w:cstheme="minorBidi"/>
                <w:sz w:val="24"/>
              </w:rPr>
            </w:pPr>
            <w:r w:rsidRPr="003A78FF">
              <w:rPr>
                <w:rFonts w:ascii="VIC" w:hAnsi="VIC" w:cstheme="minorBidi"/>
                <w:sz w:val="24"/>
              </w:rPr>
              <w:t xml:space="preserve">anterior cervical discectomy and fusions </w:t>
            </w:r>
          </w:p>
        </w:tc>
        <w:tc>
          <w:tcPr>
            <w:tcW w:w="4918" w:type="dxa"/>
          </w:tcPr>
          <w:p w14:paraId="4A4D5F86" w14:textId="0B5780D0" w:rsidR="00D2730E" w:rsidRPr="003A78FF" w:rsidRDefault="00D2730E" w:rsidP="00DD0BC2">
            <w:pPr>
              <w:pStyle w:val="NormalWeb"/>
              <w:rPr>
                <w:rFonts w:ascii="VIC" w:hAnsi="VIC" w:cstheme="minorBidi"/>
                <w:color w:val="auto"/>
                <w:sz w:val="24"/>
              </w:rPr>
            </w:pPr>
            <w:r w:rsidRPr="003A78FF">
              <w:rPr>
                <w:rFonts w:ascii="VIC" w:hAnsi="VIC" w:cstheme="minorBidi"/>
                <w:color w:val="auto"/>
                <w:sz w:val="24"/>
              </w:rPr>
              <w:t>23-hr stay</w:t>
            </w:r>
            <w:r w:rsidR="5F29D48E" w:rsidRPr="003A78FF">
              <w:rPr>
                <w:rFonts w:ascii="VIC" w:hAnsi="VIC" w:cstheme="minorBidi"/>
                <w:color w:val="auto"/>
                <w:sz w:val="24"/>
              </w:rPr>
              <w:t xml:space="preserve"> achievable</w:t>
            </w:r>
          </w:p>
        </w:tc>
      </w:tr>
      <w:tr w:rsidR="00D2730E" w:rsidRPr="003A78FF" w14:paraId="7E5938A9" w14:textId="77777777" w:rsidTr="00683E84">
        <w:tc>
          <w:tcPr>
            <w:tcW w:w="4491" w:type="dxa"/>
          </w:tcPr>
          <w:p w14:paraId="391688A6" w14:textId="271943A5" w:rsidR="00D2730E" w:rsidRPr="003A78FF" w:rsidRDefault="00D2730E" w:rsidP="00DD0BC2">
            <w:pPr>
              <w:pStyle w:val="NormalWeb"/>
              <w:rPr>
                <w:rFonts w:ascii="VIC" w:hAnsi="VIC" w:cstheme="minorBidi"/>
                <w:b/>
                <w:sz w:val="24"/>
              </w:rPr>
            </w:pPr>
            <w:r w:rsidRPr="003A78FF">
              <w:rPr>
                <w:rFonts w:ascii="VIC" w:hAnsi="VIC" w:cstheme="minorBidi"/>
                <w:b/>
                <w:sz w:val="24"/>
              </w:rPr>
              <w:t>skull tumours and other wholly intraosseous lesions</w:t>
            </w:r>
          </w:p>
        </w:tc>
        <w:tc>
          <w:tcPr>
            <w:tcW w:w="4918" w:type="dxa"/>
          </w:tcPr>
          <w:p w14:paraId="3085213F" w14:textId="28926F04" w:rsidR="00D2730E" w:rsidRPr="003A78FF" w:rsidRDefault="5F29D48E" w:rsidP="00DD0BC2">
            <w:pPr>
              <w:pStyle w:val="NormalWeb"/>
              <w:rPr>
                <w:rFonts w:ascii="VIC" w:hAnsi="VIC" w:cstheme="minorBidi"/>
                <w:b/>
                <w:color w:val="auto"/>
                <w:sz w:val="24"/>
              </w:rPr>
            </w:pPr>
            <w:r w:rsidRPr="003A78FF">
              <w:rPr>
                <w:rFonts w:ascii="VIC" w:hAnsi="VIC" w:cstheme="minorBidi"/>
                <w:b/>
                <w:color w:val="auto"/>
                <w:sz w:val="24"/>
              </w:rPr>
              <w:t>Potential for simple cases</w:t>
            </w:r>
          </w:p>
        </w:tc>
      </w:tr>
      <w:tr w:rsidR="00D2730E" w:rsidRPr="003A78FF" w14:paraId="779FB53F" w14:textId="77777777" w:rsidTr="00683E84">
        <w:tc>
          <w:tcPr>
            <w:tcW w:w="4491" w:type="dxa"/>
          </w:tcPr>
          <w:p w14:paraId="720D3765" w14:textId="5139C8FB" w:rsidR="00D2730E" w:rsidRPr="003A78FF" w:rsidRDefault="00D2730E" w:rsidP="00DD0BC2">
            <w:pPr>
              <w:pStyle w:val="NormalWeb"/>
              <w:rPr>
                <w:rFonts w:ascii="VIC" w:hAnsi="VIC" w:cstheme="minorBidi"/>
                <w:sz w:val="24"/>
              </w:rPr>
            </w:pPr>
            <w:r w:rsidRPr="003A78FF">
              <w:rPr>
                <w:rFonts w:ascii="VIC" w:hAnsi="VIC" w:cstheme="minorHAnsi"/>
                <w:color w:val="000000"/>
                <w:sz w:val="24"/>
              </w:rPr>
              <w:t>ENT biopsies</w:t>
            </w:r>
          </w:p>
        </w:tc>
        <w:tc>
          <w:tcPr>
            <w:tcW w:w="4918" w:type="dxa"/>
          </w:tcPr>
          <w:p w14:paraId="00131881" w14:textId="4A6B0297" w:rsidR="00D2730E" w:rsidRPr="003A78FF" w:rsidRDefault="57B52653" w:rsidP="00DD0BC2">
            <w:pPr>
              <w:pStyle w:val="NormalWeb"/>
              <w:rPr>
                <w:rFonts w:ascii="VIC" w:hAnsi="VIC" w:cstheme="minorBidi"/>
                <w:sz w:val="24"/>
              </w:rPr>
            </w:pPr>
            <w:r w:rsidRPr="003A78FF">
              <w:rPr>
                <w:rFonts w:ascii="VIC" w:hAnsi="VIC" w:cstheme="minorBidi"/>
                <w:sz w:val="24"/>
              </w:rPr>
              <w:t>already</w:t>
            </w:r>
            <w:r w:rsidR="2F4B3FB2" w:rsidRPr="003A78FF">
              <w:rPr>
                <w:rFonts w:ascii="VIC" w:hAnsi="VIC" w:cstheme="minorBidi"/>
                <w:sz w:val="24"/>
              </w:rPr>
              <w:t xml:space="preserve"> occurring </w:t>
            </w:r>
          </w:p>
        </w:tc>
      </w:tr>
      <w:tr w:rsidR="00D2730E" w:rsidRPr="003A78FF" w14:paraId="65C72BB9" w14:textId="77777777" w:rsidTr="5541E9FB">
        <w:tc>
          <w:tcPr>
            <w:tcW w:w="4491" w:type="dxa"/>
          </w:tcPr>
          <w:p w14:paraId="3F7D04E3" w14:textId="6176FC15" w:rsidR="5C560617" w:rsidRPr="003A78FF" w:rsidRDefault="5C560617" w:rsidP="349CEF60">
            <w:pPr>
              <w:pStyle w:val="NormalWeb"/>
              <w:rPr>
                <w:rFonts w:ascii="VIC" w:hAnsi="VIC" w:cstheme="minorBidi"/>
                <w:b/>
                <w:bCs/>
                <w:sz w:val="24"/>
              </w:rPr>
            </w:pPr>
            <w:r w:rsidRPr="003A78FF">
              <w:rPr>
                <w:rFonts w:ascii="VIC" w:hAnsi="VIC" w:cstheme="minorBidi"/>
                <w:b/>
                <w:bCs/>
                <w:sz w:val="24"/>
              </w:rPr>
              <w:t>nasal procedures, fractured nose manipulation, rhinoplasty, septoplasty</w:t>
            </w:r>
          </w:p>
          <w:p w14:paraId="06BF3AE8" w14:textId="19A6E3F0" w:rsidR="5C560617" w:rsidRPr="003A78FF" w:rsidRDefault="5C560617" w:rsidP="5541E9FB">
            <w:pPr>
              <w:pStyle w:val="NormalWeb"/>
              <w:rPr>
                <w:rFonts w:ascii="VIC" w:hAnsi="VIC" w:cstheme="minorBidi"/>
                <w:b/>
                <w:bCs/>
                <w:sz w:val="24"/>
              </w:rPr>
            </w:pPr>
          </w:p>
        </w:tc>
        <w:tc>
          <w:tcPr>
            <w:tcW w:w="4918" w:type="dxa"/>
          </w:tcPr>
          <w:p w14:paraId="056E7988" w14:textId="31913F9F" w:rsidR="5C560617" w:rsidRPr="003A78FF" w:rsidRDefault="07B62F04" w:rsidP="5541E9FB">
            <w:pPr>
              <w:pStyle w:val="NormalWeb"/>
              <w:rPr>
                <w:rFonts w:ascii="VIC" w:hAnsi="VIC" w:cstheme="minorBidi"/>
                <w:b/>
                <w:bCs/>
                <w:sz w:val="24"/>
              </w:rPr>
            </w:pPr>
            <w:r w:rsidRPr="003A78FF">
              <w:rPr>
                <w:rFonts w:ascii="VIC" w:hAnsi="VIC" w:cstheme="minorBidi"/>
                <w:b/>
                <w:bCs/>
                <w:sz w:val="24"/>
              </w:rPr>
              <w:t>Can be promoted</w:t>
            </w:r>
          </w:p>
        </w:tc>
      </w:tr>
      <w:tr w:rsidR="00D2730E" w:rsidRPr="003A78FF" w14:paraId="0474E8CF" w14:textId="77777777" w:rsidTr="00683E84">
        <w:tc>
          <w:tcPr>
            <w:tcW w:w="4491" w:type="dxa"/>
          </w:tcPr>
          <w:p w14:paraId="68A8314E" w14:textId="4CB9909F" w:rsidR="00D2730E" w:rsidRPr="003A78FF" w:rsidRDefault="00D2730E" w:rsidP="00DD0BC2">
            <w:pPr>
              <w:pStyle w:val="NormalWeb"/>
              <w:rPr>
                <w:rFonts w:ascii="VIC" w:hAnsi="VIC" w:cstheme="minorBidi"/>
                <w:b/>
                <w:color w:val="000000"/>
                <w:sz w:val="24"/>
              </w:rPr>
            </w:pPr>
            <w:r w:rsidRPr="003A78FF">
              <w:rPr>
                <w:rFonts w:ascii="VIC" w:hAnsi="VIC" w:cstheme="minorBidi"/>
                <w:b/>
                <w:sz w:val="24"/>
              </w:rPr>
              <w:t>sinus procedures</w:t>
            </w:r>
          </w:p>
        </w:tc>
        <w:tc>
          <w:tcPr>
            <w:tcW w:w="4918" w:type="dxa"/>
          </w:tcPr>
          <w:p w14:paraId="17787D8B" w14:textId="2CFE619E" w:rsidR="00D2730E" w:rsidRPr="003A78FF" w:rsidRDefault="00E91FC6" w:rsidP="00DD0BC2">
            <w:pPr>
              <w:pStyle w:val="NormalWeb"/>
              <w:rPr>
                <w:rFonts w:ascii="VIC" w:hAnsi="VIC" w:cstheme="minorBidi"/>
                <w:b/>
                <w:color w:val="auto"/>
                <w:sz w:val="24"/>
              </w:rPr>
            </w:pPr>
            <w:r w:rsidRPr="003A78FF">
              <w:rPr>
                <w:rFonts w:ascii="VIC" w:hAnsi="VIC" w:cstheme="minorBidi"/>
                <w:b/>
                <w:color w:val="auto"/>
                <w:sz w:val="24"/>
              </w:rPr>
              <w:t>there is variability in day surgery rates and could be promoted</w:t>
            </w:r>
          </w:p>
        </w:tc>
      </w:tr>
      <w:tr w:rsidR="00D2730E" w:rsidRPr="003A78FF" w14:paraId="0B82014F" w14:textId="77777777" w:rsidTr="00683E84">
        <w:tc>
          <w:tcPr>
            <w:tcW w:w="4491" w:type="dxa"/>
          </w:tcPr>
          <w:p w14:paraId="5A8ADF62" w14:textId="3979A23C" w:rsidR="00D2730E" w:rsidRPr="003A78FF" w:rsidRDefault="00D2730E" w:rsidP="00DD0BC2">
            <w:pPr>
              <w:pStyle w:val="NormalWeb"/>
              <w:rPr>
                <w:rFonts w:ascii="VIC" w:hAnsi="VIC" w:cstheme="minorBidi"/>
                <w:b/>
                <w:color w:val="000000"/>
                <w:sz w:val="24"/>
              </w:rPr>
            </w:pPr>
            <w:r w:rsidRPr="003A78FF">
              <w:rPr>
                <w:rFonts w:ascii="VIC" w:hAnsi="VIC" w:cstheme="minorBidi"/>
                <w:b/>
                <w:sz w:val="24"/>
              </w:rPr>
              <w:t>tonsillectomy/adenoidectomy</w:t>
            </w:r>
          </w:p>
        </w:tc>
        <w:tc>
          <w:tcPr>
            <w:tcW w:w="4918" w:type="dxa"/>
          </w:tcPr>
          <w:p w14:paraId="1CA89C54" w14:textId="58178862" w:rsidR="00D2730E" w:rsidRPr="003A78FF" w:rsidRDefault="4D0158BD" w:rsidP="00DD0BC2">
            <w:pPr>
              <w:pStyle w:val="NormalWeb"/>
              <w:rPr>
                <w:rFonts w:ascii="VIC" w:hAnsi="VIC" w:cstheme="minorBidi"/>
                <w:b/>
                <w:color w:val="auto"/>
                <w:sz w:val="24"/>
              </w:rPr>
            </w:pPr>
            <w:r w:rsidRPr="003A78FF">
              <w:rPr>
                <w:rFonts w:ascii="VIC" w:hAnsi="VIC" w:cstheme="minorBidi"/>
                <w:b/>
                <w:color w:val="auto"/>
                <w:sz w:val="24"/>
              </w:rPr>
              <w:t>occurring in some centres (</w:t>
            </w:r>
            <w:r w:rsidR="00496E0B" w:rsidRPr="003A78FF">
              <w:rPr>
                <w:rFonts w:ascii="VIC" w:hAnsi="VIC" w:cstheme="minorBidi"/>
                <w:b/>
                <w:color w:val="auto"/>
                <w:sz w:val="24"/>
              </w:rPr>
              <w:t>e.g.</w:t>
            </w:r>
            <w:r w:rsidR="2A77CE8F" w:rsidRPr="003A78FF">
              <w:rPr>
                <w:rFonts w:ascii="VIC" w:hAnsi="VIC" w:cstheme="minorBidi"/>
                <w:b/>
                <w:color w:val="auto"/>
                <w:sz w:val="24"/>
              </w:rPr>
              <w:t xml:space="preserve"> Kilmore</w:t>
            </w:r>
            <w:r w:rsidR="00D6189B" w:rsidRPr="003A78FF">
              <w:rPr>
                <w:rFonts w:ascii="VIC" w:hAnsi="VIC" w:cstheme="minorBidi"/>
                <w:b/>
                <w:color w:val="auto"/>
                <w:sz w:val="24"/>
              </w:rPr>
              <w:t xml:space="preserve"> District Health</w:t>
            </w:r>
            <w:r w:rsidR="2A77CE8F" w:rsidRPr="003A78FF">
              <w:rPr>
                <w:rFonts w:ascii="VIC" w:hAnsi="VIC" w:cstheme="minorBidi"/>
                <w:b/>
                <w:color w:val="auto"/>
                <w:sz w:val="24"/>
              </w:rPr>
              <w:t>)</w:t>
            </w:r>
          </w:p>
        </w:tc>
      </w:tr>
      <w:tr w:rsidR="00D2730E" w:rsidRPr="003A78FF" w14:paraId="2623B6E9" w14:textId="77777777" w:rsidTr="00683E84">
        <w:tc>
          <w:tcPr>
            <w:tcW w:w="4491" w:type="dxa"/>
          </w:tcPr>
          <w:p w14:paraId="37A45675" w14:textId="79CAD55A" w:rsidR="00D2730E" w:rsidRPr="003A78FF" w:rsidRDefault="00D2730E" w:rsidP="00D2730E">
            <w:pPr>
              <w:pStyle w:val="NormalWeb"/>
              <w:rPr>
                <w:rFonts w:ascii="VIC" w:hAnsi="VIC" w:cstheme="minorBidi"/>
                <w:color w:val="000000"/>
                <w:sz w:val="24"/>
              </w:rPr>
            </w:pPr>
            <w:r w:rsidRPr="003A78FF">
              <w:rPr>
                <w:rFonts w:ascii="VIC" w:hAnsi="VIC" w:cstheme="minorBidi"/>
                <w:sz w:val="24"/>
              </w:rPr>
              <w:lastRenderedPageBreak/>
              <w:t xml:space="preserve">paediatric OSA, grommets, and </w:t>
            </w:r>
            <w:r w:rsidR="5F29D48E" w:rsidRPr="003A78FF">
              <w:rPr>
                <w:rFonts w:ascii="VIC" w:hAnsi="VIC" w:cstheme="minorBidi"/>
                <w:sz w:val="24"/>
              </w:rPr>
              <w:t xml:space="preserve">some </w:t>
            </w:r>
            <w:r w:rsidRPr="003A78FF">
              <w:rPr>
                <w:rFonts w:ascii="VIC" w:hAnsi="VIC" w:cstheme="minorBidi"/>
                <w:sz w:val="24"/>
              </w:rPr>
              <w:t>middle ear/mastoid procedures</w:t>
            </w:r>
          </w:p>
        </w:tc>
        <w:tc>
          <w:tcPr>
            <w:tcW w:w="4918" w:type="dxa"/>
          </w:tcPr>
          <w:p w14:paraId="3695A690" w14:textId="7D558293" w:rsidR="00D2730E" w:rsidRPr="003A78FF" w:rsidRDefault="37BF2766" w:rsidP="00DD0BC2">
            <w:pPr>
              <w:pStyle w:val="NormalWeb"/>
              <w:rPr>
                <w:rFonts w:ascii="VIC" w:hAnsi="VIC" w:cstheme="minorBidi"/>
                <w:sz w:val="24"/>
              </w:rPr>
            </w:pPr>
            <w:r w:rsidRPr="003A78FF">
              <w:rPr>
                <w:rFonts w:ascii="VIC" w:hAnsi="VIC" w:cstheme="minorBidi"/>
                <w:sz w:val="24"/>
              </w:rPr>
              <w:t>Occurring in some ce</w:t>
            </w:r>
            <w:r w:rsidR="03437680" w:rsidRPr="003A78FF">
              <w:rPr>
                <w:rFonts w:ascii="VIC" w:hAnsi="VIC" w:cstheme="minorBidi"/>
                <w:sz w:val="24"/>
              </w:rPr>
              <w:t>ntres</w:t>
            </w:r>
          </w:p>
        </w:tc>
      </w:tr>
    </w:tbl>
    <w:p w14:paraId="1C6D2355" w14:textId="77777777" w:rsidR="00A53EEE" w:rsidRPr="003A78FF" w:rsidRDefault="00A53EEE" w:rsidP="00A53EEE">
      <w:pPr>
        <w:pStyle w:val="Heading3"/>
        <w:rPr>
          <w:rFonts w:ascii="VIC" w:hAnsi="VIC"/>
          <w:szCs w:val="24"/>
        </w:rPr>
      </w:pPr>
      <w:bookmarkStart w:id="17" w:name="_Toc111215095"/>
      <w:bookmarkStart w:id="18" w:name="_Toc111215152"/>
    </w:p>
    <w:p w14:paraId="34811CF1" w14:textId="1EE6EF0A" w:rsidR="00A36DA2" w:rsidRPr="003A78FF" w:rsidRDefault="00A36DA2" w:rsidP="00FE54E5">
      <w:pPr>
        <w:pStyle w:val="Heading3"/>
        <w:numPr>
          <w:ilvl w:val="0"/>
          <w:numId w:val="21"/>
        </w:numPr>
        <w:rPr>
          <w:rFonts w:ascii="VIC" w:hAnsi="VIC"/>
          <w:szCs w:val="24"/>
        </w:rPr>
      </w:pPr>
      <w:r w:rsidRPr="003A78FF">
        <w:rPr>
          <w:rFonts w:ascii="VIC" w:hAnsi="VIC"/>
          <w:szCs w:val="24"/>
        </w:rPr>
        <w:t>From a clinical and system perspective, what are the current challenges in expanding same-day models of surgical care?</w:t>
      </w:r>
      <w:bookmarkEnd w:id="17"/>
      <w:bookmarkEnd w:id="18"/>
      <w:r w:rsidRPr="003A78FF">
        <w:rPr>
          <w:rFonts w:ascii="Cambria" w:hAnsi="Cambria" w:cs="Cambria"/>
          <w:szCs w:val="24"/>
        </w:rPr>
        <w:t> </w:t>
      </w:r>
    </w:p>
    <w:p w14:paraId="609B1A5D" w14:textId="77777777" w:rsidR="00132B8A" w:rsidRPr="003A78FF" w:rsidRDefault="00132B8A" w:rsidP="00132B8A">
      <w:pPr>
        <w:pStyle w:val="SCVbody"/>
        <w:spacing w:before="0" w:after="0"/>
        <w:rPr>
          <w:rFonts w:ascii="VIC" w:hAnsi="VIC"/>
          <w:sz w:val="24"/>
          <w:szCs w:val="24"/>
        </w:rPr>
      </w:pPr>
    </w:p>
    <w:p w14:paraId="145D9B8F" w14:textId="6FA5C78F" w:rsidR="253A6C64" w:rsidRPr="003A78FF" w:rsidRDefault="253A6C64" w:rsidP="00496E0B">
      <w:pPr>
        <w:pStyle w:val="NormalWeb"/>
        <w:ind w:left="360"/>
        <w:rPr>
          <w:rFonts w:ascii="VIC" w:hAnsi="VIC" w:cstheme="minorBidi"/>
          <w:sz w:val="24"/>
        </w:rPr>
      </w:pPr>
      <w:r w:rsidRPr="003A78FF">
        <w:rPr>
          <w:rFonts w:ascii="VIC" w:hAnsi="VIC" w:cstheme="minorBidi"/>
          <w:sz w:val="24"/>
        </w:rPr>
        <w:t>Sufficient resources</w:t>
      </w:r>
      <w:r w:rsidR="00672DBD" w:rsidRPr="003A78FF">
        <w:rPr>
          <w:rFonts w:ascii="VIC" w:hAnsi="VIC" w:cstheme="minorBidi"/>
          <w:sz w:val="24"/>
        </w:rPr>
        <w:t xml:space="preserve">, </w:t>
      </w:r>
      <w:r w:rsidRPr="003A78FF">
        <w:rPr>
          <w:rFonts w:ascii="VIC" w:hAnsi="VIC" w:cstheme="minorBidi"/>
          <w:sz w:val="24"/>
        </w:rPr>
        <w:t xml:space="preserve">staffing </w:t>
      </w:r>
      <w:r w:rsidR="00672DBD" w:rsidRPr="003A78FF">
        <w:rPr>
          <w:rFonts w:ascii="VIC" w:hAnsi="VIC" w:cstheme="minorBidi"/>
          <w:sz w:val="24"/>
        </w:rPr>
        <w:t xml:space="preserve">and workforce capability </w:t>
      </w:r>
      <w:r w:rsidRPr="003A78FF">
        <w:rPr>
          <w:rFonts w:ascii="VIC" w:hAnsi="VIC" w:cstheme="minorBidi"/>
          <w:sz w:val="24"/>
        </w:rPr>
        <w:t>to provide same-day models of surgical care</w:t>
      </w:r>
      <w:r w:rsidR="00092CA0" w:rsidRPr="003A78FF">
        <w:rPr>
          <w:rFonts w:ascii="VIC" w:hAnsi="VIC" w:cstheme="minorBidi"/>
          <w:sz w:val="24"/>
        </w:rPr>
        <w:t xml:space="preserve"> </w:t>
      </w:r>
      <w:r w:rsidR="00D30A7F" w:rsidRPr="003A78FF">
        <w:rPr>
          <w:rFonts w:ascii="VIC" w:hAnsi="VIC" w:cstheme="minorBidi"/>
          <w:sz w:val="24"/>
        </w:rPr>
        <w:t>safely and effectively</w:t>
      </w:r>
      <w:r w:rsidR="00092CA0" w:rsidRPr="003A78FF">
        <w:rPr>
          <w:rFonts w:ascii="VIC" w:hAnsi="VIC" w:cstheme="minorBidi"/>
          <w:sz w:val="24"/>
        </w:rPr>
        <w:t xml:space="preserve"> are paramount. We acknowledge that not</w:t>
      </w:r>
      <w:r w:rsidRPr="003A78FF">
        <w:rPr>
          <w:rFonts w:ascii="VIC" w:hAnsi="VIC" w:cstheme="minorBidi"/>
          <w:sz w:val="24"/>
        </w:rPr>
        <w:t xml:space="preserve"> all services are resourced the same, so some</w:t>
      </w:r>
      <w:r w:rsidR="00AC2B9B" w:rsidRPr="003A78FF">
        <w:rPr>
          <w:rFonts w:ascii="VIC" w:hAnsi="VIC" w:cstheme="minorBidi"/>
          <w:sz w:val="24"/>
        </w:rPr>
        <w:t xml:space="preserve"> may require </w:t>
      </w:r>
      <w:r w:rsidR="00BC6BB8" w:rsidRPr="003A78FF">
        <w:rPr>
          <w:rFonts w:ascii="VIC" w:hAnsi="VIC" w:cstheme="minorBidi"/>
          <w:sz w:val="24"/>
        </w:rPr>
        <w:t>more</w:t>
      </w:r>
      <w:r w:rsidR="00AC2B9B" w:rsidRPr="003A78FF">
        <w:rPr>
          <w:rFonts w:ascii="VIC" w:hAnsi="VIC" w:cstheme="minorBidi"/>
          <w:sz w:val="24"/>
        </w:rPr>
        <w:t xml:space="preserve"> focussed planning</w:t>
      </w:r>
      <w:r w:rsidRPr="003A78FF">
        <w:rPr>
          <w:rFonts w:ascii="VIC" w:hAnsi="VIC" w:cstheme="minorBidi"/>
          <w:sz w:val="24"/>
        </w:rPr>
        <w:t xml:space="preserve">. For example, rural hospitals may not have the </w:t>
      </w:r>
      <w:r w:rsidR="000265A8" w:rsidRPr="003A78FF">
        <w:rPr>
          <w:rFonts w:ascii="VIC" w:hAnsi="VIC" w:cstheme="minorBidi"/>
          <w:sz w:val="24"/>
        </w:rPr>
        <w:t>workforce</w:t>
      </w:r>
      <w:r w:rsidRPr="003A78FF">
        <w:rPr>
          <w:rFonts w:ascii="VIC" w:hAnsi="VIC" w:cstheme="minorBidi"/>
          <w:sz w:val="24"/>
        </w:rPr>
        <w:t xml:space="preserve"> and </w:t>
      </w:r>
      <w:r w:rsidR="00CC1BBC" w:rsidRPr="003A78FF">
        <w:rPr>
          <w:rFonts w:ascii="VIC" w:hAnsi="VIC" w:cstheme="minorBidi"/>
          <w:sz w:val="24"/>
        </w:rPr>
        <w:t>capability</w:t>
      </w:r>
      <w:r w:rsidRPr="003A78FF">
        <w:rPr>
          <w:rFonts w:ascii="VIC" w:hAnsi="VIC" w:cstheme="minorBidi"/>
          <w:sz w:val="24"/>
        </w:rPr>
        <w:t xml:space="preserve"> required to expand </w:t>
      </w:r>
      <w:r w:rsidR="00AC2B9B" w:rsidRPr="003A78FF">
        <w:rPr>
          <w:rFonts w:ascii="VIC" w:hAnsi="VIC" w:cstheme="minorBidi"/>
          <w:sz w:val="24"/>
        </w:rPr>
        <w:t xml:space="preserve">safely and </w:t>
      </w:r>
      <w:r w:rsidRPr="003A78FF">
        <w:rPr>
          <w:rFonts w:ascii="VIC" w:hAnsi="VIC" w:cstheme="minorBidi"/>
          <w:sz w:val="24"/>
        </w:rPr>
        <w:t>appropriately.</w:t>
      </w:r>
    </w:p>
    <w:p w14:paraId="524718AC" w14:textId="522D6BE2" w:rsidR="0B6F30DC" w:rsidRPr="003A78FF" w:rsidRDefault="0B6F30DC" w:rsidP="00496E0B">
      <w:pPr>
        <w:pStyle w:val="NormalWeb"/>
        <w:ind w:left="360"/>
        <w:rPr>
          <w:rFonts w:ascii="VIC" w:hAnsi="VIC" w:cstheme="minorBidi"/>
          <w:sz w:val="24"/>
        </w:rPr>
      </w:pPr>
    </w:p>
    <w:p w14:paraId="6EEA7CC3" w14:textId="19ADF37F" w:rsidR="00FF038B" w:rsidRPr="003A78FF" w:rsidRDefault="00FF038B" w:rsidP="00496E0B">
      <w:pPr>
        <w:pStyle w:val="NormalWeb"/>
        <w:ind w:left="360"/>
        <w:rPr>
          <w:rFonts w:ascii="VIC" w:hAnsi="VIC" w:cstheme="minorBidi"/>
          <w:sz w:val="24"/>
        </w:rPr>
      </w:pPr>
      <w:r w:rsidRPr="003A78FF">
        <w:rPr>
          <w:rFonts w:ascii="VIC" w:hAnsi="VIC" w:cstheme="minorBidi"/>
          <w:sz w:val="24"/>
        </w:rPr>
        <w:t xml:space="preserve">Successful intervention would require </w:t>
      </w:r>
      <w:r w:rsidR="00A40F21" w:rsidRPr="003A78FF">
        <w:rPr>
          <w:rFonts w:ascii="VIC" w:hAnsi="VIC" w:cstheme="minorBidi"/>
          <w:sz w:val="24"/>
        </w:rPr>
        <w:t>executive sponso</w:t>
      </w:r>
      <w:r w:rsidR="00F45F65" w:rsidRPr="003A78FF">
        <w:rPr>
          <w:rFonts w:ascii="VIC" w:hAnsi="VIC" w:cstheme="minorBidi"/>
          <w:sz w:val="24"/>
        </w:rPr>
        <w:t>rship and</w:t>
      </w:r>
      <w:r w:rsidRPr="003A78FF">
        <w:rPr>
          <w:rFonts w:ascii="VIC" w:hAnsi="VIC" w:cstheme="minorBidi"/>
          <w:sz w:val="24"/>
        </w:rPr>
        <w:t xml:space="preserve"> key participants</w:t>
      </w:r>
      <w:r w:rsidR="0056647F" w:rsidRPr="003A78FF">
        <w:rPr>
          <w:rFonts w:ascii="VIC" w:hAnsi="VIC" w:cstheme="minorBidi"/>
          <w:sz w:val="24"/>
        </w:rPr>
        <w:t xml:space="preserve"> (</w:t>
      </w:r>
      <w:r w:rsidRPr="003A78FF">
        <w:rPr>
          <w:rFonts w:ascii="VIC" w:hAnsi="VIC" w:cstheme="minorBidi"/>
          <w:sz w:val="24"/>
        </w:rPr>
        <w:t xml:space="preserve">nurses, surgeons, anaesthetists, </w:t>
      </w:r>
      <w:r w:rsidR="0014424F" w:rsidRPr="003A78FF">
        <w:rPr>
          <w:rFonts w:ascii="VIC" w:hAnsi="VIC" w:cstheme="minorBidi"/>
          <w:sz w:val="24"/>
        </w:rPr>
        <w:t>allied health</w:t>
      </w:r>
      <w:r w:rsidR="0018440D" w:rsidRPr="003A78FF">
        <w:rPr>
          <w:rFonts w:ascii="VIC" w:hAnsi="VIC" w:cstheme="minorBidi"/>
          <w:sz w:val="24"/>
        </w:rPr>
        <w:t>,</w:t>
      </w:r>
      <w:r w:rsidR="0014424F" w:rsidRPr="003A78FF">
        <w:rPr>
          <w:rFonts w:ascii="VIC" w:hAnsi="VIC" w:cstheme="minorBidi"/>
          <w:sz w:val="24"/>
        </w:rPr>
        <w:t xml:space="preserve"> </w:t>
      </w:r>
      <w:r w:rsidRPr="003A78FF">
        <w:rPr>
          <w:rFonts w:ascii="VIC" w:hAnsi="VIC" w:cstheme="minorBidi"/>
          <w:sz w:val="24"/>
        </w:rPr>
        <w:t>waiting list managers, patients, executive sponsors, policy makers</w:t>
      </w:r>
      <w:r w:rsidR="0056647F" w:rsidRPr="003A78FF">
        <w:rPr>
          <w:rFonts w:ascii="VIC" w:hAnsi="VIC" w:cstheme="minorBidi"/>
          <w:sz w:val="24"/>
        </w:rPr>
        <w:t>)</w:t>
      </w:r>
      <w:r w:rsidRPr="003A78FF">
        <w:rPr>
          <w:rFonts w:ascii="VIC" w:hAnsi="VIC" w:cstheme="minorBidi"/>
          <w:sz w:val="24"/>
        </w:rPr>
        <w:t xml:space="preserve"> to </w:t>
      </w:r>
      <w:r w:rsidR="0056647F" w:rsidRPr="003A78FF">
        <w:rPr>
          <w:rFonts w:ascii="VIC" w:hAnsi="VIC" w:cstheme="minorBidi"/>
          <w:sz w:val="24"/>
        </w:rPr>
        <w:t>understand and be willing to change</w:t>
      </w:r>
      <w:r w:rsidRPr="003A78FF">
        <w:rPr>
          <w:rFonts w:ascii="VIC" w:hAnsi="VIC" w:cstheme="minorBidi"/>
          <w:sz w:val="24"/>
        </w:rPr>
        <w:t xml:space="preserve"> their behaviours and decision making in the healthcare system.</w:t>
      </w:r>
    </w:p>
    <w:p w14:paraId="15C9506E" w14:textId="60E0D9B2" w:rsidR="28D410A8" w:rsidRPr="003A78FF" w:rsidRDefault="28D410A8" w:rsidP="00990084">
      <w:pPr>
        <w:pStyle w:val="NormalWeb"/>
        <w:rPr>
          <w:rFonts w:ascii="VIC" w:hAnsi="VIC" w:cstheme="minorBidi"/>
          <w:sz w:val="24"/>
        </w:rPr>
      </w:pPr>
    </w:p>
    <w:p w14:paraId="08DE2E17" w14:textId="53A30E54" w:rsidR="008960D7" w:rsidRPr="003A78FF" w:rsidRDefault="0B6F30DC" w:rsidP="00351FA8">
      <w:pPr>
        <w:pStyle w:val="SCVbody"/>
        <w:rPr>
          <w:rFonts w:ascii="VIC" w:hAnsi="VIC"/>
          <w:b/>
          <w:bCs/>
          <w:sz w:val="24"/>
          <w:szCs w:val="24"/>
        </w:rPr>
      </w:pPr>
      <w:r w:rsidRPr="003A78FF">
        <w:rPr>
          <w:rFonts w:ascii="VIC" w:hAnsi="VIC"/>
          <w:b/>
          <w:bCs/>
          <w:sz w:val="24"/>
          <w:szCs w:val="24"/>
        </w:rPr>
        <w:t>Before Surgery</w:t>
      </w:r>
      <w:r w:rsidR="005F45F4" w:rsidRPr="003A78FF">
        <w:rPr>
          <w:rFonts w:ascii="VIC" w:hAnsi="VIC"/>
          <w:b/>
          <w:bCs/>
          <w:sz w:val="24"/>
          <w:szCs w:val="24"/>
        </w:rPr>
        <w:t>:</w:t>
      </w:r>
    </w:p>
    <w:p w14:paraId="0F6C7E15" w14:textId="182EDD00" w:rsidR="002D32B7" w:rsidRPr="003A78FF" w:rsidRDefault="002D32B7" w:rsidP="00D37DC8">
      <w:pPr>
        <w:pStyle w:val="SCVbody"/>
        <w:numPr>
          <w:ilvl w:val="0"/>
          <w:numId w:val="28"/>
        </w:numPr>
        <w:spacing w:before="0" w:after="0" w:line="260" w:lineRule="atLeast"/>
        <w:rPr>
          <w:rFonts w:ascii="VIC" w:hAnsi="VIC"/>
          <w:color w:val="000000" w:themeColor="text1"/>
          <w:sz w:val="24"/>
          <w:szCs w:val="24"/>
        </w:rPr>
      </w:pPr>
      <w:r w:rsidRPr="003A78FF">
        <w:rPr>
          <w:rFonts w:ascii="VIC" w:hAnsi="VIC"/>
          <w:color w:val="000000" w:themeColor="text1"/>
          <w:sz w:val="24"/>
          <w:szCs w:val="24"/>
        </w:rPr>
        <w:t>Preoperative admission should only occur on a case-by-case basis for specific indication/s</w:t>
      </w:r>
      <w:r w:rsidR="004F0230" w:rsidRPr="003A78FF">
        <w:rPr>
          <w:rFonts w:ascii="VIC" w:hAnsi="VIC"/>
          <w:color w:val="000000" w:themeColor="text1"/>
          <w:sz w:val="24"/>
          <w:szCs w:val="24"/>
        </w:rPr>
        <w:t xml:space="preserve">. </w:t>
      </w:r>
      <w:r w:rsidR="00727D9B" w:rsidRPr="003A78FF">
        <w:rPr>
          <w:rFonts w:ascii="VIC" w:hAnsi="VIC"/>
          <w:color w:val="000000" w:themeColor="text1"/>
          <w:sz w:val="24"/>
          <w:szCs w:val="24"/>
        </w:rPr>
        <w:t>C</w:t>
      </w:r>
      <w:r w:rsidR="001B3DCE" w:rsidRPr="003A78FF">
        <w:rPr>
          <w:rFonts w:ascii="VIC" w:hAnsi="VIC"/>
          <w:color w:val="000000" w:themeColor="text1"/>
          <w:sz w:val="24"/>
          <w:szCs w:val="24"/>
        </w:rPr>
        <w:t>hanging t</w:t>
      </w:r>
      <w:r w:rsidRPr="003A78FF">
        <w:rPr>
          <w:rFonts w:ascii="VIC" w:hAnsi="VIC"/>
          <w:color w:val="000000" w:themeColor="text1"/>
          <w:sz w:val="24"/>
          <w:szCs w:val="24"/>
        </w:rPr>
        <w:t>he ‘norm’ (within the sector and community) of patients being admitted the night before day surger</w:t>
      </w:r>
      <w:r w:rsidR="00AD4280" w:rsidRPr="003A78FF">
        <w:rPr>
          <w:rFonts w:ascii="VIC" w:hAnsi="VIC"/>
          <w:color w:val="000000" w:themeColor="text1"/>
          <w:sz w:val="24"/>
          <w:szCs w:val="24"/>
        </w:rPr>
        <w:t xml:space="preserve">y </w:t>
      </w:r>
      <w:r w:rsidR="00727D9B" w:rsidRPr="003A78FF">
        <w:rPr>
          <w:rFonts w:ascii="VIC" w:hAnsi="VIC"/>
          <w:color w:val="000000" w:themeColor="text1"/>
          <w:sz w:val="24"/>
          <w:szCs w:val="24"/>
        </w:rPr>
        <w:t>is important</w:t>
      </w:r>
      <w:r w:rsidR="003A2E64" w:rsidRPr="003A78FF">
        <w:rPr>
          <w:rFonts w:ascii="VIC" w:hAnsi="VIC"/>
          <w:color w:val="000000" w:themeColor="text1"/>
          <w:sz w:val="24"/>
          <w:szCs w:val="24"/>
        </w:rPr>
        <w:t>.</w:t>
      </w:r>
    </w:p>
    <w:p w14:paraId="367AD3B8" w14:textId="77777777" w:rsidR="00CE67B8" w:rsidRPr="003A78FF" w:rsidRDefault="005A713D" w:rsidP="00D74E8A">
      <w:pPr>
        <w:pStyle w:val="SCVbody"/>
        <w:numPr>
          <w:ilvl w:val="0"/>
          <w:numId w:val="28"/>
        </w:numPr>
        <w:spacing w:before="0" w:after="0" w:line="260" w:lineRule="atLeast"/>
        <w:rPr>
          <w:rFonts w:ascii="VIC" w:hAnsi="VIC"/>
          <w:color w:val="000000" w:themeColor="text1"/>
          <w:sz w:val="24"/>
          <w:szCs w:val="24"/>
        </w:rPr>
      </w:pPr>
      <w:r w:rsidRPr="003A78FF">
        <w:rPr>
          <w:rFonts w:ascii="VIC" w:hAnsi="VIC"/>
          <w:color w:val="000000" w:themeColor="text1"/>
          <w:sz w:val="24"/>
          <w:szCs w:val="24"/>
        </w:rPr>
        <w:t>Suitable p</w:t>
      </w:r>
      <w:r w:rsidR="005F45F4" w:rsidRPr="003A78FF">
        <w:rPr>
          <w:rFonts w:ascii="VIC" w:hAnsi="VIC"/>
          <w:color w:val="000000" w:themeColor="text1"/>
          <w:sz w:val="24"/>
          <w:szCs w:val="24"/>
        </w:rPr>
        <w:t>atient</w:t>
      </w:r>
      <w:r w:rsidRPr="003A78FF">
        <w:rPr>
          <w:rFonts w:ascii="VIC" w:hAnsi="VIC"/>
          <w:color w:val="000000" w:themeColor="text1"/>
          <w:sz w:val="24"/>
          <w:szCs w:val="24"/>
        </w:rPr>
        <w:t xml:space="preserve"> and </w:t>
      </w:r>
      <w:r w:rsidR="00732796" w:rsidRPr="003A78FF">
        <w:rPr>
          <w:rFonts w:ascii="VIC" w:hAnsi="VIC"/>
          <w:color w:val="000000" w:themeColor="text1"/>
          <w:sz w:val="24"/>
          <w:szCs w:val="24"/>
        </w:rPr>
        <w:t>carer</w:t>
      </w:r>
      <w:r w:rsidR="005F45F4" w:rsidRPr="003A78FF">
        <w:rPr>
          <w:rFonts w:ascii="VIC" w:hAnsi="VIC"/>
          <w:color w:val="000000" w:themeColor="text1"/>
          <w:sz w:val="24"/>
          <w:szCs w:val="24"/>
        </w:rPr>
        <w:t xml:space="preserve">’s expectations need to be set during the initial consultation, </w:t>
      </w:r>
      <w:r w:rsidR="00474F07" w:rsidRPr="003A78FF">
        <w:rPr>
          <w:rFonts w:ascii="VIC" w:hAnsi="VIC"/>
          <w:color w:val="000000" w:themeColor="text1"/>
          <w:sz w:val="24"/>
          <w:szCs w:val="24"/>
        </w:rPr>
        <w:t>when</w:t>
      </w:r>
      <w:r w:rsidR="00305DDF" w:rsidRPr="003A78FF">
        <w:rPr>
          <w:rFonts w:ascii="VIC" w:hAnsi="VIC"/>
          <w:color w:val="000000" w:themeColor="text1"/>
          <w:sz w:val="24"/>
          <w:szCs w:val="24"/>
        </w:rPr>
        <w:t xml:space="preserve"> </w:t>
      </w:r>
      <w:r w:rsidR="005F45F4" w:rsidRPr="003A78FF">
        <w:rPr>
          <w:rFonts w:ascii="VIC" w:hAnsi="VIC"/>
          <w:color w:val="000000" w:themeColor="text1"/>
          <w:sz w:val="24"/>
          <w:szCs w:val="24"/>
        </w:rPr>
        <w:t>place</w:t>
      </w:r>
      <w:r w:rsidR="00305DDF" w:rsidRPr="003A78FF">
        <w:rPr>
          <w:rFonts w:ascii="VIC" w:hAnsi="VIC"/>
          <w:color w:val="000000" w:themeColor="text1"/>
          <w:sz w:val="24"/>
          <w:szCs w:val="24"/>
        </w:rPr>
        <w:t>d on</w:t>
      </w:r>
      <w:r w:rsidR="005F45F4" w:rsidRPr="003A78FF">
        <w:rPr>
          <w:rFonts w:ascii="VIC" w:hAnsi="VIC"/>
          <w:color w:val="000000" w:themeColor="text1"/>
          <w:sz w:val="24"/>
          <w:szCs w:val="24"/>
        </w:rPr>
        <w:t xml:space="preserve"> the waiting list</w:t>
      </w:r>
      <w:r w:rsidR="0098617C" w:rsidRPr="003A78FF">
        <w:rPr>
          <w:rFonts w:ascii="VIC" w:hAnsi="VIC"/>
          <w:color w:val="000000" w:themeColor="text1"/>
          <w:sz w:val="24"/>
          <w:szCs w:val="24"/>
        </w:rPr>
        <w:t>,</w:t>
      </w:r>
      <w:r w:rsidR="005F45F4" w:rsidRPr="003A78FF">
        <w:rPr>
          <w:rFonts w:ascii="VIC" w:hAnsi="VIC"/>
          <w:color w:val="000000" w:themeColor="text1"/>
          <w:sz w:val="24"/>
          <w:szCs w:val="24"/>
        </w:rPr>
        <w:t xml:space="preserve"> </w:t>
      </w:r>
      <w:r w:rsidR="00F17071" w:rsidRPr="003A78FF">
        <w:rPr>
          <w:rFonts w:ascii="VIC" w:hAnsi="VIC"/>
          <w:color w:val="000000" w:themeColor="text1"/>
          <w:sz w:val="24"/>
          <w:szCs w:val="24"/>
        </w:rPr>
        <w:t xml:space="preserve">and should be </w:t>
      </w:r>
      <w:r w:rsidR="00DF1540" w:rsidRPr="003A78FF">
        <w:rPr>
          <w:rFonts w:ascii="VIC" w:hAnsi="VIC"/>
          <w:color w:val="000000" w:themeColor="text1"/>
          <w:sz w:val="24"/>
          <w:szCs w:val="24"/>
        </w:rPr>
        <w:t xml:space="preserve">reinforced </w:t>
      </w:r>
      <w:r w:rsidR="00CF783B" w:rsidRPr="003A78FF">
        <w:rPr>
          <w:rFonts w:ascii="VIC" w:hAnsi="VIC"/>
          <w:color w:val="000000" w:themeColor="text1"/>
          <w:sz w:val="24"/>
          <w:szCs w:val="24"/>
        </w:rPr>
        <w:t>throughout the patient journe</w:t>
      </w:r>
      <w:r w:rsidR="00732796" w:rsidRPr="003A78FF">
        <w:rPr>
          <w:rFonts w:ascii="VIC" w:hAnsi="VIC"/>
          <w:color w:val="000000" w:themeColor="text1"/>
          <w:sz w:val="24"/>
          <w:szCs w:val="24"/>
        </w:rPr>
        <w:t>y.</w:t>
      </w:r>
    </w:p>
    <w:p w14:paraId="2463BB59" w14:textId="6FA560AE" w:rsidR="00144EC2" w:rsidRPr="003A78FF" w:rsidRDefault="005F45F4" w:rsidP="00D74E8A">
      <w:pPr>
        <w:pStyle w:val="SCVbody"/>
        <w:numPr>
          <w:ilvl w:val="0"/>
          <w:numId w:val="28"/>
        </w:numPr>
        <w:spacing w:before="0" w:after="0" w:line="260" w:lineRule="atLeast"/>
        <w:rPr>
          <w:rFonts w:ascii="VIC" w:hAnsi="VIC"/>
          <w:color w:val="000000" w:themeColor="text1"/>
          <w:sz w:val="24"/>
          <w:szCs w:val="24"/>
        </w:rPr>
      </w:pPr>
      <w:r w:rsidRPr="003A78FF">
        <w:rPr>
          <w:rFonts w:ascii="VIC" w:hAnsi="VIC"/>
          <w:color w:val="000000" w:themeColor="text1"/>
          <w:sz w:val="24"/>
          <w:szCs w:val="24"/>
        </w:rPr>
        <w:t>Consultation should involve patient</w:t>
      </w:r>
      <w:r w:rsidR="00144EC2" w:rsidRPr="003A78FF">
        <w:rPr>
          <w:rFonts w:ascii="VIC" w:hAnsi="VIC"/>
          <w:color w:val="000000" w:themeColor="text1"/>
          <w:sz w:val="24"/>
          <w:szCs w:val="24"/>
        </w:rPr>
        <w:t>/carer</w:t>
      </w:r>
      <w:r w:rsidRPr="003A78FF">
        <w:rPr>
          <w:rFonts w:ascii="VIC" w:hAnsi="VIC"/>
          <w:color w:val="000000" w:themeColor="text1"/>
          <w:sz w:val="24"/>
          <w:szCs w:val="24"/>
        </w:rPr>
        <w:t xml:space="preserve"> led goals, </w:t>
      </w:r>
      <w:r w:rsidR="00B25C8D" w:rsidRPr="003A78FF">
        <w:rPr>
          <w:rFonts w:ascii="VIC" w:hAnsi="VIC"/>
          <w:color w:val="000000" w:themeColor="text1"/>
          <w:sz w:val="24"/>
          <w:szCs w:val="24"/>
        </w:rPr>
        <w:t>concerns,</w:t>
      </w:r>
      <w:r w:rsidRPr="003A78FF">
        <w:rPr>
          <w:rFonts w:ascii="VIC" w:hAnsi="VIC"/>
          <w:color w:val="000000" w:themeColor="text1"/>
          <w:sz w:val="24"/>
          <w:szCs w:val="24"/>
        </w:rPr>
        <w:t xml:space="preserve"> and requests to enable shared decision-making, </w:t>
      </w:r>
      <w:r w:rsidR="003A2E64" w:rsidRPr="003A78FF">
        <w:rPr>
          <w:rFonts w:ascii="VIC" w:hAnsi="VIC"/>
          <w:color w:val="000000" w:themeColor="text1"/>
          <w:sz w:val="24"/>
          <w:szCs w:val="24"/>
        </w:rPr>
        <w:t>preparedness,</w:t>
      </w:r>
      <w:r w:rsidRPr="003A78FF">
        <w:rPr>
          <w:rFonts w:ascii="VIC" w:hAnsi="VIC"/>
          <w:color w:val="000000" w:themeColor="text1"/>
          <w:sz w:val="24"/>
          <w:szCs w:val="24"/>
        </w:rPr>
        <w:t xml:space="preserve"> and empowerment in their own recovery. </w:t>
      </w:r>
    </w:p>
    <w:p w14:paraId="225C951E" w14:textId="656B9613" w:rsidR="007C1944" w:rsidRPr="003A78FF" w:rsidRDefault="005F45F4" w:rsidP="007C1944">
      <w:pPr>
        <w:pStyle w:val="SCVbody"/>
        <w:numPr>
          <w:ilvl w:val="0"/>
          <w:numId w:val="28"/>
        </w:numPr>
        <w:spacing w:before="0" w:after="0" w:line="260" w:lineRule="atLeast"/>
        <w:rPr>
          <w:rFonts w:ascii="VIC" w:hAnsi="VIC"/>
          <w:color w:val="000000" w:themeColor="text1"/>
          <w:sz w:val="24"/>
          <w:szCs w:val="24"/>
        </w:rPr>
      </w:pPr>
      <w:r w:rsidRPr="003A78FF">
        <w:rPr>
          <w:rFonts w:ascii="VIC" w:hAnsi="VIC"/>
          <w:color w:val="000000" w:themeColor="text1"/>
          <w:sz w:val="24"/>
          <w:szCs w:val="24"/>
        </w:rPr>
        <w:t xml:space="preserve">Potential concerns around not being in the care of clinicians during </w:t>
      </w:r>
      <w:r w:rsidR="00FB3F7C" w:rsidRPr="003A78FF">
        <w:rPr>
          <w:rFonts w:ascii="VIC" w:hAnsi="VIC"/>
          <w:color w:val="000000" w:themeColor="text1"/>
          <w:sz w:val="24"/>
          <w:szCs w:val="24"/>
        </w:rPr>
        <w:t>patient</w:t>
      </w:r>
      <w:r w:rsidRPr="003A78FF">
        <w:rPr>
          <w:rFonts w:ascii="VIC" w:hAnsi="VIC"/>
          <w:color w:val="000000" w:themeColor="text1"/>
          <w:sz w:val="24"/>
          <w:szCs w:val="24"/>
        </w:rPr>
        <w:t xml:space="preserve"> recovery should be addressed and patients/carers </w:t>
      </w:r>
      <w:r w:rsidR="00361B86" w:rsidRPr="003A78FF">
        <w:rPr>
          <w:rFonts w:ascii="VIC" w:hAnsi="VIC"/>
          <w:color w:val="000000" w:themeColor="text1"/>
          <w:sz w:val="24"/>
          <w:szCs w:val="24"/>
        </w:rPr>
        <w:t>reassur</w:t>
      </w:r>
      <w:r w:rsidR="00FA7560" w:rsidRPr="003A78FF">
        <w:rPr>
          <w:rFonts w:ascii="VIC" w:hAnsi="VIC"/>
          <w:color w:val="000000" w:themeColor="text1"/>
          <w:sz w:val="24"/>
          <w:szCs w:val="24"/>
        </w:rPr>
        <w:t>ed</w:t>
      </w:r>
      <w:r w:rsidRPr="003A78FF">
        <w:rPr>
          <w:rFonts w:ascii="VIC" w:hAnsi="VIC"/>
          <w:color w:val="000000" w:themeColor="text1"/>
          <w:sz w:val="24"/>
          <w:szCs w:val="24"/>
        </w:rPr>
        <w:t xml:space="preserve"> about </w:t>
      </w:r>
      <w:r w:rsidR="00361B86" w:rsidRPr="003A78FF">
        <w:rPr>
          <w:rFonts w:ascii="VIC" w:hAnsi="VIC"/>
          <w:color w:val="000000" w:themeColor="text1"/>
          <w:sz w:val="24"/>
          <w:szCs w:val="24"/>
        </w:rPr>
        <w:t xml:space="preserve">their </w:t>
      </w:r>
      <w:r w:rsidRPr="003A78FF">
        <w:rPr>
          <w:rFonts w:ascii="VIC" w:hAnsi="VIC"/>
          <w:color w:val="000000" w:themeColor="text1"/>
          <w:sz w:val="24"/>
          <w:szCs w:val="24"/>
        </w:rPr>
        <w:t xml:space="preserve">ability to seek advice/escalate issues </w:t>
      </w:r>
      <w:r w:rsidR="00361B86" w:rsidRPr="003A78FF">
        <w:rPr>
          <w:rFonts w:ascii="VIC" w:hAnsi="VIC"/>
          <w:color w:val="000000" w:themeColor="text1"/>
          <w:sz w:val="24"/>
          <w:szCs w:val="24"/>
        </w:rPr>
        <w:t xml:space="preserve">any time </w:t>
      </w:r>
      <w:r w:rsidRPr="003A78FF">
        <w:rPr>
          <w:rFonts w:ascii="VIC" w:hAnsi="VIC"/>
          <w:color w:val="000000" w:themeColor="text1"/>
          <w:sz w:val="24"/>
          <w:szCs w:val="24"/>
        </w:rPr>
        <w:t>after discharge.</w:t>
      </w:r>
    </w:p>
    <w:p w14:paraId="36089CBC" w14:textId="2B1EA15F" w:rsidR="007C1944" w:rsidRPr="003A78FF" w:rsidRDefault="00227BB6" w:rsidP="007C1944">
      <w:pPr>
        <w:pStyle w:val="SCVbody"/>
        <w:numPr>
          <w:ilvl w:val="0"/>
          <w:numId w:val="28"/>
        </w:numPr>
        <w:spacing w:before="0" w:after="0" w:line="260" w:lineRule="atLeast"/>
        <w:rPr>
          <w:rFonts w:ascii="VIC" w:hAnsi="VIC"/>
          <w:color w:val="000000" w:themeColor="text1"/>
          <w:sz w:val="24"/>
          <w:szCs w:val="24"/>
        </w:rPr>
      </w:pPr>
      <w:r w:rsidRPr="003A78FF">
        <w:rPr>
          <w:rFonts w:ascii="VIC" w:hAnsi="VIC"/>
          <w:color w:val="000000" w:themeColor="text1"/>
          <w:sz w:val="24"/>
          <w:szCs w:val="24"/>
        </w:rPr>
        <w:t>Education of referring c</w:t>
      </w:r>
      <w:r w:rsidR="005F45F4" w:rsidRPr="003A78FF">
        <w:rPr>
          <w:rFonts w:ascii="VIC" w:hAnsi="VIC"/>
          <w:color w:val="000000" w:themeColor="text1"/>
          <w:sz w:val="24"/>
          <w:szCs w:val="24"/>
        </w:rPr>
        <w:t xml:space="preserve">linicians </w:t>
      </w:r>
      <w:r w:rsidRPr="003A78FF">
        <w:rPr>
          <w:rFonts w:ascii="VIC" w:hAnsi="VIC"/>
          <w:color w:val="000000" w:themeColor="text1"/>
          <w:sz w:val="24"/>
          <w:szCs w:val="24"/>
        </w:rPr>
        <w:t>on</w:t>
      </w:r>
      <w:r w:rsidR="005F45F4" w:rsidRPr="003A78FF">
        <w:rPr>
          <w:rFonts w:ascii="VIC" w:hAnsi="VIC"/>
          <w:color w:val="000000" w:themeColor="text1"/>
          <w:sz w:val="24"/>
          <w:szCs w:val="24"/>
        </w:rPr>
        <w:t xml:space="preserve"> same-day procedures, as well as the process for patient selection</w:t>
      </w:r>
      <w:r w:rsidRPr="003A78FF">
        <w:rPr>
          <w:rFonts w:ascii="VIC" w:hAnsi="VIC"/>
          <w:color w:val="000000" w:themeColor="text1"/>
          <w:sz w:val="24"/>
          <w:szCs w:val="24"/>
        </w:rPr>
        <w:t xml:space="preserve">, </w:t>
      </w:r>
      <w:r w:rsidR="00CE18EB" w:rsidRPr="003A78FF">
        <w:rPr>
          <w:rFonts w:ascii="VIC" w:hAnsi="VIC"/>
          <w:color w:val="000000" w:themeColor="text1"/>
          <w:sz w:val="24"/>
          <w:szCs w:val="24"/>
        </w:rPr>
        <w:t>promotes timely appropriate patient selection (</w:t>
      </w:r>
      <w:r w:rsidR="007C1944" w:rsidRPr="003A78FF">
        <w:rPr>
          <w:rFonts w:ascii="VIC" w:hAnsi="VIC"/>
          <w:color w:val="000000" w:themeColor="text1"/>
          <w:sz w:val="24"/>
          <w:szCs w:val="24"/>
        </w:rPr>
        <w:t>through</w:t>
      </w:r>
      <w:r w:rsidR="005245F7" w:rsidRPr="003A78FF">
        <w:rPr>
          <w:rFonts w:ascii="VIC" w:hAnsi="VIC"/>
          <w:color w:val="000000" w:themeColor="text1"/>
          <w:sz w:val="24"/>
          <w:szCs w:val="24"/>
        </w:rPr>
        <w:t xml:space="preserve"> </w:t>
      </w:r>
      <w:r w:rsidR="00080715" w:rsidRPr="003A78FF">
        <w:rPr>
          <w:rFonts w:ascii="VIC" w:hAnsi="VIC"/>
          <w:color w:val="000000" w:themeColor="text1"/>
          <w:sz w:val="24"/>
          <w:szCs w:val="24"/>
        </w:rPr>
        <w:t>GP referral templates)</w:t>
      </w:r>
      <w:r w:rsidR="00CE18EB" w:rsidRPr="003A78FF">
        <w:rPr>
          <w:rFonts w:ascii="VIC" w:hAnsi="VIC"/>
          <w:color w:val="000000" w:themeColor="text1"/>
          <w:sz w:val="24"/>
          <w:szCs w:val="24"/>
        </w:rPr>
        <w:t>, improved communication and preparedness for return to primary care post patient discharge</w:t>
      </w:r>
      <w:r w:rsidR="007C1944" w:rsidRPr="003A78FF">
        <w:rPr>
          <w:rFonts w:ascii="VIC" w:hAnsi="VIC"/>
          <w:color w:val="000000" w:themeColor="text1"/>
          <w:sz w:val="24"/>
          <w:szCs w:val="24"/>
        </w:rPr>
        <w:t>.</w:t>
      </w:r>
    </w:p>
    <w:p w14:paraId="6E864D46" w14:textId="77777777" w:rsidR="0B6F30DC" w:rsidRPr="003A78FF" w:rsidRDefault="004C63D2" w:rsidP="0091680A">
      <w:pPr>
        <w:pStyle w:val="SCVbody"/>
        <w:numPr>
          <w:ilvl w:val="0"/>
          <w:numId w:val="28"/>
        </w:numPr>
        <w:spacing w:before="0" w:after="0" w:line="260" w:lineRule="atLeast"/>
        <w:rPr>
          <w:rFonts w:ascii="VIC" w:hAnsi="VIC"/>
          <w:color w:val="000000" w:themeColor="text1"/>
          <w:sz w:val="24"/>
          <w:szCs w:val="24"/>
        </w:rPr>
      </w:pPr>
      <w:r w:rsidRPr="003A78FF">
        <w:rPr>
          <w:rFonts w:ascii="VIC" w:hAnsi="VIC"/>
          <w:sz w:val="24"/>
          <w:szCs w:val="24"/>
        </w:rPr>
        <w:t xml:space="preserve">For procedures deemed suitable, </w:t>
      </w:r>
      <w:r w:rsidR="001508AB" w:rsidRPr="003A78FF">
        <w:rPr>
          <w:rFonts w:ascii="VIC" w:hAnsi="VIC"/>
          <w:sz w:val="24"/>
          <w:szCs w:val="24"/>
        </w:rPr>
        <w:t>d</w:t>
      </w:r>
      <w:r w:rsidR="0B6F30DC" w:rsidRPr="003A78FF">
        <w:rPr>
          <w:rFonts w:ascii="VIC" w:hAnsi="VIC"/>
          <w:sz w:val="24"/>
          <w:szCs w:val="24"/>
        </w:rPr>
        <w:t>ay surgery should become perceived as the norm and overnight stays, become the exception that needs to be justified.</w:t>
      </w:r>
      <w:r w:rsidR="001508AB" w:rsidRPr="003A78FF">
        <w:rPr>
          <w:rFonts w:ascii="VIC" w:hAnsi="VIC"/>
          <w:sz w:val="24"/>
          <w:szCs w:val="24"/>
        </w:rPr>
        <w:t xml:space="preserve"> </w:t>
      </w:r>
    </w:p>
    <w:p w14:paraId="0D6830F4" w14:textId="58EF26DF" w:rsidR="0056634B" w:rsidRPr="003A78FF" w:rsidRDefault="0056634B" w:rsidP="0091680A">
      <w:pPr>
        <w:pStyle w:val="SCVbody"/>
        <w:numPr>
          <w:ilvl w:val="0"/>
          <w:numId w:val="28"/>
        </w:numPr>
        <w:spacing w:before="0" w:after="0" w:line="260" w:lineRule="atLeast"/>
        <w:rPr>
          <w:rFonts w:ascii="VIC" w:hAnsi="VIC"/>
          <w:color w:val="000000" w:themeColor="text1"/>
          <w:sz w:val="24"/>
          <w:szCs w:val="24"/>
        </w:rPr>
      </w:pPr>
      <w:r w:rsidRPr="003A78FF">
        <w:rPr>
          <w:rFonts w:ascii="VIC" w:hAnsi="VIC"/>
          <w:color w:val="000000" w:themeColor="text1"/>
          <w:sz w:val="24"/>
          <w:szCs w:val="24"/>
        </w:rPr>
        <w:lastRenderedPageBreak/>
        <w:t>Clinical review (telehealth or telephone) of patients with extended wait times will ensure the patient remains suitable for same-day surgery.</w:t>
      </w:r>
    </w:p>
    <w:p w14:paraId="46C95329" w14:textId="6C6B3D89" w:rsidR="0B6F30DC" w:rsidRPr="003A78FF" w:rsidRDefault="0B6F30DC" w:rsidP="00962518">
      <w:pPr>
        <w:pStyle w:val="NormalWeb"/>
        <w:rPr>
          <w:rFonts w:ascii="VIC" w:hAnsi="VIC" w:cstheme="minorBidi"/>
          <w:sz w:val="24"/>
        </w:rPr>
      </w:pPr>
    </w:p>
    <w:p w14:paraId="6B4B5992" w14:textId="656DDB84" w:rsidR="008960D7" w:rsidRPr="003A78FF" w:rsidRDefault="004F7F65" w:rsidP="00962518">
      <w:pPr>
        <w:pStyle w:val="SCVbody"/>
        <w:rPr>
          <w:rFonts w:ascii="VIC" w:hAnsi="VIC"/>
          <w:b/>
          <w:sz w:val="24"/>
          <w:szCs w:val="24"/>
        </w:rPr>
      </w:pPr>
      <w:r w:rsidRPr="003A78FF">
        <w:rPr>
          <w:rFonts w:ascii="VIC" w:hAnsi="VIC"/>
          <w:b/>
          <w:bCs/>
          <w:sz w:val="24"/>
          <w:szCs w:val="24"/>
        </w:rPr>
        <w:t>D</w:t>
      </w:r>
      <w:r w:rsidR="0B6F30DC" w:rsidRPr="003A78FF">
        <w:rPr>
          <w:rFonts w:ascii="VIC" w:hAnsi="VIC"/>
          <w:b/>
          <w:bCs/>
          <w:sz w:val="24"/>
          <w:szCs w:val="24"/>
        </w:rPr>
        <w:t>ay</w:t>
      </w:r>
      <w:r w:rsidR="0B6F30DC" w:rsidRPr="003A78FF">
        <w:rPr>
          <w:rFonts w:ascii="VIC" w:hAnsi="VIC"/>
          <w:b/>
          <w:sz w:val="24"/>
          <w:szCs w:val="24"/>
        </w:rPr>
        <w:t xml:space="preserve"> of surgery</w:t>
      </w:r>
      <w:r w:rsidRPr="003A78FF">
        <w:rPr>
          <w:rFonts w:ascii="VIC" w:hAnsi="VIC"/>
          <w:b/>
          <w:bCs/>
          <w:sz w:val="24"/>
          <w:szCs w:val="24"/>
        </w:rPr>
        <w:t>:</w:t>
      </w:r>
    </w:p>
    <w:p w14:paraId="70688A92" w14:textId="10C7C456" w:rsidR="00723767" w:rsidRPr="003A78FF" w:rsidRDefault="00A05AC2" w:rsidP="00A05AC2">
      <w:pPr>
        <w:pStyle w:val="NormalWeb"/>
        <w:numPr>
          <w:ilvl w:val="0"/>
          <w:numId w:val="29"/>
        </w:numPr>
        <w:rPr>
          <w:rFonts w:ascii="VIC" w:hAnsi="VIC" w:cstheme="minorBidi"/>
          <w:sz w:val="24"/>
        </w:rPr>
      </w:pPr>
      <w:r w:rsidRPr="003A78FF">
        <w:rPr>
          <w:rFonts w:ascii="VIC" w:hAnsi="VIC" w:cstheme="minorBidi"/>
          <w:sz w:val="24"/>
        </w:rPr>
        <w:t>S</w:t>
      </w:r>
      <w:r w:rsidR="0093460A" w:rsidRPr="003A78FF">
        <w:rPr>
          <w:rFonts w:ascii="VIC" w:hAnsi="VIC" w:cstheme="minorBidi"/>
          <w:sz w:val="24"/>
        </w:rPr>
        <w:t xml:space="preserve">ignificant </w:t>
      </w:r>
      <w:r w:rsidR="00734AAC" w:rsidRPr="003A78FF">
        <w:rPr>
          <w:rFonts w:ascii="VIC" w:hAnsi="VIC" w:cstheme="minorBidi"/>
          <w:sz w:val="24"/>
        </w:rPr>
        <w:t>A</w:t>
      </w:r>
      <w:r w:rsidR="00A36DA2" w:rsidRPr="003A78FF">
        <w:rPr>
          <w:rFonts w:ascii="VIC" w:hAnsi="VIC" w:cstheme="minorBidi"/>
          <w:sz w:val="24"/>
        </w:rPr>
        <w:t xml:space="preserve">llied </w:t>
      </w:r>
      <w:r w:rsidR="00734AAC" w:rsidRPr="003A78FF">
        <w:rPr>
          <w:rFonts w:ascii="VIC" w:hAnsi="VIC" w:cstheme="minorBidi"/>
          <w:sz w:val="24"/>
        </w:rPr>
        <w:t>H</w:t>
      </w:r>
      <w:r w:rsidR="00A36DA2" w:rsidRPr="003A78FF">
        <w:rPr>
          <w:rFonts w:ascii="VIC" w:hAnsi="VIC" w:cstheme="minorBidi"/>
          <w:sz w:val="24"/>
        </w:rPr>
        <w:t>ealth (</w:t>
      </w:r>
      <w:r w:rsidR="00CD7CB1" w:rsidRPr="003A78FF">
        <w:rPr>
          <w:rFonts w:ascii="VIC" w:hAnsi="VIC" w:cstheme="minorBidi"/>
          <w:sz w:val="24"/>
        </w:rPr>
        <w:t>physiotherapy</w:t>
      </w:r>
      <w:r w:rsidR="001B07D5" w:rsidRPr="003A78FF">
        <w:rPr>
          <w:rFonts w:ascii="VIC" w:hAnsi="VIC" w:cstheme="minorBidi"/>
          <w:sz w:val="24"/>
        </w:rPr>
        <w:t>, occupational therapy, social work, radiology and pathology), pharmacy</w:t>
      </w:r>
      <w:r w:rsidR="00A36DA2" w:rsidRPr="003A78FF">
        <w:rPr>
          <w:rFonts w:ascii="VIC" w:hAnsi="VIC" w:cstheme="minorBidi"/>
          <w:sz w:val="24"/>
        </w:rPr>
        <w:t xml:space="preserve"> </w:t>
      </w:r>
      <w:r w:rsidR="00BB4A02" w:rsidRPr="003A78FF">
        <w:rPr>
          <w:rFonts w:ascii="VIC" w:hAnsi="VIC" w:cstheme="minorBidi"/>
          <w:sz w:val="24"/>
        </w:rPr>
        <w:t>and</w:t>
      </w:r>
      <w:r w:rsidR="00A36DA2" w:rsidRPr="003A78FF">
        <w:rPr>
          <w:rFonts w:ascii="VIC" w:hAnsi="VIC" w:cstheme="minorBidi"/>
          <w:sz w:val="24"/>
        </w:rPr>
        <w:t xml:space="preserve"> HITH support</w:t>
      </w:r>
      <w:r w:rsidRPr="003A78FF">
        <w:rPr>
          <w:rFonts w:ascii="VIC" w:hAnsi="VIC" w:cstheme="minorBidi"/>
          <w:sz w:val="24"/>
        </w:rPr>
        <w:t xml:space="preserve"> promotes safe same-day models of care</w:t>
      </w:r>
      <w:r w:rsidR="00A36DA2" w:rsidRPr="003A78FF">
        <w:rPr>
          <w:rFonts w:ascii="VIC" w:hAnsi="VIC" w:cstheme="minorBidi"/>
          <w:sz w:val="24"/>
        </w:rPr>
        <w:t>.</w:t>
      </w:r>
    </w:p>
    <w:p w14:paraId="6E674035" w14:textId="581E8B28" w:rsidR="00246955" w:rsidRPr="003A78FF" w:rsidRDefault="00A36DA2" w:rsidP="00246955">
      <w:pPr>
        <w:pStyle w:val="NormalWeb"/>
        <w:numPr>
          <w:ilvl w:val="0"/>
          <w:numId w:val="29"/>
        </w:numPr>
        <w:rPr>
          <w:rFonts w:ascii="VIC" w:hAnsi="VIC" w:cstheme="minorBidi"/>
          <w:sz w:val="24"/>
        </w:rPr>
      </w:pPr>
      <w:r w:rsidRPr="003A78FF">
        <w:rPr>
          <w:rFonts w:ascii="VIC" w:hAnsi="VIC" w:cstheme="minorBidi"/>
          <w:sz w:val="24"/>
        </w:rPr>
        <w:t>Specialty nurses (</w:t>
      </w:r>
      <w:r w:rsidR="00826B62" w:rsidRPr="003A78FF">
        <w:rPr>
          <w:rFonts w:ascii="VIC" w:hAnsi="VIC" w:cstheme="minorBidi"/>
          <w:sz w:val="24"/>
        </w:rPr>
        <w:t>e.g.</w:t>
      </w:r>
      <w:r w:rsidRPr="003A78FF">
        <w:rPr>
          <w:rFonts w:ascii="VIC" w:hAnsi="VIC" w:cstheme="minorBidi"/>
          <w:sz w:val="24"/>
        </w:rPr>
        <w:t xml:space="preserve"> the urology or colonoscopy liaison nurse) provide considerable perioperative support and triage symptoms for potential complications </w:t>
      </w:r>
      <w:r w:rsidR="0012222F" w:rsidRPr="003A78FF">
        <w:rPr>
          <w:rFonts w:ascii="VIC" w:hAnsi="VIC" w:cstheme="minorBidi"/>
          <w:sz w:val="24"/>
        </w:rPr>
        <w:t>and</w:t>
      </w:r>
      <w:r w:rsidR="00246955" w:rsidRPr="003A78FF">
        <w:rPr>
          <w:rFonts w:ascii="VIC" w:hAnsi="VIC" w:cstheme="minorBidi"/>
          <w:sz w:val="24"/>
        </w:rPr>
        <w:t xml:space="preserve"> suitability </w:t>
      </w:r>
      <w:r w:rsidR="008E32E4" w:rsidRPr="003A78FF">
        <w:rPr>
          <w:rFonts w:ascii="VIC" w:hAnsi="VIC" w:cstheme="minorBidi"/>
          <w:sz w:val="24"/>
        </w:rPr>
        <w:t>for</w:t>
      </w:r>
      <w:r w:rsidR="00246955" w:rsidRPr="003A78FF">
        <w:rPr>
          <w:rFonts w:ascii="VIC" w:hAnsi="VIC" w:cstheme="minorBidi"/>
          <w:sz w:val="24"/>
        </w:rPr>
        <w:t xml:space="preserve"> discharge</w:t>
      </w:r>
      <w:r w:rsidRPr="003A78FF">
        <w:rPr>
          <w:rFonts w:ascii="VIC" w:hAnsi="VIC" w:cstheme="minorBidi"/>
          <w:sz w:val="24"/>
        </w:rPr>
        <w:t>.</w:t>
      </w:r>
      <w:r w:rsidRPr="003A78FF">
        <w:rPr>
          <w:rFonts w:ascii="Cambria" w:hAnsi="Cambria" w:cs="Cambria"/>
          <w:sz w:val="24"/>
        </w:rPr>
        <w:t> </w:t>
      </w:r>
    </w:p>
    <w:p w14:paraId="17CB9286" w14:textId="10C7C456" w:rsidR="00246955" w:rsidRPr="003A78FF" w:rsidRDefault="00246955" w:rsidP="00246955">
      <w:pPr>
        <w:pStyle w:val="NormalWeb"/>
        <w:numPr>
          <w:ilvl w:val="0"/>
          <w:numId w:val="29"/>
        </w:numPr>
        <w:rPr>
          <w:rFonts w:ascii="VIC" w:hAnsi="VIC" w:cstheme="minorBidi"/>
          <w:sz w:val="24"/>
        </w:rPr>
      </w:pPr>
      <w:r w:rsidRPr="003A78FF">
        <w:rPr>
          <w:rFonts w:ascii="VIC" w:hAnsi="VIC" w:cstheme="minorBidi"/>
          <w:sz w:val="24"/>
        </w:rPr>
        <w:t>I</w:t>
      </w:r>
      <w:r w:rsidR="00CE684F" w:rsidRPr="003A78FF">
        <w:rPr>
          <w:rFonts w:ascii="VIC" w:hAnsi="VIC" w:cstheme="minorBidi"/>
          <w:sz w:val="24"/>
        </w:rPr>
        <w:t xml:space="preserve">ncreased </w:t>
      </w:r>
      <w:r w:rsidR="730231FD" w:rsidRPr="003A78FF">
        <w:rPr>
          <w:rFonts w:ascii="VIC" w:hAnsi="VIC" w:cstheme="minorBidi"/>
          <w:sz w:val="24"/>
        </w:rPr>
        <w:t xml:space="preserve">investment in </w:t>
      </w:r>
      <w:r w:rsidR="00CE684F" w:rsidRPr="003A78FF">
        <w:rPr>
          <w:rFonts w:ascii="VIC" w:hAnsi="VIC" w:cstheme="minorBidi"/>
          <w:sz w:val="24"/>
        </w:rPr>
        <w:t xml:space="preserve">funding </w:t>
      </w:r>
      <w:r w:rsidRPr="003A78FF">
        <w:rPr>
          <w:rFonts w:ascii="VIC" w:hAnsi="VIC" w:cstheme="minorBidi"/>
          <w:sz w:val="24"/>
        </w:rPr>
        <w:t>is required</w:t>
      </w:r>
      <w:r w:rsidR="00CE684F" w:rsidRPr="003A78FF">
        <w:rPr>
          <w:rFonts w:ascii="VIC" w:hAnsi="VIC" w:cstheme="minorBidi"/>
          <w:sz w:val="24"/>
        </w:rPr>
        <w:t xml:space="preserve"> to resource</w:t>
      </w:r>
      <w:r w:rsidR="730231FD" w:rsidRPr="003A78FF">
        <w:rPr>
          <w:rFonts w:ascii="VIC" w:hAnsi="VIC" w:cstheme="minorBidi"/>
          <w:sz w:val="24"/>
        </w:rPr>
        <w:t xml:space="preserve"> evening </w:t>
      </w:r>
      <w:r w:rsidRPr="003A78FF">
        <w:rPr>
          <w:rFonts w:ascii="VIC" w:hAnsi="VIC" w:cstheme="minorBidi"/>
          <w:sz w:val="24"/>
        </w:rPr>
        <w:t>A</w:t>
      </w:r>
      <w:r w:rsidR="730231FD" w:rsidRPr="003A78FF">
        <w:rPr>
          <w:rFonts w:ascii="VIC" w:hAnsi="VIC" w:cstheme="minorBidi"/>
          <w:sz w:val="24"/>
        </w:rPr>
        <w:t xml:space="preserve">llied </w:t>
      </w:r>
      <w:r w:rsidRPr="003A78FF">
        <w:rPr>
          <w:rFonts w:ascii="VIC" w:hAnsi="VIC" w:cstheme="minorBidi"/>
          <w:sz w:val="24"/>
        </w:rPr>
        <w:t>H</w:t>
      </w:r>
      <w:r w:rsidR="730231FD" w:rsidRPr="003A78FF">
        <w:rPr>
          <w:rFonts w:ascii="VIC" w:hAnsi="VIC" w:cstheme="minorBidi"/>
          <w:sz w:val="24"/>
        </w:rPr>
        <w:t>ealth and nursing support to s</w:t>
      </w:r>
      <w:r w:rsidR="00857CEC" w:rsidRPr="003A78FF">
        <w:rPr>
          <w:rFonts w:ascii="VIC" w:hAnsi="VIC" w:cstheme="minorBidi"/>
          <w:sz w:val="24"/>
        </w:rPr>
        <w:t>taff</w:t>
      </w:r>
      <w:r w:rsidR="00F14795" w:rsidRPr="003A78FF">
        <w:rPr>
          <w:rFonts w:ascii="VIC" w:hAnsi="VIC" w:cstheme="minorBidi"/>
          <w:sz w:val="24"/>
        </w:rPr>
        <w:t xml:space="preserve"> </w:t>
      </w:r>
      <w:r w:rsidR="00857CEC" w:rsidRPr="003A78FF">
        <w:rPr>
          <w:rFonts w:ascii="VIC" w:hAnsi="VIC" w:cstheme="minorBidi"/>
          <w:sz w:val="24"/>
        </w:rPr>
        <w:t>systems required to promote successful and safe</w:t>
      </w:r>
      <w:r w:rsidR="730231FD" w:rsidRPr="003A78FF">
        <w:rPr>
          <w:rFonts w:ascii="VIC" w:hAnsi="VIC" w:cstheme="minorBidi"/>
          <w:sz w:val="24"/>
        </w:rPr>
        <w:t xml:space="preserve"> same-day </w:t>
      </w:r>
      <w:r w:rsidR="00857CEC" w:rsidRPr="003A78FF">
        <w:rPr>
          <w:rFonts w:ascii="VIC" w:hAnsi="VIC" w:cstheme="minorBidi"/>
          <w:sz w:val="24"/>
        </w:rPr>
        <w:t>models of surgical care</w:t>
      </w:r>
      <w:r w:rsidR="730231FD" w:rsidRPr="003A78FF">
        <w:rPr>
          <w:rFonts w:ascii="VIC" w:hAnsi="VIC" w:cstheme="minorBidi"/>
          <w:sz w:val="24"/>
        </w:rPr>
        <w:t>.</w:t>
      </w:r>
      <w:r w:rsidR="730231FD" w:rsidRPr="003A78FF">
        <w:rPr>
          <w:rFonts w:ascii="Cambria" w:hAnsi="Cambria" w:cs="Cambria"/>
          <w:sz w:val="24"/>
        </w:rPr>
        <w:t> </w:t>
      </w:r>
    </w:p>
    <w:p w14:paraId="2EA90FDD" w14:textId="34B17B15" w:rsidR="00A36DA2" w:rsidRPr="003A78FF" w:rsidRDefault="730231FD" w:rsidP="00246955">
      <w:pPr>
        <w:pStyle w:val="NormalWeb"/>
        <w:numPr>
          <w:ilvl w:val="0"/>
          <w:numId w:val="29"/>
        </w:numPr>
        <w:rPr>
          <w:rFonts w:ascii="VIC" w:hAnsi="VIC" w:cstheme="minorBidi"/>
          <w:sz w:val="24"/>
        </w:rPr>
      </w:pPr>
      <w:r w:rsidRPr="003A78FF">
        <w:rPr>
          <w:rFonts w:ascii="VIC" w:hAnsi="VIC" w:cstheme="minorBidi"/>
          <w:sz w:val="24"/>
        </w:rPr>
        <w:t xml:space="preserve">The return on investment </w:t>
      </w:r>
      <w:r w:rsidR="00F14795" w:rsidRPr="003A78FF">
        <w:rPr>
          <w:rFonts w:ascii="VIC" w:hAnsi="VIC" w:cstheme="minorBidi"/>
          <w:sz w:val="24"/>
        </w:rPr>
        <w:t>is</w:t>
      </w:r>
      <w:r w:rsidRPr="003A78FF">
        <w:rPr>
          <w:rFonts w:ascii="VIC" w:hAnsi="VIC" w:cstheme="minorBidi"/>
          <w:sz w:val="24"/>
        </w:rPr>
        <w:t xml:space="preserve"> anticipated to be far greater than the actual costs of the extra resources required.</w:t>
      </w:r>
      <w:r w:rsidR="001C300A" w:rsidRPr="003A78FF">
        <w:rPr>
          <w:rFonts w:ascii="VIC" w:hAnsi="VIC" w:cstheme="minorBidi"/>
          <w:sz w:val="24"/>
        </w:rPr>
        <w:t xml:space="preserve"> </w:t>
      </w:r>
    </w:p>
    <w:p w14:paraId="07E6697B" w14:textId="77777777" w:rsidR="00857CEC" w:rsidRPr="003A78FF" w:rsidRDefault="00857CEC" w:rsidP="00496E0B">
      <w:pPr>
        <w:pStyle w:val="NormalWeb"/>
        <w:ind w:left="360"/>
        <w:rPr>
          <w:rFonts w:ascii="VIC" w:hAnsi="VIC" w:cstheme="minorBidi"/>
          <w:color w:val="000000"/>
          <w:sz w:val="24"/>
        </w:rPr>
      </w:pPr>
    </w:p>
    <w:p w14:paraId="7D939943" w14:textId="1D41E24D" w:rsidR="008960D7" w:rsidRPr="003A78FF" w:rsidRDefault="0B6F30DC" w:rsidP="00962518">
      <w:pPr>
        <w:pStyle w:val="SCVbody"/>
        <w:rPr>
          <w:rFonts w:ascii="VIC" w:hAnsi="VIC"/>
          <w:b/>
          <w:bCs/>
          <w:sz w:val="24"/>
          <w:szCs w:val="24"/>
        </w:rPr>
      </w:pPr>
      <w:r w:rsidRPr="003A78FF">
        <w:rPr>
          <w:rFonts w:ascii="VIC" w:hAnsi="VIC"/>
          <w:b/>
          <w:bCs/>
          <w:sz w:val="24"/>
          <w:szCs w:val="24"/>
        </w:rPr>
        <w:t>After surgery</w:t>
      </w:r>
      <w:r w:rsidR="004F7F65" w:rsidRPr="003A78FF">
        <w:rPr>
          <w:rFonts w:ascii="VIC" w:hAnsi="VIC"/>
          <w:b/>
          <w:bCs/>
          <w:sz w:val="24"/>
          <w:szCs w:val="24"/>
        </w:rPr>
        <w:t>:</w:t>
      </w:r>
    </w:p>
    <w:p w14:paraId="1683EB83" w14:textId="0DEF6C24" w:rsidR="00B9163C" w:rsidRPr="003A78FF" w:rsidRDefault="00A1588D" w:rsidP="000B1B44">
      <w:pPr>
        <w:pStyle w:val="NormalWeb"/>
        <w:numPr>
          <w:ilvl w:val="0"/>
          <w:numId w:val="30"/>
        </w:numPr>
        <w:rPr>
          <w:rFonts w:ascii="VIC" w:hAnsi="VIC"/>
          <w:sz w:val="24"/>
        </w:rPr>
      </w:pPr>
      <w:r w:rsidRPr="003A78FF">
        <w:rPr>
          <w:rFonts w:ascii="VIC" w:hAnsi="VIC"/>
          <w:sz w:val="24"/>
        </w:rPr>
        <w:t>I</w:t>
      </w:r>
      <w:r w:rsidR="00CD3809" w:rsidRPr="003A78FF">
        <w:rPr>
          <w:rFonts w:ascii="VIC" w:hAnsi="VIC"/>
          <w:sz w:val="24"/>
        </w:rPr>
        <w:t>ntroduction of new processes (e</w:t>
      </w:r>
      <w:r w:rsidR="00C7681D" w:rsidRPr="003A78FF">
        <w:rPr>
          <w:rFonts w:ascii="VIC" w:hAnsi="VIC"/>
          <w:sz w:val="24"/>
        </w:rPr>
        <w:t>.</w:t>
      </w:r>
      <w:r w:rsidR="00CD3809" w:rsidRPr="003A78FF">
        <w:rPr>
          <w:rFonts w:ascii="VIC" w:hAnsi="VIC"/>
          <w:sz w:val="24"/>
        </w:rPr>
        <w:t>g</w:t>
      </w:r>
      <w:r w:rsidR="00C7681D" w:rsidRPr="003A78FF">
        <w:rPr>
          <w:rFonts w:ascii="VIC" w:hAnsi="VIC"/>
          <w:sz w:val="24"/>
        </w:rPr>
        <w:t>.</w:t>
      </w:r>
      <w:r w:rsidR="00CD3809" w:rsidRPr="003A78FF">
        <w:rPr>
          <w:rFonts w:ascii="VIC" w:hAnsi="VIC"/>
          <w:bCs/>
          <w:sz w:val="24"/>
        </w:rPr>
        <w:t xml:space="preserve"> c</w:t>
      </w:r>
      <w:r w:rsidR="000B1B44" w:rsidRPr="003A78FF">
        <w:rPr>
          <w:rFonts w:ascii="VIC" w:hAnsi="VIC"/>
          <w:bCs/>
          <w:sz w:val="24"/>
        </w:rPr>
        <w:t>riteria led discharge</w:t>
      </w:r>
      <w:r w:rsidR="00CD3809" w:rsidRPr="003A78FF">
        <w:rPr>
          <w:rFonts w:ascii="VIC" w:hAnsi="VIC"/>
          <w:bCs/>
          <w:sz w:val="24"/>
        </w:rPr>
        <w:t>)</w:t>
      </w:r>
      <w:r w:rsidR="00B9163C" w:rsidRPr="003A78FF">
        <w:rPr>
          <w:rFonts w:ascii="VIC" w:hAnsi="VIC"/>
          <w:bCs/>
          <w:sz w:val="24"/>
        </w:rPr>
        <w:t xml:space="preserve"> will likely</w:t>
      </w:r>
      <w:r w:rsidR="00D51014" w:rsidRPr="003A78FF">
        <w:rPr>
          <w:rFonts w:ascii="VIC" w:hAnsi="VIC"/>
          <w:bCs/>
          <w:sz w:val="24"/>
        </w:rPr>
        <w:t xml:space="preserve"> increase</w:t>
      </w:r>
      <w:r w:rsidR="00D51014" w:rsidRPr="003A78FF">
        <w:rPr>
          <w:rFonts w:ascii="VIC" w:hAnsi="VIC"/>
          <w:sz w:val="24"/>
        </w:rPr>
        <w:t xml:space="preserve"> the number of safe same-day disch</w:t>
      </w:r>
      <w:r w:rsidR="00612EDE" w:rsidRPr="003A78FF">
        <w:rPr>
          <w:rFonts w:ascii="VIC" w:hAnsi="VIC"/>
          <w:sz w:val="24"/>
        </w:rPr>
        <w:t>arges.</w:t>
      </w:r>
    </w:p>
    <w:p w14:paraId="7F3FAE12" w14:textId="736A39F1" w:rsidR="0B6F30DC" w:rsidRPr="003A78FF" w:rsidRDefault="008E5F80" w:rsidP="00DB0FB9">
      <w:pPr>
        <w:pStyle w:val="NormalWeb"/>
        <w:numPr>
          <w:ilvl w:val="0"/>
          <w:numId w:val="30"/>
        </w:numPr>
        <w:rPr>
          <w:rFonts w:ascii="VIC" w:hAnsi="VIC"/>
          <w:sz w:val="24"/>
        </w:rPr>
      </w:pPr>
      <w:r w:rsidRPr="003A78FF">
        <w:rPr>
          <w:rFonts w:ascii="VIC" w:hAnsi="VIC"/>
          <w:sz w:val="24"/>
        </w:rPr>
        <w:t xml:space="preserve">Medical and surgical review are not </w:t>
      </w:r>
      <w:r w:rsidR="0B6F30DC" w:rsidRPr="003A78FF">
        <w:rPr>
          <w:rFonts w:ascii="VIC" w:hAnsi="VIC"/>
          <w:sz w:val="24"/>
        </w:rPr>
        <w:t>always necessary</w:t>
      </w:r>
      <w:r w:rsidR="006230DE" w:rsidRPr="003A78FF">
        <w:rPr>
          <w:rFonts w:ascii="VIC" w:hAnsi="VIC"/>
          <w:sz w:val="24"/>
        </w:rPr>
        <w:t xml:space="preserve"> </w:t>
      </w:r>
      <w:r w:rsidR="00D06631" w:rsidRPr="003A78FF">
        <w:rPr>
          <w:rFonts w:ascii="VIC" w:hAnsi="VIC"/>
          <w:sz w:val="24"/>
        </w:rPr>
        <w:t>prior to discharge. P</w:t>
      </w:r>
      <w:r w:rsidR="00EA050A" w:rsidRPr="003A78FF">
        <w:rPr>
          <w:rFonts w:ascii="VIC" w:hAnsi="VIC"/>
          <w:sz w:val="24"/>
        </w:rPr>
        <w:t xml:space="preserve">athways and </w:t>
      </w:r>
      <w:r w:rsidR="00CB1311" w:rsidRPr="003A78FF">
        <w:rPr>
          <w:rFonts w:ascii="VIC" w:hAnsi="VIC"/>
          <w:sz w:val="24"/>
        </w:rPr>
        <w:t xml:space="preserve">escalation processes can greatly improve the patients journey and lead to </w:t>
      </w:r>
      <w:r w:rsidR="001527F9" w:rsidRPr="003A78FF">
        <w:rPr>
          <w:rFonts w:ascii="VIC" w:hAnsi="VIC"/>
          <w:sz w:val="24"/>
        </w:rPr>
        <w:t>timely</w:t>
      </w:r>
      <w:r w:rsidR="00CB1311" w:rsidRPr="003A78FF">
        <w:rPr>
          <w:rFonts w:ascii="VIC" w:hAnsi="VIC"/>
          <w:sz w:val="24"/>
        </w:rPr>
        <w:t xml:space="preserve"> safe discharge of same-day surgical patients.</w:t>
      </w:r>
      <w:r w:rsidR="0B6F30DC" w:rsidRPr="003A78FF">
        <w:rPr>
          <w:rFonts w:ascii="VIC" w:hAnsi="VIC"/>
          <w:sz w:val="24"/>
        </w:rPr>
        <w:t xml:space="preserve"> </w:t>
      </w:r>
    </w:p>
    <w:p w14:paraId="2A02FBDD" w14:textId="1AD31E81" w:rsidR="0B6F30DC" w:rsidRPr="003A78FF" w:rsidRDefault="00CB1311" w:rsidP="000B1B44">
      <w:pPr>
        <w:pStyle w:val="NormalWeb"/>
        <w:numPr>
          <w:ilvl w:val="0"/>
          <w:numId w:val="30"/>
        </w:numPr>
        <w:rPr>
          <w:rFonts w:ascii="VIC" w:hAnsi="VIC"/>
          <w:sz w:val="24"/>
        </w:rPr>
      </w:pPr>
      <w:r w:rsidRPr="003A78FF">
        <w:rPr>
          <w:rFonts w:ascii="VIC" w:hAnsi="VIC"/>
          <w:sz w:val="24"/>
        </w:rPr>
        <w:t>Incorporating a m</w:t>
      </w:r>
      <w:r w:rsidR="0B6F30DC" w:rsidRPr="003A78FF">
        <w:rPr>
          <w:rFonts w:ascii="VIC" w:hAnsi="VIC"/>
          <w:sz w:val="24"/>
        </w:rPr>
        <w:t>ultidisciplinary</w:t>
      </w:r>
      <w:r w:rsidRPr="003A78FF">
        <w:rPr>
          <w:rFonts w:ascii="VIC" w:hAnsi="VIC"/>
          <w:sz w:val="24"/>
        </w:rPr>
        <w:t xml:space="preserve"> approach</w:t>
      </w:r>
      <w:r w:rsidR="00650F59" w:rsidRPr="003A78FF">
        <w:rPr>
          <w:rFonts w:ascii="VIC" w:hAnsi="VIC"/>
          <w:b/>
          <w:sz w:val="24"/>
        </w:rPr>
        <w:t xml:space="preserve"> </w:t>
      </w:r>
      <w:r w:rsidR="00650F59" w:rsidRPr="003A78FF">
        <w:rPr>
          <w:rFonts w:ascii="VIC" w:hAnsi="VIC"/>
          <w:sz w:val="24"/>
        </w:rPr>
        <w:t>(</w:t>
      </w:r>
      <w:r w:rsidR="006328AE" w:rsidRPr="003A78FF">
        <w:rPr>
          <w:rFonts w:ascii="VIC" w:hAnsi="VIC"/>
          <w:sz w:val="24"/>
        </w:rPr>
        <w:t>n</w:t>
      </w:r>
      <w:r w:rsidR="0B6F30DC" w:rsidRPr="003A78FF">
        <w:rPr>
          <w:rFonts w:ascii="VIC" w:hAnsi="VIC"/>
          <w:sz w:val="24"/>
        </w:rPr>
        <w:t xml:space="preserve">ursing, </w:t>
      </w:r>
      <w:r w:rsidR="006328AE" w:rsidRPr="003A78FF">
        <w:rPr>
          <w:rFonts w:ascii="VIC" w:hAnsi="VIC"/>
          <w:sz w:val="24"/>
        </w:rPr>
        <w:t>a</w:t>
      </w:r>
      <w:r w:rsidR="0B6F30DC" w:rsidRPr="003A78FF">
        <w:rPr>
          <w:rFonts w:ascii="VIC" w:hAnsi="VIC"/>
          <w:sz w:val="24"/>
        </w:rPr>
        <w:t xml:space="preserve">llied </w:t>
      </w:r>
      <w:r w:rsidR="006328AE" w:rsidRPr="003A78FF">
        <w:rPr>
          <w:rFonts w:ascii="VIC" w:hAnsi="VIC"/>
          <w:sz w:val="24"/>
        </w:rPr>
        <w:t>h</w:t>
      </w:r>
      <w:r w:rsidR="0B6F30DC" w:rsidRPr="003A78FF">
        <w:rPr>
          <w:rFonts w:ascii="VIC" w:hAnsi="VIC"/>
          <w:sz w:val="24"/>
        </w:rPr>
        <w:t>ealth</w:t>
      </w:r>
      <w:r w:rsidRPr="003A78FF">
        <w:rPr>
          <w:rFonts w:ascii="VIC" w:hAnsi="VIC"/>
          <w:sz w:val="24"/>
        </w:rPr>
        <w:t xml:space="preserve"> and</w:t>
      </w:r>
      <w:r w:rsidR="0B6F30DC" w:rsidRPr="003A78FF">
        <w:rPr>
          <w:rFonts w:ascii="VIC" w:hAnsi="VIC"/>
          <w:sz w:val="24"/>
        </w:rPr>
        <w:t xml:space="preserve"> </w:t>
      </w:r>
      <w:r w:rsidR="006328AE" w:rsidRPr="003A78FF">
        <w:rPr>
          <w:rFonts w:ascii="VIC" w:hAnsi="VIC"/>
          <w:sz w:val="24"/>
        </w:rPr>
        <w:t>p</w:t>
      </w:r>
      <w:r w:rsidR="0B6F30DC" w:rsidRPr="003A78FF">
        <w:rPr>
          <w:rFonts w:ascii="VIC" w:hAnsi="VIC"/>
          <w:sz w:val="24"/>
        </w:rPr>
        <w:t>harmacy</w:t>
      </w:r>
      <w:r w:rsidR="000C4442" w:rsidRPr="003A78FF">
        <w:rPr>
          <w:rFonts w:ascii="VIC" w:hAnsi="VIC"/>
          <w:sz w:val="24"/>
        </w:rPr>
        <w:t>)</w:t>
      </w:r>
      <w:r w:rsidR="00FB23D6" w:rsidRPr="003A78FF">
        <w:rPr>
          <w:rFonts w:ascii="VIC" w:hAnsi="VIC"/>
          <w:sz w:val="24"/>
        </w:rPr>
        <w:t xml:space="preserve"> </w:t>
      </w:r>
      <w:r w:rsidR="0B6F30DC" w:rsidRPr="003A78FF">
        <w:rPr>
          <w:rFonts w:ascii="VIC" w:hAnsi="VIC"/>
          <w:sz w:val="24"/>
        </w:rPr>
        <w:t xml:space="preserve">into </w:t>
      </w:r>
      <w:r w:rsidR="00313EEA" w:rsidRPr="003A78FF">
        <w:rPr>
          <w:rFonts w:ascii="VIC" w:hAnsi="VIC"/>
          <w:sz w:val="24"/>
        </w:rPr>
        <w:t xml:space="preserve">same-day </w:t>
      </w:r>
      <w:r w:rsidR="0B6F30DC" w:rsidRPr="003A78FF">
        <w:rPr>
          <w:rFonts w:ascii="VIC" w:hAnsi="VIC"/>
          <w:sz w:val="24"/>
        </w:rPr>
        <w:t>discharge planning</w:t>
      </w:r>
      <w:r w:rsidR="00313EEA" w:rsidRPr="003A78FF">
        <w:rPr>
          <w:rFonts w:ascii="VIC" w:hAnsi="VIC"/>
          <w:sz w:val="24"/>
        </w:rPr>
        <w:t xml:space="preserve"> is likely to </w:t>
      </w:r>
      <w:r w:rsidR="00F875BB" w:rsidRPr="003A78FF">
        <w:rPr>
          <w:rFonts w:ascii="VIC" w:hAnsi="VIC"/>
          <w:sz w:val="24"/>
        </w:rPr>
        <w:t xml:space="preserve">expediate a safe discharge. This includes </w:t>
      </w:r>
      <w:r w:rsidR="006328AE" w:rsidRPr="003A78FF">
        <w:rPr>
          <w:rFonts w:ascii="VIC" w:hAnsi="VIC"/>
          <w:sz w:val="24"/>
        </w:rPr>
        <w:t>suitable treatment of post anaesthetic nausea and vomiting</w:t>
      </w:r>
      <w:r w:rsidR="00D00D27" w:rsidRPr="003A78FF">
        <w:rPr>
          <w:rFonts w:ascii="VIC" w:hAnsi="VIC"/>
          <w:sz w:val="24"/>
        </w:rPr>
        <w:t>, monitoring of recovery</w:t>
      </w:r>
      <w:r w:rsidR="006328AE" w:rsidRPr="003A78FF">
        <w:rPr>
          <w:rFonts w:ascii="VIC" w:hAnsi="VIC"/>
          <w:sz w:val="24"/>
        </w:rPr>
        <w:t xml:space="preserve"> and </w:t>
      </w:r>
      <w:r w:rsidR="00890C2E" w:rsidRPr="003A78FF">
        <w:rPr>
          <w:rFonts w:ascii="VIC" w:hAnsi="VIC"/>
          <w:sz w:val="24"/>
        </w:rPr>
        <w:t xml:space="preserve">management of </w:t>
      </w:r>
      <w:r w:rsidR="006328AE" w:rsidRPr="003A78FF">
        <w:rPr>
          <w:rFonts w:ascii="VIC" w:hAnsi="VIC"/>
          <w:sz w:val="24"/>
        </w:rPr>
        <w:t>pain</w:t>
      </w:r>
      <w:r w:rsidR="00F77DDD" w:rsidRPr="003A78FF">
        <w:rPr>
          <w:rFonts w:ascii="VIC" w:hAnsi="VIC"/>
          <w:sz w:val="24"/>
        </w:rPr>
        <w:t xml:space="preserve"> and early mobilisation</w:t>
      </w:r>
      <w:r w:rsidR="006328AE" w:rsidRPr="003A78FF">
        <w:rPr>
          <w:rFonts w:ascii="VIC" w:hAnsi="VIC"/>
          <w:sz w:val="24"/>
        </w:rPr>
        <w:t>.</w:t>
      </w:r>
      <w:r w:rsidR="0B6F30DC" w:rsidRPr="003A78FF">
        <w:rPr>
          <w:rFonts w:ascii="VIC" w:hAnsi="VIC"/>
          <w:sz w:val="24"/>
        </w:rPr>
        <w:t xml:space="preserve"> </w:t>
      </w:r>
    </w:p>
    <w:p w14:paraId="31764828" w14:textId="73CE4254" w:rsidR="00660442" w:rsidRPr="003A78FF" w:rsidRDefault="00DE19E5" w:rsidP="00D37DC8">
      <w:pPr>
        <w:pStyle w:val="NormalWeb"/>
        <w:numPr>
          <w:ilvl w:val="0"/>
          <w:numId w:val="30"/>
        </w:numPr>
        <w:rPr>
          <w:rFonts w:ascii="VIC" w:hAnsi="VIC"/>
          <w:sz w:val="24"/>
        </w:rPr>
      </w:pPr>
      <w:r w:rsidRPr="003A78FF">
        <w:rPr>
          <w:rFonts w:ascii="VIC" w:hAnsi="VIC"/>
          <w:sz w:val="24"/>
        </w:rPr>
        <w:t>A</w:t>
      </w:r>
      <w:r w:rsidR="00897B00" w:rsidRPr="003A78FF">
        <w:rPr>
          <w:rFonts w:ascii="VIC" w:hAnsi="VIC"/>
          <w:sz w:val="24"/>
        </w:rPr>
        <w:t xml:space="preserve"> </w:t>
      </w:r>
      <w:r w:rsidR="006532E3" w:rsidRPr="003A78FF">
        <w:rPr>
          <w:rFonts w:ascii="VIC" w:hAnsi="VIC"/>
          <w:sz w:val="24"/>
        </w:rPr>
        <w:t>comprehensive</w:t>
      </w:r>
      <w:r w:rsidR="006033E9" w:rsidRPr="003A78FF">
        <w:rPr>
          <w:rFonts w:ascii="VIC" w:hAnsi="VIC"/>
          <w:sz w:val="24"/>
        </w:rPr>
        <w:t xml:space="preserve"> </w:t>
      </w:r>
      <w:r w:rsidR="0B6F30DC" w:rsidRPr="003A78FF">
        <w:rPr>
          <w:rFonts w:ascii="VIC" w:hAnsi="VIC"/>
          <w:sz w:val="24"/>
        </w:rPr>
        <w:t>discharge</w:t>
      </w:r>
      <w:r w:rsidR="00897B00" w:rsidRPr="003A78FF">
        <w:rPr>
          <w:rFonts w:ascii="VIC" w:hAnsi="VIC"/>
          <w:sz w:val="24"/>
        </w:rPr>
        <w:t xml:space="preserve"> plan </w:t>
      </w:r>
      <w:r w:rsidR="006C48C3" w:rsidRPr="003A78FF">
        <w:rPr>
          <w:rFonts w:ascii="VIC" w:hAnsi="VIC"/>
          <w:bCs/>
          <w:sz w:val="24"/>
        </w:rPr>
        <w:t xml:space="preserve">should be </w:t>
      </w:r>
      <w:r w:rsidR="0B6F30DC" w:rsidRPr="003A78FF">
        <w:rPr>
          <w:rFonts w:ascii="VIC" w:hAnsi="VIC"/>
          <w:sz w:val="24"/>
        </w:rPr>
        <w:t>provided to the patient</w:t>
      </w:r>
      <w:r w:rsidR="006C48C3" w:rsidRPr="003A78FF">
        <w:rPr>
          <w:rFonts w:ascii="VIC" w:hAnsi="VIC"/>
          <w:bCs/>
          <w:sz w:val="24"/>
        </w:rPr>
        <w:t xml:space="preserve"> and</w:t>
      </w:r>
      <w:r w:rsidR="00EC1CD7" w:rsidRPr="003A78FF">
        <w:rPr>
          <w:rFonts w:ascii="VIC" w:hAnsi="VIC"/>
          <w:bCs/>
          <w:sz w:val="24"/>
        </w:rPr>
        <w:t xml:space="preserve"> </w:t>
      </w:r>
      <w:r w:rsidR="0B6F30DC" w:rsidRPr="003A78FF">
        <w:rPr>
          <w:rFonts w:ascii="VIC" w:hAnsi="VIC"/>
          <w:sz w:val="24"/>
        </w:rPr>
        <w:t xml:space="preserve">GP (day </w:t>
      </w:r>
      <w:r w:rsidR="00013215" w:rsidRPr="003A78FF">
        <w:rPr>
          <w:rFonts w:ascii="VIC" w:hAnsi="VIC"/>
          <w:sz w:val="24"/>
        </w:rPr>
        <w:t>of</w:t>
      </w:r>
      <w:r w:rsidR="0B6F30DC" w:rsidRPr="003A78FF">
        <w:rPr>
          <w:rFonts w:ascii="VIC" w:hAnsi="VIC"/>
          <w:sz w:val="24"/>
        </w:rPr>
        <w:t xml:space="preserve"> discharge) </w:t>
      </w:r>
      <w:r w:rsidR="00DA7BE3" w:rsidRPr="003A78FF">
        <w:rPr>
          <w:rFonts w:ascii="VIC" w:hAnsi="VIC"/>
          <w:sz w:val="24"/>
        </w:rPr>
        <w:t>with</w:t>
      </w:r>
      <w:r w:rsidR="0B6F30DC" w:rsidRPr="003A78FF">
        <w:rPr>
          <w:rFonts w:ascii="VIC" w:hAnsi="VIC"/>
          <w:sz w:val="24"/>
        </w:rPr>
        <w:t xml:space="preserve"> clear information </w:t>
      </w:r>
      <w:r w:rsidR="004E1575" w:rsidRPr="003A78FF">
        <w:rPr>
          <w:rFonts w:ascii="VIC" w:hAnsi="VIC"/>
          <w:sz w:val="24"/>
        </w:rPr>
        <w:t>including</w:t>
      </w:r>
      <w:r w:rsidR="0B6F30DC" w:rsidRPr="003A78FF">
        <w:rPr>
          <w:rFonts w:ascii="VIC" w:hAnsi="VIC"/>
          <w:sz w:val="24"/>
        </w:rPr>
        <w:t xml:space="preserve"> the procedure performed</w:t>
      </w:r>
      <w:r w:rsidR="0086560A" w:rsidRPr="003A78FF">
        <w:rPr>
          <w:rFonts w:ascii="VIC" w:hAnsi="VIC"/>
          <w:sz w:val="24"/>
        </w:rPr>
        <w:t>, what is to be expected during recovery and</w:t>
      </w:r>
      <w:r w:rsidR="0B6F30DC" w:rsidRPr="003A78FF">
        <w:rPr>
          <w:rFonts w:ascii="VIC" w:hAnsi="VIC"/>
          <w:sz w:val="24"/>
        </w:rPr>
        <w:t xml:space="preserve"> </w:t>
      </w:r>
      <w:r w:rsidR="0086560A" w:rsidRPr="003A78FF">
        <w:rPr>
          <w:rFonts w:ascii="VIC" w:hAnsi="VIC"/>
          <w:sz w:val="24"/>
        </w:rPr>
        <w:t xml:space="preserve">what symptoms should prompt </w:t>
      </w:r>
      <w:r w:rsidR="000B0E88" w:rsidRPr="003A78FF">
        <w:rPr>
          <w:rFonts w:ascii="VIC" w:hAnsi="VIC"/>
          <w:sz w:val="24"/>
        </w:rPr>
        <w:t>timely review</w:t>
      </w:r>
      <w:r w:rsidR="00195CD0" w:rsidRPr="003A78FF">
        <w:rPr>
          <w:rFonts w:ascii="VIC" w:hAnsi="VIC"/>
          <w:sz w:val="24"/>
        </w:rPr>
        <w:t>,</w:t>
      </w:r>
      <w:r w:rsidR="0086560A" w:rsidRPr="003A78FF">
        <w:rPr>
          <w:rFonts w:ascii="VIC" w:hAnsi="VIC"/>
          <w:sz w:val="24"/>
        </w:rPr>
        <w:t xml:space="preserve"> </w:t>
      </w:r>
      <w:r w:rsidR="0B6F30DC" w:rsidRPr="003A78FF">
        <w:rPr>
          <w:rFonts w:ascii="VIC" w:hAnsi="VIC"/>
          <w:sz w:val="24"/>
        </w:rPr>
        <w:t>and who to contact if concerns</w:t>
      </w:r>
      <w:r w:rsidR="00010B00" w:rsidRPr="003A78FF">
        <w:rPr>
          <w:rFonts w:ascii="VIC" w:hAnsi="VIC"/>
          <w:sz w:val="24"/>
        </w:rPr>
        <w:t xml:space="preserve"> arise</w:t>
      </w:r>
      <w:r w:rsidR="0B6F30DC" w:rsidRPr="003A78FF">
        <w:rPr>
          <w:rFonts w:ascii="VIC" w:hAnsi="VIC"/>
          <w:sz w:val="24"/>
        </w:rPr>
        <w:t xml:space="preserve">. </w:t>
      </w:r>
    </w:p>
    <w:p w14:paraId="735EC2F4" w14:textId="54C6EF30" w:rsidR="00DD78CC" w:rsidRPr="003A78FF" w:rsidRDefault="008E76F0" w:rsidP="000C3EAB">
      <w:pPr>
        <w:pStyle w:val="NormalWeb"/>
        <w:numPr>
          <w:ilvl w:val="0"/>
          <w:numId w:val="30"/>
        </w:numPr>
        <w:rPr>
          <w:rFonts w:ascii="VIC" w:hAnsi="VIC"/>
          <w:sz w:val="24"/>
        </w:rPr>
      </w:pPr>
      <w:r w:rsidRPr="003A78FF">
        <w:rPr>
          <w:rFonts w:ascii="VIC" w:hAnsi="VIC"/>
          <w:sz w:val="24"/>
        </w:rPr>
        <w:t xml:space="preserve">The discharge plan should also clearly articulate </w:t>
      </w:r>
      <w:r w:rsidR="00AF4B3A" w:rsidRPr="003A78FF">
        <w:rPr>
          <w:rFonts w:ascii="VIC" w:hAnsi="VIC"/>
          <w:sz w:val="24"/>
        </w:rPr>
        <w:t xml:space="preserve">how and when </w:t>
      </w:r>
      <w:r w:rsidR="00AF4B3A" w:rsidRPr="003A78FF">
        <w:rPr>
          <w:rFonts w:ascii="VIC" w:hAnsi="VIC"/>
          <w:bCs/>
          <w:sz w:val="24"/>
        </w:rPr>
        <w:t>postoperative follow up</w:t>
      </w:r>
      <w:r w:rsidR="00AF4B3A" w:rsidRPr="003A78FF">
        <w:rPr>
          <w:rFonts w:ascii="VIC" w:hAnsi="VIC"/>
          <w:sz w:val="24"/>
        </w:rPr>
        <w:t xml:space="preserve"> will occur and who is responsible.</w:t>
      </w:r>
      <w:r w:rsidR="00A20154" w:rsidRPr="003A78FF">
        <w:rPr>
          <w:rFonts w:ascii="VIC" w:hAnsi="VIC"/>
          <w:sz w:val="24"/>
        </w:rPr>
        <w:t xml:space="preserve"> </w:t>
      </w:r>
      <w:r w:rsidR="000C3EAB" w:rsidRPr="003A78FF">
        <w:rPr>
          <w:rFonts w:ascii="VIC" w:hAnsi="VIC"/>
          <w:sz w:val="24"/>
        </w:rPr>
        <w:t xml:space="preserve">This </w:t>
      </w:r>
      <w:r w:rsidR="00DD78CC" w:rsidRPr="003A78FF">
        <w:rPr>
          <w:rFonts w:ascii="VIC" w:hAnsi="VIC"/>
          <w:sz w:val="24"/>
        </w:rPr>
        <w:t xml:space="preserve">will ensure a patient does not get lost in the system and there are multiple ways to make certain ongoing care is provided (i.e. via the health service, GP or patient themselves). </w:t>
      </w:r>
    </w:p>
    <w:p w14:paraId="70C1D161" w14:textId="77777777" w:rsidR="00536D16" w:rsidRPr="003A78FF" w:rsidRDefault="00536D16" w:rsidP="00536D16">
      <w:pPr>
        <w:pStyle w:val="NormalWeb"/>
        <w:numPr>
          <w:ilvl w:val="0"/>
          <w:numId w:val="30"/>
        </w:numPr>
        <w:rPr>
          <w:rFonts w:ascii="VIC" w:hAnsi="VIC"/>
          <w:sz w:val="24"/>
        </w:rPr>
      </w:pPr>
      <w:r w:rsidRPr="003A78FF">
        <w:rPr>
          <w:rFonts w:ascii="VIC" w:hAnsi="VIC"/>
          <w:sz w:val="24"/>
        </w:rPr>
        <w:t xml:space="preserve">The comprehensive discharge plan and medical advice should be provided at the time the operation note is written. </w:t>
      </w:r>
    </w:p>
    <w:p w14:paraId="568A6235" w14:textId="77777777" w:rsidR="00536D16" w:rsidRPr="003A78FF" w:rsidRDefault="00536D16" w:rsidP="00536D16">
      <w:pPr>
        <w:pStyle w:val="NormalWeb"/>
        <w:numPr>
          <w:ilvl w:val="0"/>
          <w:numId w:val="30"/>
        </w:numPr>
        <w:rPr>
          <w:rFonts w:ascii="VIC" w:hAnsi="VIC"/>
          <w:sz w:val="24"/>
        </w:rPr>
      </w:pPr>
      <w:r w:rsidRPr="003A78FF">
        <w:rPr>
          <w:rFonts w:ascii="VIC" w:hAnsi="VIC"/>
          <w:sz w:val="24"/>
        </w:rPr>
        <w:t>Some patients require medical review prior to discharge, others may be suitable for nurse-initiated discharge.</w:t>
      </w:r>
    </w:p>
    <w:p w14:paraId="6F1C3FB0" w14:textId="2465E068" w:rsidR="008B5C7A" w:rsidRPr="003A78FF" w:rsidRDefault="00A20154" w:rsidP="00D37DC8">
      <w:pPr>
        <w:pStyle w:val="NormalWeb"/>
        <w:numPr>
          <w:ilvl w:val="0"/>
          <w:numId w:val="30"/>
        </w:numPr>
        <w:rPr>
          <w:rFonts w:ascii="VIC" w:hAnsi="VIC"/>
          <w:sz w:val="24"/>
        </w:rPr>
      </w:pPr>
      <w:r w:rsidRPr="003A78FF">
        <w:rPr>
          <w:rFonts w:ascii="VIC" w:hAnsi="VIC"/>
          <w:sz w:val="24"/>
        </w:rPr>
        <w:lastRenderedPageBreak/>
        <w:t>Access to early follow-up appointments may need to be addressed and planned for</w:t>
      </w:r>
      <w:r w:rsidR="00314ADD" w:rsidRPr="003A78FF">
        <w:rPr>
          <w:rFonts w:ascii="VIC" w:hAnsi="VIC"/>
          <w:sz w:val="24"/>
        </w:rPr>
        <w:t xml:space="preserve"> by the health service</w:t>
      </w:r>
      <w:r w:rsidRPr="003A78FF">
        <w:rPr>
          <w:rFonts w:ascii="VIC" w:hAnsi="VIC"/>
          <w:sz w:val="24"/>
        </w:rPr>
        <w:t>.</w:t>
      </w:r>
      <w:r w:rsidR="00275A73" w:rsidRPr="003A78FF">
        <w:rPr>
          <w:rFonts w:ascii="VIC" w:hAnsi="VIC"/>
          <w:sz w:val="24"/>
        </w:rPr>
        <w:t xml:space="preserve"> </w:t>
      </w:r>
    </w:p>
    <w:p w14:paraId="04949258" w14:textId="18473EE0" w:rsidR="00391FB2" w:rsidRPr="003A78FF" w:rsidRDefault="253A6C64" w:rsidP="00733E5D">
      <w:pPr>
        <w:pStyle w:val="SCVbody"/>
        <w:rPr>
          <w:rFonts w:ascii="VIC" w:eastAsia="Times New Roman" w:hAnsi="VIC"/>
          <w:color w:val="000000" w:themeColor="text1"/>
          <w:sz w:val="24"/>
          <w:szCs w:val="24"/>
        </w:rPr>
      </w:pPr>
      <w:bookmarkStart w:id="19" w:name="_Toc111215096"/>
      <w:bookmarkStart w:id="20" w:name="_Toc111215153"/>
      <w:r w:rsidRPr="003A78FF">
        <w:rPr>
          <w:rFonts w:ascii="VIC" w:eastAsia="Times New Roman" w:hAnsi="VIC"/>
          <w:color w:val="000000" w:themeColor="text1"/>
          <w:sz w:val="24"/>
          <w:szCs w:val="24"/>
        </w:rPr>
        <w:t xml:space="preserve">It </w:t>
      </w:r>
      <w:r w:rsidR="003253D7" w:rsidRPr="003A78FF">
        <w:rPr>
          <w:rFonts w:ascii="VIC" w:eastAsia="Times New Roman" w:hAnsi="VIC"/>
          <w:color w:val="000000" w:themeColor="text1"/>
          <w:sz w:val="24"/>
          <w:szCs w:val="24"/>
        </w:rPr>
        <w:t xml:space="preserve">is </w:t>
      </w:r>
      <w:r w:rsidRPr="003A78FF">
        <w:rPr>
          <w:rFonts w:ascii="VIC" w:eastAsia="Times New Roman" w:hAnsi="VIC"/>
          <w:color w:val="000000" w:themeColor="text1"/>
          <w:sz w:val="24"/>
          <w:szCs w:val="24"/>
        </w:rPr>
        <w:t>important to generat</w:t>
      </w:r>
      <w:r w:rsidR="003253D7" w:rsidRPr="003A78FF">
        <w:rPr>
          <w:rFonts w:ascii="VIC" w:eastAsia="Times New Roman" w:hAnsi="VIC"/>
          <w:color w:val="000000" w:themeColor="text1"/>
          <w:sz w:val="24"/>
          <w:szCs w:val="24"/>
        </w:rPr>
        <w:t>e</w:t>
      </w:r>
      <w:r w:rsidRPr="003A78FF">
        <w:rPr>
          <w:rFonts w:ascii="VIC" w:eastAsia="Times New Roman" w:hAnsi="VIC"/>
          <w:color w:val="000000" w:themeColor="text1"/>
          <w:sz w:val="24"/>
          <w:szCs w:val="24"/>
        </w:rPr>
        <w:t xml:space="preserve"> confidence in the </w:t>
      </w:r>
      <w:r w:rsidR="003253D7" w:rsidRPr="003A78FF">
        <w:rPr>
          <w:rFonts w:ascii="VIC" w:eastAsia="Times New Roman" w:hAnsi="VIC"/>
          <w:color w:val="000000" w:themeColor="text1"/>
          <w:sz w:val="24"/>
          <w:szCs w:val="24"/>
        </w:rPr>
        <w:t>health</w:t>
      </w:r>
      <w:r w:rsidRPr="003A78FF">
        <w:rPr>
          <w:rFonts w:ascii="VIC" w:eastAsia="Times New Roman" w:hAnsi="VIC"/>
          <w:color w:val="000000" w:themeColor="text1"/>
          <w:sz w:val="24"/>
          <w:szCs w:val="24"/>
        </w:rPr>
        <w:t xml:space="preserve"> system</w:t>
      </w:r>
      <w:r w:rsidR="003253D7" w:rsidRPr="003A78FF">
        <w:rPr>
          <w:rFonts w:ascii="VIC" w:eastAsia="Times New Roman" w:hAnsi="VIC"/>
          <w:color w:val="000000" w:themeColor="text1"/>
          <w:sz w:val="24"/>
          <w:szCs w:val="24"/>
        </w:rPr>
        <w:t xml:space="preserve"> during this time of change to promote the long-term benefits and</w:t>
      </w:r>
      <w:r w:rsidRPr="003A78FF">
        <w:rPr>
          <w:rFonts w:ascii="VIC" w:eastAsia="Times New Roman" w:hAnsi="VIC"/>
          <w:color w:val="000000" w:themeColor="text1"/>
          <w:sz w:val="24"/>
          <w:szCs w:val="24"/>
        </w:rPr>
        <w:t xml:space="preserve"> overall strategy for expanding same-day models of surgical care</w:t>
      </w:r>
      <w:r w:rsidR="003253D7" w:rsidRPr="003A78FF">
        <w:rPr>
          <w:rFonts w:ascii="VIC" w:eastAsia="Times New Roman" w:hAnsi="VIC"/>
          <w:color w:val="000000" w:themeColor="text1"/>
          <w:sz w:val="24"/>
          <w:szCs w:val="24"/>
        </w:rPr>
        <w:t>.</w:t>
      </w:r>
      <w:bookmarkEnd w:id="19"/>
      <w:bookmarkEnd w:id="20"/>
      <w:r w:rsidR="003253D7" w:rsidRPr="003A78FF">
        <w:rPr>
          <w:rFonts w:ascii="VIC" w:eastAsia="Times New Roman" w:hAnsi="VIC"/>
          <w:color w:val="000000" w:themeColor="text1"/>
          <w:sz w:val="24"/>
          <w:szCs w:val="24"/>
        </w:rPr>
        <w:t xml:space="preserve"> </w:t>
      </w:r>
    </w:p>
    <w:p w14:paraId="6BE6DB3B" w14:textId="4DA60747" w:rsidR="00A36DA2" w:rsidRPr="003A78FF" w:rsidRDefault="00A36DA2" w:rsidP="00FE54E5">
      <w:pPr>
        <w:pStyle w:val="Heading3"/>
        <w:numPr>
          <w:ilvl w:val="0"/>
          <w:numId w:val="21"/>
        </w:numPr>
        <w:rPr>
          <w:rFonts w:ascii="VIC" w:hAnsi="VIC"/>
          <w:szCs w:val="24"/>
        </w:rPr>
      </w:pPr>
      <w:bookmarkStart w:id="21" w:name="_Toc111215097"/>
      <w:bookmarkStart w:id="22" w:name="_Toc111215154"/>
      <w:r w:rsidRPr="003A78FF">
        <w:rPr>
          <w:rFonts w:ascii="VIC" w:hAnsi="VIC"/>
          <w:szCs w:val="24"/>
        </w:rPr>
        <w:t>What are the key implementation risks in expanding same-day models of surgical care, and how can they be mitigated?</w:t>
      </w:r>
      <w:bookmarkEnd w:id="21"/>
      <w:bookmarkEnd w:id="22"/>
      <w:r w:rsidRPr="003A78FF">
        <w:rPr>
          <w:rFonts w:ascii="Cambria" w:hAnsi="Cambria" w:cs="Cambria"/>
          <w:szCs w:val="24"/>
        </w:rPr>
        <w:t> </w:t>
      </w:r>
    </w:p>
    <w:p w14:paraId="561F471E" w14:textId="77777777" w:rsidR="00132B8A" w:rsidRPr="003A78FF" w:rsidRDefault="00132B8A" w:rsidP="00132B8A">
      <w:pPr>
        <w:pStyle w:val="SCVbody"/>
        <w:spacing w:before="0" w:after="0"/>
        <w:rPr>
          <w:rFonts w:ascii="VIC" w:hAnsi="VIC"/>
          <w:sz w:val="24"/>
          <w:szCs w:val="24"/>
        </w:rPr>
      </w:pPr>
    </w:p>
    <w:tbl>
      <w:tblPr>
        <w:tblStyle w:val="TableGrid"/>
        <w:tblW w:w="9835" w:type="dxa"/>
        <w:tblInd w:w="426" w:type="dxa"/>
        <w:tblLook w:val="04A0" w:firstRow="1" w:lastRow="0" w:firstColumn="1" w:lastColumn="0" w:noHBand="0" w:noVBand="1"/>
      </w:tblPr>
      <w:tblGrid>
        <w:gridCol w:w="3955"/>
        <w:gridCol w:w="5880"/>
      </w:tblGrid>
      <w:tr w:rsidR="00B953CA" w:rsidRPr="003A78FF" w14:paraId="1DE963BD" w14:textId="77777777" w:rsidTr="00EE0D2E">
        <w:trPr>
          <w:cnfStyle w:val="100000000000" w:firstRow="1" w:lastRow="0" w:firstColumn="0" w:lastColumn="0" w:oddVBand="0" w:evenVBand="0" w:oddHBand="0" w:evenHBand="0" w:firstRowFirstColumn="0" w:firstRowLastColumn="0" w:lastRowFirstColumn="0" w:lastRowLastColumn="0"/>
        </w:trPr>
        <w:tc>
          <w:tcPr>
            <w:tcW w:w="3955" w:type="dxa"/>
          </w:tcPr>
          <w:p w14:paraId="00A79955" w14:textId="1B76F6FF" w:rsidR="00B953CA" w:rsidRPr="003A78FF" w:rsidRDefault="00B953CA" w:rsidP="001C5C13">
            <w:pPr>
              <w:pStyle w:val="NormalWeb"/>
              <w:rPr>
                <w:rFonts w:ascii="VIC" w:hAnsi="VIC" w:cstheme="minorHAnsi"/>
                <w:b/>
                <w:bCs/>
                <w:color w:val="000000"/>
                <w:sz w:val="24"/>
              </w:rPr>
            </w:pPr>
            <w:r w:rsidRPr="003A78FF">
              <w:rPr>
                <w:rFonts w:ascii="VIC" w:hAnsi="VIC" w:cstheme="minorHAnsi"/>
                <w:b/>
                <w:bCs/>
                <w:color w:val="000000"/>
                <w:sz w:val="24"/>
              </w:rPr>
              <w:t>Risk</w:t>
            </w:r>
          </w:p>
        </w:tc>
        <w:tc>
          <w:tcPr>
            <w:tcW w:w="5880" w:type="dxa"/>
          </w:tcPr>
          <w:p w14:paraId="38B1F3F9" w14:textId="6A71CD6D" w:rsidR="00B953CA" w:rsidRPr="003A78FF" w:rsidRDefault="00B953CA" w:rsidP="001C5C13">
            <w:pPr>
              <w:pStyle w:val="NormalWeb"/>
              <w:rPr>
                <w:rFonts w:ascii="VIC" w:hAnsi="VIC" w:cstheme="minorHAnsi"/>
                <w:b/>
                <w:bCs/>
                <w:color w:val="000000"/>
                <w:sz w:val="24"/>
              </w:rPr>
            </w:pPr>
            <w:r w:rsidRPr="003A78FF">
              <w:rPr>
                <w:rFonts w:ascii="VIC" w:hAnsi="VIC" w:cstheme="minorHAnsi"/>
                <w:b/>
                <w:bCs/>
                <w:color w:val="000000"/>
                <w:sz w:val="24"/>
              </w:rPr>
              <w:t>Mitigation</w:t>
            </w:r>
          </w:p>
        </w:tc>
      </w:tr>
      <w:tr w:rsidR="00752D95" w:rsidRPr="003A78FF" w14:paraId="1623C46C" w14:textId="77777777" w:rsidTr="00EE0D2E">
        <w:tc>
          <w:tcPr>
            <w:tcW w:w="3955" w:type="dxa"/>
          </w:tcPr>
          <w:p w14:paraId="0F175F4F" w14:textId="3140BA41" w:rsidR="00752D95" w:rsidRPr="003A78FF" w:rsidRDefault="00752D95" w:rsidP="001C5C13">
            <w:pPr>
              <w:pStyle w:val="NormalWeb"/>
              <w:rPr>
                <w:rFonts w:ascii="VIC" w:hAnsi="VIC" w:cstheme="minorHAnsi"/>
                <w:b/>
                <w:bCs/>
                <w:color w:val="000000"/>
                <w:sz w:val="24"/>
              </w:rPr>
            </w:pPr>
            <w:r w:rsidRPr="003A78FF">
              <w:rPr>
                <w:rFonts w:ascii="VIC" w:hAnsi="VIC" w:cstheme="minorBidi"/>
                <w:sz w:val="24"/>
              </w:rPr>
              <w:t xml:space="preserve">Patient </w:t>
            </w:r>
            <w:r w:rsidR="008D50E3" w:rsidRPr="003A78FF">
              <w:rPr>
                <w:rFonts w:ascii="VIC" w:hAnsi="VIC" w:cstheme="minorBidi"/>
                <w:sz w:val="24"/>
              </w:rPr>
              <w:t xml:space="preserve">may be </w:t>
            </w:r>
            <w:r w:rsidRPr="003A78FF">
              <w:rPr>
                <w:rFonts w:ascii="VIC" w:hAnsi="VIC" w:cstheme="minorBidi"/>
                <w:sz w:val="24"/>
              </w:rPr>
              <w:t>discharged home and follow up plans overlooked</w:t>
            </w:r>
            <w:r w:rsidR="0001402A" w:rsidRPr="003A78FF">
              <w:rPr>
                <w:rFonts w:ascii="VIC" w:hAnsi="VIC" w:cstheme="minorBidi"/>
                <w:sz w:val="24"/>
              </w:rPr>
              <w:t xml:space="preserve"> or missed</w:t>
            </w:r>
          </w:p>
        </w:tc>
        <w:tc>
          <w:tcPr>
            <w:tcW w:w="5880" w:type="dxa"/>
          </w:tcPr>
          <w:p w14:paraId="25B80F87" w14:textId="583F1CA0" w:rsidR="00B41702" w:rsidRPr="003A78FF" w:rsidRDefault="0001402A" w:rsidP="00B41702">
            <w:pPr>
              <w:pStyle w:val="NormalWeb"/>
              <w:numPr>
                <w:ilvl w:val="0"/>
                <w:numId w:val="33"/>
              </w:numPr>
              <w:rPr>
                <w:rFonts w:ascii="VIC" w:hAnsi="VIC" w:cstheme="minorBidi"/>
                <w:sz w:val="24"/>
              </w:rPr>
            </w:pPr>
            <w:r w:rsidRPr="003A78FF">
              <w:rPr>
                <w:rFonts w:ascii="VIC" w:hAnsi="VIC" w:cstheme="minorBidi"/>
                <w:sz w:val="24"/>
              </w:rPr>
              <w:t xml:space="preserve">A </w:t>
            </w:r>
            <w:r w:rsidR="00AC5168" w:rsidRPr="003A78FF">
              <w:rPr>
                <w:rFonts w:ascii="VIC" w:hAnsi="VIC" w:cstheme="minorBidi"/>
                <w:sz w:val="24"/>
              </w:rPr>
              <w:t>comprehensive</w:t>
            </w:r>
            <w:r w:rsidRPr="003A78FF">
              <w:rPr>
                <w:rFonts w:ascii="VIC" w:hAnsi="VIC" w:cstheme="minorBidi"/>
                <w:sz w:val="24"/>
              </w:rPr>
              <w:t xml:space="preserve"> discharge </w:t>
            </w:r>
            <w:r w:rsidR="00AC5168" w:rsidRPr="003A78FF">
              <w:rPr>
                <w:rFonts w:ascii="VIC" w:hAnsi="VIC" w:cstheme="minorBidi"/>
                <w:sz w:val="24"/>
              </w:rPr>
              <w:t>plan</w:t>
            </w:r>
            <w:r w:rsidRPr="003A78FF">
              <w:rPr>
                <w:rFonts w:ascii="VIC" w:hAnsi="VIC" w:cstheme="minorBidi"/>
                <w:sz w:val="24"/>
              </w:rPr>
              <w:t xml:space="preserve"> </w:t>
            </w:r>
            <w:r w:rsidR="009C39C2" w:rsidRPr="003A78FF">
              <w:rPr>
                <w:rFonts w:ascii="VIC" w:hAnsi="VIC" w:cstheme="minorBidi"/>
                <w:sz w:val="24"/>
              </w:rPr>
              <w:t>will</w:t>
            </w:r>
            <w:r w:rsidRPr="003A78FF">
              <w:rPr>
                <w:rFonts w:ascii="VIC" w:hAnsi="VIC" w:cstheme="minorBidi"/>
                <w:sz w:val="24"/>
              </w:rPr>
              <w:t xml:space="preserve"> provide ongoing monitoring</w:t>
            </w:r>
            <w:r w:rsidR="00C0533A" w:rsidRPr="003A78FF">
              <w:rPr>
                <w:rFonts w:ascii="VIC" w:hAnsi="VIC" w:cstheme="minorBidi"/>
                <w:sz w:val="24"/>
              </w:rPr>
              <w:t>,</w:t>
            </w:r>
            <w:r w:rsidR="00DF29FA" w:rsidRPr="003A78FF">
              <w:rPr>
                <w:rFonts w:ascii="VIC" w:hAnsi="VIC" w:cstheme="minorBidi"/>
                <w:sz w:val="24"/>
              </w:rPr>
              <w:t xml:space="preserve"> </w:t>
            </w:r>
            <w:r w:rsidRPr="003A78FF">
              <w:rPr>
                <w:rFonts w:ascii="VIC" w:hAnsi="VIC" w:cstheme="minorBidi"/>
                <w:sz w:val="24"/>
              </w:rPr>
              <w:t>advice</w:t>
            </w:r>
            <w:r w:rsidR="00DF29FA" w:rsidRPr="003A78FF">
              <w:rPr>
                <w:rFonts w:ascii="VIC" w:hAnsi="VIC" w:cstheme="minorBidi"/>
                <w:sz w:val="24"/>
              </w:rPr>
              <w:t xml:space="preserve"> and </w:t>
            </w:r>
            <w:r w:rsidRPr="003A78FF">
              <w:rPr>
                <w:rFonts w:ascii="VIC" w:hAnsi="VIC" w:cstheme="minorBidi"/>
                <w:sz w:val="24"/>
              </w:rPr>
              <w:t xml:space="preserve">care </w:t>
            </w:r>
            <w:r w:rsidR="00C34EEA" w:rsidRPr="003A78FF">
              <w:rPr>
                <w:rFonts w:ascii="VIC" w:hAnsi="VIC" w:cstheme="minorBidi"/>
                <w:sz w:val="24"/>
              </w:rPr>
              <w:t>including</w:t>
            </w:r>
            <w:r w:rsidRPr="003A78FF">
              <w:rPr>
                <w:rFonts w:ascii="VIC" w:hAnsi="VIC" w:cstheme="minorBidi"/>
                <w:sz w:val="24"/>
              </w:rPr>
              <w:t xml:space="preserve"> </w:t>
            </w:r>
            <w:r w:rsidR="00C34EEA" w:rsidRPr="003A78FF">
              <w:rPr>
                <w:rFonts w:ascii="VIC" w:hAnsi="VIC" w:cstheme="minorBidi"/>
                <w:sz w:val="24"/>
              </w:rPr>
              <w:t>patient/carer guidance on how to appropriately respond</w:t>
            </w:r>
            <w:r w:rsidR="001E5C52" w:rsidRPr="003A78FF">
              <w:rPr>
                <w:rFonts w:ascii="VIC" w:hAnsi="VIC" w:cstheme="minorBidi"/>
                <w:sz w:val="24"/>
              </w:rPr>
              <w:t xml:space="preserve"> </w:t>
            </w:r>
          </w:p>
          <w:p w14:paraId="0EB02262" w14:textId="26CFD900" w:rsidR="00752D95" w:rsidRPr="003A78FF" w:rsidRDefault="0001402A" w:rsidP="00B41702">
            <w:pPr>
              <w:pStyle w:val="NormalWeb"/>
              <w:numPr>
                <w:ilvl w:val="0"/>
                <w:numId w:val="33"/>
              </w:numPr>
              <w:rPr>
                <w:rFonts w:ascii="VIC" w:hAnsi="VIC" w:cstheme="minorBidi"/>
                <w:sz w:val="24"/>
              </w:rPr>
            </w:pPr>
            <w:r w:rsidRPr="003A78FF">
              <w:rPr>
                <w:rFonts w:ascii="VIC" w:hAnsi="VIC" w:cstheme="minorBidi"/>
                <w:sz w:val="24"/>
              </w:rPr>
              <w:t xml:space="preserve">This may </w:t>
            </w:r>
            <w:r w:rsidR="00DF29FA" w:rsidRPr="003A78FF">
              <w:rPr>
                <w:rFonts w:ascii="VIC" w:hAnsi="VIC" w:cstheme="minorBidi"/>
                <w:sz w:val="24"/>
              </w:rPr>
              <w:t xml:space="preserve">include </w:t>
            </w:r>
            <w:r w:rsidR="001E5C52" w:rsidRPr="003A78FF">
              <w:rPr>
                <w:rFonts w:ascii="VIC" w:hAnsi="VIC" w:cstheme="minorBidi"/>
                <w:sz w:val="24"/>
              </w:rPr>
              <w:t>review (</w:t>
            </w:r>
            <w:r w:rsidR="00057956" w:rsidRPr="003A78FF">
              <w:rPr>
                <w:rFonts w:ascii="VIC" w:hAnsi="VIC" w:cstheme="minorBidi"/>
                <w:sz w:val="24"/>
              </w:rPr>
              <w:t xml:space="preserve">i.e. </w:t>
            </w:r>
            <w:r w:rsidR="001E5C52" w:rsidRPr="003A78FF">
              <w:rPr>
                <w:rFonts w:ascii="VIC" w:hAnsi="VIC" w:cstheme="minorBidi"/>
                <w:sz w:val="24"/>
              </w:rPr>
              <w:t>telehealth</w:t>
            </w:r>
            <w:r w:rsidR="00057956" w:rsidRPr="003A78FF">
              <w:rPr>
                <w:rFonts w:ascii="VIC" w:hAnsi="VIC" w:cstheme="minorBidi"/>
                <w:sz w:val="24"/>
              </w:rPr>
              <w:t>)</w:t>
            </w:r>
            <w:r w:rsidRPr="003A78FF">
              <w:rPr>
                <w:rFonts w:ascii="VIC" w:hAnsi="VIC" w:cstheme="minorBidi"/>
                <w:sz w:val="24"/>
              </w:rPr>
              <w:t xml:space="preserve"> by the surgical team</w:t>
            </w:r>
            <w:r w:rsidR="001E5C52" w:rsidRPr="003A78FF">
              <w:rPr>
                <w:rFonts w:ascii="VIC" w:hAnsi="VIC" w:cstheme="minorBidi"/>
                <w:sz w:val="24"/>
              </w:rPr>
              <w:t>,</w:t>
            </w:r>
            <w:r w:rsidRPr="003A78FF">
              <w:rPr>
                <w:rFonts w:ascii="VIC" w:hAnsi="VIC" w:cstheme="minorBidi"/>
                <w:sz w:val="24"/>
              </w:rPr>
              <w:t xml:space="preserve"> specialist nurse, </w:t>
            </w:r>
            <w:r w:rsidR="00DF29FA" w:rsidRPr="003A78FF">
              <w:rPr>
                <w:rFonts w:ascii="VIC" w:hAnsi="VIC" w:cstheme="minorBidi"/>
                <w:sz w:val="24"/>
              </w:rPr>
              <w:t>a</w:t>
            </w:r>
            <w:r w:rsidRPr="003A78FF">
              <w:rPr>
                <w:rFonts w:ascii="VIC" w:hAnsi="VIC" w:cstheme="minorBidi"/>
                <w:sz w:val="24"/>
              </w:rPr>
              <w:t xml:space="preserve"> HITH</w:t>
            </w:r>
            <w:r w:rsidR="00DF29FA" w:rsidRPr="003A78FF">
              <w:rPr>
                <w:rFonts w:ascii="VIC" w:hAnsi="VIC" w:cstheme="minorBidi"/>
                <w:sz w:val="24"/>
              </w:rPr>
              <w:t xml:space="preserve"> visit</w:t>
            </w:r>
            <w:r w:rsidRPr="003A78FF">
              <w:rPr>
                <w:rFonts w:ascii="VIC" w:hAnsi="VIC" w:cstheme="minorBidi"/>
                <w:sz w:val="24"/>
              </w:rPr>
              <w:t>, patient</w:t>
            </w:r>
            <w:r w:rsidR="00DF29FA" w:rsidRPr="003A78FF">
              <w:rPr>
                <w:rFonts w:ascii="VIC" w:hAnsi="VIC" w:cstheme="minorBidi"/>
                <w:sz w:val="24"/>
              </w:rPr>
              <w:t xml:space="preserve"> accessed</w:t>
            </w:r>
            <w:r w:rsidRPr="003A78FF">
              <w:rPr>
                <w:rFonts w:ascii="VIC" w:hAnsi="VIC" w:cstheme="minorBidi"/>
                <w:sz w:val="24"/>
              </w:rPr>
              <w:t xml:space="preserve"> App that flags concerning symptoms</w:t>
            </w:r>
            <w:r w:rsidR="00057956" w:rsidRPr="003A78FF">
              <w:rPr>
                <w:rFonts w:ascii="VIC" w:hAnsi="VIC" w:cstheme="minorBidi"/>
                <w:sz w:val="24"/>
              </w:rPr>
              <w:t xml:space="preserve">, </w:t>
            </w:r>
            <w:r w:rsidR="00A97841" w:rsidRPr="003A78FF">
              <w:rPr>
                <w:rFonts w:ascii="VIC" w:hAnsi="VIC" w:cstheme="minorBidi"/>
                <w:sz w:val="24"/>
              </w:rPr>
              <w:t>GP, ED</w:t>
            </w:r>
            <w:r w:rsidR="00C34EEA" w:rsidRPr="003A78FF">
              <w:rPr>
                <w:rFonts w:ascii="VIC" w:hAnsi="VIC" w:cstheme="minorBidi"/>
                <w:sz w:val="24"/>
              </w:rPr>
              <w:t xml:space="preserve"> </w:t>
            </w:r>
            <w:r w:rsidR="00664FF9" w:rsidRPr="003A78FF">
              <w:rPr>
                <w:rFonts w:ascii="VIC" w:hAnsi="VIC" w:cstheme="minorBidi"/>
                <w:sz w:val="24"/>
              </w:rPr>
              <w:t>or</w:t>
            </w:r>
            <w:r w:rsidR="00A97841" w:rsidRPr="003A78FF">
              <w:rPr>
                <w:rFonts w:ascii="VIC" w:hAnsi="VIC" w:cstheme="minorBidi"/>
                <w:sz w:val="24"/>
              </w:rPr>
              <w:t xml:space="preserve"> health service contact +/- visit</w:t>
            </w:r>
          </w:p>
        </w:tc>
      </w:tr>
      <w:tr w:rsidR="00B953CA" w:rsidRPr="003A78FF" w14:paraId="510466A8" w14:textId="77777777" w:rsidTr="00EE0D2E">
        <w:tc>
          <w:tcPr>
            <w:tcW w:w="3955" w:type="dxa"/>
          </w:tcPr>
          <w:p w14:paraId="1DA40528" w14:textId="24165DD8" w:rsidR="00B953CA" w:rsidRPr="003A78FF" w:rsidRDefault="00B953CA" w:rsidP="001C5C13">
            <w:pPr>
              <w:pStyle w:val="NormalWeb"/>
              <w:rPr>
                <w:rFonts w:ascii="VIC" w:hAnsi="VIC" w:cstheme="minorHAnsi"/>
                <w:b/>
                <w:bCs/>
                <w:color w:val="000000"/>
                <w:sz w:val="24"/>
              </w:rPr>
            </w:pPr>
            <w:r w:rsidRPr="003A78FF">
              <w:rPr>
                <w:rFonts w:ascii="VIC" w:hAnsi="VIC" w:cstheme="minorHAnsi"/>
                <w:color w:val="000000"/>
                <w:sz w:val="24"/>
              </w:rPr>
              <w:t xml:space="preserve">Missed complications and delayed </w:t>
            </w:r>
            <w:r w:rsidR="00AE0A89" w:rsidRPr="003A78FF">
              <w:rPr>
                <w:rFonts w:ascii="VIC" w:hAnsi="VIC" w:cstheme="minorHAnsi"/>
                <w:color w:val="000000"/>
                <w:sz w:val="24"/>
              </w:rPr>
              <w:t xml:space="preserve">recognition and </w:t>
            </w:r>
            <w:r w:rsidRPr="003A78FF">
              <w:rPr>
                <w:rFonts w:ascii="VIC" w:hAnsi="VIC" w:cstheme="minorHAnsi"/>
                <w:color w:val="000000"/>
                <w:sz w:val="24"/>
              </w:rPr>
              <w:t>response to deterioration</w:t>
            </w:r>
            <w:r w:rsidR="00AE0A89" w:rsidRPr="003A78FF">
              <w:rPr>
                <w:rFonts w:ascii="VIC" w:hAnsi="VIC" w:cstheme="minorHAnsi"/>
                <w:color w:val="000000"/>
                <w:sz w:val="24"/>
              </w:rPr>
              <w:t xml:space="preserve"> may</w:t>
            </w:r>
            <w:r w:rsidRPr="003A78FF">
              <w:rPr>
                <w:rFonts w:ascii="VIC" w:hAnsi="VIC" w:cstheme="minorHAnsi"/>
                <w:color w:val="000000"/>
                <w:sz w:val="24"/>
              </w:rPr>
              <w:t xml:space="preserve"> result in patient harm</w:t>
            </w:r>
          </w:p>
        </w:tc>
        <w:tc>
          <w:tcPr>
            <w:tcW w:w="5880" w:type="dxa"/>
          </w:tcPr>
          <w:p w14:paraId="06C90A80" w14:textId="77777777" w:rsidR="0005265D" w:rsidRPr="003A78FF" w:rsidRDefault="00C54BC6" w:rsidP="0005265D">
            <w:pPr>
              <w:pStyle w:val="NormalWeb"/>
              <w:numPr>
                <w:ilvl w:val="0"/>
                <w:numId w:val="34"/>
              </w:numPr>
              <w:rPr>
                <w:rFonts w:ascii="VIC" w:hAnsi="VIC" w:cstheme="minorBidi"/>
                <w:color w:val="000000"/>
                <w:sz w:val="24"/>
              </w:rPr>
            </w:pPr>
            <w:r w:rsidRPr="003A78FF">
              <w:rPr>
                <w:rFonts w:ascii="VIC" w:hAnsi="VIC" w:cstheme="minorBidi"/>
                <w:sz w:val="24"/>
              </w:rPr>
              <w:t>An</w:t>
            </w:r>
            <w:r w:rsidR="00054A6E" w:rsidRPr="003A78FF">
              <w:rPr>
                <w:rFonts w:ascii="VIC" w:hAnsi="VIC" w:cstheme="minorBidi"/>
                <w:sz w:val="24"/>
              </w:rPr>
              <w:t xml:space="preserve"> escalation process </w:t>
            </w:r>
            <w:r w:rsidR="00F816BC" w:rsidRPr="003A78FF">
              <w:rPr>
                <w:rFonts w:ascii="VIC" w:hAnsi="VIC" w:cstheme="minorBidi"/>
                <w:sz w:val="24"/>
              </w:rPr>
              <w:t>included in criteria le</w:t>
            </w:r>
            <w:r w:rsidR="0039141A" w:rsidRPr="003A78FF">
              <w:rPr>
                <w:rFonts w:ascii="VIC" w:hAnsi="VIC" w:cstheme="minorBidi"/>
                <w:sz w:val="24"/>
              </w:rPr>
              <w:t>d discharge pathways</w:t>
            </w:r>
            <w:r w:rsidR="00054A6E" w:rsidRPr="003A78FF">
              <w:rPr>
                <w:rFonts w:ascii="VIC" w:hAnsi="VIC" w:cstheme="minorBidi"/>
                <w:sz w:val="24"/>
              </w:rPr>
              <w:t xml:space="preserve"> </w:t>
            </w:r>
            <w:r w:rsidR="0005265D" w:rsidRPr="003A78FF">
              <w:rPr>
                <w:rFonts w:ascii="VIC" w:hAnsi="VIC" w:cstheme="minorBidi"/>
                <w:sz w:val="24"/>
              </w:rPr>
              <w:t>will utilise</w:t>
            </w:r>
            <w:r w:rsidR="00054A6E" w:rsidRPr="003A78FF">
              <w:rPr>
                <w:rFonts w:ascii="VIC" w:hAnsi="VIC" w:cstheme="minorBidi"/>
                <w:sz w:val="24"/>
              </w:rPr>
              <w:t xml:space="preserve"> post procedure monitoring to help </w:t>
            </w:r>
            <w:r w:rsidR="006C4809" w:rsidRPr="003A78FF">
              <w:rPr>
                <w:rFonts w:ascii="VIC" w:hAnsi="VIC" w:cstheme="minorBidi"/>
                <w:sz w:val="24"/>
              </w:rPr>
              <w:t xml:space="preserve">early </w:t>
            </w:r>
            <w:r w:rsidR="00054A6E" w:rsidRPr="003A78FF">
              <w:rPr>
                <w:rFonts w:ascii="VIC" w:hAnsi="VIC" w:cstheme="minorBidi"/>
                <w:sz w:val="24"/>
              </w:rPr>
              <w:t>identif</w:t>
            </w:r>
            <w:r w:rsidR="006C4809" w:rsidRPr="003A78FF">
              <w:rPr>
                <w:rFonts w:ascii="VIC" w:hAnsi="VIC" w:cstheme="minorBidi"/>
                <w:sz w:val="24"/>
              </w:rPr>
              <w:t>ication of</w:t>
            </w:r>
            <w:r w:rsidR="00054A6E" w:rsidRPr="003A78FF">
              <w:rPr>
                <w:rFonts w:ascii="VIC" w:hAnsi="VIC" w:cstheme="minorBidi"/>
                <w:sz w:val="24"/>
              </w:rPr>
              <w:t xml:space="preserve"> patient deterioration</w:t>
            </w:r>
            <w:r w:rsidR="003A7A90" w:rsidRPr="003A78FF">
              <w:rPr>
                <w:rFonts w:ascii="VIC" w:hAnsi="VIC" w:cstheme="minorBidi"/>
                <w:sz w:val="24"/>
              </w:rPr>
              <w:t xml:space="preserve">. </w:t>
            </w:r>
          </w:p>
          <w:p w14:paraId="38668B8D" w14:textId="467F5115" w:rsidR="00B953CA" w:rsidRPr="003A78FF" w:rsidRDefault="003A7A90" w:rsidP="0005265D">
            <w:pPr>
              <w:pStyle w:val="NormalWeb"/>
              <w:numPr>
                <w:ilvl w:val="0"/>
                <w:numId w:val="34"/>
              </w:numPr>
              <w:rPr>
                <w:rFonts w:ascii="VIC" w:hAnsi="VIC" w:cstheme="minorBidi"/>
                <w:color w:val="000000"/>
                <w:sz w:val="24"/>
              </w:rPr>
            </w:pPr>
            <w:r w:rsidRPr="003A78FF">
              <w:rPr>
                <w:rFonts w:ascii="VIC" w:hAnsi="VIC" w:cstheme="minorBidi"/>
                <w:sz w:val="24"/>
              </w:rPr>
              <w:t>I</w:t>
            </w:r>
            <w:r w:rsidR="00054A6E" w:rsidRPr="003A78FF">
              <w:rPr>
                <w:rFonts w:ascii="VIC" w:hAnsi="VIC" w:cstheme="minorBidi"/>
                <w:sz w:val="24"/>
              </w:rPr>
              <w:t>f the postoperative patient deviates from expected</w:t>
            </w:r>
            <w:r w:rsidR="006C4809" w:rsidRPr="003A78FF">
              <w:rPr>
                <w:rFonts w:ascii="VIC" w:hAnsi="VIC" w:cstheme="minorBidi"/>
                <w:sz w:val="24"/>
              </w:rPr>
              <w:t xml:space="preserve"> </w:t>
            </w:r>
            <w:r w:rsidRPr="003A78FF">
              <w:rPr>
                <w:rFonts w:ascii="VIC" w:hAnsi="VIC" w:cstheme="minorBidi"/>
                <w:sz w:val="24"/>
              </w:rPr>
              <w:t>recovery</w:t>
            </w:r>
            <w:r w:rsidR="006C4809" w:rsidRPr="003A78FF">
              <w:rPr>
                <w:rFonts w:ascii="VIC" w:hAnsi="VIC" w:cstheme="minorBidi"/>
                <w:sz w:val="24"/>
              </w:rPr>
              <w:t xml:space="preserve"> trajectory</w:t>
            </w:r>
            <w:r w:rsidR="00054A6E" w:rsidRPr="003A78FF">
              <w:rPr>
                <w:rFonts w:ascii="VIC" w:hAnsi="VIC" w:cstheme="minorBidi"/>
                <w:sz w:val="24"/>
              </w:rPr>
              <w:t xml:space="preserve">, </w:t>
            </w:r>
            <w:r w:rsidR="0005265D" w:rsidRPr="003A78FF">
              <w:rPr>
                <w:rFonts w:ascii="VIC" w:hAnsi="VIC" w:cstheme="minorBidi"/>
                <w:sz w:val="24"/>
              </w:rPr>
              <w:t>they should</w:t>
            </w:r>
            <w:r w:rsidR="00CD4AE6" w:rsidRPr="003A78FF">
              <w:rPr>
                <w:rFonts w:ascii="VIC" w:hAnsi="VIC" w:cstheme="minorBidi"/>
                <w:sz w:val="24"/>
              </w:rPr>
              <w:t xml:space="preserve"> be reviewed</w:t>
            </w:r>
            <w:r w:rsidR="00B731B9" w:rsidRPr="003A78FF">
              <w:rPr>
                <w:rFonts w:ascii="VIC" w:hAnsi="VIC" w:cstheme="minorBidi"/>
                <w:sz w:val="24"/>
              </w:rPr>
              <w:t xml:space="preserve"> to </w:t>
            </w:r>
            <w:r w:rsidR="00054A6E" w:rsidRPr="003A78FF">
              <w:rPr>
                <w:rFonts w:ascii="VIC" w:hAnsi="VIC" w:cstheme="minorBidi"/>
                <w:sz w:val="24"/>
              </w:rPr>
              <w:t>determine if suitable to remain on the same-day model pathway</w:t>
            </w:r>
          </w:p>
        </w:tc>
      </w:tr>
      <w:tr w:rsidR="00B953CA" w:rsidRPr="003A78FF" w14:paraId="6F9AF965" w14:textId="77777777" w:rsidTr="00EE0D2E">
        <w:tc>
          <w:tcPr>
            <w:tcW w:w="3955" w:type="dxa"/>
          </w:tcPr>
          <w:p w14:paraId="30E30AFB" w14:textId="3FCED3CA" w:rsidR="00B953CA" w:rsidRPr="003A78FF" w:rsidRDefault="00A32D2B" w:rsidP="001C5C13">
            <w:pPr>
              <w:pStyle w:val="NormalWeb"/>
              <w:rPr>
                <w:rFonts w:ascii="VIC" w:hAnsi="VIC" w:cstheme="minorHAnsi"/>
                <w:b/>
                <w:bCs/>
                <w:color w:val="000000"/>
                <w:sz w:val="24"/>
              </w:rPr>
            </w:pPr>
            <w:r w:rsidRPr="003A78FF">
              <w:rPr>
                <w:rFonts w:ascii="VIC" w:hAnsi="VIC" w:cstheme="minorHAnsi"/>
                <w:color w:val="000000"/>
                <w:sz w:val="24"/>
              </w:rPr>
              <w:t xml:space="preserve">Poor pathways of communication (particularly after hours) </w:t>
            </w:r>
          </w:p>
        </w:tc>
        <w:tc>
          <w:tcPr>
            <w:tcW w:w="5880" w:type="dxa"/>
          </w:tcPr>
          <w:p w14:paraId="60818364" w14:textId="0E43CA96" w:rsidR="00CD6321" w:rsidRPr="003A78FF" w:rsidRDefault="00C72CF0" w:rsidP="00CD6321">
            <w:pPr>
              <w:pStyle w:val="NormalWeb"/>
              <w:numPr>
                <w:ilvl w:val="0"/>
                <w:numId w:val="35"/>
              </w:numPr>
              <w:rPr>
                <w:rFonts w:ascii="VIC" w:hAnsi="VIC" w:cstheme="minorHAnsi"/>
                <w:color w:val="000000"/>
                <w:sz w:val="24"/>
              </w:rPr>
            </w:pPr>
            <w:r w:rsidRPr="003A78FF">
              <w:rPr>
                <w:rFonts w:ascii="VIC" w:hAnsi="VIC" w:cstheme="minorBidi"/>
                <w:sz w:val="24"/>
              </w:rPr>
              <w:t>Suitable patient selection and a</w:t>
            </w:r>
            <w:r w:rsidR="007F3797" w:rsidRPr="003A78FF">
              <w:rPr>
                <w:rFonts w:ascii="VIC" w:hAnsi="VIC" w:cstheme="minorBidi"/>
                <w:sz w:val="24"/>
              </w:rPr>
              <w:t xml:space="preserve"> clear same-day model of surgical care, with the escalation process clearly embedded, would greatly reduce this risk</w:t>
            </w:r>
          </w:p>
          <w:p w14:paraId="112911C2" w14:textId="62C3713F" w:rsidR="00B953CA" w:rsidRPr="003A78FF" w:rsidRDefault="00647E01" w:rsidP="00CD6321">
            <w:pPr>
              <w:pStyle w:val="NormalWeb"/>
              <w:numPr>
                <w:ilvl w:val="0"/>
                <w:numId w:val="35"/>
              </w:numPr>
              <w:rPr>
                <w:rFonts w:ascii="VIC" w:hAnsi="VIC" w:cstheme="minorHAnsi"/>
                <w:color w:val="000000"/>
                <w:sz w:val="24"/>
              </w:rPr>
            </w:pPr>
            <w:r w:rsidRPr="003A78FF">
              <w:rPr>
                <w:rFonts w:ascii="VIC" w:hAnsi="VIC" w:cstheme="minorBidi"/>
                <w:sz w:val="24"/>
              </w:rPr>
              <w:t xml:space="preserve">A call from someone in the perioperative team </w:t>
            </w:r>
            <w:r w:rsidR="008C4D74" w:rsidRPr="003A78FF">
              <w:rPr>
                <w:rFonts w:ascii="VIC" w:hAnsi="VIC" w:cstheme="minorBidi"/>
                <w:sz w:val="24"/>
              </w:rPr>
              <w:t>(or equivalent)</w:t>
            </w:r>
            <w:r w:rsidRPr="003A78FF">
              <w:rPr>
                <w:rFonts w:ascii="VIC" w:hAnsi="VIC" w:cstheme="minorBidi"/>
                <w:sz w:val="24"/>
              </w:rPr>
              <w:t xml:space="preserve"> who is aware of the individual and general patient risks and complications</w:t>
            </w:r>
          </w:p>
        </w:tc>
      </w:tr>
      <w:tr w:rsidR="00DD360D" w:rsidRPr="003A78FF" w14:paraId="64ECE1E5" w14:textId="77777777" w:rsidTr="00EE0D2E">
        <w:tc>
          <w:tcPr>
            <w:tcW w:w="3955" w:type="dxa"/>
          </w:tcPr>
          <w:p w14:paraId="063755AF" w14:textId="567CC05A" w:rsidR="00DD360D" w:rsidRPr="003A78FF" w:rsidRDefault="00DD360D" w:rsidP="001C5C13">
            <w:pPr>
              <w:pStyle w:val="NormalWeb"/>
              <w:rPr>
                <w:rFonts w:ascii="VIC" w:hAnsi="VIC" w:cstheme="minorHAnsi"/>
                <w:color w:val="000000"/>
                <w:sz w:val="24"/>
              </w:rPr>
            </w:pPr>
            <w:r w:rsidRPr="003A78FF">
              <w:rPr>
                <w:rFonts w:ascii="VIC" w:hAnsi="VIC" w:cstheme="minorHAnsi"/>
                <w:color w:val="000000"/>
                <w:sz w:val="24"/>
              </w:rPr>
              <w:t xml:space="preserve">Potential for patient to be </w:t>
            </w:r>
            <w:r w:rsidR="00CA61CA" w:rsidRPr="003A78FF">
              <w:rPr>
                <w:rFonts w:ascii="VIC" w:hAnsi="VIC" w:cstheme="minorHAnsi"/>
                <w:color w:val="000000"/>
                <w:sz w:val="24"/>
              </w:rPr>
              <w:t xml:space="preserve">sent home </w:t>
            </w:r>
            <w:r w:rsidR="00222F3D" w:rsidRPr="003A78FF">
              <w:rPr>
                <w:rFonts w:ascii="VIC" w:hAnsi="VIC" w:cstheme="minorHAnsi"/>
                <w:color w:val="000000"/>
                <w:sz w:val="24"/>
              </w:rPr>
              <w:t>prior to</w:t>
            </w:r>
            <w:r w:rsidR="00CA61CA" w:rsidRPr="003A78FF">
              <w:rPr>
                <w:rFonts w:ascii="VIC" w:hAnsi="VIC" w:cstheme="minorHAnsi"/>
                <w:color w:val="000000"/>
                <w:sz w:val="24"/>
              </w:rPr>
              <w:t xml:space="preserve"> </w:t>
            </w:r>
            <w:r w:rsidR="00222F3D" w:rsidRPr="003A78FF">
              <w:rPr>
                <w:rFonts w:ascii="VIC" w:hAnsi="VIC" w:cstheme="minorHAnsi"/>
                <w:color w:val="000000"/>
                <w:sz w:val="24"/>
              </w:rPr>
              <w:t>necessary handover being provided to primary care/community-based providers</w:t>
            </w:r>
          </w:p>
        </w:tc>
        <w:tc>
          <w:tcPr>
            <w:tcW w:w="5880" w:type="dxa"/>
          </w:tcPr>
          <w:p w14:paraId="13DEC9B5" w14:textId="54E8FD9D" w:rsidR="00DD360D" w:rsidRPr="003A78FF" w:rsidRDefault="002929E7" w:rsidP="00CD6321">
            <w:pPr>
              <w:pStyle w:val="NormalWeb"/>
              <w:numPr>
                <w:ilvl w:val="0"/>
                <w:numId w:val="36"/>
              </w:numPr>
              <w:rPr>
                <w:rFonts w:ascii="VIC" w:hAnsi="VIC" w:cstheme="minorHAnsi"/>
                <w:color w:val="000000"/>
                <w:sz w:val="24"/>
              </w:rPr>
            </w:pPr>
            <w:r w:rsidRPr="003A78FF">
              <w:rPr>
                <w:rFonts w:ascii="VIC" w:hAnsi="VIC" w:cstheme="minorHAnsi"/>
                <w:color w:val="000000"/>
                <w:sz w:val="24"/>
              </w:rPr>
              <w:t xml:space="preserve">Criteria-led discharge will ensure that a patient cannot be sent home until the required handover </w:t>
            </w:r>
            <w:r w:rsidR="00F5338B" w:rsidRPr="003A78FF">
              <w:rPr>
                <w:rFonts w:ascii="VIC" w:hAnsi="VIC" w:cstheme="minorHAnsi"/>
                <w:color w:val="000000"/>
                <w:sz w:val="24"/>
              </w:rPr>
              <w:t xml:space="preserve">(copy of operation notes and </w:t>
            </w:r>
            <w:r w:rsidR="00FD2328" w:rsidRPr="003A78FF">
              <w:rPr>
                <w:rFonts w:ascii="VIC" w:hAnsi="VIC" w:cstheme="minorHAnsi"/>
                <w:color w:val="000000"/>
                <w:sz w:val="24"/>
              </w:rPr>
              <w:t xml:space="preserve">comprehensive </w:t>
            </w:r>
            <w:r w:rsidR="00F5338B" w:rsidRPr="003A78FF">
              <w:rPr>
                <w:rFonts w:ascii="VIC" w:hAnsi="VIC" w:cstheme="minorHAnsi"/>
                <w:color w:val="000000"/>
                <w:sz w:val="24"/>
              </w:rPr>
              <w:t xml:space="preserve">discharge </w:t>
            </w:r>
            <w:r w:rsidR="00014CCF" w:rsidRPr="003A78FF">
              <w:rPr>
                <w:rFonts w:ascii="VIC" w:hAnsi="VIC" w:cstheme="minorHAnsi"/>
                <w:color w:val="000000"/>
                <w:sz w:val="24"/>
              </w:rPr>
              <w:t>plan</w:t>
            </w:r>
            <w:r w:rsidR="00F5338B" w:rsidRPr="003A78FF">
              <w:rPr>
                <w:rFonts w:ascii="VIC" w:hAnsi="VIC" w:cstheme="minorHAnsi"/>
                <w:color w:val="000000"/>
                <w:sz w:val="24"/>
              </w:rPr>
              <w:t xml:space="preserve">) </w:t>
            </w:r>
            <w:r w:rsidRPr="003A78FF">
              <w:rPr>
                <w:rFonts w:ascii="VIC" w:hAnsi="VIC" w:cstheme="minorHAnsi"/>
                <w:color w:val="000000"/>
                <w:sz w:val="24"/>
              </w:rPr>
              <w:t>is completed and sent</w:t>
            </w:r>
            <w:r w:rsidR="00401327" w:rsidRPr="003A78FF">
              <w:rPr>
                <w:rFonts w:ascii="VIC" w:hAnsi="VIC" w:cstheme="minorHAnsi"/>
                <w:color w:val="000000"/>
                <w:sz w:val="24"/>
              </w:rPr>
              <w:t xml:space="preserve"> to</w:t>
            </w:r>
            <w:r w:rsidR="00EB5F9E" w:rsidRPr="003A78FF">
              <w:rPr>
                <w:rFonts w:ascii="VIC" w:hAnsi="VIC" w:cstheme="minorHAnsi"/>
                <w:color w:val="000000"/>
                <w:sz w:val="24"/>
              </w:rPr>
              <w:t xml:space="preserve"> relevant community-</w:t>
            </w:r>
            <w:r w:rsidR="00EB5F9E" w:rsidRPr="003A78FF">
              <w:rPr>
                <w:rFonts w:ascii="VIC" w:hAnsi="VIC" w:cstheme="minorHAnsi"/>
                <w:color w:val="000000"/>
                <w:sz w:val="24"/>
              </w:rPr>
              <w:lastRenderedPageBreak/>
              <w:t>based providers</w:t>
            </w:r>
            <w:r w:rsidR="000A4259" w:rsidRPr="003A78FF">
              <w:rPr>
                <w:rFonts w:ascii="VIC" w:hAnsi="VIC" w:cstheme="minorHAnsi"/>
                <w:color w:val="000000"/>
                <w:sz w:val="24"/>
              </w:rPr>
              <w:t xml:space="preserve"> and </w:t>
            </w:r>
            <w:r w:rsidR="00E57C75" w:rsidRPr="003A78FF">
              <w:rPr>
                <w:rFonts w:ascii="VIC" w:hAnsi="VIC" w:cstheme="minorHAnsi"/>
                <w:color w:val="000000"/>
                <w:sz w:val="24"/>
              </w:rPr>
              <w:t>given to the patient/carer</w:t>
            </w:r>
          </w:p>
        </w:tc>
      </w:tr>
      <w:tr w:rsidR="00B953CA" w:rsidRPr="003A78FF" w14:paraId="5CC18BCD" w14:textId="77777777" w:rsidTr="00EE0D2E">
        <w:tc>
          <w:tcPr>
            <w:tcW w:w="3955" w:type="dxa"/>
          </w:tcPr>
          <w:p w14:paraId="275E8131" w14:textId="23A5A00D" w:rsidR="00B953CA" w:rsidRPr="003A78FF" w:rsidRDefault="007F3797" w:rsidP="001C5C13">
            <w:pPr>
              <w:pStyle w:val="NormalWeb"/>
              <w:rPr>
                <w:rFonts w:ascii="VIC" w:hAnsi="VIC" w:cstheme="minorHAnsi"/>
                <w:b/>
                <w:bCs/>
                <w:color w:val="000000"/>
                <w:sz w:val="24"/>
              </w:rPr>
            </w:pPr>
            <w:r w:rsidRPr="003A78FF">
              <w:rPr>
                <w:rFonts w:ascii="VIC" w:hAnsi="VIC" w:cstheme="minorBidi"/>
                <w:sz w:val="24"/>
              </w:rPr>
              <w:lastRenderedPageBreak/>
              <w:t>Potential for patients to be sent home who are at risk of falling</w:t>
            </w:r>
          </w:p>
        </w:tc>
        <w:tc>
          <w:tcPr>
            <w:tcW w:w="5880" w:type="dxa"/>
          </w:tcPr>
          <w:p w14:paraId="18F22805" w14:textId="77777777" w:rsidR="00CD6321" w:rsidRPr="003A78FF" w:rsidRDefault="005A1169" w:rsidP="001C5C13">
            <w:pPr>
              <w:pStyle w:val="NormalWeb"/>
              <w:numPr>
                <w:ilvl w:val="0"/>
                <w:numId w:val="36"/>
              </w:numPr>
              <w:rPr>
                <w:rFonts w:ascii="VIC" w:hAnsi="VIC" w:cstheme="minorBidi"/>
                <w:sz w:val="24"/>
              </w:rPr>
            </w:pPr>
            <w:r w:rsidRPr="003A78FF">
              <w:rPr>
                <w:rFonts w:ascii="VIC" w:hAnsi="VIC" w:cstheme="minorBidi"/>
                <w:sz w:val="24"/>
              </w:rPr>
              <w:t xml:space="preserve">Appropriate patient selection and </w:t>
            </w:r>
            <w:r w:rsidR="00D94C82" w:rsidRPr="003A78FF">
              <w:rPr>
                <w:rFonts w:ascii="VIC" w:hAnsi="VIC" w:cstheme="minorBidi"/>
                <w:sz w:val="24"/>
              </w:rPr>
              <w:t>post operative</w:t>
            </w:r>
            <w:r w:rsidRPr="003A78FF">
              <w:rPr>
                <w:rFonts w:ascii="VIC" w:hAnsi="VIC" w:cstheme="minorBidi"/>
                <w:sz w:val="24"/>
              </w:rPr>
              <w:t xml:space="preserve"> discussion </w:t>
            </w:r>
            <w:r w:rsidR="00A30FE3" w:rsidRPr="003A78FF">
              <w:rPr>
                <w:rFonts w:ascii="VIC" w:hAnsi="VIC" w:cstheme="minorBidi"/>
                <w:sz w:val="24"/>
              </w:rPr>
              <w:t>with carer and patient</w:t>
            </w:r>
            <w:r w:rsidR="00CA34DE" w:rsidRPr="003A78FF">
              <w:rPr>
                <w:rFonts w:ascii="VIC" w:hAnsi="VIC" w:cstheme="minorBidi"/>
                <w:sz w:val="24"/>
              </w:rPr>
              <w:t>,</w:t>
            </w:r>
            <w:r w:rsidR="0029618A" w:rsidRPr="003A78FF">
              <w:rPr>
                <w:rFonts w:ascii="VIC" w:hAnsi="VIC" w:cstheme="minorBidi"/>
                <w:sz w:val="24"/>
              </w:rPr>
              <w:t xml:space="preserve"> including</w:t>
            </w:r>
            <w:r w:rsidRPr="003A78FF">
              <w:rPr>
                <w:rFonts w:ascii="VIC" w:hAnsi="VIC" w:cstheme="minorBidi"/>
                <w:sz w:val="24"/>
              </w:rPr>
              <w:t xml:space="preserve"> education re</w:t>
            </w:r>
            <w:r w:rsidR="003737F2" w:rsidRPr="003A78FF">
              <w:rPr>
                <w:rFonts w:ascii="VIC" w:hAnsi="VIC" w:cstheme="minorBidi"/>
                <w:sz w:val="24"/>
              </w:rPr>
              <w:t>garding potential</w:t>
            </w:r>
            <w:r w:rsidRPr="003A78FF">
              <w:rPr>
                <w:rFonts w:ascii="VIC" w:hAnsi="VIC" w:cstheme="minorBidi"/>
                <w:sz w:val="24"/>
              </w:rPr>
              <w:t xml:space="preserve"> risks at home and</w:t>
            </w:r>
            <w:r w:rsidR="003737F2" w:rsidRPr="003A78FF">
              <w:rPr>
                <w:rFonts w:ascii="VIC" w:hAnsi="VIC" w:cstheme="minorBidi"/>
                <w:sz w:val="24"/>
              </w:rPr>
              <w:t xml:space="preserve"> how to manage them</w:t>
            </w:r>
          </w:p>
          <w:p w14:paraId="6F8F050C" w14:textId="29B17C16" w:rsidR="00B953CA" w:rsidRPr="003A78FF" w:rsidRDefault="00C60EB6" w:rsidP="001C5C13">
            <w:pPr>
              <w:pStyle w:val="NormalWeb"/>
              <w:numPr>
                <w:ilvl w:val="0"/>
                <w:numId w:val="36"/>
              </w:numPr>
              <w:rPr>
                <w:rFonts w:ascii="VIC" w:hAnsi="VIC" w:cstheme="minorBidi"/>
                <w:sz w:val="24"/>
              </w:rPr>
            </w:pPr>
            <w:r w:rsidRPr="003A78FF">
              <w:rPr>
                <w:rFonts w:ascii="VIC" w:hAnsi="VIC" w:cstheme="minorBidi"/>
                <w:sz w:val="24"/>
              </w:rPr>
              <w:t xml:space="preserve">Provision of </w:t>
            </w:r>
            <w:r w:rsidR="00B41702" w:rsidRPr="003A78FF">
              <w:rPr>
                <w:rFonts w:ascii="VIC" w:hAnsi="VIC" w:cstheme="minorBidi"/>
                <w:sz w:val="24"/>
              </w:rPr>
              <w:t>A</w:t>
            </w:r>
            <w:r w:rsidRPr="003A78FF">
              <w:rPr>
                <w:rFonts w:ascii="VIC" w:hAnsi="VIC" w:cstheme="minorBidi"/>
                <w:sz w:val="24"/>
              </w:rPr>
              <w:t xml:space="preserve">llied </w:t>
            </w:r>
            <w:r w:rsidR="00B41702" w:rsidRPr="003A78FF">
              <w:rPr>
                <w:rFonts w:ascii="VIC" w:hAnsi="VIC" w:cstheme="minorBidi"/>
                <w:sz w:val="24"/>
              </w:rPr>
              <w:t>H</w:t>
            </w:r>
            <w:r w:rsidRPr="003A78FF">
              <w:rPr>
                <w:rFonts w:ascii="VIC" w:hAnsi="VIC" w:cstheme="minorBidi"/>
                <w:sz w:val="24"/>
              </w:rPr>
              <w:t xml:space="preserve">ealth assessment and intervention to reduce </w:t>
            </w:r>
            <w:r w:rsidR="0075572E" w:rsidRPr="003A78FF">
              <w:rPr>
                <w:rFonts w:ascii="VIC" w:hAnsi="VIC" w:cstheme="minorBidi"/>
                <w:sz w:val="24"/>
              </w:rPr>
              <w:t xml:space="preserve">falls </w:t>
            </w:r>
            <w:r w:rsidRPr="003A78FF">
              <w:rPr>
                <w:rFonts w:ascii="VIC" w:hAnsi="VIC" w:cstheme="minorBidi"/>
                <w:sz w:val="24"/>
              </w:rPr>
              <w:t>risk prior to discharge (</w:t>
            </w:r>
            <w:r w:rsidR="005B1BDC" w:rsidRPr="003A78FF">
              <w:rPr>
                <w:rFonts w:ascii="VIC" w:hAnsi="VIC" w:cstheme="minorBidi"/>
                <w:sz w:val="24"/>
              </w:rPr>
              <w:t>e.g.</w:t>
            </w:r>
            <w:r w:rsidR="00BB4E6C" w:rsidRPr="003A78FF">
              <w:rPr>
                <w:rFonts w:ascii="VIC" w:hAnsi="VIC" w:cstheme="minorBidi"/>
                <w:sz w:val="24"/>
              </w:rPr>
              <w:t xml:space="preserve"> </w:t>
            </w:r>
            <w:r w:rsidR="005B1BDC" w:rsidRPr="003A78FF">
              <w:rPr>
                <w:rFonts w:ascii="VIC" w:hAnsi="VIC" w:cstheme="minorBidi"/>
                <w:sz w:val="24"/>
              </w:rPr>
              <w:t>equipment prescri</w:t>
            </w:r>
            <w:r w:rsidR="00B24D68" w:rsidRPr="003A78FF">
              <w:rPr>
                <w:rFonts w:ascii="VIC" w:hAnsi="VIC" w:cstheme="minorBidi"/>
                <w:sz w:val="24"/>
              </w:rPr>
              <w:t>p</w:t>
            </w:r>
            <w:r w:rsidR="005B1BDC" w:rsidRPr="003A78FF">
              <w:rPr>
                <w:rFonts w:ascii="VIC" w:hAnsi="VIC" w:cstheme="minorBidi"/>
                <w:sz w:val="24"/>
              </w:rPr>
              <w:t>tion</w:t>
            </w:r>
            <w:r w:rsidR="00697FC8" w:rsidRPr="003A78FF">
              <w:rPr>
                <w:rFonts w:ascii="VIC" w:hAnsi="VIC" w:cstheme="minorBidi"/>
                <w:sz w:val="24"/>
              </w:rPr>
              <w:t xml:space="preserve">, </w:t>
            </w:r>
            <w:r w:rsidR="00BB4E6C" w:rsidRPr="003A78FF">
              <w:rPr>
                <w:rFonts w:ascii="VIC" w:hAnsi="VIC" w:cstheme="minorBidi"/>
                <w:sz w:val="24"/>
              </w:rPr>
              <w:t xml:space="preserve">transfer practice and </w:t>
            </w:r>
            <w:r w:rsidR="00697FC8" w:rsidRPr="003A78FF">
              <w:rPr>
                <w:rFonts w:ascii="VIC" w:hAnsi="VIC" w:cstheme="minorBidi"/>
                <w:sz w:val="24"/>
              </w:rPr>
              <w:t>education)</w:t>
            </w:r>
            <w:r w:rsidR="005A1169" w:rsidRPr="003A78FF">
              <w:rPr>
                <w:rFonts w:ascii="Cambria" w:hAnsi="Cambria" w:cs="Cambria"/>
                <w:sz w:val="24"/>
              </w:rPr>
              <w:t> </w:t>
            </w:r>
          </w:p>
        </w:tc>
      </w:tr>
      <w:tr w:rsidR="00987524" w:rsidRPr="003A78FF" w14:paraId="216D888F" w14:textId="77777777" w:rsidTr="00EE0D2E">
        <w:tc>
          <w:tcPr>
            <w:tcW w:w="3955" w:type="dxa"/>
          </w:tcPr>
          <w:p w14:paraId="59DA811E" w14:textId="237AF408" w:rsidR="00987524" w:rsidRPr="003A78FF" w:rsidRDefault="00EE05FF" w:rsidP="001C5C13">
            <w:pPr>
              <w:pStyle w:val="NormalWeb"/>
              <w:rPr>
                <w:rFonts w:ascii="VIC" w:hAnsi="VIC" w:cstheme="minorBidi"/>
                <w:sz w:val="24"/>
              </w:rPr>
            </w:pPr>
            <w:r w:rsidRPr="003A78FF">
              <w:rPr>
                <w:rFonts w:ascii="VIC" w:hAnsi="VIC" w:cstheme="minorBidi"/>
                <w:sz w:val="24"/>
              </w:rPr>
              <w:t>Medications a patient is sent home with (</w:t>
            </w:r>
            <w:r w:rsidR="00F322F7" w:rsidRPr="003A78FF">
              <w:rPr>
                <w:rFonts w:ascii="VIC" w:hAnsi="VIC" w:cstheme="minorBidi"/>
                <w:sz w:val="24"/>
              </w:rPr>
              <w:t>drugs of addiction, reaction</w:t>
            </w:r>
            <w:r w:rsidR="00950184" w:rsidRPr="003A78FF">
              <w:rPr>
                <w:rFonts w:ascii="VIC" w:hAnsi="VIC" w:cstheme="minorBidi"/>
                <w:sz w:val="24"/>
              </w:rPr>
              <w:t xml:space="preserve">, </w:t>
            </w:r>
            <w:r w:rsidR="004D0E38" w:rsidRPr="003A78FF">
              <w:rPr>
                <w:rFonts w:ascii="VIC" w:hAnsi="VIC" w:cstheme="minorBidi"/>
                <w:sz w:val="24"/>
              </w:rPr>
              <w:t>patient understanding)</w:t>
            </w:r>
          </w:p>
        </w:tc>
        <w:tc>
          <w:tcPr>
            <w:tcW w:w="5880" w:type="dxa"/>
          </w:tcPr>
          <w:p w14:paraId="5F3C5F78" w14:textId="77777777" w:rsidR="003E5DE3" w:rsidRPr="003A78FF" w:rsidRDefault="00BE5688" w:rsidP="00E51F18">
            <w:pPr>
              <w:pStyle w:val="NormalWeb"/>
              <w:numPr>
                <w:ilvl w:val="0"/>
                <w:numId w:val="37"/>
              </w:numPr>
              <w:rPr>
                <w:rFonts w:ascii="VIC" w:hAnsi="VIC" w:cstheme="minorBidi"/>
                <w:sz w:val="24"/>
              </w:rPr>
            </w:pPr>
            <w:r w:rsidRPr="003A78FF">
              <w:rPr>
                <w:rFonts w:ascii="VIC" w:hAnsi="VIC" w:cstheme="minorBidi"/>
                <w:sz w:val="24"/>
              </w:rPr>
              <w:t xml:space="preserve">Clear education before surgery and </w:t>
            </w:r>
            <w:r w:rsidR="009108B9" w:rsidRPr="003A78FF">
              <w:rPr>
                <w:rFonts w:ascii="VIC" w:hAnsi="VIC" w:cstheme="minorBidi"/>
                <w:sz w:val="24"/>
              </w:rPr>
              <w:t xml:space="preserve">potentially seeing a pharmacist </w:t>
            </w:r>
          </w:p>
          <w:p w14:paraId="2E983D1F" w14:textId="78CB34BC" w:rsidR="00987524" w:rsidRPr="003A78FF" w:rsidRDefault="003E5DE3" w:rsidP="00E51F18">
            <w:pPr>
              <w:pStyle w:val="NormalWeb"/>
              <w:numPr>
                <w:ilvl w:val="0"/>
                <w:numId w:val="37"/>
              </w:numPr>
              <w:rPr>
                <w:rFonts w:ascii="VIC" w:hAnsi="VIC" w:cstheme="minorBidi"/>
                <w:sz w:val="24"/>
              </w:rPr>
            </w:pPr>
            <w:r w:rsidRPr="003A78FF">
              <w:rPr>
                <w:rFonts w:ascii="VIC" w:hAnsi="VIC" w:cstheme="minorBidi"/>
                <w:sz w:val="24"/>
              </w:rPr>
              <w:t>C</w:t>
            </w:r>
            <w:r w:rsidR="00220D68" w:rsidRPr="003A78FF">
              <w:rPr>
                <w:rFonts w:ascii="VIC" w:hAnsi="VIC" w:cstheme="minorBidi"/>
                <w:sz w:val="24"/>
              </w:rPr>
              <w:t xml:space="preserve">lear instructions on when to seek </w:t>
            </w:r>
            <w:r w:rsidR="2E2B6334" w:rsidRPr="003A78FF">
              <w:rPr>
                <w:rFonts w:ascii="VIC" w:hAnsi="VIC" w:cstheme="minorBidi"/>
                <w:sz w:val="24"/>
              </w:rPr>
              <w:t>clinical</w:t>
            </w:r>
            <w:r w:rsidR="00220D68" w:rsidRPr="003A78FF">
              <w:rPr>
                <w:rFonts w:ascii="VIC" w:hAnsi="VIC" w:cstheme="minorBidi"/>
                <w:sz w:val="24"/>
              </w:rPr>
              <w:t xml:space="preserve"> </w:t>
            </w:r>
            <w:r w:rsidR="000729AA" w:rsidRPr="003A78FF">
              <w:rPr>
                <w:rFonts w:ascii="VIC" w:hAnsi="VIC" w:cstheme="minorBidi"/>
                <w:sz w:val="24"/>
              </w:rPr>
              <w:t xml:space="preserve">consultation </w:t>
            </w:r>
          </w:p>
        </w:tc>
      </w:tr>
      <w:tr w:rsidR="00B953CA" w:rsidRPr="003A78FF" w14:paraId="55A46323" w14:textId="77777777" w:rsidTr="00EE0D2E">
        <w:tc>
          <w:tcPr>
            <w:tcW w:w="3955" w:type="dxa"/>
          </w:tcPr>
          <w:p w14:paraId="081D2DCA" w14:textId="139C9F98" w:rsidR="00B953CA" w:rsidRPr="003A78FF" w:rsidRDefault="003737F2" w:rsidP="001C5C13">
            <w:pPr>
              <w:pStyle w:val="NormalWeb"/>
              <w:rPr>
                <w:rFonts w:ascii="VIC" w:hAnsi="VIC" w:cstheme="minorHAnsi"/>
                <w:b/>
                <w:bCs/>
                <w:color w:val="000000"/>
                <w:sz w:val="24"/>
              </w:rPr>
            </w:pPr>
            <w:r w:rsidRPr="003A78FF">
              <w:rPr>
                <w:rFonts w:ascii="VIC" w:hAnsi="VIC"/>
                <w:sz w:val="24"/>
              </w:rPr>
              <w:t>A lack of capacity or access to planned follow-up assessments</w:t>
            </w:r>
          </w:p>
        </w:tc>
        <w:tc>
          <w:tcPr>
            <w:tcW w:w="5880" w:type="dxa"/>
          </w:tcPr>
          <w:p w14:paraId="356AED3D" w14:textId="7C22E89F" w:rsidR="007A224B" w:rsidRPr="003A78FF" w:rsidRDefault="007A224B" w:rsidP="000729AA">
            <w:pPr>
              <w:pStyle w:val="NormalWeb"/>
              <w:numPr>
                <w:ilvl w:val="0"/>
                <w:numId w:val="38"/>
              </w:numPr>
              <w:rPr>
                <w:rFonts w:ascii="VIC" w:hAnsi="VIC" w:cstheme="minorHAnsi"/>
                <w:color w:val="000000"/>
                <w:sz w:val="24"/>
              </w:rPr>
            </w:pPr>
            <w:r w:rsidRPr="003A78FF">
              <w:rPr>
                <w:rFonts w:ascii="VIC" w:hAnsi="VIC" w:cstheme="minorBidi"/>
                <w:sz w:val="24"/>
              </w:rPr>
              <w:t>Include</w:t>
            </w:r>
            <w:r w:rsidR="003737F2" w:rsidRPr="003A78FF">
              <w:rPr>
                <w:rFonts w:ascii="VIC" w:hAnsi="VIC" w:cstheme="minorBidi"/>
                <w:sz w:val="24"/>
              </w:rPr>
              <w:t xml:space="preserve"> in the patient selection criteria to </w:t>
            </w:r>
            <w:r w:rsidR="0050016A" w:rsidRPr="003A78FF">
              <w:rPr>
                <w:rFonts w:ascii="VIC" w:hAnsi="VIC" w:cstheme="minorBidi"/>
                <w:sz w:val="24"/>
              </w:rPr>
              <w:t>make certain</w:t>
            </w:r>
            <w:r w:rsidR="003737F2" w:rsidRPr="003A78FF">
              <w:rPr>
                <w:rFonts w:ascii="VIC" w:hAnsi="VIC" w:cstheme="minorBidi"/>
                <w:sz w:val="24"/>
              </w:rPr>
              <w:t xml:space="preserve"> we are setting the patient up for successful recovery</w:t>
            </w:r>
          </w:p>
          <w:p w14:paraId="5382EB33" w14:textId="7C3579FC" w:rsidR="007A224B" w:rsidRPr="003A78FF" w:rsidRDefault="003737F2" w:rsidP="000729AA">
            <w:pPr>
              <w:pStyle w:val="NormalWeb"/>
              <w:numPr>
                <w:ilvl w:val="0"/>
                <w:numId w:val="38"/>
              </w:numPr>
              <w:rPr>
                <w:rFonts w:ascii="VIC" w:hAnsi="VIC" w:cstheme="minorHAnsi"/>
                <w:color w:val="000000"/>
                <w:sz w:val="24"/>
              </w:rPr>
            </w:pPr>
            <w:r w:rsidRPr="003A78FF">
              <w:rPr>
                <w:rFonts w:ascii="VIC" w:hAnsi="VIC" w:cstheme="minorBidi"/>
                <w:sz w:val="24"/>
              </w:rPr>
              <w:t xml:space="preserve">Planned follow-up should be established prior to </w:t>
            </w:r>
            <w:r w:rsidR="00BA4B37" w:rsidRPr="003A78FF">
              <w:rPr>
                <w:rFonts w:ascii="VIC" w:hAnsi="VIC" w:cstheme="minorBidi"/>
                <w:sz w:val="24"/>
              </w:rPr>
              <w:t xml:space="preserve">the procedure to allow time to organise and </w:t>
            </w:r>
            <w:r w:rsidR="001D7B40" w:rsidRPr="003A78FF">
              <w:rPr>
                <w:rFonts w:ascii="VIC" w:hAnsi="VIC" w:cstheme="minorBidi"/>
                <w:sz w:val="24"/>
              </w:rPr>
              <w:t xml:space="preserve">trouble shoot any issues that </w:t>
            </w:r>
            <w:r w:rsidR="0053376F" w:rsidRPr="003A78FF">
              <w:rPr>
                <w:rFonts w:ascii="VIC" w:hAnsi="VIC" w:cstheme="minorBidi"/>
                <w:sz w:val="24"/>
              </w:rPr>
              <w:t xml:space="preserve">could potentially </w:t>
            </w:r>
            <w:r w:rsidR="001D7B40" w:rsidRPr="003A78FF">
              <w:rPr>
                <w:rFonts w:ascii="VIC" w:hAnsi="VIC" w:cstheme="minorBidi"/>
                <w:sz w:val="24"/>
              </w:rPr>
              <w:t>arise</w:t>
            </w:r>
          </w:p>
          <w:p w14:paraId="62724A97" w14:textId="0A9E46C3" w:rsidR="00B953CA" w:rsidRPr="003A78FF" w:rsidRDefault="00FF2301" w:rsidP="000729AA">
            <w:pPr>
              <w:pStyle w:val="NormalWeb"/>
              <w:numPr>
                <w:ilvl w:val="0"/>
                <w:numId w:val="38"/>
              </w:numPr>
              <w:rPr>
                <w:rFonts w:ascii="VIC" w:hAnsi="VIC" w:cstheme="minorHAnsi"/>
                <w:color w:val="000000"/>
                <w:sz w:val="24"/>
              </w:rPr>
            </w:pPr>
            <w:r w:rsidRPr="003A78FF">
              <w:rPr>
                <w:rFonts w:ascii="VIC" w:hAnsi="VIC" w:cstheme="minorBidi"/>
                <w:sz w:val="24"/>
              </w:rPr>
              <w:t xml:space="preserve">Digital solutions such as telehealth and </w:t>
            </w:r>
            <w:r w:rsidR="007A224B" w:rsidRPr="003A78FF">
              <w:rPr>
                <w:rFonts w:ascii="VIC" w:hAnsi="VIC" w:cstheme="minorBidi"/>
                <w:sz w:val="24"/>
              </w:rPr>
              <w:t>A</w:t>
            </w:r>
            <w:r w:rsidR="00325834" w:rsidRPr="003A78FF">
              <w:rPr>
                <w:rFonts w:ascii="VIC" w:hAnsi="VIC" w:cstheme="minorBidi"/>
                <w:sz w:val="24"/>
              </w:rPr>
              <w:t xml:space="preserve">pps </w:t>
            </w:r>
            <w:r w:rsidR="007A224B" w:rsidRPr="003A78FF">
              <w:rPr>
                <w:rFonts w:ascii="VIC" w:hAnsi="VIC" w:cstheme="minorBidi"/>
                <w:sz w:val="24"/>
              </w:rPr>
              <w:t>can</w:t>
            </w:r>
            <w:r w:rsidR="00325834" w:rsidRPr="003A78FF">
              <w:rPr>
                <w:rFonts w:ascii="VIC" w:hAnsi="VIC" w:cstheme="minorBidi"/>
                <w:sz w:val="24"/>
              </w:rPr>
              <w:t xml:space="preserve"> support monitoring and guide appropriate escalation</w:t>
            </w:r>
          </w:p>
        </w:tc>
      </w:tr>
      <w:tr w:rsidR="00B953CA" w:rsidRPr="003A78FF" w14:paraId="45270C84" w14:textId="77777777" w:rsidTr="00EE0D2E">
        <w:tc>
          <w:tcPr>
            <w:tcW w:w="3955" w:type="dxa"/>
          </w:tcPr>
          <w:p w14:paraId="1E7C1F37" w14:textId="29047F2B" w:rsidR="001D7B40" w:rsidRPr="003A78FF" w:rsidRDefault="001D7B40" w:rsidP="001D7B40">
            <w:pPr>
              <w:rPr>
                <w:rFonts w:ascii="VIC" w:hAnsi="VIC" w:cstheme="minorHAnsi"/>
                <w:b/>
                <w:bCs/>
                <w:color w:val="000000"/>
                <w:sz w:val="24"/>
                <w:szCs w:val="24"/>
              </w:rPr>
            </w:pPr>
            <w:r w:rsidRPr="003A78FF">
              <w:rPr>
                <w:rFonts w:ascii="VIC" w:hAnsi="VIC"/>
                <w:sz w:val="24"/>
                <w:szCs w:val="24"/>
              </w:rPr>
              <w:t xml:space="preserve">Potential for increased “unplanned” emergency services utilised by same-day patients including a rise in calls to Ambulance </w:t>
            </w:r>
            <w:r w:rsidR="00B74597" w:rsidRPr="003A78FF">
              <w:rPr>
                <w:rFonts w:ascii="VIC" w:hAnsi="VIC"/>
                <w:sz w:val="24"/>
                <w:szCs w:val="24"/>
              </w:rPr>
              <w:t xml:space="preserve">Victoria </w:t>
            </w:r>
            <w:r w:rsidRPr="003A78FF">
              <w:rPr>
                <w:rFonts w:ascii="VIC" w:hAnsi="VIC"/>
                <w:sz w:val="24"/>
                <w:szCs w:val="24"/>
              </w:rPr>
              <w:t xml:space="preserve">and re-presentations to Urgent Care Centres and </w:t>
            </w:r>
            <w:r w:rsidR="008D1828" w:rsidRPr="003A78FF">
              <w:rPr>
                <w:rFonts w:ascii="VIC" w:hAnsi="VIC"/>
                <w:sz w:val="24"/>
                <w:szCs w:val="24"/>
              </w:rPr>
              <w:t>EDs</w:t>
            </w:r>
          </w:p>
        </w:tc>
        <w:tc>
          <w:tcPr>
            <w:tcW w:w="5880" w:type="dxa"/>
          </w:tcPr>
          <w:p w14:paraId="37DFA509" w14:textId="77777777" w:rsidR="00714470" w:rsidRPr="003A78FF" w:rsidRDefault="00B4659C" w:rsidP="00714470">
            <w:pPr>
              <w:pStyle w:val="NormalWeb"/>
              <w:numPr>
                <w:ilvl w:val="0"/>
                <w:numId w:val="39"/>
              </w:numPr>
              <w:rPr>
                <w:rFonts w:ascii="VIC" w:hAnsi="VIC" w:cstheme="minorHAnsi"/>
                <w:color w:val="000000"/>
                <w:sz w:val="24"/>
              </w:rPr>
            </w:pPr>
            <w:r w:rsidRPr="003A78FF">
              <w:rPr>
                <w:rFonts w:ascii="VIC" w:hAnsi="VIC" w:cstheme="minorBidi"/>
                <w:sz w:val="24"/>
              </w:rPr>
              <w:t>Liaise with emergency services before implementing changes to give them</w:t>
            </w:r>
            <w:r w:rsidR="00070549" w:rsidRPr="003A78FF">
              <w:rPr>
                <w:rFonts w:ascii="VIC" w:hAnsi="VIC" w:cstheme="minorBidi"/>
                <w:sz w:val="24"/>
              </w:rPr>
              <w:t xml:space="preserve"> time to plan for changes in practices and </w:t>
            </w:r>
            <w:r w:rsidR="00543D31" w:rsidRPr="003A78FF">
              <w:rPr>
                <w:rFonts w:ascii="VIC" w:hAnsi="VIC" w:cstheme="minorBidi"/>
                <w:sz w:val="24"/>
              </w:rPr>
              <w:t>potential</w:t>
            </w:r>
            <w:r w:rsidR="00070549" w:rsidRPr="003A78FF">
              <w:rPr>
                <w:rFonts w:ascii="VIC" w:hAnsi="VIC" w:cstheme="minorBidi"/>
                <w:sz w:val="24"/>
              </w:rPr>
              <w:t xml:space="preserve"> changes in</w:t>
            </w:r>
            <w:r w:rsidRPr="003A78FF">
              <w:rPr>
                <w:rFonts w:ascii="VIC" w:hAnsi="VIC" w:cstheme="minorBidi"/>
                <w:sz w:val="24"/>
              </w:rPr>
              <w:t xml:space="preserve"> activity</w:t>
            </w:r>
          </w:p>
          <w:p w14:paraId="7A61E683" w14:textId="77777777" w:rsidR="00AF160B" w:rsidRPr="003A78FF" w:rsidRDefault="00714470" w:rsidP="00714470">
            <w:pPr>
              <w:pStyle w:val="NormalWeb"/>
              <w:numPr>
                <w:ilvl w:val="0"/>
                <w:numId w:val="39"/>
              </w:numPr>
              <w:rPr>
                <w:rFonts w:ascii="VIC" w:hAnsi="VIC" w:cstheme="minorHAnsi"/>
                <w:color w:val="000000"/>
                <w:sz w:val="24"/>
              </w:rPr>
            </w:pPr>
            <w:r w:rsidRPr="003A78FF">
              <w:rPr>
                <w:rFonts w:ascii="VIC" w:eastAsiaTheme="minorHAnsi" w:hAnsi="VIC"/>
                <w:sz w:val="24"/>
              </w:rPr>
              <w:t xml:space="preserve">A virtual ED system for post discharge surgical patients is one possible solution and could involve a night surgical registrar or senior nurse on-call with an escalation pathway to the on-call surgical fellow and/or consultant. </w:t>
            </w:r>
          </w:p>
          <w:p w14:paraId="3312DCC1" w14:textId="77777777" w:rsidR="0067272E" w:rsidRPr="003A78FF" w:rsidRDefault="00AF160B" w:rsidP="00714470">
            <w:pPr>
              <w:pStyle w:val="NormalWeb"/>
              <w:numPr>
                <w:ilvl w:val="0"/>
                <w:numId w:val="39"/>
              </w:numPr>
              <w:rPr>
                <w:rFonts w:ascii="VIC" w:hAnsi="VIC" w:cstheme="minorHAnsi"/>
                <w:color w:val="000000"/>
                <w:sz w:val="24"/>
              </w:rPr>
            </w:pPr>
            <w:r w:rsidRPr="003A78FF">
              <w:rPr>
                <w:rFonts w:ascii="VIC" w:eastAsiaTheme="minorHAnsi" w:hAnsi="VIC"/>
                <w:sz w:val="24"/>
              </w:rPr>
              <w:t>A</w:t>
            </w:r>
            <w:r w:rsidR="00714470" w:rsidRPr="003A78FF">
              <w:rPr>
                <w:rFonts w:ascii="VIC" w:eastAsiaTheme="minorHAnsi" w:hAnsi="VIC"/>
                <w:sz w:val="24"/>
              </w:rPr>
              <w:t>fter day surgery unit</w:t>
            </w:r>
            <w:r w:rsidR="00921BF4" w:rsidRPr="003A78FF">
              <w:rPr>
                <w:rFonts w:ascii="VIC" w:eastAsiaTheme="minorHAnsi" w:hAnsi="VIC"/>
                <w:sz w:val="24"/>
              </w:rPr>
              <w:t xml:space="preserve"> hours</w:t>
            </w:r>
            <w:r w:rsidR="00714470" w:rsidRPr="003A78FF">
              <w:rPr>
                <w:rFonts w:ascii="VIC" w:eastAsiaTheme="minorHAnsi" w:hAnsi="VIC"/>
                <w:sz w:val="24"/>
              </w:rPr>
              <w:t xml:space="preserve">, the nursing coordinator </w:t>
            </w:r>
            <w:r w:rsidR="0067272E" w:rsidRPr="003A78FF">
              <w:rPr>
                <w:rFonts w:ascii="VIC" w:eastAsiaTheme="minorHAnsi" w:hAnsi="VIC"/>
                <w:sz w:val="24"/>
              </w:rPr>
              <w:t xml:space="preserve">can </w:t>
            </w:r>
            <w:r w:rsidR="00714470" w:rsidRPr="003A78FF">
              <w:rPr>
                <w:rFonts w:ascii="VIC" w:eastAsiaTheme="minorHAnsi" w:hAnsi="VIC"/>
                <w:sz w:val="24"/>
              </w:rPr>
              <w:t>triage phone calls to decide whether the patient requires advice or needs to return to emergency</w:t>
            </w:r>
          </w:p>
          <w:p w14:paraId="1AC6513B" w14:textId="13D2B165" w:rsidR="00B953CA" w:rsidRPr="003A78FF" w:rsidRDefault="00714470" w:rsidP="00803952">
            <w:pPr>
              <w:pStyle w:val="NormalWeb"/>
              <w:numPr>
                <w:ilvl w:val="0"/>
                <w:numId w:val="39"/>
              </w:numPr>
              <w:rPr>
                <w:rFonts w:ascii="VIC" w:hAnsi="VIC" w:cstheme="minorHAnsi"/>
                <w:color w:val="000000"/>
                <w:sz w:val="24"/>
              </w:rPr>
            </w:pPr>
            <w:r w:rsidRPr="003A78FF">
              <w:rPr>
                <w:rFonts w:ascii="VIC" w:eastAsiaTheme="minorHAnsi" w:hAnsi="VIC"/>
                <w:sz w:val="24"/>
              </w:rPr>
              <w:t>The capacity for timely system-wide monitoring for emergency care system representations should also be augmented during this time of transition</w:t>
            </w:r>
          </w:p>
        </w:tc>
      </w:tr>
      <w:tr w:rsidR="00980DF2" w:rsidRPr="003A78FF" w14:paraId="726F95BF" w14:textId="77777777" w:rsidTr="00EE0D2E">
        <w:tc>
          <w:tcPr>
            <w:tcW w:w="3955" w:type="dxa"/>
          </w:tcPr>
          <w:p w14:paraId="5EFD1EEA" w14:textId="29A663AB" w:rsidR="00980DF2" w:rsidRPr="003A78FF" w:rsidRDefault="00980DF2" w:rsidP="001D7B40">
            <w:pPr>
              <w:rPr>
                <w:rFonts w:ascii="VIC" w:hAnsi="VIC"/>
                <w:sz w:val="24"/>
                <w:szCs w:val="24"/>
              </w:rPr>
            </w:pPr>
            <w:r w:rsidRPr="003A78FF">
              <w:rPr>
                <w:rFonts w:ascii="VIC" w:hAnsi="VIC"/>
                <w:sz w:val="24"/>
                <w:szCs w:val="24"/>
              </w:rPr>
              <w:lastRenderedPageBreak/>
              <w:t>Patient may</w:t>
            </w:r>
            <w:r w:rsidR="00197145" w:rsidRPr="003A78FF">
              <w:rPr>
                <w:rFonts w:ascii="VIC" w:hAnsi="VIC"/>
                <w:sz w:val="24"/>
                <w:szCs w:val="24"/>
              </w:rPr>
              <w:t xml:space="preserve"> go to an ED at a different health service from where their procedure occurred</w:t>
            </w:r>
          </w:p>
        </w:tc>
        <w:tc>
          <w:tcPr>
            <w:tcW w:w="5880" w:type="dxa"/>
          </w:tcPr>
          <w:p w14:paraId="2F97ED19" w14:textId="1AD8BB47" w:rsidR="00980DF2" w:rsidRPr="003A78FF" w:rsidRDefault="001331F4" w:rsidP="000F570F">
            <w:pPr>
              <w:pStyle w:val="NormalWeb"/>
              <w:numPr>
                <w:ilvl w:val="0"/>
                <w:numId w:val="40"/>
              </w:numPr>
              <w:rPr>
                <w:rFonts w:ascii="VIC" w:hAnsi="VIC" w:cstheme="minorHAnsi"/>
                <w:color w:val="000000"/>
                <w:sz w:val="24"/>
              </w:rPr>
            </w:pPr>
            <w:r w:rsidRPr="003A78FF">
              <w:rPr>
                <w:rFonts w:ascii="VIC" w:hAnsi="VIC" w:cstheme="minorHAnsi"/>
                <w:color w:val="000000"/>
                <w:sz w:val="24"/>
              </w:rPr>
              <w:t xml:space="preserve">The patient having their </w:t>
            </w:r>
            <w:r w:rsidR="00304E9D" w:rsidRPr="003A78FF">
              <w:rPr>
                <w:rFonts w:ascii="VIC" w:hAnsi="VIC" w:cstheme="minorHAnsi"/>
                <w:color w:val="000000"/>
                <w:sz w:val="24"/>
              </w:rPr>
              <w:t>comprehensive</w:t>
            </w:r>
            <w:r w:rsidRPr="003A78FF">
              <w:rPr>
                <w:rFonts w:ascii="VIC" w:hAnsi="VIC" w:cstheme="minorHAnsi"/>
                <w:color w:val="000000"/>
                <w:sz w:val="24"/>
              </w:rPr>
              <w:t xml:space="preserve"> discharge </w:t>
            </w:r>
            <w:r w:rsidR="00304E9D" w:rsidRPr="003A78FF">
              <w:rPr>
                <w:rFonts w:ascii="VIC" w:hAnsi="VIC" w:cstheme="minorHAnsi"/>
                <w:color w:val="000000"/>
                <w:sz w:val="24"/>
              </w:rPr>
              <w:t>plan</w:t>
            </w:r>
            <w:r w:rsidRPr="003A78FF">
              <w:rPr>
                <w:rFonts w:ascii="VIC" w:hAnsi="VIC" w:cstheme="minorHAnsi"/>
                <w:color w:val="000000"/>
                <w:sz w:val="24"/>
              </w:rPr>
              <w:t xml:space="preserve"> should provide </w:t>
            </w:r>
            <w:r w:rsidR="006E7016" w:rsidRPr="003A78FF">
              <w:rPr>
                <w:rFonts w:ascii="VIC" w:hAnsi="VIC" w:cstheme="minorHAnsi"/>
                <w:color w:val="000000"/>
                <w:sz w:val="24"/>
              </w:rPr>
              <w:t>all relevant information required for anyone treating the patient for post operative complications (ED</w:t>
            </w:r>
            <w:r w:rsidR="007100CC" w:rsidRPr="003A78FF">
              <w:rPr>
                <w:rFonts w:ascii="VIC" w:hAnsi="VIC" w:cstheme="minorHAnsi"/>
                <w:color w:val="000000"/>
                <w:sz w:val="24"/>
              </w:rPr>
              <w:t>/urgent care, GPs, pharmacy</w:t>
            </w:r>
            <w:r w:rsidR="00DA7D97" w:rsidRPr="003A78FF">
              <w:rPr>
                <w:rFonts w:ascii="VIC" w:hAnsi="VIC" w:cstheme="minorHAnsi"/>
                <w:color w:val="000000"/>
                <w:sz w:val="24"/>
              </w:rPr>
              <w:t xml:space="preserve">, </w:t>
            </w:r>
            <w:r w:rsidR="00D27E28" w:rsidRPr="003A78FF">
              <w:rPr>
                <w:rFonts w:ascii="VIC" w:hAnsi="VIC" w:cstheme="minorHAnsi"/>
                <w:color w:val="000000"/>
                <w:sz w:val="24"/>
              </w:rPr>
              <w:t>on call surgical team</w:t>
            </w:r>
            <w:r w:rsidR="004B59E7" w:rsidRPr="003A78FF">
              <w:rPr>
                <w:rFonts w:ascii="VIC" w:hAnsi="VIC" w:cstheme="minorHAnsi"/>
                <w:color w:val="000000"/>
                <w:sz w:val="24"/>
              </w:rPr>
              <w:t>, etc)</w:t>
            </w:r>
          </w:p>
        </w:tc>
      </w:tr>
      <w:tr w:rsidR="00737D3E" w:rsidRPr="003A78FF" w14:paraId="5F2C8671" w14:textId="77777777" w:rsidTr="00EE0D2E">
        <w:tc>
          <w:tcPr>
            <w:tcW w:w="3955" w:type="dxa"/>
          </w:tcPr>
          <w:p w14:paraId="12264AED" w14:textId="351E0077" w:rsidR="00737D3E" w:rsidRPr="003A78FF" w:rsidRDefault="008279DF" w:rsidP="001D7B40">
            <w:pPr>
              <w:rPr>
                <w:rFonts w:ascii="VIC" w:hAnsi="VIC"/>
                <w:sz w:val="24"/>
                <w:szCs w:val="24"/>
              </w:rPr>
            </w:pPr>
            <w:r w:rsidRPr="003A78FF">
              <w:rPr>
                <w:rFonts w:ascii="VIC" w:hAnsi="VIC"/>
                <w:sz w:val="24"/>
                <w:szCs w:val="24"/>
              </w:rPr>
              <w:t>Re-presentation at ED m</w:t>
            </w:r>
            <w:r w:rsidR="001671C0" w:rsidRPr="003A78FF">
              <w:rPr>
                <w:rFonts w:ascii="VIC" w:hAnsi="VIC"/>
                <w:sz w:val="24"/>
                <w:szCs w:val="24"/>
              </w:rPr>
              <w:t xml:space="preserve">ay </w:t>
            </w:r>
            <w:r w:rsidR="00954F5A" w:rsidRPr="003A78FF">
              <w:rPr>
                <w:rFonts w:ascii="VIC" w:hAnsi="VIC"/>
                <w:sz w:val="24"/>
                <w:szCs w:val="24"/>
              </w:rPr>
              <w:t xml:space="preserve">not be responded to </w:t>
            </w:r>
            <w:r w:rsidR="00034CC2" w:rsidRPr="003A78FF">
              <w:rPr>
                <w:rFonts w:ascii="VIC" w:hAnsi="VIC"/>
                <w:sz w:val="24"/>
                <w:szCs w:val="24"/>
              </w:rPr>
              <w:t>and prioritised urgently</w:t>
            </w:r>
          </w:p>
        </w:tc>
        <w:tc>
          <w:tcPr>
            <w:tcW w:w="5880" w:type="dxa"/>
          </w:tcPr>
          <w:p w14:paraId="2768B811" w14:textId="63536C14" w:rsidR="00EC751B" w:rsidRPr="003A78FF" w:rsidRDefault="00572696" w:rsidP="00DF4787">
            <w:pPr>
              <w:pStyle w:val="NormalWeb"/>
              <w:numPr>
                <w:ilvl w:val="0"/>
                <w:numId w:val="40"/>
              </w:numPr>
              <w:rPr>
                <w:rFonts w:ascii="VIC" w:hAnsi="VIC" w:cstheme="minorHAnsi"/>
                <w:color w:val="000000"/>
                <w:sz w:val="24"/>
              </w:rPr>
            </w:pPr>
            <w:r w:rsidRPr="003A78FF">
              <w:rPr>
                <w:rFonts w:ascii="VIC" w:hAnsi="VIC" w:cstheme="minorBidi"/>
                <w:sz w:val="24"/>
              </w:rPr>
              <w:t xml:space="preserve">A clear protocol regarding communication pathways </w:t>
            </w:r>
            <w:r w:rsidR="00F40B58" w:rsidRPr="003A78FF">
              <w:rPr>
                <w:rFonts w:ascii="VIC" w:hAnsi="VIC" w:cstheme="minorBidi"/>
                <w:sz w:val="24"/>
              </w:rPr>
              <w:t>should be established</w:t>
            </w:r>
            <w:r w:rsidR="00D65AFE" w:rsidRPr="003A78FF">
              <w:rPr>
                <w:rFonts w:ascii="VIC" w:hAnsi="VIC" w:cstheme="minorBidi"/>
                <w:sz w:val="24"/>
              </w:rPr>
              <w:t xml:space="preserve"> </w:t>
            </w:r>
            <w:r w:rsidR="00DA218F" w:rsidRPr="003A78FF">
              <w:rPr>
                <w:rFonts w:ascii="VIC" w:hAnsi="VIC" w:cstheme="minorBidi"/>
                <w:sz w:val="24"/>
              </w:rPr>
              <w:t xml:space="preserve">to ensure that </w:t>
            </w:r>
            <w:r w:rsidR="00736D3F" w:rsidRPr="003A78FF">
              <w:rPr>
                <w:rFonts w:ascii="VIC" w:hAnsi="VIC" w:cstheme="minorBidi"/>
                <w:sz w:val="24"/>
              </w:rPr>
              <w:t>the ED likely to receive the patient</w:t>
            </w:r>
            <w:r w:rsidR="00963E60" w:rsidRPr="003A78FF">
              <w:rPr>
                <w:rFonts w:ascii="VIC" w:hAnsi="VIC" w:cstheme="minorBidi"/>
                <w:sz w:val="24"/>
              </w:rPr>
              <w:t xml:space="preserve"> is aware of their pending arrival and need for urgent care</w:t>
            </w:r>
          </w:p>
          <w:p w14:paraId="62151DFE" w14:textId="42E239F6" w:rsidR="00737D3E" w:rsidRPr="003A78FF" w:rsidRDefault="00963E60" w:rsidP="00DF4787">
            <w:pPr>
              <w:pStyle w:val="NormalWeb"/>
              <w:numPr>
                <w:ilvl w:val="0"/>
                <w:numId w:val="40"/>
              </w:numPr>
              <w:rPr>
                <w:rFonts w:ascii="VIC" w:hAnsi="VIC" w:cstheme="minorHAnsi"/>
                <w:color w:val="000000"/>
                <w:sz w:val="24"/>
              </w:rPr>
            </w:pPr>
            <w:r w:rsidRPr="003A78FF">
              <w:rPr>
                <w:rFonts w:ascii="VIC" w:hAnsi="VIC" w:cstheme="minorBidi"/>
                <w:sz w:val="24"/>
              </w:rPr>
              <w:t>T</w:t>
            </w:r>
            <w:r w:rsidR="001E52AA" w:rsidRPr="003A78FF">
              <w:rPr>
                <w:rFonts w:ascii="VIC" w:hAnsi="VIC" w:cstheme="minorBidi"/>
                <w:sz w:val="24"/>
              </w:rPr>
              <w:t xml:space="preserve">he </w:t>
            </w:r>
            <w:r w:rsidR="00273287" w:rsidRPr="003A78FF">
              <w:rPr>
                <w:rFonts w:ascii="VIC" w:hAnsi="VIC" w:cstheme="minorBidi"/>
                <w:sz w:val="24"/>
              </w:rPr>
              <w:t>person responding to</w:t>
            </w:r>
            <w:r w:rsidR="00B14D2F" w:rsidRPr="003A78FF">
              <w:rPr>
                <w:rFonts w:ascii="VIC" w:hAnsi="VIC" w:cstheme="minorBidi"/>
                <w:sz w:val="24"/>
              </w:rPr>
              <w:t xml:space="preserve"> </w:t>
            </w:r>
            <w:r w:rsidR="00C74E3B" w:rsidRPr="003A78FF">
              <w:rPr>
                <w:rFonts w:ascii="VIC" w:hAnsi="VIC" w:cstheme="minorBidi"/>
                <w:sz w:val="24"/>
              </w:rPr>
              <w:t>out-of-hours phone</w:t>
            </w:r>
            <w:r w:rsidR="009525CF" w:rsidRPr="003A78FF">
              <w:rPr>
                <w:rFonts w:ascii="VIC" w:hAnsi="VIC" w:cstheme="minorBidi"/>
                <w:sz w:val="24"/>
              </w:rPr>
              <w:t xml:space="preserve"> </w:t>
            </w:r>
            <w:r w:rsidR="00C74E3B" w:rsidRPr="003A78FF">
              <w:rPr>
                <w:rFonts w:ascii="VIC" w:hAnsi="VIC" w:cstheme="minorBidi"/>
                <w:sz w:val="24"/>
              </w:rPr>
              <w:t>calls</w:t>
            </w:r>
            <w:r w:rsidR="00871F80" w:rsidRPr="003A78FF">
              <w:rPr>
                <w:rFonts w:ascii="VIC" w:hAnsi="VIC" w:cstheme="minorBidi"/>
                <w:sz w:val="24"/>
              </w:rPr>
              <w:t xml:space="preserve">, deciding on escalation of care </w:t>
            </w:r>
            <w:r w:rsidR="00C65BBA" w:rsidRPr="003A78FF">
              <w:rPr>
                <w:rFonts w:ascii="VIC" w:hAnsi="VIC" w:cstheme="minorBidi"/>
                <w:sz w:val="24"/>
              </w:rPr>
              <w:t xml:space="preserve">and advising </w:t>
            </w:r>
            <w:r w:rsidR="00871F80" w:rsidRPr="003A78FF">
              <w:rPr>
                <w:rFonts w:ascii="VIC" w:hAnsi="VIC" w:cstheme="minorBidi"/>
                <w:sz w:val="24"/>
              </w:rPr>
              <w:t xml:space="preserve">patient </w:t>
            </w:r>
            <w:r w:rsidR="00C74E3B" w:rsidRPr="003A78FF">
              <w:rPr>
                <w:rFonts w:ascii="VIC" w:hAnsi="VIC" w:cstheme="minorBidi"/>
                <w:sz w:val="24"/>
              </w:rPr>
              <w:t>to re-present to ED</w:t>
            </w:r>
            <w:r w:rsidRPr="003A78FF">
              <w:rPr>
                <w:rFonts w:ascii="VIC" w:hAnsi="VIC" w:cstheme="minorBidi"/>
                <w:sz w:val="24"/>
              </w:rPr>
              <w:t xml:space="preserve"> should contact the ED</w:t>
            </w:r>
            <w:r w:rsidR="002614FB" w:rsidRPr="003A78FF">
              <w:rPr>
                <w:rFonts w:ascii="VIC" w:hAnsi="VIC" w:cstheme="minorBidi"/>
                <w:sz w:val="24"/>
              </w:rPr>
              <w:t xml:space="preserve"> for provision of timely </w:t>
            </w:r>
            <w:r w:rsidR="005A342C" w:rsidRPr="003A78FF">
              <w:rPr>
                <w:rFonts w:ascii="VIC" w:hAnsi="VIC" w:cstheme="minorBidi"/>
                <w:sz w:val="24"/>
              </w:rPr>
              <w:t>handover</w:t>
            </w:r>
          </w:p>
        </w:tc>
      </w:tr>
      <w:tr w:rsidR="007E71F4" w:rsidRPr="003A78FF" w14:paraId="2F32FD78" w14:textId="77777777" w:rsidTr="00EE0D2E">
        <w:tc>
          <w:tcPr>
            <w:tcW w:w="3955" w:type="dxa"/>
          </w:tcPr>
          <w:p w14:paraId="415EF132" w14:textId="61EFDD40" w:rsidR="007E71F4" w:rsidRPr="003A78FF" w:rsidRDefault="00101C6B" w:rsidP="007E71F4">
            <w:pPr>
              <w:rPr>
                <w:rFonts w:ascii="VIC" w:hAnsi="VIC"/>
                <w:sz w:val="24"/>
                <w:szCs w:val="24"/>
              </w:rPr>
            </w:pPr>
            <w:r w:rsidRPr="003A78FF">
              <w:rPr>
                <w:rFonts w:ascii="VIC" w:hAnsi="VIC"/>
                <w:sz w:val="24"/>
                <w:szCs w:val="24"/>
              </w:rPr>
              <w:t>P</w:t>
            </w:r>
            <w:r w:rsidR="00FD5A4F" w:rsidRPr="003A78FF">
              <w:rPr>
                <w:rFonts w:ascii="VIC" w:hAnsi="VIC"/>
                <w:sz w:val="24"/>
                <w:szCs w:val="24"/>
              </w:rPr>
              <w:t xml:space="preserve">atients </w:t>
            </w:r>
            <w:r w:rsidR="002D4689" w:rsidRPr="003A78FF">
              <w:rPr>
                <w:rFonts w:ascii="VIC" w:hAnsi="VIC"/>
                <w:sz w:val="24"/>
                <w:szCs w:val="24"/>
              </w:rPr>
              <w:t>receiving postoperative review from</w:t>
            </w:r>
            <w:r w:rsidR="000F570F" w:rsidRPr="003A78FF">
              <w:rPr>
                <w:rFonts w:ascii="VIC" w:hAnsi="VIC"/>
                <w:sz w:val="24"/>
                <w:szCs w:val="24"/>
              </w:rPr>
              <w:t xml:space="preserve"> clinicians without in-depth understanding of the patient or procedure performed</w:t>
            </w:r>
          </w:p>
        </w:tc>
        <w:tc>
          <w:tcPr>
            <w:tcW w:w="5880" w:type="dxa"/>
          </w:tcPr>
          <w:p w14:paraId="17403C0C" w14:textId="35081D19" w:rsidR="00462C02" w:rsidRPr="003A78FF" w:rsidRDefault="00101C6B" w:rsidP="005327C8">
            <w:pPr>
              <w:pStyle w:val="ListParagraph"/>
              <w:numPr>
                <w:ilvl w:val="0"/>
                <w:numId w:val="41"/>
              </w:numPr>
              <w:rPr>
                <w:rFonts w:ascii="VIC" w:hAnsi="VIC"/>
                <w:sz w:val="24"/>
                <w:szCs w:val="24"/>
              </w:rPr>
            </w:pPr>
            <w:r w:rsidRPr="003A78FF">
              <w:rPr>
                <w:rFonts w:ascii="VIC" w:hAnsi="VIC"/>
                <w:sz w:val="24"/>
                <w:szCs w:val="24"/>
              </w:rPr>
              <w:t xml:space="preserve">Establishment of dedicated 24 hour post operative telehealth teams </w:t>
            </w:r>
            <w:r w:rsidR="00462C02" w:rsidRPr="003A78FF">
              <w:rPr>
                <w:rFonts w:ascii="VIC" w:hAnsi="VIC"/>
                <w:sz w:val="24"/>
                <w:szCs w:val="24"/>
              </w:rPr>
              <w:t>(</w:t>
            </w:r>
            <w:r w:rsidRPr="003A78FF">
              <w:rPr>
                <w:rFonts w:ascii="VIC" w:hAnsi="VIC"/>
                <w:sz w:val="24"/>
                <w:szCs w:val="24"/>
              </w:rPr>
              <w:t>to service multiple facilities or regions</w:t>
            </w:r>
            <w:r w:rsidR="00462C02" w:rsidRPr="003A78FF">
              <w:rPr>
                <w:rFonts w:ascii="VIC" w:hAnsi="VIC"/>
                <w:sz w:val="24"/>
                <w:szCs w:val="24"/>
              </w:rPr>
              <w:t>)</w:t>
            </w:r>
            <w:r w:rsidRPr="003A78FF">
              <w:rPr>
                <w:rFonts w:ascii="VIC" w:hAnsi="VIC"/>
                <w:sz w:val="24"/>
                <w:szCs w:val="24"/>
              </w:rPr>
              <w:t xml:space="preserve"> is one option to provide a safe and streamlines process to monitor, contact or receive calls from concerned patients within the first 24-48 hours of same-day surgery</w:t>
            </w:r>
          </w:p>
          <w:p w14:paraId="7257D929" w14:textId="4769281E" w:rsidR="007E71F4" w:rsidRPr="003A78FF" w:rsidRDefault="00101C6B" w:rsidP="001C5C13">
            <w:pPr>
              <w:pStyle w:val="ListParagraph"/>
              <w:numPr>
                <w:ilvl w:val="0"/>
                <w:numId w:val="41"/>
              </w:numPr>
              <w:rPr>
                <w:rFonts w:ascii="VIC" w:hAnsi="VIC"/>
                <w:sz w:val="24"/>
                <w:szCs w:val="24"/>
              </w:rPr>
            </w:pPr>
            <w:r w:rsidRPr="003A78FF">
              <w:rPr>
                <w:rFonts w:ascii="VIC" w:hAnsi="VIC"/>
                <w:sz w:val="24"/>
                <w:szCs w:val="24"/>
              </w:rPr>
              <w:t xml:space="preserve">This will likely </w:t>
            </w:r>
            <w:r w:rsidR="00462C02" w:rsidRPr="003A78FF">
              <w:rPr>
                <w:rFonts w:ascii="VIC" w:hAnsi="VIC"/>
                <w:sz w:val="24"/>
                <w:szCs w:val="24"/>
              </w:rPr>
              <w:t xml:space="preserve">greatly </w:t>
            </w:r>
            <w:r w:rsidRPr="003A78FF">
              <w:rPr>
                <w:rFonts w:ascii="VIC" w:hAnsi="VIC"/>
                <w:sz w:val="24"/>
                <w:szCs w:val="24"/>
              </w:rPr>
              <w:t>reduce requirements for unplanned emergency services and after-hour GP contact and will provide quick assessment and appropriate triage of patients</w:t>
            </w:r>
          </w:p>
        </w:tc>
      </w:tr>
      <w:tr w:rsidR="00B953CA" w:rsidRPr="003A78FF" w14:paraId="6DA342E9" w14:textId="77777777" w:rsidTr="00EE0D2E">
        <w:tc>
          <w:tcPr>
            <w:tcW w:w="3955" w:type="dxa"/>
          </w:tcPr>
          <w:p w14:paraId="0617F3C1" w14:textId="51DB8232" w:rsidR="00B953CA" w:rsidRPr="003A78FF" w:rsidRDefault="00B4659C" w:rsidP="003737F2">
            <w:pPr>
              <w:rPr>
                <w:rFonts w:ascii="VIC" w:hAnsi="VIC"/>
                <w:color w:val="000000" w:themeColor="text1"/>
                <w:sz w:val="24"/>
                <w:szCs w:val="24"/>
              </w:rPr>
            </w:pPr>
            <w:r w:rsidRPr="003A78FF">
              <w:rPr>
                <w:rFonts w:ascii="VIC" w:hAnsi="VIC"/>
                <w:color w:val="000000" w:themeColor="text1"/>
                <w:sz w:val="24"/>
                <w:szCs w:val="24"/>
              </w:rPr>
              <w:t>A</w:t>
            </w:r>
            <w:r w:rsidR="003737F2" w:rsidRPr="003A78FF">
              <w:rPr>
                <w:rFonts w:ascii="VIC" w:hAnsi="VIC"/>
                <w:color w:val="000000" w:themeColor="text1"/>
                <w:sz w:val="24"/>
                <w:szCs w:val="24"/>
              </w:rPr>
              <w:t xml:space="preserve"> diversion of care for post-operative symptoms and/or complications to other parts of the health system (EDs, GPs)</w:t>
            </w:r>
          </w:p>
        </w:tc>
        <w:tc>
          <w:tcPr>
            <w:tcW w:w="5880" w:type="dxa"/>
          </w:tcPr>
          <w:p w14:paraId="34273A87" w14:textId="3B527572" w:rsidR="0064204B" w:rsidRPr="003A78FF" w:rsidRDefault="0064204B" w:rsidP="00FB2933">
            <w:pPr>
              <w:pStyle w:val="NormalWeb"/>
              <w:numPr>
                <w:ilvl w:val="0"/>
                <w:numId w:val="42"/>
              </w:numPr>
              <w:rPr>
                <w:rFonts w:ascii="VIC" w:hAnsi="VIC" w:cstheme="minorBidi"/>
                <w:color w:val="000000"/>
                <w:sz w:val="24"/>
              </w:rPr>
            </w:pPr>
            <w:r w:rsidRPr="003A78FF">
              <w:rPr>
                <w:rFonts w:ascii="VIC" w:hAnsi="VIC" w:cstheme="minorBidi"/>
                <w:sz w:val="24"/>
              </w:rPr>
              <w:t>Patients can show their</w:t>
            </w:r>
            <w:r w:rsidR="008D1828" w:rsidRPr="003A78FF">
              <w:rPr>
                <w:rFonts w:ascii="VIC" w:hAnsi="VIC" w:cstheme="minorBidi"/>
                <w:sz w:val="24"/>
              </w:rPr>
              <w:t xml:space="preserve"> </w:t>
            </w:r>
            <w:r w:rsidR="00FB2933" w:rsidRPr="003A78FF">
              <w:rPr>
                <w:rFonts w:ascii="VIC" w:hAnsi="VIC" w:cstheme="minorBidi"/>
                <w:sz w:val="24"/>
              </w:rPr>
              <w:t>comprehensive</w:t>
            </w:r>
            <w:r w:rsidR="008D1828" w:rsidRPr="003A78FF">
              <w:rPr>
                <w:rFonts w:ascii="VIC" w:hAnsi="VIC" w:cstheme="minorBidi"/>
                <w:sz w:val="24"/>
              </w:rPr>
              <w:t xml:space="preserve"> discharge </w:t>
            </w:r>
            <w:r w:rsidR="00FB2933" w:rsidRPr="003A78FF">
              <w:rPr>
                <w:rFonts w:ascii="VIC" w:hAnsi="VIC" w:cstheme="minorBidi"/>
                <w:sz w:val="24"/>
              </w:rPr>
              <w:t>plan</w:t>
            </w:r>
            <w:r w:rsidR="008D1828" w:rsidRPr="003A78FF">
              <w:rPr>
                <w:rFonts w:ascii="VIC" w:hAnsi="VIC" w:cstheme="minorBidi"/>
                <w:sz w:val="24"/>
              </w:rPr>
              <w:t xml:space="preserve"> to show anyone who</w:t>
            </w:r>
            <w:r w:rsidR="00DE32CC" w:rsidRPr="003A78FF">
              <w:rPr>
                <w:rFonts w:ascii="VIC" w:hAnsi="VIC" w:cstheme="minorBidi"/>
                <w:sz w:val="24"/>
              </w:rPr>
              <w:t xml:space="preserve"> they see relating to their surgery (planned or unplanned)</w:t>
            </w:r>
          </w:p>
          <w:p w14:paraId="5FEEF7BF" w14:textId="25F10BEA" w:rsidR="00543D31" w:rsidRPr="003A78FF" w:rsidRDefault="00543D31" w:rsidP="00FB2933">
            <w:pPr>
              <w:pStyle w:val="NormalWeb"/>
              <w:numPr>
                <w:ilvl w:val="0"/>
                <w:numId w:val="42"/>
              </w:numPr>
              <w:rPr>
                <w:rFonts w:ascii="VIC" w:hAnsi="VIC" w:cstheme="minorBidi"/>
                <w:color w:val="000000"/>
                <w:sz w:val="24"/>
              </w:rPr>
            </w:pPr>
            <w:r w:rsidRPr="003A78FF">
              <w:rPr>
                <w:rFonts w:ascii="VIC" w:hAnsi="VIC" w:cstheme="minorBidi"/>
                <w:sz w:val="24"/>
              </w:rPr>
              <w:t xml:space="preserve">Appropriate guidance </w:t>
            </w:r>
            <w:r w:rsidR="0064204B" w:rsidRPr="003A78FF">
              <w:rPr>
                <w:rFonts w:ascii="VIC" w:hAnsi="VIC" w:cstheme="minorBidi"/>
                <w:sz w:val="24"/>
              </w:rPr>
              <w:t xml:space="preserve">should be </w:t>
            </w:r>
            <w:r w:rsidR="00A03569" w:rsidRPr="003A78FF">
              <w:rPr>
                <w:rFonts w:ascii="VIC" w:hAnsi="VIC" w:cstheme="minorBidi"/>
                <w:sz w:val="24"/>
              </w:rPr>
              <w:t xml:space="preserve">made available </w:t>
            </w:r>
            <w:r w:rsidR="00B8775B" w:rsidRPr="003A78FF">
              <w:rPr>
                <w:rFonts w:ascii="VIC" w:hAnsi="VIC" w:cstheme="minorBidi"/>
                <w:sz w:val="24"/>
              </w:rPr>
              <w:t xml:space="preserve">to other parts of the health system </w:t>
            </w:r>
            <w:r w:rsidRPr="003A78FF">
              <w:rPr>
                <w:rFonts w:ascii="VIC" w:hAnsi="VIC" w:cstheme="minorBidi"/>
                <w:sz w:val="24"/>
              </w:rPr>
              <w:t>(</w:t>
            </w:r>
            <w:r w:rsidR="00B8775B" w:rsidRPr="003A78FF">
              <w:rPr>
                <w:rFonts w:ascii="VIC" w:hAnsi="VIC" w:cstheme="minorBidi"/>
                <w:sz w:val="24"/>
              </w:rPr>
              <w:t>e.g.</w:t>
            </w:r>
            <w:r w:rsidRPr="003A78FF">
              <w:rPr>
                <w:rFonts w:ascii="VIC" w:hAnsi="VIC" w:cstheme="minorBidi"/>
                <w:sz w:val="24"/>
              </w:rPr>
              <w:t xml:space="preserve"> Health</w:t>
            </w:r>
            <w:r w:rsidR="00B92C7E" w:rsidRPr="003A78FF">
              <w:rPr>
                <w:rFonts w:ascii="VIC" w:hAnsi="VIC" w:cstheme="minorBidi"/>
                <w:sz w:val="24"/>
              </w:rPr>
              <w:t xml:space="preserve"> </w:t>
            </w:r>
            <w:r w:rsidRPr="003A78FF">
              <w:rPr>
                <w:rFonts w:ascii="VIC" w:hAnsi="VIC" w:cstheme="minorBidi"/>
                <w:sz w:val="24"/>
              </w:rPr>
              <w:t>Pathways available for GPs</w:t>
            </w:r>
            <w:r w:rsidR="00455432" w:rsidRPr="003A78FF">
              <w:rPr>
                <w:rFonts w:ascii="VIC" w:hAnsi="VIC" w:cstheme="minorBidi"/>
                <w:sz w:val="24"/>
              </w:rPr>
              <w:t>)</w:t>
            </w:r>
          </w:p>
        </w:tc>
      </w:tr>
      <w:tr w:rsidR="00752D95" w:rsidRPr="003A78FF" w14:paraId="285DFA8E" w14:textId="77777777" w:rsidTr="00EE0D2E">
        <w:tc>
          <w:tcPr>
            <w:tcW w:w="3955" w:type="dxa"/>
          </w:tcPr>
          <w:p w14:paraId="5A48614A" w14:textId="4B025115" w:rsidR="00784BD3" w:rsidRPr="003A78FF" w:rsidRDefault="001D509E" w:rsidP="001D509E">
            <w:pPr>
              <w:pStyle w:val="NormalWeb"/>
              <w:rPr>
                <w:rFonts w:ascii="VIC" w:hAnsi="VIC" w:cstheme="minorBidi"/>
                <w:sz w:val="24"/>
              </w:rPr>
            </w:pPr>
            <w:r w:rsidRPr="003A78FF">
              <w:rPr>
                <w:rFonts w:ascii="VIC" w:hAnsi="VIC" w:cstheme="minorBidi"/>
                <w:sz w:val="24"/>
              </w:rPr>
              <w:t xml:space="preserve">Some </w:t>
            </w:r>
            <w:r w:rsidR="00F10D2B" w:rsidRPr="003A78FF">
              <w:rPr>
                <w:rFonts w:ascii="VIC" w:hAnsi="VIC" w:cstheme="minorBidi"/>
                <w:sz w:val="24"/>
              </w:rPr>
              <w:t>same-</w:t>
            </w:r>
            <w:r w:rsidRPr="003A78FF">
              <w:rPr>
                <w:rFonts w:ascii="VIC" w:hAnsi="VIC" w:cstheme="minorBidi"/>
                <w:sz w:val="24"/>
              </w:rPr>
              <w:t>day procedures offer low value</w:t>
            </w:r>
            <w:r w:rsidR="00E2229E" w:rsidRPr="003A78FF">
              <w:rPr>
                <w:rFonts w:ascii="VIC" w:hAnsi="VIC" w:cstheme="minorBidi"/>
                <w:sz w:val="24"/>
              </w:rPr>
              <w:t xml:space="preserve"> to the patient</w:t>
            </w:r>
            <w:r w:rsidRPr="003A78FF">
              <w:rPr>
                <w:rFonts w:ascii="VIC" w:hAnsi="VIC" w:cstheme="minorBidi"/>
                <w:sz w:val="24"/>
              </w:rPr>
              <w:t xml:space="preserve"> if not performed for the correct indications. </w:t>
            </w:r>
            <w:r w:rsidR="00E2229E" w:rsidRPr="003A78FF">
              <w:rPr>
                <w:rFonts w:ascii="VIC" w:hAnsi="VIC" w:cstheme="minorBidi"/>
                <w:sz w:val="24"/>
              </w:rPr>
              <w:t>In</w:t>
            </w:r>
            <w:r w:rsidRPr="003A78FF">
              <w:rPr>
                <w:rFonts w:ascii="VIC" w:hAnsi="VIC" w:cstheme="minorBidi"/>
                <w:sz w:val="24"/>
              </w:rPr>
              <w:t xml:space="preserve"> Victoria, these indications have been published as part of the “</w:t>
            </w:r>
            <w:hyperlink r:id="rId26" w:history="1">
              <w:r w:rsidRPr="003A78FF">
                <w:rPr>
                  <w:rStyle w:val="Hyperlink"/>
                  <w:rFonts w:ascii="VIC" w:hAnsi="VIC" w:cstheme="minorBidi"/>
                  <w:sz w:val="24"/>
                </w:rPr>
                <w:t>Best Care</w:t>
              </w:r>
            </w:hyperlink>
            <w:r w:rsidRPr="003A78FF">
              <w:rPr>
                <w:rFonts w:ascii="VIC" w:hAnsi="VIC" w:cstheme="minorBidi"/>
                <w:sz w:val="24"/>
              </w:rPr>
              <w:t xml:space="preserve">” work. </w:t>
            </w:r>
          </w:p>
          <w:p w14:paraId="07E7BE92" w14:textId="55EA33CC" w:rsidR="00752D95" w:rsidRPr="003A78FF" w:rsidRDefault="00E2229E" w:rsidP="001D509E">
            <w:pPr>
              <w:pStyle w:val="NormalWeb"/>
              <w:rPr>
                <w:rFonts w:ascii="VIC" w:hAnsi="VIC" w:cstheme="minorBidi"/>
                <w:sz w:val="24"/>
              </w:rPr>
            </w:pPr>
            <w:r w:rsidRPr="003A78FF">
              <w:rPr>
                <w:rFonts w:ascii="VIC" w:hAnsi="VIC" w:cstheme="minorBidi"/>
                <w:sz w:val="24"/>
              </w:rPr>
              <w:lastRenderedPageBreak/>
              <w:t>Currently</w:t>
            </w:r>
            <w:r w:rsidR="0077143B" w:rsidRPr="003A78FF">
              <w:rPr>
                <w:rFonts w:ascii="VIC" w:hAnsi="VIC" w:cstheme="minorBidi"/>
                <w:sz w:val="24"/>
              </w:rPr>
              <w:t>,</w:t>
            </w:r>
            <w:r w:rsidRPr="003A78FF">
              <w:rPr>
                <w:rFonts w:ascii="VIC" w:hAnsi="VIC" w:cstheme="minorBidi"/>
                <w:sz w:val="24"/>
              </w:rPr>
              <w:t xml:space="preserve"> a</w:t>
            </w:r>
            <w:r w:rsidR="00512726" w:rsidRPr="003A78FF">
              <w:rPr>
                <w:rFonts w:ascii="VIC" w:hAnsi="VIC" w:cstheme="minorBidi"/>
                <w:sz w:val="24"/>
              </w:rPr>
              <w:t xml:space="preserve"> proportion of same-day surgery lists </w:t>
            </w:r>
            <w:r w:rsidR="005D7530" w:rsidRPr="003A78FF">
              <w:rPr>
                <w:rFonts w:ascii="VIC" w:hAnsi="VIC" w:cstheme="minorBidi"/>
                <w:sz w:val="24"/>
              </w:rPr>
              <w:t>consist of</w:t>
            </w:r>
            <w:r w:rsidR="00512726" w:rsidRPr="003A78FF">
              <w:rPr>
                <w:rFonts w:ascii="VIC" w:hAnsi="VIC" w:cstheme="minorBidi"/>
                <w:sz w:val="24"/>
              </w:rPr>
              <w:t xml:space="preserve"> low</w:t>
            </w:r>
            <w:r w:rsidR="00EF6596" w:rsidRPr="003A78FF">
              <w:rPr>
                <w:rFonts w:ascii="VIC" w:hAnsi="VIC" w:cstheme="minorBidi"/>
                <w:sz w:val="24"/>
              </w:rPr>
              <w:t xml:space="preserve"> value procedures </w:t>
            </w:r>
            <w:r w:rsidR="005D7530" w:rsidRPr="003A78FF">
              <w:rPr>
                <w:rFonts w:ascii="VIC" w:hAnsi="VIC" w:cstheme="minorBidi"/>
                <w:sz w:val="24"/>
              </w:rPr>
              <w:t>such as</w:t>
            </w:r>
            <w:r w:rsidR="00EF6596" w:rsidRPr="003A78FF">
              <w:rPr>
                <w:rFonts w:ascii="VIC" w:hAnsi="VIC" w:cstheme="minorBidi"/>
                <w:sz w:val="24"/>
              </w:rPr>
              <w:t xml:space="preserve"> endoscopy, colonoscopy, knee arthroscopy, hysterectomy and inguinal hernia that is clinically inapparent or minimally symptomatic</w:t>
            </w:r>
            <w:r w:rsidR="005D7530" w:rsidRPr="003A78FF">
              <w:rPr>
                <w:rFonts w:ascii="VIC" w:hAnsi="VIC" w:cstheme="minorBidi"/>
                <w:sz w:val="24"/>
              </w:rPr>
              <w:t xml:space="preserve"> </w:t>
            </w:r>
          </w:p>
        </w:tc>
        <w:tc>
          <w:tcPr>
            <w:tcW w:w="5880" w:type="dxa"/>
          </w:tcPr>
          <w:p w14:paraId="1AB97443" w14:textId="6CAA2B8B" w:rsidR="00236A68" w:rsidRPr="003A78FF" w:rsidRDefault="001D509E" w:rsidP="001D509E">
            <w:pPr>
              <w:pStyle w:val="NormalWeb"/>
              <w:numPr>
                <w:ilvl w:val="0"/>
                <w:numId w:val="43"/>
              </w:numPr>
              <w:rPr>
                <w:rFonts w:ascii="VIC" w:hAnsi="VIC" w:cstheme="minorBidi"/>
                <w:sz w:val="24"/>
              </w:rPr>
            </w:pPr>
            <w:r w:rsidRPr="003A78FF">
              <w:rPr>
                <w:rFonts w:ascii="VIC" w:hAnsi="VIC" w:cstheme="minorBidi"/>
                <w:sz w:val="24"/>
              </w:rPr>
              <w:lastRenderedPageBreak/>
              <w:t>The risk of performing low value procedures can be minimised by ensuring best care advice is followed by health services and providers</w:t>
            </w:r>
          </w:p>
          <w:p w14:paraId="5586B4D0" w14:textId="523CFCFD" w:rsidR="001D509E" w:rsidRPr="003A78FF" w:rsidRDefault="00543D31" w:rsidP="001D509E">
            <w:pPr>
              <w:pStyle w:val="NormalWeb"/>
              <w:numPr>
                <w:ilvl w:val="0"/>
                <w:numId w:val="43"/>
              </w:numPr>
              <w:rPr>
                <w:rFonts w:ascii="VIC" w:hAnsi="VIC" w:cstheme="minorBidi"/>
                <w:sz w:val="24"/>
              </w:rPr>
            </w:pPr>
            <w:r w:rsidRPr="003A78FF">
              <w:rPr>
                <w:rFonts w:ascii="VIC" w:hAnsi="VIC" w:cstheme="minorBidi"/>
                <w:sz w:val="24"/>
              </w:rPr>
              <w:t>We</w:t>
            </w:r>
            <w:r w:rsidR="00611BD7" w:rsidRPr="003A78FF">
              <w:rPr>
                <w:rFonts w:ascii="VIC" w:hAnsi="VIC" w:cstheme="minorBidi"/>
                <w:sz w:val="24"/>
              </w:rPr>
              <w:t xml:space="preserve"> would seek the addition of </w:t>
            </w:r>
            <w:r w:rsidR="001D509E" w:rsidRPr="003A78FF">
              <w:rPr>
                <w:rFonts w:ascii="VIC" w:hAnsi="VIC" w:cstheme="minorBidi"/>
                <w:sz w:val="24"/>
              </w:rPr>
              <w:t>an indication for surgery or procedure to the waiting for surgery information system (ESIS)</w:t>
            </w:r>
          </w:p>
          <w:p w14:paraId="6086A467" w14:textId="77777777" w:rsidR="00752D95" w:rsidRPr="003A78FF" w:rsidRDefault="00752D95" w:rsidP="001C5C13">
            <w:pPr>
              <w:pStyle w:val="NormalWeb"/>
              <w:rPr>
                <w:rFonts w:ascii="VIC" w:hAnsi="VIC" w:cstheme="minorHAnsi"/>
                <w:color w:val="000000"/>
                <w:sz w:val="24"/>
              </w:rPr>
            </w:pPr>
          </w:p>
        </w:tc>
      </w:tr>
    </w:tbl>
    <w:p w14:paraId="3D8F9C93" w14:textId="69936CA1" w:rsidR="00391FB2" w:rsidRPr="003A78FF" w:rsidRDefault="00391FB2" w:rsidP="0B6F30DC">
      <w:pPr>
        <w:pStyle w:val="NormalWeb"/>
        <w:ind w:left="142"/>
        <w:rPr>
          <w:rFonts w:ascii="VIC" w:hAnsi="VIC" w:cstheme="minorBidi"/>
          <w:sz w:val="24"/>
        </w:rPr>
      </w:pPr>
    </w:p>
    <w:p w14:paraId="7AD24F7F" w14:textId="04F4C814" w:rsidR="00A36DA2" w:rsidRPr="003A78FF" w:rsidRDefault="00A36DA2" w:rsidP="00FE54E5">
      <w:pPr>
        <w:pStyle w:val="Heading3"/>
        <w:numPr>
          <w:ilvl w:val="0"/>
          <w:numId w:val="21"/>
        </w:numPr>
        <w:rPr>
          <w:rFonts w:ascii="VIC" w:hAnsi="VIC"/>
          <w:szCs w:val="24"/>
        </w:rPr>
      </w:pPr>
      <w:bookmarkStart w:id="23" w:name="_Toc111215098"/>
      <w:bookmarkStart w:id="24" w:name="_Toc111215155"/>
      <w:r w:rsidRPr="003A78FF">
        <w:rPr>
          <w:rFonts w:ascii="VIC" w:hAnsi="VIC"/>
          <w:szCs w:val="24"/>
        </w:rPr>
        <w:t>What new measures, if any, are required from VAHI to effectively measure day surgery rates going forward?</w:t>
      </w:r>
      <w:bookmarkEnd w:id="23"/>
      <w:bookmarkEnd w:id="24"/>
      <w:r w:rsidRPr="003A78FF">
        <w:rPr>
          <w:rFonts w:ascii="Cambria" w:hAnsi="Cambria" w:cs="Cambria"/>
          <w:szCs w:val="24"/>
        </w:rPr>
        <w:t> </w:t>
      </w:r>
    </w:p>
    <w:p w14:paraId="28B7EC76" w14:textId="77777777" w:rsidR="00132B8A" w:rsidRPr="003A78FF" w:rsidRDefault="00132B8A" w:rsidP="00132B8A">
      <w:pPr>
        <w:pStyle w:val="SCVbody"/>
        <w:spacing w:before="0" w:after="0"/>
        <w:rPr>
          <w:rFonts w:ascii="VIC" w:hAnsi="VIC"/>
          <w:sz w:val="24"/>
          <w:szCs w:val="24"/>
        </w:rPr>
      </w:pPr>
    </w:p>
    <w:p w14:paraId="45EF7B49" w14:textId="33567039" w:rsidR="253A6C64" w:rsidRPr="003A78FF" w:rsidRDefault="00FA32B5" w:rsidP="009149C5">
      <w:pPr>
        <w:pStyle w:val="NormalWeb"/>
        <w:ind w:left="360"/>
        <w:rPr>
          <w:rFonts w:ascii="VIC" w:eastAsia="Arial" w:hAnsi="VIC" w:cs="Arial"/>
          <w:sz w:val="24"/>
        </w:rPr>
      </w:pPr>
      <w:r w:rsidRPr="003A78FF">
        <w:rPr>
          <w:rFonts w:ascii="VIC" w:hAnsi="VIC" w:cstheme="minorBidi"/>
          <w:sz w:val="24"/>
        </w:rPr>
        <w:t>M</w:t>
      </w:r>
      <w:r w:rsidR="730231FD" w:rsidRPr="003A78FF">
        <w:rPr>
          <w:rFonts w:ascii="VIC" w:hAnsi="VIC" w:cstheme="minorBidi"/>
          <w:sz w:val="24"/>
        </w:rPr>
        <w:t xml:space="preserve">ost measures </w:t>
      </w:r>
      <w:r w:rsidR="006263C1" w:rsidRPr="003A78FF">
        <w:rPr>
          <w:rFonts w:ascii="VIC" w:hAnsi="VIC" w:cstheme="minorBidi"/>
          <w:sz w:val="24"/>
        </w:rPr>
        <w:t>required</w:t>
      </w:r>
      <w:r w:rsidR="730231FD" w:rsidRPr="003A78FF">
        <w:rPr>
          <w:rFonts w:ascii="VIC" w:hAnsi="VIC" w:cstheme="minorBidi"/>
          <w:sz w:val="24"/>
        </w:rPr>
        <w:t xml:space="preserve"> from VAHI have been requested</w:t>
      </w:r>
      <w:r w:rsidR="1CD19C88" w:rsidRPr="003A78FF">
        <w:rPr>
          <w:rFonts w:ascii="VIC" w:hAnsi="VIC" w:cstheme="minorBidi"/>
          <w:sz w:val="24"/>
        </w:rPr>
        <w:t xml:space="preserve"> as of </w:t>
      </w:r>
      <w:r w:rsidR="00617470" w:rsidRPr="003A78FF">
        <w:rPr>
          <w:rFonts w:ascii="VIC" w:hAnsi="VIC" w:cstheme="minorBidi"/>
          <w:sz w:val="24"/>
        </w:rPr>
        <w:t>7 July 20</w:t>
      </w:r>
      <w:r w:rsidR="1CD19C88" w:rsidRPr="003A78FF">
        <w:rPr>
          <w:rFonts w:ascii="VIC" w:hAnsi="VIC" w:cstheme="minorBidi"/>
          <w:sz w:val="24"/>
        </w:rPr>
        <w:t>22</w:t>
      </w:r>
      <w:r w:rsidR="00337B4F" w:rsidRPr="003A78FF">
        <w:rPr>
          <w:rFonts w:ascii="VIC" w:hAnsi="VIC" w:cstheme="minorBidi"/>
          <w:sz w:val="24"/>
        </w:rPr>
        <w:t xml:space="preserve"> and t</w:t>
      </w:r>
      <w:r w:rsidR="42D52545" w:rsidRPr="003A78FF">
        <w:rPr>
          <w:rFonts w:ascii="VIC" w:hAnsi="VIC" w:cstheme="minorBidi"/>
          <w:sz w:val="24"/>
        </w:rPr>
        <w:t xml:space="preserve">he data is available </w:t>
      </w:r>
      <w:r w:rsidR="00337B4F" w:rsidRPr="003A78FF">
        <w:rPr>
          <w:rFonts w:ascii="VIC" w:hAnsi="VIC" w:cstheme="minorBidi"/>
          <w:sz w:val="24"/>
        </w:rPr>
        <w:t>to</w:t>
      </w:r>
      <w:r w:rsidR="42D52545" w:rsidRPr="003A78FF">
        <w:rPr>
          <w:rFonts w:ascii="VIC" w:hAnsi="VIC" w:cstheme="minorBidi"/>
          <w:sz w:val="24"/>
        </w:rPr>
        <w:t xml:space="preserve"> inform day surgery reports.</w:t>
      </w:r>
      <w:r w:rsidR="005D5B2D" w:rsidRPr="003A78FF">
        <w:rPr>
          <w:rFonts w:ascii="VIC" w:hAnsi="VIC" w:cstheme="minorBidi"/>
          <w:sz w:val="24"/>
        </w:rPr>
        <w:t xml:space="preserve"> </w:t>
      </w:r>
      <w:r w:rsidR="000D03BE" w:rsidRPr="003A78FF">
        <w:rPr>
          <w:rFonts w:ascii="VIC" w:hAnsi="VIC" w:cstheme="minorBidi"/>
          <w:sz w:val="24"/>
        </w:rPr>
        <w:t>VEMD</w:t>
      </w:r>
      <w:r w:rsidR="00C40B20" w:rsidRPr="003A78FF">
        <w:rPr>
          <w:rFonts w:ascii="VIC" w:hAnsi="VIC" w:cstheme="minorBidi"/>
          <w:sz w:val="24"/>
        </w:rPr>
        <w:t xml:space="preserve"> Data results </w:t>
      </w:r>
      <w:r w:rsidR="001E153D" w:rsidRPr="003A78FF">
        <w:rPr>
          <w:rFonts w:ascii="VIC" w:hAnsi="VIC" w:cstheme="minorBidi"/>
          <w:sz w:val="24"/>
        </w:rPr>
        <w:t>are</w:t>
      </w:r>
      <w:r w:rsidR="00C40B20" w:rsidRPr="003A78FF">
        <w:rPr>
          <w:rFonts w:ascii="VIC" w:hAnsi="VIC" w:cstheme="minorBidi"/>
          <w:sz w:val="24"/>
        </w:rPr>
        <w:t xml:space="preserve"> pending.</w:t>
      </w:r>
    </w:p>
    <w:p w14:paraId="3AEDD75C" w14:textId="7166F711" w:rsidR="00F47716" w:rsidRPr="003A78FF" w:rsidRDefault="00F47716" w:rsidP="009149C5">
      <w:pPr>
        <w:pStyle w:val="NormalWeb"/>
        <w:ind w:left="360"/>
        <w:rPr>
          <w:rFonts w:ascii="VIC" w:eastAsia="Arial" w:hAnsi="VIC" w:cs="Arial"/>
          <w:sz w:val="24"/>
        </w:rPr>
      </w:pPr>
    </w:p>
    <w:p w14:paraId="4AB559A5" w14:textId="0ECE6E94" w:rsidR="253A6C64" w:rsidRPr="003A78FF" w:rsidRDefault="253A6C64" w:rsidP="009149C5">
      <w:pPr>
        <w:pStyle w:val="NormalWeb"/>
        <w:ind w:left="360"/>
        <w:rPr>
          <w:rFonts w:ascii="VIC" w:eastAsia="Arial" w:hAnsi="VIC" w:cs="Arial"/>
          <w:sz w:val="24"/>
        </w:rPr>
      </w:pPr>
      <w:r w:rsidRPr="003A78FF">
        <w:rPr>
          <w:rFonts w:ascii="VIC" w:eastAsia="Arial" w:hAnsi="VIC" w:cs="Arial"/>
          <w:sz w:val="24"/>
        </w:rPr>
        <w:t>Measures not specific to “day surgery rates” but</w:t>
      </w:r>
      <w:r w:rsidR="008A0129" w:rsidRPr="003A78FF">
        <w:rPr>
          <w:rFonts w:ascii="VIC" w:eastAsia="Arial" w:hAnsi="VIC" w:cs="Arial"/>
          <w:sz w:val="24"/>
        </w:rPr>
        <w:t xml:space="preserve"> focussing on</w:t>
      </w:r>
      <w:r w:rsidRPr="003A78FF">
        <w:rPr>
          <w:rFonts w:ascii="VIC" w:eastAsia="Arial" w:hAnsi="VIC" w:cs="Arial"/>
          <w:sz w:val="24"/>
        </w:rPr>
        <w:t xml:space="preserve"> the potential sequelae </w:t>
      </w:r>
      <w:r w:rsidR="00A85B7B" w:rsidRPr="003A78FF">
        <w:rPr>
          <w:rFonts w:ascii="VIC" w:eastAsia="Arial" w:hAnsi="VIC" w:cs="Arial"/>
          <w:sz w:val="24"/>
        </w:rPr>
        <w:t>can</w:t>
      </w:r>
      <w:r w:rsidRPr="003A78FF">
        <w:rPr>
          <w:rFonts w:ascii="VIC" w:eastAsia="Arial" w:hAnsi="VIC" w:cs="Arial"/>
          <w:sz w:val="24"/>
        </w:rPr>
        <w:t xml:space="preserve"> be monitored and reported</w:t>
      </w:r>
      <w:r w:rsidR="00A85B7B" w:rsidRPr="003A78FF">
        <w:rPr>
          <w:rFonts w:ascii="VIC" w:eastAsia="Arial" w:hAnsi="VIC" w:cs="Arial"/>
          <w:sz w:val="24"/>
        </w:rPr>
        <w:t xml:space="preserve"> to provide </w:t>
      </w:r>
      <w:r w:rsidR="00491257" w:rsidRPr="003A78FF">
        <w:rPr>
          <w:rFonts w:ascii="VIC" w:eastAsia="Arial" w:hAnsi="VIC" w:cs="Arial"/>
          <w:sz w:val="24"/>
        </w:rPr>
        <w:t xml:space="preserve">fundamental data to see the progress of increasing same-day </w:t>
      </w:r>
      <w:r w:rsidR="00B16A40" w:rsidRPr="003A78FF">
        <w:rPr>
          <w:rFonts w:ascii="VIC" w:eastAsia="Arial" w:hAnsi="VIC" w:cs="Arial"/>
          <w:sz w:val="24"/>
        </w:rPr>
        <w:t>models of surgical care. This includes the ability to</w:t>
      </w:r>
      <w:r w:rsidRPr="003A78FF">
        <w:rPr>
          <w:rFonts w:ascii="VIC" w:eastAsia="Arial" w:hAnsi="VIC" w:cs="Arial"/>
          <w:sz w:val="24"/>
        </w:rPr>
        <w:t xml:space="preserve"> link data to track </w:t>
      </w:r>
      <w:r w:rsidR="0097447F" w:rsidRPr="003A78FF">
        <w:rPr>
          <w:rFonts w:ascii="VIC" w:eastAsia="Arial" w:hAnsi="VIC" w:cs="Arial"/>
          <w:sz w:val="24"/>
        </w:rPr>
        <w:t xml:space="preserve">day surgery </w:t>
      </w:r>
      <w:r w:rsidRPr="003A78FF">
        <w:rPr>
          <w:rFonts w:ascii="VIC" w:eastAsia="Arial" w:hAnsi="VIC" w:cs="Arial"/>
          <w:sz w:val="24"/>
        </w:rPr>
        <w:t xml:space="preserve">post-operative “unplanned” representations to the emergency care system and/or </w:t>
      </w:r>
      <w:r w:rsidR="00865FBF" w:rsidRPr="003A78FF">
        <w:rPr>
          <w:rFonts w:ascii="VIC" w:eastAsia="Arial" w:hAnsi="VIC" w:cs="Arial"/>
          <w:sz w:val="24"/>
        </w:rPr>
        <w:t xml:space="preserve">cases </w:t>
      </w:r>
      <w:r w:rsidR="0097447F" w:rsidRPr="003A78FF">
        <w:rPr>
          <w:rFonts w:ascii="VIC" w:eastAsia="Arial" w:hAnsi="VIC" w:cs="Arial"/>
          <w:sz w:val="24"/>
        </w:rPr>
        <w:t xml:space="preserve">requiring </w:t>
      </w:r>
      <w:r w:rsidRPr="003A78FF">
        <w:rPr>
          <w:rFonts w:ascii="VIC" w:eastAsia="Arial" w:hAnsi="VIC" w:cs="Arial"/>
          <w:sz w:val="24"/>
        </w:rPr>
        <w:t xml:space="preserve">hospital readmission. </w:t>
      </w:r>
      <w:r w:rsidR="0097447F" w:rsidRPr="003A78FF">
        <w:rPr>
          <w:rFonts w:ascii="VIC" w:eastAsia="Arial" w:hAnsi="VIC" w:cs="Arial"/>
          <w:sz w:val="24"/>
        </w:rPr>
        <w:t>For this to be effective, we a</w:t>
      </w:r>
      <w:r w:rsidRPr="003A78FF">
        <w:rPr>
          <w:rFonts w:ascii="VIC" w:eastAsia="Arial" w:hAnsi="VIC" w:cs="Arial"/>
          <w:sz w:val="24"/>
        </w:rPr>
        <w:t>lso</w:t>
      </w:r>
      <w:r w:rsidR="0097447F" w:rsidRPr="003A78FF">
        <w:rPr>
          <w:rFonts w:ascii="VIC" w:eastAsia="Arial" w:hAnsi="VIC" w:cs="Arial"/>
          <w:sz w:val="24"/>
        </w:rPr>
        <w:t xml:space="preserve"> need to</w:t>
      </w:r>
      <w:r w:rsidRPr="003A78FF">
        <w:rPr>
          <w:rFonts w:ascii="VIC" w:eastAsia="Arial" w:hAnsi="VIC" w:cs="Arial"/>
          <w:sz w:val="24"/>
        </w:rPr>
        <w:t xml:space="preserve"> consider</w:t>
      </w:r>
      <w:r w:rsidR="00762D20" w:rsidRPr="003A78FF">
        <w:rPr>
          <w:rFonts w:ascii="VIC" w:eastAsia="Arial" w:hAnsi="VIC" w:cs="Arial"/>
          <w:sz w:val="24"/>
        </w:rPr>
        <w:t xml:space="preserve"> the</w:t>
      </w:r>
      <w:r w:rsidRPr="003A78FF">
        <w:rPr>
          <w:rFonts w:ascii="VIC" w:eastAsia="Arial" w:hAnsi="VIC" w:cs="Arial"/>
          <w:sz w:val="24"/>
        </w:rPr>
        <w:t xml:space="preserve"> varied durations considered </w:t>
      </w:r>
      <w:r w:rsidR="00762D20" w:rsidRPr="003A78FF">
        <w:rPr>
          <w:rFonts w:ascii="VIC" w:eastAsia="Arial" w:hAnsi="VIC" w:cs="Arial"/>
          <w:sz w:val="24"/>
        </w:rPr>
        <w:t>as</w:t>
      </w:r>
      <w:r w:rsidRPr="003A78FF">
        <w:rPr>
          <w:rFonts w:ascii="VIC" w:eastAsia="Arial" w:hAnsi="VIC" w:cs="Arial"/>
          <w:sz w:val="24"/>
        </w:rPr>
        <w:t xml:space="preserve"> ‘readmission’ for different procedures.</w:t>
      </w:r>
    </w:p>
    <w:p w14:paraId="7D7C5C6F" w14:textId="05F5FB51" w:rsidR="20DA399A" w:rsidRPr="003A78FF" w:rsidRDefault="20DA399A" w:rsidP="009149C5">
      <w:pPr>
        <w:pStyle w:val="NormalWeb"/>
        <w:ind w:left="360"/>
        <w:rPr>
          <w:rFonts w:ascii="VIC" w:hAnsi="VIC" w:cstheme="minorBidi"/>
          <w:sz w:val="24"/>
        </w:rPr>
      </w:pPr>
    </w:p>
    <w:p w14:paraId="59D825C3" w14:textId="61213554" w:rsidR="0B6F30DC" w:rsidRPr="003A78FF" w:rsidRDefault="00E33ADB" w:rsidP="009149C5">
      <w:pPr>
        <w:pStyle w:val="NormalWeb"/>
        <w:ind w:left="360"/>
        <w:rPr>
          <w:rFonts w:ascii="VIC" w:hAnsi="VIC" w:cstheme="minorBidi"/>
          <w:sz w:val="24"/>
        </w:rPr>
      </w:pPr>
      <w:r w:rsidRPr="003A78FF">
        <w:rPr>
          <w:rFonts w:ascii="VIC" w:hAnsi="VIC" w:cstheme="minorBidi"/>
          <w:i/>
          <w:iCs/>
          <w:sz w:val="24"/>
        </w:rPr>
        <w:t>Since the</w:t>
      </w:r>
      <w:r w:rsidR="002C7F9D" w:rsidRPr="003A78FF">
        <w:rPr>
          <w:rFonts w:ascii="VIC" w:hAnsi="VIC" w:cstheme="minorBidi"/>
          <w:i/>
          <w:iCs/>
          <w:sz w:val="24"/>
        </w:rPr>
        <w:t xml:space="preserve"> drafting of this report, there has been a Planned Surgery Reform Dashboard developed which </w:t>
      </w:r>
      <w:r w:rsidR="001558C3" w:rsidRPr="003A78FF">
        <w:rPr>
          <w:rFonts w:ascii="VIC" w:hAnsi="VIC" w:cstheme="minorBidi"/>
          <w:i/>
          <w:iCs/>
          <w:sz w:val="24"/>
        </w:rPr>
        <w:t>highlights</w:t>
      </w:r>
      <w:r w:rsidR="00773AB8" w:rsidRPr="003A78FF">
        <w:rPr>
          <w:rFonts w:ascii="VIC" w:hAnsi="VIC" w:cstheme="minorBidi"/>
          <w:i/>
          <w:iCs/>
          <w:sz w:val="24"/>
        </w:rPr>
        <w:t xml:space="preserve"> opportunities for health services to increase their number of day surgery procedures as well as </w:t>
      </w:r>
      <w:r w:rsidR="00374761" w:rsidRPr="003A78FF">
        <w:rPr>
          <w:rFonts w:ascii="VIC" w:hAnsi="VIC" w:cstheme="minorBidi"/>
          <w:i/>
          <w:iCs/>
          <w:sz w:val="24"/>
        </w:rPr>
        <w:t>monitoring actual same day surgeries completed</w:t>
      </w:r>
      <w:r w:rsidR="00374761" w:rsidRPr="003A78FF">
        <w:rPr>
          <w:rFonts w:ascii="VIC" w:hAnsi="VIC" w:cstheme="minorBidi"/>
          <w:sz w:val="24"/>
        </w:rPr>
        <w:t xml:space="preserve">. </w:t>
      </w:r>
    </w:p>
    <w:tbl>
      <w:tblPr>
        <w:tblStyle w:val="TableGrid3"/>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8454"/>
      </w:tblGrid>
      <w:tr w:rsidR="003D5289" w:rsidRPr="003A78FF" w14:paraId="74FB0899" w14:textId="77777777" w:rsidTr="000B1FA7">
        <w:tc>
          <w:tcPr>
            <w:tcW w:w="567" w:type="dxa"/>
          </w:tcPr>
          <w:p w14:paraId="60322F9A" w14:textId="77777777" w:rsidR="003D5289" w:rsidRPr="003A78FF" w:rsidRDefault="003D5289" w:rsidP="000B1FA7">
            <w:pPr>
              <w:ind w:left="-114"/>
              <w:rPr>
                <w:rFonts w:ascii="VIC" w:hAnsi="VIC" w:cs="Arial"/>
                <w:sz w:val="24"/>
                <w:szCs w:val="24"/>
              </w:rPr>
            </w:pPr>
            <w:r w:rsidRPr="003A78FF">
              <w:rPr>
                <w:rFonts w:ascii="VIC" w:hAnsi="VIC" w:cs="Arial"/>
                <w:sz w:val="24"/>
                <w:szCs w:val="24"/>
              </w:rPr>
              <w:t>8.1</w:t>
            </w:r>
          </w:p>
        </w:tc>
        <w:tc>
          <w:tcPr>
            <w:tcW w:w="8454" w:type="dxa"/>
          </w:tcPr>
          <w:p w14:paraId="00591804" w14:textId="3380ECF1" w:rsidR="003D5289" w:rsidRPr="003A78FF" w:rsidRDefault="003D5289" w:rsidP="000B1FA7">
            <w:pPr>
              <w:ind w:left="-114"/>
              <w:rPr>
                <w:rFonts w:ascii="VIC" w:hAnsi="VIC" w:cs="Arial"/>
                <w:sz w:val="24"/>
                <w:szCs w:val="24"/>
              </w:rPr>
            </w:pPr>
            <w:r w:rsidRPr="003A78FF">
              <w:rPr>
                <w:rFonts w:ascii="VIC" w:hAnsi="VIC" w:cs="Arial"/>
                <w:sz w:val="24"/>
                <w:szCs w:val="24"/>
              </w:rPr>
              <w:t>Unplanned overnight admission in a patient expected to be discharged same</w:t>
            </w:r>
            <w:r w:rsidR="000B1FA7" w:rsidRPr="003A78FF">
              <w:rPr>
                <w:rFonts w:ascii="VIC" w:hAnsi="VIC" w:cs="Arial"/>
                <w:sz w:val="24"/>
                <w:szCs w:val="24"/>
              </w:rPr>
              <w:t>-</w:t>
            </w:r>
            <w:r w:rsidRPr="003A78FF">
              <w:rPr>
                <w:rFonts w:ascii="VIC" w:hAnsi="VIC" w:cs="Arial"/>
                <w:sz w:val="24"/>
                <w:szCs w:val="24"/>
              </w:rPr>
              <w:t>day (Rate)</w:t>
            </w:r>
          </w:p>
        </w:tc>
      </w:tr>
      <w:tr w:rsidR="003D5289" w:rsidRPr="003A78FF" w14:paraId="16DE653A" w14:textId="77777777" w:rsidTr="000B1FA7">
        <w:tc>
          <w:tcPr>
            <w:tcW w:w="567" w:type="dxa"/>
          </w:tcPr>
          <w:p w14:paraId="5D85C9CC" w14:textId="77777777" w:rsidR="003D5289" w:rsidRPr="003A78FF" w:rsidRDefault="003D5289" w:rsidP="000B1FA7">
            <w:pPr>
              <w:ind w:left="-114"/>
              <w:rPr>
                <w:rFonts w:ascii="VIC" w:hAnsi="VIC" w:cs="Arial"/>
                <w:sz w:val="24"/>
                <w:szCs w:val="24"/>
              </w:rPr>
            </w:pPr>
            <w:r w:rsidRPr="003A78FF">
              <w:rPr>
                <w:rFonts w:ascii="VIC" w:hAnsi="VIC" w:cs="Arial"/>
                <w:sz w:val="24"/>
                <w:szCs w:val="24"/>
              </w:rPr>
              <w:t>8.2</w:t>
            </w:r>
          </w:p>
        </w:tc>
        <w:tc>
          <w:tcPr>
            <w:tcW w:w="8454" w:type="dxa"/>
          </w:tcPr>
          <w:p w14:paraId="709B74D8" w14:textId="77777777" w:rsidR="003D5289" w:rsidRPr="003A78FF" w:rsidRDefault="003D5289" w:rsidP="000B1FA7">
            <w:pPr>
              <w:ind w:left="-114"/>
              <w:rPr>
                <w:rFonts w:ascii="VIC" w:hAnsi="VIC" w:cs="Arial"/>
                <w:b/>
                <w:bCs/>
                <w:sz w:val="24"/>
                <w:szCs w:val="24"/>
              </w:rPr>
            </w:pPr>
            <w:r w:rsidRPr="003A78FF">
              <w:rPr>
                <w:rFonts w:ascii="VIC" w:hAnsi="VIC" w:cs="Arial"/>
                <w:sz w:val="24"/>
                <w:szCs w:val="24"/>
              </w:rPr>
              <w:t>Unplanned representation to Emergency Department or readmission to same or different hospital within 48 hours (Rate)</w:t>
            </w:r>
          </w:p>
        </w:tc>
      </w:tr>
      <w:tr w:rsidR="003D5289" w:rsidRPr="003A78FF" w14:paraId="2EC5DD34" w14:textId="77777777" w:rsidTr="000B1FA7">
        <w:tc>
          <w:tcPr>
            <w:tcW w:w="567" w:type="dxa"/>
          </w:tcPr>
          <w:p w14:paraId="6CDE2521" w14:textId="77777777" w:rsidR="003D5289" w:rsidRPr="003A78FF" w:rsidRDefault="003D5289" w:rsidP="000B1FA7">
            <w:pPr>
              <w:ind w:left="-114"/>
              <w:rPr>
                <w:rFonts w:ascii="VIC" w:hAnsi="VIC" w:cs="Arial"/>
                <w:sz w:val="24"/>
                <w:szCs w:val="24"/>
              </w:rPr>
            </w:pPr>
            <w:r w:rsidRPr="003A78FF">
              <w:rPr>
                <w:rFonts w:ascii="VIC" w:hAnsi="VIC" w:cs="Arial"/>
                <w:sz w:val="24"/>
                <w:szCs w:val="24"/>
              </w:rPr>
              <w:t>8.3</w:t>
            </w:r>
          </w:p>
        </w:tc>
        <w:tc>
          <w:tcPr>
            <w:tcW w:w="8454" w:type="dxa"/>
          </w:tcPr>
          <w:p w14:paraId="214352A2" w14:textId="22D55716" w:rsidR="003D5289" w:rsidRPr="003A78FF" w:rsidRDefault="003D5289" w:rsidP="000B1FA7">
            <w:pPr>
              <w:ind w:left="-114"/>
              <w:rPr>
                <w:rFonts w:ascii="VIC" w:hAnsi="VIC" w:cs="Arial"/>
                <w:sz w:val="24"/>
                <w:szCs w:val="24"/>
              </w:rPr>
            </w:pPr>
            <w:r w:rsidRPr="003A78FF">
              <w:rPr>
                <w:rFonts w:ascii="VIC" w:hAnsi="VIC" w:cs="Arial"/>
                <w:sz w:val="24"/>
                <w:szCs w:val="24"/>
              </w:rPr>
              <w:t>Proportion of potential day procedures performed as day procedures in patients with suitable selection criteria (</w:t>
            </w:r>
            <w:r w:rsidR="008B2906" w:rsidRPr="003A78FF">
              <w:rPr>
                <w:rFonts w:ascii="VIC" w:hAnsi="VIC" w:cs="Arial"/>
                <w:sz w:val="24"/>
                <w:szCs w:val="24"/>
              </w:rPr>
              <w:t>e.g.,</w:t>
            </w:r>
            <w:r w:rsidRPr="003A78FF">
              <w:rPr>
                <w:rFonts w:ascii="VIC" w:hAnsi="VIC" w:cs="Arial"/>
                <w:sz w:val="24"/>
                <w:szCs w:val="24"/>
              </w:rPr>
              <w:t xml:space="preserve"> ASA 1 &amp; 2) reported by health service and/or campus. For example, report planned day surgery unilateral inguinal hernia and laparoscopic cholecystectomy rates</w:t>
            </w:r>
          </w:p>
        </w:tc>
      </w:tr>
      <w:tr w:rsidR="003D5289" w:rsidRPr="003A78FF" w14:paraId="499FB4A2" w14:textId="77777777" w:rsidTr="000B1FA7">
        <w:tc>
          <w:tcPr>
            <w:tcW w:w="567" w:type="dxa"/>
          </w:tcPr>
          <w:p w14:paraId="77C3F140" w14:textId="77777777" w:rsidR="003D5289" w:rsidRPr="003A78FF" w:rsidRDefault="003D5289" w:rsidP="000B1FA7">
            <w:pPr>
              <w:ind w:left="-114"/>
              <w:rPr>
                <w:rFonts w:ascii="VIC" w:hAnsi="VIC" w:cs="Arial"/>
                <w:sz w:val="24"/>
                <w:szCs w:val="24"/>
              </w:rPr>
            </w:pPr>
            <w:r w:rsidRPr="003A78FF">
              <w:rPr>
                <w:rFonts w:ascii="VIC" w:hAnsi="VIC" w:cs="Arial"/>
                <w:sz w:val="24"/>
                <w:szCs w:val="24"/>
              </w:rPr>
              <w:t>8.4</w:t>
            </w:r>
          </w:p>
        </w:tc>
        <w:tc>
          <w:tcPr>
            <w:tcW w:w="8454" w:type="dxa"/>
          </w:tcPr>
          <w:p w14:paraId="330B0A87" w14:textId="77777777" w:rsidR="003D5289" w:rsidRPr="003A78FF" w:rsidRDefault="003D5289" w:rsidP="000B1FA7">
            <w:pPr>
              <w:ind w:left="-114"/>
              <w:rPr>
                <w:rFonts w:ascii="VIC" w:hAnsi="VIC" w:cs="Arial"/>
                <w:sz w:val="24"/>
                <w:szCs w:val="24"/>
              </w:rPr>
            </w:pPr>
            <w:r w:rsidRPr="003A78FF">
              <w:rPr>
                <w:rFonts w:ascii="VIC" w:hAnsi="VIC" w:cs="Arial"/>
                <w:sz w:val="24"/>
                <w:szCs w:val="24"/>
              </w:rPr>
              <w:t xml:space="preserve">Present variation between health services in funnel plots or the equivalent </w:t>
            </w:r>
          </w:p>
        </w:tc>
      </w:tr>
      <w:tr w:rsidR="003D5289" w:rsidRPr="003A78FF" w14:paraId="7E80F7ED" w14:textId="77777777" w:rsidTr="000B1FA7">
        <w:tc>
          <w:tcPr>
            <w:tcW w:w="567" w:type="dxa"/>
          </w:tcPr>
          <w:p w14:paraId="0EE191A8" w14:textId="77777777" w:rsidR="003D5289" w:rsidRPr="003A78FF" w:rsidRDefault="003D5289" w:rsidP="000B1FA7">
            <w:pPr>
              <w:ind w:left="-114"/>
              <w:rPr>
                <w:rFonts w:ascii="VIC" w:hAnsi="VIC" w:cs="Arial"/>
                <w:sz w:val="24"/>
                <w:szCs w:val="24"/>
              </w:rPr>
            </w:pPr>
            <w:r w:rsidRPr="003A78FF">
              <w:rPr>
                <w:rFonts w:ascii="VIC" w:hAnsi="VIC" w:cs="Arial"/>
                <w:sz w:val="24"/>
                <w:szCs w:val="24"/>
              </w:rPr>
              <w:t>8.5</w:t>
            </w:r>
          </w:p>
        </w:tc>
        <w:tc>
          <w:tcPr>
            <w:tcW w:w="8454" w:type="dxa"/>
          </w:tcPr>
          <w:p w14:paraId="7E9D9599" w14:textId="77777777" w:rsidR="003D5289" w:rsidRPr="003A78FF" w:rsidRDefault="003D5289" w:rsidP="000B1FA7">
            <w:pPr>
              <w:ind w:left="-114"/>
              <w:rPr>
                <w:rFonts w:ascii="VIC" w:hAnsi="VIC" w:cs="Arial"/>
                <w:sz w:val="24"/>
                <w:szCs w:val="24"/>
              </w:rPr>
            </w:pPr>
            <w:r w:rsidRPr="003A78FF">
              <w:rPr>
                <w:rFonts w:ascii="VIC" w:hAnsi="VIC" w:cs="Arial"/>
                <w:sz w:val="24"/>
                <w:szCs w:val="24"/>
              </w:rPr>
              <w:t xml:space="preserve">Present HAC rate by HAC and procedure for individual health services/campus (currently HAC rate reported om aggregate for whole </w:t>
            </w:r>
            <w:r w:rsidRPr="003A78FF">
              <w:rPr>
                <w:rFonts w:ascii="VIC" w:hAnsi="VIC" w:cs="Arial"/>
                <w:sz w:val="24"/>
                <w:szCs w:val="24"/>
              </w:rPr>
              <w:lastRenderedPageBreak/>
              <w:t>health service) by day surgery procedure also comparing with overnight and multiday procedures</w:t>
            </w:r>
          </w:p>
        </w:tc>
      </w:tr>
      <w:tr w:rsidR="00A97AE0" w:rsidRPr="003A78FF" w14:paraId="17770051" w14:textId="77777777" w:rsidTr="000B1FA7">
        <w:tc>
          <w:tcPr>
            <w:tcW w:w="567" w:type="dxa"/>
          </w:tcPr>
          <w:p w14:paraId="6ADAB2CC" w14:textId="6DAD4E05" w:rsidR="00A97AE0" w:rsidRPr="003A78FF" w:rsidRDefault="00A97AE0" w:rsidP="000B1FA7">
            <w:pPr>
              <w:ind w:left="-114"/>
              <w:rPr>
                <w:rFonts w:ascii="VIC" w:hAnsi="VIC" w:cs="Arial"/>
                <w:sz w:val="24"/>
                <w:szCs w:val="24"/>
              </w:rPr>
            </w:pPr>
            <w:r w:rsidRPr="003A78FF">
              <w:rPr>
                <w:rFonts w:ascii="VIC" w:hAnsi="VIC" w:cs="Arial"/>
                <w:sz w:val="24"/>
                <w:szCs w:val="24"/>
              </w:rPr>
              <w:lastRenderedPageBreak/>
              <w:t>8.6</w:t>
            </w:r>
          </w:p>
        </w:tc>
        <w:tc>
          <w:tcPr>
            <w:tcW w:w="8454" w:type="dxa"/>
          </w:tcPr>
          <w:p w14:paraId="630A2695" w14:textId="2AAC0EC6" w:rsidR="00A97AE0" w:rsidRPr="003A78FF" w:rsidRDefault="00DE259F" w:rsidP="000B1FA7">
            <w:pPr>
              <w:ind w:left="-114"/>
              <w:rPr>
                <w:rFonts w:ascii="VIC" w:hAnsi="VIC" w:cs="Arial"/>
                <w:sz w:val="24"/>
                <w:szCs w:val="24"/>
              </w:rPr>
            </w:pPr>
            <w:r w:rsidRPr="003A78FF">
              <w:rPr>
                <w:rFonts w:ascii="VIC" w:hAnsi="VIC" w:cs="Arial"/>
                <w:sz w:val="24"/>
                <w:szCs w:val="24"/>
              </w:rPr>
              <w:t>Patient facing measures including PROMS/PREMS data</w:t>
            </w:r>
          </w:p>
        </w:tc>
      </w:tr>
    </w:tbl>
    <w:p w14:paraId="11ACC6CF" w14:textId="77777777" w:rsidR="006D2EC0" w:rsidRPr="003A78FF" w:rsidRDefault="006D2EC0" w:rsidP="009149C5">
      <w:pPr>
        <w:pStyle w:val="NormalWeb"/>
        <w:ind w:left="360"/>
        <w:rPr>
          <w:rFonts w:ascii="VIC" w:hAnsi="VIC" w:cstheme="minorBidi"/>
          <w:sz w:val="24"/>
        </w:rPr>
      </w:pPr>
    </w:p>
    <w:p w14:paraId="242DA7AF" w14:textId="78D33B7A" w:rsidR="00A36DA2" w:rsidRPr="003A78FF" w:rsidRDefault="008A0129" w:rsidP="009149C5">
      <w:pPr>
        <w:pStyle w:val="NormalWeb"/>
        <w:ind w:left="360"/>
        <w:rPr>
          <w:rFonts w:ascii="VIC" w:hAnsi="VIC" w:cstheme="minorBidi"/>
          <w:color w:val="000000"/>
          <w:sz w:val="24"/>
        </w:rPr>
      </w:pPr>
      <w:r w:rsidRPr="003A78FF">
        <w:rPr>
          <w:rFonts w:ascii="VIC" w:hAnsi="VIC" w:cstheme="minorBidi"/>
          <w:sz w:val="24"/>
        </w:rPr>
        <w:t>For any surgical procedure</w:t>
      </w:r>
      <w:r w:rsidR="006D2EC0" w:rsidRPr="003A78FF">
        <w:rPr>
          <w:rFonts w:ascii="VIC" w:hAnsi="VIC" w:cstheme="minorBidi"/>
          <w:sz w:val="24"/>
        </w:rPr>
        <w:t>,</w:t>
      </w:r>
      <w:r w:rsidRPr="003A78FF">
        <w:rPr>
          <w:rFonts w:ascii="VIC" w:hAnsi="VIC" w:cstheme="minorBidi"/>
          <w:sz w:val="24"/>
        </w:rPr>
        <w:t xml:space="preserve"> a field within</w:t>
      </w:r>
      <w:r w:rsidR="730231FD" w:rsidRPr="003A78FF">
        <w:rPr>
          <w:rFonts w:ascii="VIC" w:hAnsi="VIC" w:cstheme="minorBidi"/>
          <w:sz w:val="24"/>
        </w:rPr>
        <w:t xml:space="preserve"> the ESIS system and VAED</w:t>
      </w:r>
      <w:r w:rsidR="00D04D94" w:rsidRPr="003A78FF">
        <w:rPr>
          <w:rFonts w:ascii="VIC" w:hAnsi="VIC" w:cstheme="minorBidi"/>
          <w:sz w:val="24"/>
        </w:rPr>
        <w:t xml:space="preserve"> </w:t>
      </w:r>
      <w:r w:rsidRPr="003A78FF">
        <w:rPr>
          <w:rFonts w:ascii="VIC" w:hAnsi="VIC" w:cstheme="minorBidi"/>
          <w:sz w:val="24"/>
        </w:rPr>
        <w:t>for the</w:t>
      </w:r>
      <w:r w:rsidR="730231FD" w:rsidRPr="003A78FF">
        <w:rPr>
          <w:rFonts w:ascii="VIC" w:hAnsi="VIC" w:cstheme="minorBidi"/>
          <w:sz w:val="24"/>
        </w:rPr>
        <w:t xml:space="preserve"> indication for surgery </w:t>
      </w:r>
      <w:r w:rsidRPr="003A78FF">
        <w:rPr>
          <w:rFonts w:ascii="VIC" w:hAnsi="VIC" w:cstheme="minorBidi"/>
          <w:sz w:val="24"/>
        </w:rPr>
        <w:t>and</w:t>
      </w:r>
      <w:r w:rsidR="730231FD" w:rsidRPr="003A78FF">
        <w:rPr>
          <w:rFonts w:ascii="VIC" w:hAnsi="VIC" w:cstheme="minorBidi"/>
          <w:sz w:val="24"/>
        </w:rPr>
        <w:t xml:space="preserve"> </w:t>
      </w:r>
      <w:r w:rsidRPr="003A78FF">
        <w:rPr>
          <w:rFonts w:ascii="VIC" w:hAnsi="VIC" w:cstheme="minorBidi"/>
          <w:sz w:val="24"/>
        </w:rPr>
        <w:t>available</w:t>
      </w:r>
      <w:r w:rsidR="730231FD" w:rsidRPr="003A78FF">
        <w:rPr>
          <w:rFonts w:ascii="VIC" w:hAnsi="VIC" w:cstheme="minorBidi"/>
          <w:sz w:val="24"/>
        </w:rPr>
        <w:t xml:space="preserve"> prompts for extra information for potentially low value procedures</w:t>
      </w:r>
      <w:r w:rsidRPr="003A78FF">
        <w:rPr>
          <w:rFonts w:ascii="VIC" w:hAnsi="VIC" w:cstheme="minorBidi"/>
          <w:sz w:val="24"/>
        </w:rPr>
        <w:t xml:space="preserve"> would be valuable</w:t>
      </w:r>
      <w:r w:rsidR="1CD19C88" w:rsidRPr="003A78FF">
        <w:rPr>
          <w:rFonts w:ascii="VIC" w:hAnsi="VIC" w:cstheme="minorBidi"/>
          <w:sz w:val="24"/>
        </w:rPr>
        <w:t xml:space="preserve">. </w:t>
      </w:r>
      <w:r w:rsidR="0B6F30DC" w:rsidRPr="003A78FF">
        <w:rPr>
          <w:rFonts w:ascii="VIC" w:hAnsi="VIC" w:cstheme="minorBidi"/>
          <w:sz w:val="24"/>
        </w:rPr>
        <w:t>To mitigate against low value procedures,</w:t>
      </w:r>
      <w:r w:rsidR="001624B2" w:rsidRPr="003A78FF">
        <w:rPr>
          <w:rFonts w:ascii="VIC" w:hAnsi="VIC" w:cstheme="minorBidi"/>
          <w:sz w:val="24"/>
        </w:rPr>
        <w:t xml:space="preserve"> it would be ideal to include</w:t>
      </w:r>
      <w:r w:rsidR="0B6F30DC" w:rsidRPr="003A78FF">
        <w:rPr>
          <w:rFonts w:ascii="VIC" w:hAnsi="VIC" w:cstheme="minorBidi"/>
          <w:sz w:val="24"/>
        </w:rPr>
        <w:t xml:space="preserve"> decision-making</w:t>
      </w:r>
      <w:r w:rsidR="00732E7B" w:rsidRPr="003A78FF">
        <w:rPr>
          <w:rFonts w:ascii="VIC" w:hAnsi="VIC" w:cstheme="minorBidi"/>
          <w:sz w:val="24"/>
        </w:rPr>
        <w:t xml:space="preserve"> and </w:t>
      </w:r>
      <w:r w:rsidR="0B6F30DC" w:rsidRPr="003A78FF">
        <w:rPr>
          <w:rFonts w:ascii="VIC" w:hAnsi="VIC" w:cstheme="minorBidi"/>
          <w:sz w:val="24"/>
        </w:rPr>
        <w:t>clarification prompts to</w:t>
      </w:r>
      <w:r w:rsidR="001624B2" w:rsidRPr="003A78FF">
        <w:rPr>
          <w:rFonts w:ascii="VIC" w:hAnsi="VIC" w:cstheme="minorBidi"/>
          <w:sz w:val="24"/>
        </w:rPr>
        <w:t xml:space="preserve"> data collection. This additional data would help</w:t>
      </w:r>
      <w:r w:rsidR="0B6F30DC" w:rsidRPr="003A78FF">
        <w:rPr>
          <w:rFonts w:ascii="VIC" w:hAnsi="VIC" w:cstheme="minorBidi"/>
          <w:sz w:val="24"/>
        </w:rPr>
        <w:t xml:space="preserve"> identify </w:t>
      </w:r>
      <w:r w:rsidR="00D96BC4" w:rsidRPr="003A78FF">
        <w:rPr>
          <w:rFonts w:ascii="VIC" w:hAnsi="VIC" w:cstheme="minorBidi"/>
          <w:sz w:val="24"/>
        </w:rPr>
        <w:t xml:space="preserve">trends in </w:t>
      </w:r>
      <w:r w:rsidR="0B6F30DC" w:rsidRPr="003A78FF">
        <w:rPr>
          <w:rFonts w:ascii="VIC" w:hAnsi="VIC" w:cstheme="minorBidi"/>
          <w:sz w:val="24"/>
        </w:rPr>
        <w:t xml:space="preserve">exceptions to best care advice </w:t>
      </w:r>
      <w:r w:rsidR="001624B2" w:rsidRPr="003A78FF">
        <w:rPr>
          <w:rFonts w:ascii="VIC" w:hAnsi="VIC" w:cstheme="minorBidi"/>
          <w:sz w:val="24"/>
        </w:rPr>
        <w:t xml:space="preserve">and </w:t>
      </w:r>
      <w:r w:rsidR="00D96BC4" w:rsidRPr="003A78FF">
        <w:rPr>
          <w:rFonts w:ascii="VIC" w:hAnsi="VIC" w:cstheme="minorBidi"/>
          <w:sz w:val="24"/>
        </w:rPr>
        <w:t>indications requiring further investigation.</w:t>
      </w:r>
    </w:p>
    <w:p w14:paraId="5AEE4DAC" w14:textId="418B3642" w:rsidR="35B293B0" w:rsidRPr="003A78FF" w:rsidRDefault="35B293B0" w:rsidP="009149C5">
      <w:pPr>
        <w:pStyle w:val="NormalWeb"/>
        <w:ind w:left="360"/>
        <w:rPr>
          <w:rFonts w:ascii="VIC" w:hAnsi="VIC" w:cstheme="minorBidi"/>
          <w:sz w:val="24"/>
        </w:rPr>
      </w:pPr>
    </w:p>
    <w:p w14:paraId="1139626C" w14:textId="30AD4965" w:rsidR="1D62EA93" w:rsidRPr="003A78FF" w:rsidRDefault="1D62EA93" w:rsidP="009149C5">
      <w:pPr>
        <w:pStyle w:val="NormalWeb"/>
        <w:ind w:left="360"/>
        <w:rPr>
          <w:rFonts w:ascii="VIC" w:hAnsi="VIC" w:cstheme="minorBidi"/>
          <w:sz w:val="24"/>
        </w:rPr>
      </w:pPr>
      <w:r w:rsidRPr="003A78FF">
        <w:rPr>
          <w:rFonts w:ascii="VIC" w:hAnsi="VIC" w:cstheme="minorBidi"/>
          <w:sz w:val="24"/>
        </w:rPr>
        <w:t>Some clinician and coder education may be required at the health service level and would be incentivised by reporting as health services will respond to the information generated by reports on performance.</w:t>
      </w:r>
    </w:p>
    <w:p w14:paraId="3BB7750E" w14:textId="77777777" w:rsidR="0078029E" w:rsidRPr="003A78FF" w:rsidRDefault="0078029E" w:rsidP="009149C5">
      <w:pPr>
        <w:pStyle w:val="NormalWeb"/>
        <w:ind w:left="360"/>
        <w:rPr>
          <w:rFonts w:ascii="VIC" w:hAnsi="VIC" w:cstheme="minorBidi"/>
          <w:sz w:val="24"/>
        </w:rPr>
      </w:pPr>
    </w:p>
    <w:p w14:paraId="78D017AC" w14:textId="1BA3704D" w:rsidR="005D5B2D" w:rsidRPr="003A78FF" w:rsidRDefault="005D5B2D" w:rsidP="005D5B2D">
      <w:pPr>
        <w:pStyle w:val="NormalWeb"/>
        <w:ind w:left="360"/>
        <w:rPr>
          <w:rFonts w:ascii="VIC" w:hAnsi="VIC" w:cstheme="minorBidi"/>
          <w:sz w:val="24"/>
        </w:rPr>
      </w:pPr>
      <w:r w:rsidRPr="003A78FF">
        <w:rPr>
          <w:rFonts w:ascii="VIC" w:hAnsi="VIC" w:cstheme="minorBidi"/>
          <w:sz w:val="24"/>
        </w:rPr>
        <w:t xml:space="preserve">The SCV Perioperative Learning Health Network Data Group </w:t>
      </w:r>
      <w:r w:rsidR="00A16F83" w:rsidRPr="003A78FF">
        <w:rPr>
          <w:rFonts w:ascii="VIC" w:hAnsi="VIC" w:cstheme="minorBidi"/>
          <w:sz w:val="24"/>
        </w:rPr>
        <w:t xml:space="preserve">will be established and </w:t>
      </w:r>
      <w:r w:rsidRPr="003A78FF">
        <w:rPr>
          <w:rFonts w:ascii="VIC" w:hAnsi="VIC" w:cstheme="minorBidi"/>
          <w:sz w:val="24"/>
        </w:rPr>
        <w:t xml:space="preserve">would welcome and encourage a member of </w:t>
      </w:r>
      <w:r w:rsidR="00F54DEB" w:rsidRPr="003A78FF">
        <w:rPr>
          <w:rFonts w:ascii="VIC" w:hAnsi="VIC" w:cstheme="minorBidi"/>
          <w:sz w:val="24"/>
        </w:rPr>
        <w:t xml:space="preserve">DH and </w:t>
      </w:r>
      <w:r w:rsidRPr="003A78FF">
        <w:rPr>
          <w:rFonts w:ascii="VIC" w:hAnsi="VIC" w:cstheme="minorBidi"/>
          <w:sz w:val="24"/>
        </w:rPr>
        <w:t xml:space="preserve">VAHI </w:t>
      </w:r>
      <w:r w:rsidR="00F54DEB" w:rsidRPr="003A78FF">
        <w:rPr>
          <w:rFonts w:ascii="VIC" w:hAnsi="VIC" w:cstheme="minorBidi"/>
          <w:sz w:val="24"/>
        </w:rPr>
        <w:t xml:space="preserve">to </w:t>
      </w:r>
      <w:r w:rsidRPr="003A78FF">
        <w:rPr>
          <w:rFonts w:ascii="VIC" w:hAnsi="VIC" w:cstheme="minorBidi"/>
          <w:sz w:val="24"/>
        </w:rPr>
        <w:t>join to promote and align actions from this group.</w:t>
      </w:r>
    </w:p>
    <w:p w14:paraId="023DF3F7" w14:textId="7683C68F" w:rsidR="00A16F83" w:rsidRPr="003A78FF" w:rsidRDefault="00A16F83" w:rsidP="00427520">
      <w:pPr>
        <w:pStyle w:val="Heading1"/>
        <w:rPr>
          <w:rFonts w:ascii="VIC" w:hAnsi="VIC"/>
          <w:sz w:val="24"/>
          <w:szCs w:val="24"/>
        </w:rPr>
      </w:pPr>
      <w:bookmarkStart w:id="25" w:name="_Toc111215099"/>
      <w:bookmarkStart w:id="26" w:name="_Toc111215156"/>
      <w:r w:rsidRPr="003A78FF">
        <w:rPr>
          <w:rFonts w:ascii="VIC" w:hAnsi="VIC"/>
          <w:sz w:val="24"/>
          <w:szCs w:val="24"/>
        </w:rPr>
        <w:t>Conclusion</w:t>
      </w:r>
      <w:bookmarkEnd w:id="25"/>
      <w:bookmarkEnd w:id="26"/>
    </w:p>
    <w:p w14:paraId="4029BA65" w14:textId="5887EACB" w:rsidR="00A16F83" w:rsidRPr="003A78FF" w:rsidRDefault="00BF7F8A" w:rsidP="079048FF">
      <w:pPr>
        <w:pStyle w:val="SCVbody"/>
        <w:rPr>
          <w:rFonts w:ascii="VIC" w:hAnsi="VIC"/>
          <w:sz w:val="24"/>
          <w:szCs w:val="24"/>
        </w:rPr>
      </w:pPr>
      <w:r w:rsidRPr="003A78FF">
        <w:rPr>
          <w:rFonts w:ascii="VIC" w:hAnsi="VIC"/>
          <w:sz w:val="24"/>
          <w:szCs w:val="24"/>
        </w:rPr>
        <w:t xml:space="preserve">There are </w:t>
      </w:r>
      <w:r w:rsidR="00103CA7" w:rsidRPr="003A78FF">
        <w:rPr>
          <w:rFonts w:ascii="VIC" w:hAnsi="VIC"/>
          <w:sz w:val="24"/>
          <w:szCs w:val="24"/>
        </w:rPr>
        <w:t xml:space="preserve">opportunities </w:t>
      </w:r>
      <w:r w:rsidR="001A2A72" w:rsidRPr="003A78FF">
        <w:rPr>
          <w:rFonts w:ascii="VIC" w:hAnsi="VIC"/>
          <w:sz w:val="24"/>
          <w:szCs w:val="24"/>
        </w:rPr>
        <w:t xml:space="preserve">to safely expand </w:t>
      </w:r>
      <w:r w:rsidR="00E037B8" w:rsidRPr="003A78FF">
        <w:rPr>
          <w:rFonts w:ascii="VIC" w:hAnsi="VIC"/>
          <w:sz w:val="24"/>
          <w:szCs w:val="24"/>
        </w:rPr>
        <w:t>same</w:t>
      </w:r>
      <w:r w:rsidR="000142AA" w:rsidRPr="003A78FF">
        <w:rPr>
          <w:rFonts w:ascii="VIC" w:hAnsi="VIC"/>
          <w:sz w:val="24"/>
          <w:szCs w:val="24"/>
        </w:rPr>
        <w:t xml:space="preserve">-day surgical care across Victorian Health Services.  There are exemplar </w:t>
      </w:r>
      <w:r w:rsidR="009F5A81" w:rsidRPr="003A78FF">
        <w:rPr>
          <w:rFonts w:ascii="VIC" w:hAnsi="VIC"/>
          <w:sz w:val="24"/>
          <w:szCs w:val="24"/>
        </w:rPr>
        <w:t xml:space="preserve">models </w:t>
      </w:r>
      <w:r w:rsidR="007322BF" w:rsidRPr="003A78FF">
        <w:rPr>
          <w:rFonts w:ascii="VIC" w:hAnsi="VIC"/>
          <w:sz w:val="24"/>
          <w:szCs w:val="24"/>
        </w:rPr>
        <w:t>that</w:t>
      </w:r>
      <w:r w:rsidR="00616E67" w:rsidRPr="003A78FF">
        <w:rPr>
          <w:rFonts w:ascii="VIC" w:hAnsi="VIC"/>
          <w:sz w:val="24"/>
          <w:szCs w:val="24"/>
        </w:rPr>
        <w:t xml:space="preserve"> currently exist </w:t>
      </w:r>
      <w:r w:rsidR="001C715C" w:rsidRPr="003A78FF">
        <w:rPr>
          <w:rFonts w:ascii="VIC" w:hAnsi="VIC"/>
          <w:sz w:val="24"/>
          <w:szCs w:val="24"/>
        </w:rPr>
        <w:t xml:space="preserve">within the </w:t>
      </w:r>
      <w:r w:rsidR="004366B5" w:rsidRPr="003A78FF">
        <w:rPr>
          <w:rFonts w:ascii="VIC" w:hAnsi="VIC"/>
          <w:sz w:val="24"/>
          <w:szCs w:val="24"/>
        </w:rPr>
        <w:t xml:space="preserve">sector </w:t>
      </w:r>
      <w:r w:rsidR="002042C6" w:rsidRPr="003A78FF">
        <w:rPr>
          <w:rFonts w:ascii="VIC" w:hAnsi="VIC"/>
          <w:sz w:val="24"/>
          <w:szCs w:val="24"/>
        </w:rPr>
        <w:t>which we can learn from</w:t>
      </w:r>
      <w:r w:rsidR="00946B30" w:rsidRPr="003A78FF">
        <w:rPr>
          <w:rFonts w:ascii="VIC" w:hAnsi="VIC"/>
          <w:sz w:val="24"/>
          <w:szCs w:val="24"/>
        </w:rPr>
        <w:t xml:space="preserve"> </w:t>
      </w:r>
      <w:r w:rsidR="00E82F83" w:rsidRPr="003A78FF">
        <w:rPr>
          <w:rFonts w:ascii="VIC" w:hAnsi="VIC"/>
          <w:sz w:val="24"/>
          <w:szCs w:val="24"/>
        </w:rPr>
        <w:t xml:space="preserve">and </w:t>
      </w:r>
      <w:r w:rsidR="001C715C" w:rsidRPr="003A78FF">
        <w:rPr>
          <w:rFonts w:ascii="VIC" w:hAnsi="VIC"/>
          <w:sz w:val="24"/>
          <w:szCs w:val="24"/>
        </w:rPr>
        <w:t xml:space="preserve">use </w:t>
      </w:r>
      <w:r w:rsidR="00E82F83" w:rsidRPr="003A78FF">
        <w:rPr>
          <w:rFonts w:ascii="VIC" w:hAnsi="VIC"/>
          <w:sz w:val="24"/>
          <w:szCs w:val="24"/>
        </w:rPr>
        <w:t xml:space="preserve">the guiding principles to </w:t>
      </w:r>
      <w:r w:rsidR="00880931" w:rsidRPr="003A78FF">
        <w:rPr>
          <w:rFonts w:ascii="VIC" w:hAnsi="VIC"/>
          <w:sz w:val="24"/>
          <w:szCs w:val="24"/>
        </w:rPr>
        <w:t xml:space="preserve">expand </w:t>
      </w:r>
      <w:r w:rsidR="009342E4" w:rsidRPr="003A78FF">
        <w:rPr>
          <w:rFonts w:ascii="VIC" w:hAnsi="VIC"/>
          <w:sz w:val="24"/>
          <w:szCs w:val="24"/>
        </w:rPr>
        <w:t xml:space="preserve">to other </w:t>
      </w:r>
      <w:r w:rsidR="001944BF" w:rsidRPr="003A78FF">
        <w:rPr>
          <w:rFonts w:ascii="VIC" w:hAnsi="VIC"/>
          <w:sz w:val="24"/>
          <w:szCs w:val="24"/>
        </w:rPr>
        <w:t xml:space="preserve">procedures. </w:t>
      </w:r>
    </w:p>
    <w:p w14:paraId="27450F7D" w14:textId="06532D88" w:rsidR="00A16F83" w:rsidRPr="003A78FF" w:rsidRDefault="001944BF" w:rsidP="68C52547">
      <w:pPr>
        <w:pStyle w:val="SCVbody"/>
        <w:rPr>
          <w:rFonts w:ascii="VIC" w:hAnsi="VIC"/>
          <w:sz w:val="24"/>
          <w:szCs w:val="24"/>
        </w:rPr>
      </w:pPr>
      <w:r w:rsidRPr="003A78FF">
        <w:rPr>
          <w:rFonts w:ascii="VIC" w:hAnsi="VIC"/>
          <w:sz w:val="24"/>
          <w:szCs w:val="24"/>
        </w:rPr>
        <w:t>The</w:t>
      </w:r>
      <w:r w:rsidR="002564C1" w:rsidRPr="003A78FF">
        <w:rPr>
          <w:rFonts w:ascii="VIC" w:hAnsi="VIC"/>
          <w:sz w:val="24"/>
          <w:szCs w:val="24"/>
        </w:rPr>
        <w:t xml:space="preserve"> </w:t>
      </w:r>
      <w:r w:rsidR="00C55D40" w:rsidRPr="003A78FF">
        <w:rPr>
          <w:rFonts w:ascii="VIC" w:hAnsi="VIC"/>
          <w:sz w:val="24"/>
          <w:szCs w:val="24"/>
        </w:rPr>
        <w:t xml:space="preserve">true </w:t>
      </w:r>
      <w:r w:rsidR="002564C1" w:rsidRPr="003A78FF">
        <w:rPr>
          <w:rFonts w:ascii="VIC" w:hAnsi="VIC"/>
          <w:sz w:val="24"/>
          <w:szCs w:val="24"/>
        </w:rPr>
        <w:t>success of these models</w:t>
      </w:r>
      <w:r w:rsidR="00BC04B2" w:rsidRPr="003A78FF">
        <w:rPr>
          <w:rFonts w:ascii="VIC" w:hAnsi="VIC"/>
          <w:sz w:val="24"/>
          <w:szCs w:val="24"/>
        </w:rPr>
        <w:t xml:space="preserve"> is the </w:t>
      </w:r>
      <w:r w:rsidR="007665DC" w:rsidRPr="003A78FF">
        <w:rPr>
          <w:rFonts w:ascii="VIC" w:hAnsi="VIC"/>
          <w:sz w:val="24"/>
          <w:szCs w:val="24"/>
        </w:rPr>
        <w:t>understanding</w:t>
      </w:r>
      <w:r w:rsidR="00C0331B" w:rsidRPr="003A78FF">
        <w:rPr>
          <w:rFonts w:ascii="VIC" w:hAnsi="VIC"/>
          <w:sz w:val="24"/>
          <w:szCs w:val="24"/>
        </w:rPr>
        <w:t xml:space="preserve"> </w:t>
      </w:r>
      <w:r w:rsidR="007665DC" w:rsidRPr="003A78FF">
        <w:rPr>
          <w:rFonts w:ascii="VIC" w:hAnsi="VIC"/>
          <w:sz w:val="24"/>
          <w:szCs w:val="24"/>
        </w:rPr>
        <w:t>of the full patient journey</w:t>
      </w:r>
      <w:r w:rsidR="00C0331B" w:rsidRPr="003A78FF">
        <w:rPr>
          <w:rFonts w:ascii="VIC" w:hAnsi="VIC"/>
          <w:sz w:val="24"/>
          <w:szCs w:val="24"/>
        </w:rPr>
        <w:t xml:space="preserve"> </w:t>
      </w:r>
      <w:r w:rsidR="005D72CA" w:rsidRPr="003A78FF">
        <w:rPr>
          <w:rFonts w:ascii="VIC" w:hAnsi="VIC"/>
          <w:sz w:val="24"/>
          <w:szCs w:val="24"/>
        </w:rPr>
        <w:t>looking at before</w:t>
      </w:r>
      <w:r w:rsidR="006A5ABB" w:rsidRPr="003A78FF">
        <w:rPr>
          <w:rFonts w:ascii="VIC" w:hAnsi="VIC"/>
          <w:sz w:val="24"/>
          <w:szCs w:val="24"/>
        </w:rPr>
        <w:t xml:space="preserve">, during and after care. Models in use </w:t>
      </w:r>
      <w:r w:rsidR="001C1C50" w:rsidRPr="003A78FF">
        <w:rPr>
          <w:rFonts w:ascii="VIC" w:hAnsi="VIC"/>
          <w:sz w:val="24"/>
          <w:szCs w:val="24"/>
        </w:rPr>
        <w:t>are succes</w:t>
      </w:r>
      <w:r w:rsidR="00643366" w:rsidRPr="003A78FF">
        <w:rPr>
          <w:rFonts w:ascii="VIC" w:hAnsi="VIC"/>
          <w:sz w:val="24"/>
          <w:szCs w:val="24"/>
        </w:rPr>
        <w:t xml:space="preserve">sful because they </w:t>
      </w:r>
      <w:r w:rsidR="00194F37" w:rsidRPr="003A78FF">
        <w:rPr>
          <w:rFonts w:ascii="VIC" w:hAnsi="VIC"/>
          <w:sz w:val="24"/>
          <w:szCs w:val="24"/>
        </w:rPr>
        <w:t>include the whole care team</w:t>
      </w:r>
      <w:r w:rsidR="001361BC" w:rsidRPr="003A78FF">
        <w:rPr>
          <w:rFonts w:ascii="VIC" w:hAnsi="VIC"/>
          <w:sz w:val="24"/>
          <w:szCs w:val="24"/>
        </w:rPr>
        <w:t>, including primary care, allied health</w:t>
      </w:r>
      <w:r w:rsidR="00555137" w:rsidRPr="003A78FF">
        <w:rPr>
          <w:rFonts w:ascii="VIC" w:hAnsi="VIC"/>
          <w:sz w:val="24"/>
          <w:szCs w:val="24"/>
        </w:rPr>
        <w:t xml:space="preserve">, nursing </w:t>
      </w:r>
      <w:r w:rsidR="00CA3F60" w:rsidRPr="003A78FF">
        <w:rPr>
          <w:rFonts w:ascii="VIC" w:hAnsi="VIC"/>
          <w:sz w:val="24"/>
          <w:szCs w:val="24"/>
        </w:rPr>
        <w:t>staff</w:t>
      </w:r>
      <w:r w:rsidR="001361BC" w:rsidRPr="003A78FF">
        <w:rPr>
          <w:rFonts w:ascii="VIC" w:hAnsi="VIC"/>
          <w:sz w:val="24"/>
          <w:szCs w:val="24"/>
        </w:rPr>
        <w:t xml:space="preserve"> and</w:t>
      </w:r>
      <w:r w:rsidR="00CA3F60" w:rsidRPr="003A78FF">
        <w:rPr>
          <w:rFonts w:ascii="VIC" w:hAnsi="VIC"/>
          <w:sz w:val="24"/>
          <w:szCs w:val="24"/>
        </w:rPr>
        <w:t xml:space="preserve"> of course the</w:t>
      </w:r>
      <w:r w:rsidR="001361BC" w:rsidRPr="003A78FF">
        <w:rPr>
          <w:rFonts w:ascii="VIC" w:hAnsi="VIC"/>
          <w:sz w:val="24"/>
          <w:szCs w:val="24"/>
        </w:rPr>
        <w:t xml:space="preserve"> </w:t>
      </w:r>
      <w:r w:rsidR="00555137" w:rsidRPr="003A78FF">
        <w:rPr>
          <w:rFonts w:ascii="VIC" w:hAnsi="VIC"/>
          <w:sz w:val="24"/>
          <w:szCs w:val="24"/>
        </w:rPr>
        <w:t>patients’</w:t>
      </w:r>
      <w:r w:rsidR="001B0BCB" w:rsidRPr="003A78FF">
        <w:rPr>
          <w:rFonts w:ascii="VIC" w:hAnsi="VIC"/>
          <w:sz w:val="24"/>
          <w:szCs w:val="24"/>
        </w:rPr>
        <w:t xml:space="preserve"> </w:t>
      </w:r>
      <w:r w:rsidR="00166F35" w:rsidRPr="003A78FF">
        <w:rPr>
          <w:rFonts w:ascii="VIC" w:hAnsi="VIC"/>
          <w:sz w:val="24"/>
          <w:szCs w:val="24"/>
        </w:rPr>
        <w:t xml:space="preserve">carers.  </w:t>
      </w:r>
    </w:p>
    <w:p w14:paraId="6B5D47A5" w14:textId="040FDCD5" w:rsidR="00A16F83" w:rsidRPr="003A78FF" w:rsidRDefault="00166F35" w:rsidP="00A16F83">
      <w:pPr>
        <w:pStyle w:val="SCVbody"/>
        <w:rPr>
          <w:rFonts w:ascii="VIC" w:hAnsi="VIC"/>
          <w:sz w:val="24"/>
          <w:szCs w:val="24"/>
        </w:rPr>
      </w:pPr>
      <w:r w:rsidRPr="003A78FF">
        <w:rPr>
          <w:rFonts w:ascii="VIC" w:hAnsi="VIC"/>
          <w:sz w:val="24"/>
          <w:szCs w:val="24"/>
        </w:rPr>
        <w:t xml:space="preserve">Wrap around services and supports make for </w:t>
      </w:r>
      <w:r w:rsidR="00CB680D" w:rsidRPr="003A78FF">
        <w:rPr>
          <w:rFonts w:ascii="VIC" w:hAnsi="VIC"/>
          <w:sz w:val="24"/>
          <w:szCs w:val="24"/>
        </w:rPr>
        <w:t xml:space="preserve">patient centred, </w:t>
      </w:r>
      <w:r w:rsidR="00555137" w:rsidRPr="003A78FF">
        <w:rPr>
          <w:rFonts w:ascii="VIC" w:hAnsi="VIC"/>
          <w:sz w:val="24"/>
          <w:szCs w:val="24"/>
        </w:rPr>
        <w:t>safe and quality care delivery</w:t>
      </w:r>
      <w:r w:rsidR="00CB680D" w:rsidRPr="003A78FF">
        <w:rPr>
          <w:rFonts w:ascii="VIC" w:hAnsi="VIC"/>
          <w:sz w:val="24"/>
          <w:szCs w:val="24"/>
        </w:rPr>
        <w:t>,</w:t>
      </w:r>
      <w:r w:rsidR="00555137" w:rsidRPr="003A78FF">
        <w:rPr>
          <w:rFonts w:ascii="VIC" w:hAnsi="VIC"/>
          <w:sz w:val="24"/>
          <w:szCs w:val="24"/>
        </w:rPr>
        <w:t xml:space="preserve"> allowing patients to be discharged home safely within the </w:t>
      </w:r>
      <w:r w:rsidR="0025685B" w:rsidRPr="003A78FF">
        <w:rPr>
          <w:rFonts w:ascii="VIC" w:hAnsi="VIC"/>
          <w:sz w:val="24"/>
          <w:szCs w:val="24"/>
        </w:rPr>
        <w:t>same day</w:t>
      </w:r>
      <w:r w:rsidR="00555137" w:rsidRPr="003A78FF">
        <w:rPr>
          <w:rFonts w:ascii="VIC" w:hAnsi="VIC"/>
          <w:sz w:val="24"/>
          <w:szCs w:val="24"/>
        </w:rPr>
        <w:t xml:space="preserve"> of surgery. </w:t>
      </w:r>
      <w:r w:rsidR="00064EBB" w:rsidRPr="003A78FF">
        <w:rPr>
          <w:rFonts w:ascii="VIC" w:hAnsi="VIC"/>
          <w:sz w:val="24"/>
          <w:szCs w:val="24"/>
        </w:rPr>
        <w:t>Clear</w:t>
      </w:r>
      <w:r w:rsidR="005B498A" w:rsidRPr="003A78FF">
        <w:rPr>
          <w:rFonts w:ascii="VIC" w:hAnsi="VIC"/>
          <w:sz w:val="24"/>
          <w:szCs w:val="24"/>
        </w:rPr>
        <w:t xml:space="preserve"> communication and</w:t>
      </w:r>
      <w:r w:rsidR="00064EBB" w:rsidRPr="003A78FF">
        <w:rPr>
          <w:rFonts w:ascii="VIC" w:hAnsi="VIC"/>
          <w:sz w:val="24"/>
          <w:szCs w:val="24"/>
        </w:rPr>
        <w:t xml:space="preserve"> care pathways set these models up for succ</w:t>
      </w:r>
      <w:r w:rsidR="006E56D6" w:rsidRPr="003A78FF">
        <w:rPr>
          <w:rFonts w:ascii="VIC" w:hAnsi="VIC"/>
          <w:sz w:val="24"/>
          <w:szCs w:val="24"/>
        </w:rPr>
        <w:t>ess</w:t>
      </w:r>
      <w:r w:rsidR="00A47681" w:rsidRPr="003A78FF">
        <w:rPr>
          <w:rFonts w:ascii="VIC" w:hAnsi="VIC"/>
          <w:sz w:val="24"/>
          <w:szCs w:val="24"/>
        </w:rPr>
        <w:t xml:space="preserve"> by establishing </w:t>
      </w:r>
      <w:r w:rsidR="005036DE" w:rsidRPr="003A78FF">
        <w:rPr>
          <w:rFonts w:ascii="VIC" w:hAnsi="VIC"/>
          <w:sz w:val="24"/>
          <w:szCs w:val="24"/>
        </w:rPr>
        <w:t>early expectations of care and supportive follow up</w:t>
      </w:r>
      <w:r w:rsidR="009F1E7D" w:rsidRPr="003A78FF">
        <w:rPr>
          <w:rFonts w:ascii="VIC" w:hAnsi="VIC"/>
          <w:sz w:val="24"/>
          <w:szCs w:val="24"/>
        </w:rPr>
        <w:t xml:space="preserve">, including escalation </w:t>
      </w:r>
      <w:r w:rsidR="000341D9" w:rsidRPr="003A78FF">
        <w:rPr>
          <w:rFonts w:ascii="VIC" w:hAnsi="VIC"/>
          <w:sz w:val="24"/>
          <w:szCs w:val="24"/>
        </w:rPr>
        <w:t>points</w:t>
      </w:r>
      <w:r w:rsidR="006E56D6" w:rsidRPr="003A78FF">
        <w:rPr>
          <w:rFonts w:ascii="VIC" w:hAnsi="VIC"/>
          <w:sz w:val="24"/>
          <w:szCs w:val="24"/>
        </w:rPr>
        <w:t xml:space="preserve">. </w:t>
      </w:r>
      <w:r w:rsidR="009F3538" w:rsidRPr="003A78FF">
        <w:rPr>
          <w:rFonts w:ascii="VIC" w:hAnsi="VIC"/>
          <w:sz w:val="24"/>
          <w:szCs w:val="24"/>
        </w:rPr>
        <w:t xml:space="preserve"> </w:t>
      </w:r>
      <w:r w:rsidR="00B17742" w:rsidRPr="003A78FF">
        <w:rPr>
          <w:rFonts w:ascii="VIC" w:hAnsi="VIC"/>
          <w:sz w:val="24"/>
          <w:szCs w:val="24"/>
        </w:rPr>
        <w:t xml:space="preserve">These services </w:t>
      </w:r>
      <w:r w:rsidR="00064EBB" w:rsidRPr="003A78FF">
        <w:rPr>
          <w:rFonts w:ascii="VIC" w:hAnsi="VIC"/>
          <w:sz w:val="24"/>
          <w:szCs w:val="24"/>
        </w:rPr>
        <w:t>and pathways</w:t>
      </w:r>
      <w:r w:rsidR="00B17742" w:rsidRPr="003A78FF">
        <w:rPr>
          <w:rFonts w:ascii="VIC" w:hAnsi="VIC"/>
          <w:sz w:val="24"/>
          <w:szCs w:val="24"/>
        </w:rPr>
        <w:t xml:space="preserve"> help mitigate </w:t>
      </w:r>
      <w:r w:rsidR="00036011" w:rsidRPr="003A78FF">
        <w:rPr>
          <w:rFonts w:ascii="VIC" w:hAnsi="VIC"/>
          <w:sz w:val="24"/>
          <w:szCs w:val="24"/>
        </w:rPr>
        <w:t xml:space="preserve">some of the </w:t>
      </w:r>
      <w:r w:rsidR="00B17742" w:rsidRPr="003A78FF">
        <w:rPr>
          <w:rFonts w:ascii="VIC" w:hAnsi="VIC"/>
          <w:sz w:val="24"/>
          <w:szCs w:val="24"/>
        </w:rPr>
        <w:t>risk</w:t>
      </w:r>
      <w:r w:rsidR="00036011" w:rsidRPr="003A78FF">
        <w:rPr>
          <w:rFonts w:ascii="VIC" w:hAnsi="VIC"/>
          <w:sz w:val="24"/>
          <w:szCs w:val="24"/>
        </w:rPr>
        <w:t>s</w:t>
      </w:r>
      <w:r w:rsidR="00B17742" w:rsidRPr="003A78FF">
        <w:rPr>
          <w:rFonts w:ascii="VIC" w:hAnsi="VIC"/>
          <w:sz w:val="24"/>
          <w:szCs w:val="24"/>
        </w:rPr>
        <w:t xml:space="preserve"> associated</w:t>
      </w:r>
      <w:r w:rsidR="00036011" w:rsidRPr="003A78FF">
        <w:rPr>
          <w:rFonts w:ascii="VIC" w:hAnsi="VIC"/>
          <w:sz w:val="24"/>
          <w:szCs w:val="24"/>
        </w:rPr>
        <w:t xml:space="preserve"> with </w:t>
      </w:r>
      <w:r w:rsidR="0032189F" w:rsidRPr="003A78FF">
        <w:rPr>
          <w:rFonts w:ascii="VIC" w:hAnsi="VIC"/>
          <w:sz w:val="24"/>
          <w:szCs w:val="24"/>
        </w:rPr>
        <w:t xml:space="preserve">these models of care and should form a foundation for future models. </w:t>
      </w:r>
      <w:r w:rsidR="00B17742" w:rsidRPr="003A78FF">
        <w:rPr>
          <w:rFonts w:ascii="VIC" w:hAnsi="VIC"/>
          <w:sz w:val="24"/>
          <w:szCs w:val="24"/>
        </w:rPr>
        <w:t xml:space="preserve"> </w:t>
      </w:r>
    </w:p>
    <w:p w14:paraId="6C0E1BC1" w14:textId="77777777" w:rsidR="00A16F83" w:rsidRPr="003A78FF" w:rsidRDefault="00A16F83" w:rsidP="009149C5">
      <w:pPr>
        <w:pStyle w:val="NormalWeb"/>
        <w:ind w:left="360"/>
        <w:rPr>
          <w:rFonts w:ascii="VIC" w:hAnsi="VIC" w:cstheme="minorBidi"/>
          <w:sz w:val="24"/>
        </w:rPr>
      </w:pPr>
    </w:p>
    <w:p w14:paraId="7B694FAE" w14:textId="2FC8FF39" w:rsidR="1FB4C6E2" w:rsidRPr="003A78FF" w:rsidRDefault="1FB4C6E2">
      <w:pPr>
        <w:rPr>
          <w:rFonts w:ascii="VIC" w:hAnsi="VIC"/>
          <w:sz w:val="24"/>
          <w:szCs w:val="24"/>
        </w:rPr>
      </w:pPr>
      <w:r w:rsidRPr="003A78FF">
        <w:rPr>
          <w:rFonts w:ascii="VIC" w:hAnsi="VIC"/>
          <w:sz w:val="24"/>
          <w:szCs w:val="24"/>
        </w:rPr>
        <w:br w:type="page"/>
      </w:r>
    </w:p>
    <w:p w14:paraId="5B1D20E7" w14:textId="6224793F" w:rsidR="00537FAD" w:rsidRPr="003A78FF" w:rsidRDefault="00537FAD" w:rsidP="00427520">
      <w:pPr>
        <w:pStyle w:val="Heading1"/>
        <w:rPr>
          <w:rFonts w:ascii="VIC" w:hAnsi="VIC"/>
          <w:sz w:val="24"/>
          <w:szCs w:val="24"/>
        </w:rPr>
      </w:pPr>
      <w:bookmarkStart w:id="27" w:name="_Toc111215100"/>
      <w:bookmarkStart w:id="28" w:name="_Toc111215157"/>
      <w:r w:rsidRPr="003A78FF">
        <w:rPr>
          <w:rFonts w:ascii="VIC" w:hAnsi="VIC"/>
          <w:sz w:val="24"/>
          <w:szCs w:val="24"/>
        </w:rPr>
        <w:lastRenderedPageBreak/>
        <w:t>References</w:t>
      </w:r>
      <w:bookmarkEnd w:id="27"/>
      <w:bookmarkEnd w:id="28"/>
    </w:p>
    <w:p w14:paraId="63CF24D3" w14:textId="2DA948BF" w:rsidR="00546EB1" w:rsidRPr="003A78FF" w:rsidRDefault="00546EB1" w:rsidP="00A13531">
      <w:pPr>
        <w:pStyle w:val="SCVbody"/>
        <w:rPr>
          <w:rFonts w:ascii="VIC" w:hAnsi="VIC"/>
          <w:i/>
          <w:sz w:val="24"/>
          <w:szCs w:val="24"/>
        </w:rPr>
      </w:pPr>
      <w:r w:rsidRPr="003A78FF">
        <w:rPr>
          <w:rFonts w:ascii="VIC" w:hAnsi="VIC"/>
          <w:sz w:val="24"/>
          <w:szCs w:val="24"/>
        </w:rPr>
        <w:t>Aubu</w:t>
      </w:r>
      <w:r w:rsidR="006A4A84" w:rsidRPr="003A78FF">
        <w:rPr>
          <w:rFonts w:ascii="VIC" w:hAnsi="VIC"/>
          <w:sz w:val="24"/>
          <w:szCs w:val="24"/>
        </w:rPr>
        <w:t xml:space="preserve">sson, K. </w:t>
      </w:r>
      <w:r w:rsidR="79302560" w:rsidRPr="003A78FF">
        <w:rPr>
          <w:rFonts w:ascii="VIC" w:hAnsi="VIC"/>
          <w:sz w:val="24"/>
          <w:szCs w:val="24"/>
        </w:rPr>
        <w:t>(2022, Aug 12</w:t>
      </w:r>
      <w:r w:rsidR="78D6A2DE" w:rsidRPr="003A78FF">
        <w:rPr>
          <w:rFonts w:ascii="VIC" w:hAnsi="VIC"/>
          <w:sz w:val="24"/>
          <w:szCs w:val="24"/>
        </w:rPr>
        <w:t>)</w:t>
      </w:r>
      <w:r w:rsidR="2F375C87" w:rsidRPr="003A78FF">
        <w:rPr>
          <w:rFonts w:ascii="VIC" w:hAnsi="VIC"/>
          <w:sz w:val="24"/>
          <w:szCs w:val="24"/>
        </w:rPr>
        <w:t>.</w:t>
      </w:r>
      <w:r w:rsidR="00032597" w:rsidRPr="003A78FF">
        <w:rPr>
          <w:rFonts w:ascii="VIC" w:hAnsi="VIC"/>
          <w:sz w:val="24"/>
          <w:szCs w:val="24"/>
        </w:rPr>
        <w:t xml:space="preserve"> </w:t>
      </w:r>
      <w:r w:rsidR="00032597" w:rsidRPr="003A78FF">
        <w:rPr>
          <w:rFonts w:ascii="VIC" w:hAnsi="VIC"/>
          <w:i/>
          <w:iCs/>
          <w:sz w:val="24"/>
          <w:szCs w:val="24"/>
        </w:rPr>
        <w:t>More home care after su</w:t>
      </w:r>
      <w:r w:rsidR="007C34BE" w:rsidRPr="003A78FF">
        <w:rPr>
          <w:rFonts w:ascii="VIC" w:hAnsi="VIC"/>
          <w:i/>
          <w:iCs/>
          <w:sz w:val="24"/>
          <w:szCs w:val="24"/>
        </w:rPr>
        <w:t>r</w:t>
      </w:r>
      <w:r w:rsidR="00032597" w:rsidRPr="003A78FF">
        <w:rPr>
          <w:rFonts w:ascii="VIC" w:hAnsi="VIC"/>
          <w:i/>
          <w:iCs/>
          <w:sz w:val="24"/>
          <w:szCs w:val="24"/>
        </w:rPr>
        <w:t>gery may ease backlog.</w:t>
      </w:r>
      <w:r w:rsidR="2F375C87" w:rsidRPr="003A78FF">
        <w:rPr>
          <w:rFonts w:ascii="VIC" w:hAnsi="VIC"/>
          <w:i/>
          <w:iCs/>
          <w:sz w:val="24"/>
          <w:szCs w:val="24"/>
        </w:rPr>
        <w:t xml:space="preserve"> </w:t>
      </w:r>
      <w:r w:rsidR="2F375C87" w:rsidRPr="003A78FF">
        <w:rPr>
          <w:rFonts w:ascii="VIC" w:hAnsi="VIC"/>
          <w:sz w:val="24"/>
          <w:szCs w:val="24"/>
        </w:rPr>
        <w:t>The Age.</w:t>
      </w:r>
    </w:p>
    <w:p w14:paraId="7FB3F164" w14:textId="5CDB4ABD" w:rsidR="00DD6627" w:rsidRPr="003A78FF" w:rsidRDefault="00DD6627" w:rsidP="00A13531">
      <w:pPr>
        <w:pStyle w:val="SCVbody"/>
        <w:rPr>
          <w:rFonts w:ascii="VIC" w:hAnsi="VIC"/>
          <w:sz w:val="24"/>
          <w:szCs w:val="24"/>
        </w:rPr>
      </w:pPr>
      <w:r w:rsidRPr="003A78FF">
        <w:rPr>
          <w:rFonts w:ascii="VIC" w:hAnsi="VIC"/>
          <w:sz w:val="24"/>
          <w:szCs w:val="24"/>
        </w:rPr>
        <w:t xml:space="preserve">Australian Commission on Safety and Quality in Health Care (2015). </w:t>
      </w:r>
      <w:r w:rsidRPr="003A78FF">
        <w:rPr>
          <w:rFonts w:ascii="VIC" w:hAnsi="VIC"/>
          <w:i/>
          <w:iCs/>
          <w:sz w:val="24"/>
          <w:szCs w:val="24"/>
        </w:rPr>
        <w:t xml:space="preserve">The </w:t>
      </w:r>
      <w:r w:rsidR="00066356" w:rsidRPr="003A78FF">
        <w:rPr>
          <w:rFonts w:ascii="VIC" w:hAnsi="VIC"/>
          <w:i/>
          <w:iCs/>
          <w:sz w:val="24"/>
          <w:szCs w:val="24"/>
        </w:rPr>
        <w:t xml:space="preserve">First </w:t>
      </w:r>
      <w:r w:rsidRPr="003A78FF">
        <w:rPr>
          <w:rFonts w:ascii="VIC" w:hAnsi="VIC"/>
          <w:i/>
          <w:iCs/>
          <w:sz w:val="24"/>
          <w:szCs w:val="24"/>
        </w:rPr>
        <w:t>Australian Atlas of Healthcare Variation.</w:t>
      </w:r>
      <w:r w:rsidRPr="003A78FF">
        <w:rPr>
          <w:rFonts w:ascii="VIC" w:hAnsi="VIC"/>
          <w:sz w:val="24"/>
          <w:szCs w:val="24"/>
        </w:rPr>
        <w:t xml:space="preserve"> </w:t>
      </w:r>
      <w:hyperlink r:id="rId27" w:history="1">
        <w:r w:rsidRPr="003A78FF">
          <w:rPr>
            <w:rStyle w:val="Hyperlink"/>
            <w:rFonts w:ascii="VIC" w:hAnsi="VIC"/>
            <w:sz w:val="24"/>
            <w:szCs w:val="24"/>
          </w:rPr>
          <w:t>https://www.safetyandquality.gov.au/our-work/healthcare-variation/atlas-2015</w:t>
        </w:r>
      </w:hyperlink>
      <w:r w:rsidRPr="003A78FF">
        <w:rPr>
          <w:rFonts w:ascii="VIC" w:hAnsi="VIC"/>
          <w:sz w:val="24"/>
          <w:szCs w:val="24"/>
        </w:rPr>
        <w:t xml:space="preserve"> </w:t>
      </w:r>
    </w:p>
    <w:p w14:paraId="078A1C80" w14:textId="1CBB6C25" w:rsidR="00DD6627" w:rsidRPr="003A78FF" w:rsidRDefault="00DD6627" w:rsidP="00A13531">
      <w:pPr>
        <w:pStyle w:val="SCVbody"/>
        <w:rPr>
          <w:rFonts w:ascii="VIC" w:hAnsi="VIC"/>
          <w:sz w:val="24"/>
          <w:szCs w:val="24"/>
        </w:rPr>
      </w:pPr>
      <w:r w:rsidRPr="003A78FF">
        <w:rPr>
          <w:rFonts w:ascii="VIC" w:hAnsi="VIC"/>
          <w:sz w:val="24"/>
          <w:szCs w:val="24"/>
        </w:rPr>
        <w:t xml:space="preserve">Australian Commission on Safety and Quality in Health Care (2017). </w:t>
      </w:r>
      <w:r w:rsidRPr="003A78FF">
        <w:rPr>
          <w:rFonts w:ascii="VIC" w:hAnsi="VIC"/>
          <w:i/>
          <w:iCs/>
          <w:sz w:val="24"/>
          <w:szCs w:val="24"/>
        </w:rPr>
        <w:t xml:space="preserve">The </w:t>
      </w:r>
      <w:r w:rsidR="009A7063" w:rsidRPr="003A78FF">
        <w:rPr>
          <w:rFonts w:ascii="VIC" w:hAnsi="VIC"/>
          <w:i/>
          <w:iCs/>
          <w:sz w:val="24"/>
          <w:szCs w:val="24"/>
        </w:rPr>
        <w:t xml:space="preserve">Second </w:t>
      </w:r>
      <w:r w:rsidRPr="003A78FF">
        <w:rPr>
          <w:rFonts w:ascii="VIC" w:hAnsi="VIC"/>
          <w:i/>
          <w:iCs/>
          <w:sz w:val="24"/>
          <w:szCs w:val="24"/>
        </w:rPr>
        <w:t>Australian Atlas of Healthcare Variation.</w:t>
      </w:r>
      <w:r w:rsidRPr="003A78FF">
        <w:rPr>
          <w:rFonts w:ascii="VIC" w:hAnsi="VIC"/>
          <w:sz w:val="24"/>
          <w:szCs w:val="24"/>
        </w:rPr>
        <w:t xml:space="preserve"> </w:t>
      </w:r>
      <w:hyperlink r:id="rId28" w:history="1">
        <w:r w:rsidRPr="003A78FF">
          <w:rPr>
            <w:rStyle w:val="Hyperlink"/>
            <w:rFonts w:ascii="VIC" w:hAnsi="VIC"/>
            <w:sz w:val="24"/>
            <w:szCs w:val="24"/>
          </w:rPr>
          <w:t>https://www.safetyandquality.gov.au/our-work/healthcare-variation/atlas-2017</w:t>
        </w:r>
      </w:hyperlink>
      <w:r w:rsidRPr="003A78FF">
        <w:rPr>
          <w:rFonts w:ascii="VIC" w:hAnsi="VIC"/>
          <w:sz w:val="24"/>
          <w:szCs w:val="24"/>
        </w:rPr>
        <w:t xml:space="preserve"> </w:t>
      </w:r>
    </w:p>
    <w:p w14:paraId="16EF8E0B" w14:textId="77777777" w:rsidR="00EC0D55" w:rsidRPr="003A78FF" w:rsidRDefault="00EC0D55" w:rsidP="00A13531">
      <w:pPr>
        <w:pStyle w:val="SCVbody"/>
        <w:rPr>
          <w:rStyle w:val="Hyperlink"/>
          <w:rFonts w:ascii="VIC" w:hAnsi="VIC" w:cs="Calibri"/>
          <w:color w:val="auto"/>
          <w:sz w:val="24"/>
          <w:szCs w:val="24"/>
          <w:u w:val="none"/>
        </w:rPr>
      </w:pPr>
      <w:r w:rsidRPr="003A78FF">
        <w:rPr>
          <w:rFonts w:ascii="VIC" w:hAnsi="VIC"/>
          <w:sz w:val="24"/>
          <w:szCs w:val="24"/>
        </w:rPr>
        <w:t xml:space="preserve">Australian Commission on Safety and Quality in Health Care (2017). </w:t>
      </w:r>
      <w:r w:rsidRPr="003A78FF">
        <w:rPr>
          <w:rFonts w:ascii="VIC" w:hAnsi="VIC"/>
          <w:i/>
          <w:iCs/>
          <w:sz w:val="24"/>
          <w:szCs w:val="24"/>
        </w:rPr>
        <w:t xml:space="preserve">The Second Australian Atlas of Healthcare Variation, Women’s Health and Maternity. </w:t>
      </w:r>
      <w:hyperlink r:id="rId29" w:history="1">
        <w:r w:rsidRPr="003A78FF">
          <w:rPr>
            <w:rStyle w:val="Hyperlink"/>
            <w:rFonts w:ascii="VIC" w:hAnsi="VIC"/>
            <w:sz w:val="24"/>
            <w:szCs w:val="24"/>
          </w:rPr>
          <w:t>https://www.safetyandquality.gov.au/our-work/healthcare-variation/atlas-2017/atlas-2017-3-womens-health-and-maternity</w:t>
        </w:r>
      </w:hyperlink>
      <w:r w:rsidRPr="003A78FF">
        <w:rPr>
          <w:rStyle w:val="Hyperlink"/>
          <w:rFonts w:ascii="VIC" w:hAnsi="VIC" w:cs="Calibri"/>
          <w:color w:val="auto"/>
          <w:sz w:val="24"/>
          <w:szCs w:val="24"/>
          <w:u w:val="none"/>
        </w:rPr>
        <w:t xml:space="preserve">  </w:t>
      </w:r>
    </w:p>
    <w:p w14:paraId="58740A01" w14:textId="3DD0DB78" w:rsidR="00DD6627" w:rsidRPr="003A78FF" w:rsidRDefault="00DD6627" w:rsidP="00A13531">
      <w:pPr>
        <w:pStyle w:val="SCVbody"/>
        <w:rPr>
          <w:rFonts w:ascii="VIC" w:hAnsi="VIC"/>
          <w:sz w:val="24"/>
          <w:szCs w:val="24"/>
        </w:rPr>
      </w:pPr>
      <w:r w:rsidRPr="003A78FF">
        <w:rPr>
          <w:rFonts w:ascii="VIC" w:hAnsi="VIC"/>
          <w:sz w:val="24"/>
          <w:szCs w:val="24"/>
        </w:rPr>
        <w:t xml:space="preserve">Australian Commission on Safety and Quality in Health Care (2018). </w:t>
      </w:r>
      <w:r w:rsidRPr="003A78FF">
        <w:rPr>
          <w:rFonts w:ascii="VIC" w:hAnsi="VIC"/>
          <w:i/>
          <w:iCs/>
          <w:sz w:val="24"/>
          <w:szCs w:val="24"/>
        </w:rPr>
        <w:t xml:space="preserve">The </w:t>
      </w:r>
      <w:r w:rsidR="009A7063" w:rsidRPr="003A78FF">
        <w:rPr>
          <w:rFonts w:ascii="VIC" w:hAnsi="VIC"/>
          <w:i/>
          <w:iCs/>
          <w:sz w:val="24"/>
          <w:szCs w:val="24"/>
        </w:rPr>
        <w:t xml:space="preserve">Third </w:t>
      </w:r>
      <w:r w:rsidRPr="003A78FF">
        <w:rPr>
          <w:rFonts w:ascii="VIC" w:hAnsi="VIC"/>
          <w:i/>
          <w:iCs/>
          <w:sz w:val="24"/>
          <w:szCs w:val="24"/>
        </w:rPr>
        <w:t xml:space="preserve">Australian Atlas of Healthcare Variation. </w:t>
      </w:r>
      <w:hyperlink r:id="rId30" w:history="1">
        <w:r w:rsidRPr="003A78FF">
          <w:rPr>
            <w:rStyle w:val="Hyperlink"/>
            <w:rFonts w:ascii="VIC" w:hAnsi="VIC"/>
            <w:i/>
            <w:iCs/>
            <w:sz w:val="24"/>
            <w:szCs w:val="24"/>
          </w:rPr>
          <w:t>https://www.safetyandquality.gov.au/our-work/healthcare-variation/third-atlas-2018</w:t>
        </w:r>
      </w:hyperlink>
      <w:r w:rsidRPr="003A78FF">
        <w:rPr>
          <w:rFonts w:ascii="VIC" w:hAnsi="VIC"/>
          <w:i/>
          <w:iCs/>
          <w:sz w:val="24"/>
          <w:szCs w:val="24"/>
        </w:rPr>
        <w:t xml:space="preserve"> </w:t>
      </w:r>
    </w:p>
    <w:p w14:paraId="76B0A858" w14:textId="78291820" w:rsidR="00DD6627" w:rsidRPr="003A78FF" w:rsidRDefault="00DD6627" w:rsidP="00A13531">
      <w:pPr>
        <w:pStyle w:val="SCVbody"/>
        <w:rPr>
          <w:rFonts w:ascii="VIC" w:hAnsi="VIC"/>
          <w:sz w:val="24"/>
          <w:szCs w:val="24"/>
        </w:rPr>
      </w:pPr>
      <w:r w:rsidRPr="003A78FF">
        <w:rPr>
          <w:rFonts w:ascii="VIC" w:hAnsi="VIC"/>
          <w:sz w:val="24"/>
          <w:szCs w:val="24"/>
        </w:rPr>
        <w:t xml:space="preserve">Australian Commission on Safety and Quality in Health Care (2021). The </w:t>
      </w:r>
      <w:r w:rsidR="009A7063" w:rsidRPr="003A78FF">
        <w:rPr>
          <w:rFonts w:ascii="VIC" w:hAnsi="VIC"/>
          <w:sz w:val="24"/>
          <w:szCs w:val="24"/>
        </w:rPr>
        <w:t xml:space="preserve">Fourth </w:t>
      </w:r>
      <w:r w:rsidRPr="003A78FF">
        <w:rPr>
          <w:rFonts w:ascii="VIC" w:hAnsi="VIC"/>
          <w:sz w:val="24"/>
          <w:szCs w:val="24"/>
        </w:rPr>
        <w:t xml:space="preserve">Australian Atlas of Healthcare Variation. </w:t>
      </w:r>
      <w:hyperlink r:id="rId31" w:history="1">
        <w:r w:rsidRPr="003A78FF">
          <w:rPr>
            <w:rStyle w:val="Hyperlink"/>
            <w:rFonts w:ascii="VIC" w:hAnsi="VIC" w:cs="Calibri"/>
            <w:color w:val="auto"/>
            <w:sz w:val="24"/>
            <w:szCs w:val="24"/>
            <w:u w:val="none"/>
          </w:rPr>
          <w:t>https://www.safetyandquality.gov.au/our-work/healthcare-variation/fourth-atlas-2021</w:t>
        </w:r>
      </w:hyperlink>
      <w:r w:rsidRPr="003A78FF">
        <w:rPr>
          <w:rFonts w:ascii="VIC" w:hAnsi="VIC"/>
          <w:sz w:val="24"/>
          <w:szCs w:val="24"/>
        </w:rPr>
        <w:t xml:space="preserve"> </w:t>
      </w:r>
    </w:p>
    <w:p w14:paraId="787A5DEF" w14:textId="131F6A50" w:rsidR="00E224B1" w:rsidRPr="003A78FF" w:rsidRDefault="00E224B1" w:rsidP="00A13531">
      <w:pPr>
        <w:pStyle w:val="SCVbody"/>
        <w:rPr>
          <w:rFonts w:ascii="VIC" w:hAnsi="VIC" w:cs="Calibri"/>
          <w:sz w:val="24"/>
          <w:szCs w:val="24"/>
        </w:rPr>
      </w:pPr>
      <w:r w:rsidRPr="003A78FF">
        <w:rPr>
          <w:rFonts w:ascii="VIC" w:hAnsi="VIC"/>
          <w:sz w:val="24"/>
          <w:szCs w:val="24"/>
        </w:rPr>
        <w:t>The Australian and New Zea</w:t>
      </w:r>
      <w:r w:rsidRPr="003A78FF">
        <w:rPr>
          <w:rFonts w:ascii="VIC" w:hAnsi="VIC" w:cs="Calibri"/>
          <w:sz w:val="24"/>
          <w:szCs w:val="24"/>
        </w:rPr>
        <w:t>land College of Anaesthetists (2018).</w:t>
      </w:r>
      <w:r w:rsidRPr="003A78FF">
        <w:rPr>
          <w:rFonts w:ascii="VIC" w:hAnsi="VIC" w:cs="Calibri"/>
          <w:i/>
          <w:sz w:val="24"/>
          <w:szCs w:val="24"/>
        </w:rPr>
        <w:t xml:space="preserve"> Guideline for the perioperative care of patients selected for day stay procedures, PG155 (POM)</w:t>
      </w:r>
      <w:r w:rsidRPr="003A78FF">
        <w:rPr>
          <w:rFonts w:ascii="VIC" w:hAnsi="VIC" w:cs="Calibri"/>
          <w:sz w:val="24"/>
          <w:szCs w:val="24"/>
        </w:rPr>
        <w:t xml:space="preserve">. </w:t>
      </w:r>
      <w:hyperlink r:id="rId32" w:history="1">
        <w:r w:rsidR="0084013F" w:rsidRPr="003A78FF">
          <w:rPr>
            <w:rStyle w:val="Hyperlink"/>
            <w:rFonts w:ascii="VIC" w:hAnsi="VIC" w:cs="Calibri"/>
            <w:color w:val="auto"/>
            <w:sz w:val="24"/>
            <w:szCs w:val="24"/>
            <w:u w:val="none"/>
          </w:rPr>
          <w:t>https://www.anzca.edu.au/getattachment/021e4205-af5a-415d-815d-b16be1fe8b62/PG15(POM)-Guideline-for-the-perioperative-care-of-patients-selected-for-day-stay-procedures-(PS15)</w:t>
        </w:r>
      </w:hyperlink>
    </w:p>
    <w:p w14:paraId="7536A52F" w14:textId="60E11BBE" w:rsidR="00F31748" w:rsidRPr="003A78FF" w:rsidRDefault="00F31748" w:rsidP="00A13531">
      <w:pPr>
        <w:pStyle w:val="SCVbody"/>
        <w:rPr>
          <w:rFonts w:ascii="VIC" w:hAnsi="VIC"/>
          <w:sz w:val="24"/>
          <w:szCs w:val="24"/>
          <w:shd w:val="clear" w:color="auto" w:fill="FFFFFF"/>
        </w:rPr>
      </w:pPr>
      <w:r w:rsidRPr="003A78FF">
        <w:rPr>
          <w:rFonts w:ascii="VIC" w:hAnsi="VIC"/>
          <w:sz w:val="24"/>
          <w:szCs w:val="24"/>
          <w:shd w:val="clear" w:color="auto" w:fill="FFFFFF"/>
        </w:rPr>
        <w:t xml:space="preserve">Bailey, C.R., Ahuja, M., Bartholomew, K., Bew, S., Forbes, L., Lipp, A., Montgomery, J., Russon, K., Potparic, O. and Stocker, M., </w:t>
      </w:r>
      <w:r w:rsidR="0068033E" w:rsidRPr="003A78FF">
        <w:rPr>
          <w:rFonts w:ascii="VIC" w:hAnsi="VIC"/>
          <w:sz w:val="24"/>
          <w:szCs w:val="24"/>
          <w:shd w:val="clear" w:color="auto" w:fill="FFFFFF"/>
        </w:rPr>
        <w:t>(</w:t>
      </w:r>
      <w:r w:rsidRPr="003A78FF">
        <w:rPr>
          <w:rFonts w:ascii="VIC" w:hAnsi="VIC"/>
          <w:sz w:val="24"/>
          <w:szCs w:val="24"/>
          <w:shd w:val="clear" w:color="auto" w:fill="FFFFFF"/>
        </w:rPr>
        <w:t>2019</w:t>
      </w:r>
      <w:r w:rsidR="0068033E" w:rsidRPr="003A78FF">
        <w:rPr>
          <w:rFonts w:ascii="VIC" w:hAnsi="VIC"/>
          <w:sz w:val="24"/>
          <w:szCs w:val="24"/>
          <w:shd w:val="clear" w:color="auto" w:fill="FFFFFF"/>
        </w:rPr>
        <w:t>)</w:t>
      </w:r>
      <w:r w:rsidRPr="003A78FF">
        <w:rPr>
          <w:rFonts w:ascii="VIC" w:hAnsi="VIC"/>
          <w:sz w:val="24"/>
          <w:szCs w:val="24"/>
          <w:shd w:val="clear" w:color="auto" w:fill="FFFFFF"/>
        </w:rPr>
        <w:t>. Guidelines for day</w:t>
      </w:r>
      <w:r w:rsidRPr="003A78FF">
        <w:rPr>
          <w:rFonts w:ascii="Times New Roman" w:hAnsi="Times New Roman" w:cs="Times New Roman"/>
          <w:sz w:val="24"/>
          <w:szCs w:val="24"/>
          <w:shd w:val="clear" w:color="auto" w:fill="FFFFFF"/>
        </w:rPr>
        <w:t>‐</w:t>
      </w:r>
      <w:r w:rsidRPr="003A78FF">
        <w:rPr>
          <w:rFonts w:ascii="VIC" w:hAnsi="VIC"/>
          <w:sz w:val="24"/>
          <w:szCs w:val="24"/>
          <w:shd w:val="clear" w:color="auto" w:fill="FFFFFF"/>
        </w:rPr>
        <w:t>case surgery 2019: Guidelines from the Association of Anaesthetists and the British Association of Day Surgery.</w:t>
      </w:r>
      <w:r w:rsidRPr="003A78FF">
        <w:rPr>
          <w:rFonts w:ascii="Cambria" w:hAnsi="Cambria" w:cs="Cambria"/>
          <w:sz w:val="24"/>
          <w:szCs w:val="24"/>
          <w:shd w:val="clear" w:color="auto" w:fill="FFFFFF"/>
        </w:rPr>
        <w:t> </w:t>
      </w:r>
      <w:r w:rsidRPr="003A78FF">
        <w:rPr>
          <w:rFonts w:ascii="VIC" w:hAnsi="VIC"/>
          <w:sz w:val="24"/>
          <w:szCs w:val="24"/>
          <w:shd w:val="clear" w:color="auto" w:fill="FFFFFF"/>
        </w:rPr>
        <w:t>Anaesthesia,</w:t>
      </w:r>
      <w:r w:rsidRPr="003A78FF">
        <w:rPr>
          <w:rFonts w:ascii="Cambria" w:hAnsi="Cambria" w:cs="Cambria"/>
          <w:sz w:val="24"/>
          <w:szCs w:val="24"/>
          <w:shd w:val="clear" w:color="auto" w:fill="FFFFFF"/>
        </w:rPr>
        <w:t> </w:t>
      </w:r>
      <w:r w:rsidRPr="003A78FF">
        <w:rPr>
          <w:rFonts w:ascii="VIC" w:hAnsi="VIC"/>
          <w:sz w:val="24"/>
          <w:szCs w:val="24"/>
          <w:shd w:val="clear" w:color="auto" w:fill="FFFFFF"/>
        </w:rPr>
        <w:t>74(6), pp.778-792.</w:t>
      </w:r>
    </w:p>
    <w:p w14:paraId="53D8DD36" w14:textId="39863D4C" w:rsidR="00205CB5" w:rsidRPr="003A78FF" w:rsidRDefault="00205CB5" w:rsidP="00A13531">
      <w:pPr>
        <w:pStyle w:val="SCVbody"/>
        <w:rPr>
          <w:rFonts w:ascii="VIC" w:hAnsi="VIC"/>
          <w:color w:val="222222"/>
          <w:sz w:val="24"/>
          <w:szCs w:val="24"/>
          <w:shd w:val="clear" w:color="auto" w:fill="FFFFFF"/>
        </w:rPr>
      </w:pPr>
      <w:r w:rsidRPr="003A78FF">
        <w:rPr>
          <w:rFonts w:ascii="VIC" w:hAnsi="VIC"/>
          <w:sz w:val="24"/>
          <w:szCs w:val="24"/>
          <w:shd w:val="clear" w:color="auto" w:fill="FFFFFF"/>
        </w:rPr>
        <w:t>Campbell, M., Ng, D., Albatat, B., Lowen, D., Bird, D.</w:t>
      </w:r>
      <w:r w:rsidRPr="003A78FF">
        <w:rPr>
          <w:rFonts w:ascii="VIC" w:hAnsi="VIC"/>
          <w:color w:val="222222"/>
          <w:sz w:val="24"/>
          <w:szCs w:val="24"/>
          <w:shd w:val="clear" w:color="auto" w:fill="FFFFFF"/>
        </w:rPr>
        <w:t>, &amp; Hodgson, R. (2021). Quality of recovery assessment of day case and multiday stay patients undergoing elective laparoscopic cholecystectomy.</w:t>
      </w:r>
      <w:r w:rsidRPr="003A78FF">
        <w:rPr>
          <w:rFonts w:ascii="Cambria" w:hAnsi="Cambria" w:cs="Cambria"/>
          <w:color w:val="222222"/>
          <w:sz w:val="24"/>
          <w:szCs w:val="24"/>
          <w:shd w:val="clear" w:color="auto" w:fill="FFFFFF"/>
        </w:rPr>
        <w:t> </w:t>
      </w:r>
      <w:r w:rsidRPr="003A78FF">
        <w:rPr>
          <w:rFonts w:ascii="VIC" w:hAnsi="VIC"/>
          <w:i/>
          <w:iCs/>
          <w:color w:val="222222"/>
          <w:sz w:val="24"/>
          <w:szCs w:val="24"/>
          <w:shd w:val="clear" w:color="auto" w:fill="FFFFFF"/>
        </w:rPr>
        <w:t>Turkish Journal of Surgery</w:t>
      </w:r>
      <w:r w:rsidRPr="003A78FF">
        <w:rPr>
          <w:rFonts w:ascii="VIC" w:hAnsi="VIC"/>
          <w:color w:val="222222"/>
          <w:sz w:val="24"/>
          <w:szCs w:val="24"/>
          <w:shd w:val="clear" w:color="auto" w:fill="FFFFFF"/>
        </w:rPr>
        <w:t>,</w:t>
      </w:r>
      <w:r w:rsidRPr="003A78FF">
        <w:rPr>
          <w:rFonts w:ascii="Cambria" w:hAnsi="Cambria" w:cs="Cambria"/>
          <w:color w:val="222222"/>
          <w:sz w:val="24"/>
          <w:szCs w:val="24"/>
          <w:shd w:val="clear" w:color="auto" w:fill="FFFFFF"/>
        </w:rPr>
        <w:t> </w:t>
      </w:r>
      <w:r w:rsidRPr="003A78FF">
        <w:rPr>
          <w:rFonts w:ascii="VIC" w:hAnsi="VIC"/>
          <w:i/>
          <w:iCs/>
          <w:color w:val="222222"/>
          <w:sz w:val="24"/>
          <w:szCs w:val="24"/>
          <w:shd w:val="clear" w:color="auto" w:fill="FFFFFF"/>
        </w:rPr>
        <w:t>37</w:t>
      </w:r>
      <w:r w:rsidRPr="003A78FF">
        <w:rPr>
          <w:rFonts w:ascii="VIC" w:hAnsi="VIC"/>
          <w:color w:val="222222"/>
          <w:sz w:val="24"/>
          <w:szCs w:val="24"/>
          <w:shd w:val="clear" w:color="auto" w:fill="FFFFFF"/>
        </w:rPr>
        <w:t>(4), 355.</w:t>
      </w:r>
    </w:p>
    <w:p w14:paraId="0BBB3B12" w14:textId="7DE4288C" w:rsidR="00E3191A" w:rsidRPr="003A78FF" w:rsidRDefault="00E3191A" w:rsidP="00A13531">
      <w:pPr>
        <w:pStyle w:val="SCVbody"/>
        <w:rPr>
          <w:rFonts w:ascii="VIC" w:hAnsi="VIC"/>
          <w:sz w:val="24"/>
          <w:szCs w:val="24"/>
        </w:rPr>
      </w:pPr>
      <w:r w:rsidRPr="003A78FF">
        <w:rPr>
          <w:rFonts w:ascii="VIC" w:hAnsi="VIC"/>
          <w:sz w:val="24"/>
          <w:szCs w:val="24"/>
        </w:rPr>
        <w:t>Chittleborough, T</w:t>
      </w:r>
      <w:r w:rsidR="002C2BFB" w:rsidRPr="003A78FF">
        <w:rPr>
          <w:rFonts w:ascii="VIC" w:hAnsi="VIC"/>
          <w:sz w:val="24"/>
          <w:szCs w:val="24"/>
        </w:rPr>
        <w:t>.</w:t>
      </w:r>
      <w:r w:rsidRPr="003A78FF">
        <w:rPr>
          <w:rFonts w:ascii="VIC" w:hAnsi="VIC"/>
          <w:sz w:val="24"/>
          <w:szCs w:val="24"/>
        </w:rPr>
        <w:t xml:space="preserve"> (2022, August 03).</w:t>
      </w:r>
      <w:r w:rsidRPr="003A78FF">
        <w:rPr>
          <w:rFonts w:ascii="VIC" w:hAnsi="VIC" w:cs="Calibri"/>
          <w:sz w:val="24"/>
          <w:szCs w:val="24"/>
        </w:rPr>
        <w:t xml:space="preserve"> </w:t>
      </w:r>
      <w:r w:rsidRPr="003A78FF">
        <w:rPr>
          <w:rFonts w:ascii="VIC" w:hAnsi="VIC"/>
          <w:i/>
          <w:iCs/>
          <w:sz w:val="24"/>
          <w:szCs w:val="24"/>
        </w:rPr>
        <w:t>Royal Melbourne Hospital Surgical Grand Round.</w:t>
      </w:r>
    </w:p>
    <w:p w14:paraId="5FA9FFC2" w14:textId="580E0618" w:rsidR="009E7B57" w:rsidRPr="003A78FF" w:rsidRDefault="009E7B57" w:rsidP="00A13531">
      <w:pPr>
        <w:pStyle w:val="SCVbody"/>
        <w:rPr>
          <w:rFonts w:ascii="VIC" w:hAnsi="VIC"/>
          <w:sz w:val="24"/>
          <w:szCs w:val="24"/>
        </w:rPr>
      </w:pPr>
      <w:r w:rsidRPr="003A78FF">
        <w:rPr>
          <w:rFonts w:ascii="VIC" w:hAnsi="VIC"/>
          <w:sz w:val="24"/>
          <w:szCs w:val="24"/>
        </w:rPr>
        <w:t xml:space="preserve">Dahlberg, K., Philipsson, A., Hagberg, L., Jaensson, M., Hälleberg-Nyman, M. and Nilsson, U., </w:t>
      </w:r>
      <w:r w:rsidR="0068033E" w:rsidRPr="003A78FF">
        <w:rPr>
          <w:rFonts w:ascii="VIC" w:hAnsi="VIC"/>
          <w:sz w:val="24"/>
          <w:szCs w:val="24"/>
        </w:rPr>
        <w:t>(</w:t>
      </w:r>
      <w:r w:rsidRPr="003A78FF">
        <w:rPr>
          <w:rFonts w:ascii="VIC" w:hAnsi="VIC"/>
          <w:sz w:val="24"/>
          <w:szCs w:val="24"/>
        </w:rPr>
        <w:t>2017</w:t>
      </w:r>
      <w:r w:rsidR="0068033E" w:rsidRPr="003A78FF">
        <w:rPr>
          <w:rFonts w:ascii="VIC" w:hAnsi="VIC"/>
          <w:sz w:val="24"/>
          <w:szCs w:val="24"/>
        </w:rPr>
        <w:t>)</w:t>
      </w:r>
      <w:r w:rsidRPr="003A78FF">
        <w:rPr>
          <w:rFonts w:ascii="VIC" w:hAnsi="VIC"/>
          <w:sz w:val="24"/>
          <w:szCs w:val="24"/>
        </w:rPr>
        <w:t>. Cost-effectiveness of a systematic e-assessed follow-up of postoperative recovery after day surgery: a multicentre randomized trial.</w:t>
      </w:r>
      <w:r w:rsidRPr="003A78FF">
        <w:rPr>
          <w:rFonts w:ascii="Cambria" w:hAnsi="Cambria" w:cs="Cambria"/>
          <w:sz w:val="24"/>
          <w:szCs w:val="24"/>
        </w:rPr>
        <w:t> </w:t>
      </w:r>
      <w:r w:rsidRPr="003A78FF">
        <w:rPr>
          <w:rFonts w:ascii="VIC" w:hAnsi="VIC"/>
          <w:sz w:val="24"/>
          <w:szCs w:val="24"/>
        </w:rPr>
        <w:t>BJA: British Journal of Anaesthesia,</w:t>
      </w:r>
      <w:r w:rsidRPr="003A78FF">
        <w:rPr>
          <w:rFonts w:ascii="Cambria" w:hAnsi="Cambria" w:cs="Cambria"/>
          <w:sz w:val="24"/>
          <w:szCs w:val="24"/>
        </w:rPr>
        <w:t> </w:t>
      </w:r>
      <w:r w:rsidRPr="003A78FF">
        <w:rPr>
          <w:rFonts w:ascii="VIC" w:hAnsi="VIC"/>
          <w:sz w:val="24"/>
          <w:szCs w:val="24"/>
        </w:rPr>
        <w:t>119(5), pp.1039-1046.</w:t>
      </w:r>
    </w:p>
    <w:p w14:paraId="1414AD64" w14:textId="292E8781" w:rsidR="009E7B57" w:rsidRPr="003A78FF" w:rsidRDefault="009E7B57" w:rsidP="00A13531">
      <w:pPr>
        <w:pStyle w:val="SCVbody"/>
        <w:rPr>
          <w:rFonts w:ascii="VIC" w:hAnsi="VIC"/>
          <w:sz w:val="24"/>
          <w:szCs w:val="24"/>
          <w:shd w:val="clear" w:color="auto" w:fill="FFFFFF"/>
        </w:rPr>
      </w:pPr>
      <w:r w:rsidRPr="003A78FF">
        <w:rPr>
          <w:rFonts w:ascii="VIC" w:hAnsi="VIC"/>
          <w:sz w:val="24"/>
          <w:szCs w:val="24"/>
          <w:shd w:val="clear" w:color="auto" w:fill="FFFFFF"/>
        </w:rPr>
        <w:lastRenderedPageBreak/>
        <w:t xml:space="preserve">Hollington, P., Toogood, G.J. and Padbury, R.T.A., </w:t>
      </w:r>
      <w:r w:rsidR="0068033E" w:rsidRPr="003A78FF">
        <w:rPr>
          <w:rFonts w:ascii="VIC" w:hAnsi="VIC"/>
          <w:sz w:val="24"/>
          <w:szCs w:val="24"/>
          <w:shd w:val="clear" w:color="auto" w:fill="FFFFFF"/>
        </w:rPr>
        <w:t>(</w:t>
      </w:r>
      <w:r w:rsidRPr="003A78FF">
        <w:rPr>
          <w:rFonts w:ascii="VIC" w:hAnsi="VIC"/>
          <w:sz w:val="24"/>
          <w:szCs w:val="24"/>
          <w:shd w:val="clear" w:color="auto" w:fill="FFFFFF"/>
        </w:rPr>
        <w:t>1999</w:t>
      </w:r>
      <w:r w:rsidR="0068033E" w:rsidRPr="003A78FF">
        <w:rPr>
          <w:rFonts w:ascii="VIC" w:hAnsi="VIC"/>
          <w:sz w:val="24"/>
          <w:szCs w:val="24"/>
          <w:shd w:val="clear" w:color="auto" w:fill="FFFFFF"/>
        </w:rPr>
        <w:t>)</w:t>
      </w:r>
      <w:r w:rsidRPr="003A78FF">
        <w:rPr>
          <w:rFonts w:ascii="VIC" w:hAnsi="VIC"/>
          <w:sz w:val="24"/>
          <w:szCs w:val="24"/>
          <w:shd w:val="clear" w:color="auto" w:fill="FFFFFF"/>
        </w:rPr>
        <w:t>. A prospective randomized trial of day</w:t>
      </w:r>
      <w:r w:rsidRPr="003A78FF">
        <w:rPr>
          <w:rFonts w:ascii="Times New Roman" w:hAnsi="Times New Roman" w:cs="Times New Roman"/>
          <w:sz w:val="24"/>
          <w:szCs w:val="24"/>
          <w:shd w:val="clear" w:color="auto" w:fill="FFFFFF"/>
        </w:rPr>
        <w:t>‐</w:t>
      </w:r>
      <w:r w:rsidRPr="003A78FF">
        <w:rPr>
          <w:rFonts w:ascii="VIC" w:hAnsi="VIC"/>
          <w:sz w:val="24"/>
          <w:szCs w:val="24"/>
          <w:shd w:val="clear" w:color="auto" w:fill="FFFFFF"/>
        </w:rPr>
        <w:t>stay only versus overnight</w:t>
      </w:r>
      <w:r w:rsidRPr="003A78FF">
        <w:rPr>
          <w:rFonts w:ascii="Times New Roman" w:hAnsi="Times New Roman" w:cs="Times New Roman"/>
          <w:sz w:val="24"/>
          <w:szCs w:val="24"/>
          <w:shd w:val="clear" w:color="auto" w:fill="FFFFFF"/>
        </w:rPr>
        <w:t>‐</w:t>
      </w:r>
      <w:r w:rsidRPr="003A78FF">
        <w:rPr>
          <w:rFonts w:ascii="VIC" w:hAnsi="VIC"/>
          <w:sz w:val="24"/>
          <w:szCs w:val="24"/>
          <w:shd w:val="clear" w:color="auto" w:fill="FFFFFF"/>
        </w:rPr>
        <w:t>stay laparoscopic cholecystectomy.</w:t>
      </w:r>
      <w:r w:rsidRPr="003A78FF">
        <w:rPr>
          <w:rFonts w:ascii="Cambria" w:hAnsi="Cambria" w:cs="Cambria"/>
          <w:sz w:val="24"/>
          <w:szCs w:val="24"/>
          <w:shd w:val="clear" w:color="auto" w:fill="FFFFFF"/>
        </w:rPr>
        <w:t> </w:t>
      </w:r>
      <w:r w:rsidRPr="003A78FF">
        <w:rPr>
          <w:rFonts w:ascii="VIC" w:hAnsi="VIC"/>
          <w:sz w:val="24"/>
          <w:szCs w:val="24"/>
          <w:shd w:val="clear" w:color="auto" w:fill="FFFFFF"/>
        </w:rPr>
        <w:t>Australian and New Zealand Journal of Surgery,</w:t>
      </w:r>
      <w:r w:rsidRPr="003A78FF">
        <w:rPr>
          <w:rFonts w:ascii="Cambria" w:hAnsi="Cambria" w:cs="Cambria"/>
          <w:sz w:val="24"/>
          <w:szCs w:val="24"/>
          <w:shd w:val="clear" w:color="auto" w:fill="FFFFFF"/>
        </w:rPr>
        <w:t> </w:t>
      </w:r>
      <w:r w:rsidRPr="003A78FF">
        <w:rPr>
          <w:rFonts w:ascii="VIC" w:hAnsi="VIC"/>
          <w:sz w:val="24"/>
          <w:szCs w:val="24"/>
          <w:shd w:val="clear" w:color="auto" w:fill="FFFFFF"/>
        </w:rPr>
        <w:t xml:space="preserve">69(12), pp.841-843. </w:t>
      </w:r>
    </w:p>
    <w:p w14:paraId="5CEF706C" w14:textId="40A25BD1" w:rsidR="009E7B57" w:rsidRPr="003A78FF" w:rsidRDefault="009E7B57" w:rsidP="00A13531">
      <w:pPr>
        <w:pStyle w:val="SCVbody"/>
        <w:rPr>
          <w:rFonts w:ascii="VIC" w:hAnsi="VIC"/>
          <w:sz w:val="24"/>
          <w:szCs w:val="24"/>
          <w:shd w:val="clear" w:color="auto" w:fill="FFFFFF"/>
        </w:rPr>
      </w:pPr>
      <w:r w:rsidRPr="003A78FF">
        <w:rPr>
          <w:rFonts w:ascii="VIC" w:hAnsi="VIC"/>
          <w:sz w:val="24"/>
          <w:szCs w:val="24"/>
          <w:shd w:val="clear" w:color="auto" w:fill="FFFFFF"/>
        </w:rPr>
        <w:t xml:space="preserve">Jaensson, M., Dahlberg, K., Eriksson, M. and Nilsson, U., </w:t>
      </w:r>
      <w:r w:rsidR="0068033E" w:rsidRPr="003A78FF">
        <w:rPr>
          <w:rFonts w:ascii="VIC" w:hAnsi="VIC"/>
          <w:sz w:val="24"/>
          <w:szCs w:val="24"/>
          <w:shd w:val="clear" w:color="auto" w:fill="FFFFFF"/>
        </w:rPr>
        <w:t>(</w:t>
      </w:r>
      <w:r w:rsidRPr="003A78FF">
        <w:rPr>
          <w:rFonts w:ascii="VIC" w:hAnsi="VIC"/>
          <w:sz w:val="24"/>
          <w:szCs w:val="24"/>
          <w:shd w:val="clear" w:color="auto" w:fill="FFFFFF"/>
        </w:rPr>
        <w:t>2017</w:t>
      </w:r>
      <w:r w:rsidR="0068033E" w:rsidRPr="003A78FF">
        <w:rPr>
          <w:rFonts w:ascii="VIC" w:hAnsi="VIC"/>
          <w:sz w:val="24"/>
          <w:szCs w:val="24"/>
          <w:shd w:val="clear" w:color="auto" w:fill="FFFFFF"/>
        </w:rPr>
        <w:t>)</w:t>
      </w:r>
      <w:r w:rsidRPr="003A78FF">
        <w:rPr>
          <w:rFonts w:ascii="VIC" w:hAnsi="VIC"/>
          <w:sz w:val="24"/>
          <w:szCs w:val="24"/>
          <w:shd w:val="clear" w:color="auto" w:fill="FFFFFF"/>
        </w:rPr>
        <w:t>. Evaluation of postoperative recovery in day surgery patients using a mobile phone application: a multicentre randomized trial.</w:t>
      </w:r>
      <w:r w:rsidRPr="003A78FF">
        <w:rPr>
          <w:rFonts w:ascii="Cambria" w:hAnsi="Cambria" w:cs="Cambria"/>
          <w:sz w:val="24"/>
          <w:szCs w:val="24"/>
          <w:shd w:val="clear" w:color="auto" w:fill="FFFFFF"/>
        </w:rPr>
        <w:t> </w:t>
      </w:r>
      <w:r w:rsidRPr="003A78FF">
        <w:rPr>
          <w:rFonts w:ascii="VIC" w:hAnsi="VIC"/>
          <w:sz w:val="24"/>
          <w:szCs w:val="24"/>
          <w:shd w:val="clear" w:color="auto" w:fill="FFFFFF"/>
        </w:rPr>
        <w:t>BJA: British Journal of Anaesthesia,</w:t>
      </w:r>
      <w:r w:rsidRPr="003A78FF">
        <w:rPr>
          <w:rFonts w:ascii="Cambria" w:hAnsi="Cambria" w:cs="Cambria"/>
          <w:sz w:val="24"/>
          <w:szCs w:val="24"/>
          <w:shd w:val="clear" w:color="auto" w:fill="FFFFFF"/>
        </w:rPr>
        <w:t> </w:t>
      </w:r>
      <w:r w:rsidRPr="003A78FF">
        <w:rPr>
          <w:rFonts w:ascii="VIC" w:hAnsi="VIC"/>
          <w:sz w:val="24"/>
          <w:szCs w:val="24"/>
          <w:shd w:val="clear" w:color="auto" w:fill="FFFFFF"/>
        </w:rPr>
        <w:t>119(5), pp.1030-1038.</w:t>
      </w:r>
    </w:p>
    <w:p w14:paraId="5AFD2B1E" w14:textId="349E5AF0" w:rsidR="0068033E" w:rsidRPr="003A78FF" w:rsidRDefault="00E4492B" w:rsidP="00A13531">
      <w:pPr>
        <w:pStyle w:val="SCVbody"/>
        <w:rPr>
          <w:rFonts w:ascii="VIC" w:hAnsi="VIC" w:cs="Arial"/>
          <w:b/>
          <w:bCs/>
          <w:color w:val="222222"/>
          <w:sz w:val="24"/>
          <w:szCs w:val="24"/>
          <w:shd w:val="clear" w:color="auto" w:fill="FFFFFF"/>
        </w:rPr>
      </w:pPr>
      <w:r w:rsidRPr="003A78FF">
        <w:rPr>
          <w:rFonts w:ascii="VIC" w:hAnsi="VIC"/>
          <w:sz w:val="24"/>
          <w:szCs w:val="24"/>
          <w:shd w:val="clear" w:color="auto" w:fill="FFFFFF"/>
        </w:rPr>
        <w:t>Joshi, G.P., Kehlet, H., Beloeil, H</w:t>
      </w:r>
      <w:r w:rsidRPr="003A78FF">
        <w:rPr>
          <w:rFonts w:ascii="VIC" w:hAnsi="VIC" w:cs="Arial"/>
          <w:color w:val="222222"/>
          <w:sz w:val="24"/>
          <w:szCs w:val="24"/>
          <w:shd w:val="clear" w:color="auto" w:fill="FFFFFF"/>
        </w:rPr>
        <w:t xml:space="preserve">., Bonnet, F., Fischer, B., Hill, A., Lavandhomme, P.M., Lirk, P., Pogatzki-Zhan, E.M., Raeder, J. and Rawal, N., </w:t>
      </w:r>
      <w:r w:rsidR="0068033E" w:rsidRPr="003A78FF">
        <w:rPr>
          <w:rFonts w:ascii="VIC" w:hAnsi="VIC" w:cs="Arial"/>
          <w:color w:val="222222"/>
          <w:sz w:val="24"/>
          <w:szCs w:val="24"/>
          <w:shd w:val="clear" w:color="auto" w:fill="FFFFFF"/>
        </w:rPr>
        <w:t>(</w:t>
      </w:r>
      <w:r w:rsidRPr="003A78FF">
        <w:rPr>
          <w:rFonts w:ascii="VIC" w:hAnsi="VIC" w:cs="Arial"/>
          <w:color w:val="222222"/>
          <w:sz w:val="24"/>
          <w:szCs w:val="24"/>
          <w:shd w:val="clear" w:color="auto" w:fill="FFFFFF"/>
        </w:rPr>
        <w:t>2017</w:t>
      </w:r>
      <w:r w:rsidR="0068033E" w:rsidRPr="003A78FF">
        <w:rPr>
          <w:rFonts w:ascii="VIC" w:hAnsi="VIC" w:cs="Arial"/>
          <w:color w:val="222222"/>
          <w:sz w:val="24"/>
          <w:szCs w:val="24"/>
          <w:shd w:val="clear" w:color="auto" w:fill="FFFFFF"/>
        </w:rPr>
        <w:t>)</w:t>
      </w:r>
      <w:r w:rsidRPr="003A78FF">
        <w:rPr>
          <w:rFonts w:ascii="VIC" w:hAnsi="VIC" w:cs="Arial"/>
          <w:color w:val="222222"/>
          <w:sz w:val="24"/>
          <w:szCs w:val="24"/>
          <w:shd w:val="clear" w:color="auto" w:fill="FFFFFF"/>
        </w:rPr>
        <w:t>. Guidelines for perioperative pain management: need for re-evaluation.</w:t>
      </w:r>
      <w:r w:rsidRPr="003A78FF">
        <w:rPr>
          <w:rFonts w:ascii="Cambria" w:hAnsi="Cambria" w:cs="Cambria"/>
          <w:color w:val="222222"/>
          <w:sz w:val="24"/>
          <w:szCs w:val="24"/>
          <w:shd w:val="clear" w:color="auto" w:fill="FFFFFF"/>
        </w:rPr>
        <w:t> </w:t>
      </w:r>
      <w:r w:rsidRPr="003A78FF">
        <w:rPr>
          <w:rFonts w:ascii="VIC" w:hAnsi="VIC" w:cs="Arial"/>
          <w:i/>
          <w:iCs/>
          <w:color w:val="222222"/>
          <w:sz w:val="24"/>
          <w:szCs w:val="24"/>
          <w:shd w:val="clear" w:color="auto" w:fill="FFFFFF"/>
        </w:rPr>
        <w:t>British Journal of Anaesthesia</w:t>
      </w:r>
      <w:r w:rsidRPr="003A78FF">
        <w:rPr>
          <w:rFonts w:ascii="VIC" w:hAnsi="VIC" w:cs="Arial"/>
          <w:color w:val="222222"/>
          <w:sz w:val="24"/>
          <w:szCs w:val="24"/>
          <w:shd w:val="clear" w:color="auto" w:fill="FFFFFF"/>
        </w:rPr>
        <w:t>,</w:t>
      </w:r>
      <w:r w:rsidRPr="003A78FF">
        <w:rPr>
          <w:rFonts w:ascii="Cambria" w:hAnsi="Cambria" w:cs="Cambria"/>
          <w:color w:val="222222"/>
          <w:sz w:val="24"/>
          <w:szCs w:val="24"/>
          <w:shd w:val="clear" w:color="auto" w:fill="FFFFFF"/>
        </w:rPr>
        <w:t> </w:t>
      </w:r>
      <w:r w:rsidRPr="003A78FF">
        <w:rPr>
          <w:rFonts w:ascii="VIC" w:hAnsi="VIC" w:cs="Arial"/>
          <w:i/>
          <w:iCs/>
          <w:color w:val="222222"/>
          <w:sz w:val="24"/>
          <w:szCs w:val="24"/>
          <w:shd w:val="clear" w:color="auto" w:fill="FFFFFF"/>
        </w:rPr>
        <w:t>119</w:t>
      </w:r>
      <w:r w:rsidRPr="003A78FF">
        <w:rPr>
          <w:rFonts w:ascii="VIC" w:hAnsi="VIC" w:cs="Arial"/>
          <w:color w:val="222222"/>
          <w:sz w:val="24"/>
          <w:szCs w:val="24"/>
          <w:shd w:val="clear" w:color="auto" w:fill="FFFFFF"/>
        </w:rPr>
        <w:t>(4), pp.720-722.</w:t>
      </w:r>
    </w:p>
    <w:p w14:paraId="725F77E5" w14:textId="131DE487" w:rsidR="1ED54A30" w:rsidRPr="003A78FF" w:rsidRDefault="0225CC23" w:rsidP="00A13531">
      <w:pPr>
        <w:pStyle w:val="SCVbody"/>
        <w:rPr>
          <w:rFonts w:ascii="VIC" w:hAnsi="VIC"/>
          <w:i/>
          <w:sz w:val="24"/>
          <w:szCs w:val="24"/>
        </w:rPr>
      </w:pPr>
      <w:r w:rsidRPr="003A78FF">
        <w:rPr>
          <w:rFonts w:ascii="VIC" w:hAnsi="VIC"/>
          <w:sz w:val="24"/>
          <w:szCs w:val="24"/>
        </w:rPr>
        <w:t xml:space="preserve">KPMG (2022) </w:t>
      </w:r>
      <w:r w:rsidRPr="003A78FF">
        <w:rPr>
          <w:rFonts w:ascii="VIC" w:hAnsi="VIC"/>
          <w:i/>
          <w:iCs/>
          <w:sz w:val="24"/>
          <w:szCs w:val="24"/>
        </w:rPr>
        <w:t xml:space="preserve">Medibank facilitated </w:t>
      </w:r>
      <w:r w:rsidR="2F160D9C" w:rsidRPr="003A78FF">
        <w:rPr>
          <w:rFonts w:ascii="VIC" w:hAnsi="VIC"/>
          <w:i/>
          <w:iCs/>
          <w:sz w:val="24"/>
          <w:szCs w:val="24"/>
        </w:rPr>
        <w:t xml:space="preserve">a sustainable </w:t>
      </w:r>
      <w:r w:rsidR="3B81A014" w:rsidRPr="003A78FF">
        <w:rPr>
          <w:rFonts w:ascii="VIC" w:hAnsi="VIC"/>
          <w:i/>
          <w:iCs/>
          <w:sz w:val="24"/>
          <w:szCs w:val="24"/>
        </w:rPr>
        <w:t xml:space="preserve">healthcare </w:t>
      </w:r>
      <w:r w:rsidR="461CDCC5" w:rsidRPr="003A78FF">
        <w:rPr>
          <w:rFonts w:ascii="VIC" w:hAnsi="VIC"/>
          <w:i/>
          <w:iCs/>
          <w:sz w:val="24"/>
          <w:szCs w:val="24"/>
        </w:rPr>
        <w:t xml:space="preserve">system: The </w:t>
      </w:r>
      <w:r w:rsidR="3BC69703" w:rsidRPr="003A78FF">
        <w:rPr>
          <w:rFonts w:ascii="VIC" w:hAnsi="VIC"/>
          <w:i/>
          <w:iCs/>
          <w:sz w:val="24"/>
          <w:szCs w:val="24"/>
        </w:rPr>
        <w:t xml:space="preserve">economic case of </w:t>
      </w:r>
      <w:r w:rsidR="23E30235" w:rsidRPr="003A78FF">
        <w:rPr>
          <w:rFonts w:ascii="VIC" w:hAnsi="VIC"/>
          <w:i/>
          <w:iCs/>
          <w:sz w:val="24"/>
          <w:szCs w:val="24"/>
        </w:rPr>
        <w:t xml:space="preserve">Medibank’s </w:t>
      </w:r>
      <w:r w:rsidR="0090EC2E" w:rsidRPr="003A78FF">
        <w:rPr>
          <w:rFonts w:ascii="VIC" w:hAnsi="VIC"/>
          <w:i/>
          <w:iCs/>
          <w:sz w:val="24"/>
          <w:szCs w:val="24"/>
        </w:rPr>
        <w:t xml:space="preserve">short-stay, </w:t>
      </w:r>
      <w:r w:rsidR="72305899" w:rsidRPr="003A78FF">
        <w:rPr>
          <w:rFonts w:ascii="VIC" w:hAnsi="VIC"/>
          <w:i/>
          <w:iCs/>
          <w:sz w:val="24"/>
          <w:szCs w:val="24"/>
        </w:rPr>
        <w:t xml:space="preserve">no-gap </w:t>
      </w:r>
      <w:r w:rsidR="67DA12D7" w:rsidRPr="003A78FF">
        <w:rPr>
          <w:rFonts w:ascii="VIC" w:hAnsi="VIC"/>
          <w:i/>
          <w:iCs/>
          <w:sz w:val="24"/>
          <w:szCs w:val="24"/>
        </w:rPr>
        <w:t>program.</w:t>
      </w:r>
      <w:r w:rsidR="23E30235" w:rsidRPr="003A78FF">
        <w:rPr>
          <w:rFonts w:ascii="VIC" w:hAnsi="VIC"/>
          <w:i/>
          <w:iCs/>
          <w:sz w:val="24"/>
          <w:szCs w:val="24"/>
        </w:rPr>
        <w:t xml:space="preserve"> </w:t>
      </w:r>
      <w:r w:rsidR="22F7C440" w:rsidRPr="003A78FF">
        <w:rPr>
          <w:rFonts w:ascii="VIC" w:hAnsi="VIC"/>
          <w:sz w:val="24"/>
          <w:szCs w:val="24"/>
        </w:rPr>
        <w:t>Medibank</w:t>
      </w:r>
      <w:r w:rsidR="776E3649" w:rsidRPr="003A78FF">
        <w:rPr>
          <w:rFonts w:ascii="VIC" w:hAnsi="VIC"/>
          <w:sz w:val="24"/>
          <w:szCs w:val="24"/>
        </w:rPr>
        <w:t xml:space="preserve"> </w:t>
      </w:r>
      <w:r w:rsidR="2D9300F1" w:rsidRPr="003A78FF">
        <w:rPr>
          <w:rFonts w:ascii="VIC" w:hAnsi="VIC"/>
          <w:sz w:val="24"/>
          <w:szCs w:val="24"/>
        </w:rPr>
        <w:t xml:space="preserve">Newsroom. </w:t>
      </w:r>
      <w:hyperlink r:id="rId33" w:history="1">
        <w:r w:rsidR="3901822A" w:rsidRPr="003A78FF">
          <w:rPr>
            <w:rStyle w:val="Hyperlink"/>
            <w:rFonts w:ascii="VIC" w:hAnsi="VIC" w:cs="Calibri"/>
            <w:color w:val="auto"/>
            <w:sz w:val="24"/>
            <w:szCs w:val="24"/>
            <w:u w:val="none"/>
          </w:rPr>
          <w:t>https://www.medibank.com.au/livebetter/newsroom/post/latest-report-reveals-a-solution-to-stretched-healthcare-system</w:t>
        </w:r>
      </w:hyperlink>
      <w:r w:rsidR="3901822A" w:rsidRPr="003A78FF">
        <w:rPr>
          <w:rFonts w:ascii="VIC" w:hAnsi="VIC"/>
          <w:sz w:val="24"/>
          <w:szCs w:val="24"/>
        </w:rPr>
        <w:t xml:space="preserve"> </w:t>
      </w:r>
      <w:r w:rsidR="3901822A" w:rsidRPr="003A78FF">
        <w:rPr>
          <w:rFonts w:ascii="VIC" w:hAnsi="VIC"/>
          <w:i/>
          <w:iCs/>
          <w:sz w:val="24"/>
          <w:szCs w:val="24"/>
        </w:rPr>
        <w:t xml:space="preserve"> </w:t>
      </w:r>
    </w:p>
    <w:p w14:paraId="6047D0F2" w14:textId="08CCB254" w:rsidR="473FC849" w:rsidRPr="003A78FF" w:rsidRDefault="473FC849" w:rsidP="00A13531">
      <w:pPr>
        <w:pStyle w:val="SCVbody"/>
        <w:rPr>
          <w:rFonts w:ascii="VIC" w:hAnsi="VIC"/>
          <w:sz w:val="24"/>
          <w:szCs w:val="24"/>
        </w:rPr>
      </w:pPr>
      <w:r w:rsidRPr="003A78FF">
        <w:rPr>
          <w:rFonts w:ascii="VIC" w:eastAsia="Arial" w:hAnsi="VIC"/>
          <w:sz w:val="24"/>
          <w:szCs w:val="24"/>
        </w:rPr>
        <w:t>Mills, J. M., Luscombe, G. M., &amp; Hugh, T. J. (2022). Same</w:t>
      </w:r>
      <w:r w:rsidRPr="003A78FF">
        <w:rPr>
          <w:rFonts w:ascii="Times New Roman" w:eastAsia="Arial" w:hAnsi="Times New Roman" w:cs="Times New Roman"/>
          <w:sz w:val="24"/>
          <w:szCs w:val="24"/>
        </w:rPr>
        <w:t>‐</w:t>
      </w:r>
      <w:r w:rsidRPr="003A78FF">
        <w:rPr>
          <w:rFonts w:ascii="VIC" w:eastAsia="Arial" w:hAnsi="VIC"/>
          <w:sz w:val="24"/>
          <w:szCs w:val="24"/>
        </w:rPr>
        <w:t>day inguinal hernia repair in Australia, 2000</w:t>
      </w:r>
      <w:r w:rsidRPr="003A78FF">
        <w:rPr>
          <w:rFonts w:ascii="VIC" w:eastAsia="Arial" w:hAnsi="VIC" w:cs="Arial"/>
          <w:sz w:val="24"/>
          <w:szCs w:val="24"/>
        </w:rPr>
        <w:t>–</w:t>
      </w:r>
      <w:r w:rsidRPr="003A78FF">
        <w:rPr>
          <w:rFonts w:ascii="VIC" w:eastAsia="Arial" w:hAnsi="VIC"/>
          <w:sz w:val="24"/>
          <w:szCs w:val="24"/>
        </w:rPr>
        <w:t xml:space="preserve">19. </w:t>
      </w:r>
      <w:r w:rsidRPr="003A78FF">
        <w:rPr>
          <w:rFonts w:ascii="VIC" w:eastAsia="Arial" w:hAnsi="VIC"/>
          <w:i/>
          <w:sz w:val="24"/>
          <w:szCs w:val="24"/>
        </w:rPr>
        <w:t>The Medical Journal of Australia</w:t>
      </w:r>
      <w:r w:rsidRPr="003A78FF">
        <w:rPr>
          <w:rFonts w:ascii="VIC" w:eastAsia="Arial" w:hAnsi="VIC"/>
          <w:sz w:val="24"/>
          <w:szCs w:val="24"/>
        </w:rPr>
        <w:t xml:space="preserve">, </w:t>
      </w:r>
      <w:r w:rsidRPr="003A78FF">
        <w:rPr>
          <w:rFonts w:ascii="VIC" w:eastAsia="Arial" w:hAnsi="VIC"/>
          <w:i/>
          <w:sz w:val="24"/>
          <w:szCs w:val="24"/>
        </w:rPr>
        <w:t>216</w:t>
      </w:r>
      <w:r w:rsidRPr="003A78FF">
        <w:rPr>
          <w:rFonts w:ascii="VIC" w:eastAsia="Arial" w:hAnsi="VIC"/>
          <w:sz w:val="24"/>
          <w:szCs w:val="24"/>
        </w:rPr>
        <w:t>(6), 303-304.</w:t>
      </w:r>
    </w:p>
    <w:p w14:paraId="05158EAD" w14:textId="77777777" w:rsidR="00136B2F" w:rsidRPr="003A78FF" w:rsidRDefault="00136B2F" w:rsidP="00A13531">
      <w:pPr>
        <w:pStyle w:val="SCVbody"/>
        <w:rPr>
          <w:rFonts w:ascii="VIC" w:hAnsi="VIC"/>
          <w:i/>
          <w:iCs/>
          <w:sz w:val="24"/>
          <w:szCs w:val="24"/>
        </w:rPr>
      </w:pPr>
      <w:r w:rsidRPr="003A78FF">
        <w:rPr>
          <w:rFonts w:ascii="VIC" w:hAnsi="VIC"/>
          <w:sz w:val="24"/>
          <w:szCs w:val="24"/>
          <w:shd w:val="clear" w:color="auto" w:fill="FFFFFF"/>
        </w:rPr>
        <w:t xml:space="preserve">Northern Health (n.d) </w:t>
      </w:r>
      <w:r w:rsidRPr="003A78FF">
        <w:rPr>
          <w:rFonts w:ascii="VIC" w:hAnsi="VIC"/>
          <w:i/>
          <w:iCs/>
          <w:color w:val="222222"/>
          <w:sz w:val="24"/>
          <w:szCs w:val="24"/>
          <w:shd w:val="clear" w:color="auto" w:fill="FFFFFF"/>
        </w:rPr>
        <w:t xml:space="preserve">Draft Procedure: Day surgery for laparoscopic cholecystectomy. </w:t>
      </w:r>
    </w:p>
    <w:p w14:paraId="5C590D1B" w14:textId="77777777" w:rsidR="0084013F" w:rsidRPr="003A78FF" w:rsidRDefault="00680A3D" w:rsidP="00A13531">
      <w:pPr>
        <w:pStyle w:val="SCVbody"/>
        <w:rPr>
          <w:rStyle w:val="Hyperlink"/>
          <w:rFonts w:ascii="VIC" w:hAnsi="VIC" w:cs="Calibri"/>
          <w:color w:val="auto"/>
          <w:sz w:val="24"/>
          <w:szCs w:val="24"/>
          <w:u w:val="none"/>
        </w:rPr>
      </w:pPr>
      <w:r w:rsidRPr="003A78FF">
        <w:rPr>
          <w:rFonts w:ascii="VIC" w:hAnsi="VIC" w:cs="Calibri"/>
          <w:sz w:val="24"/>
          <w:szCs w:val="24"/>
        </w:rPr>
        <w:t xml:space="preserve">NSW Agency of Clinical Innovation (2022 Mar). </w:t>
      </w:r>
      <w:r w:rsidRPr="003A78FF">
        <w:rPr>
          <w:rFonts w:ascii="VIC" w:hAnsi="VIC" w:cs="Calibri"/>
          <w:i/>
          <w:sz w:val="24"/>
          <w:szCs w:val="24"/>
        </w:rPr>
        <w:t>Same-day hip and knee joint replacement surgery key principles.</w:t>
      </w:r>
      <w:r w:rsidRPr="003A78FF">
        <w:rPr>
          <w:rFonts w:ascii="VIC" w:hAnsi="VIC" w:cs="Calibri"/>
          <w:sz w:val="24"/>
          <w:szCs w:val="24"/>
        </w:rPr>
        <w:t xml:space="preserve"> </w:t>
      </w:r>
      <w:hyperlink r:id="rId34" w:history="1">
        <w:r w:rsidRPr="003A78FF">
          <w:rPr>
            <w:rStyle w:val="Hyperlink"/>
            <w:rFonts w:ascii="VIC" w:hAnsi="VIC" w:cs="Calibri"/>
            <w:color w:val="auto"/>
            <w:sz w:val="24"/>
            <w:szCs w:val="24"/>
            <w:u w:val="none"/>
          </w:rPr>
          <w:t>https://aci.health.nsw.gov.au/__data/assets/pdf_file/0009/717876/ACI-Same-day-hip-and-knee-joint-replacement-surgery-key-principles.pdf</w:t>
        </w:r>
      </w:hyperlink>
    </w:p>
    <w:p w14:paraId="64399624" w14:textId="77777777" w:rsidR="0084013F" w:rsidRPr="003A78FF" w:rsidRDefault="00E160E7" w:rsidP="00A13531">
      <w:pPr>
        <w:pStyle w:val="SCVbody"/>
        <w:rPr>
          <w:rFonts w:ascii="VIC" w:hAnsi="VIC" w:cs="Calibri"/>
          <w:sz w:val="24"/>
          <w:szCs w:val="24"/>
          <w:shd w:val="clear" w:color="auto" w:fill="FFFFFF"/>
        </w:rPr>
      </w:pPr>
      <w:r w:rsidRPr="003A78FF">
        <w:rPr>
          <w:rFonts w:ascii="VIC" w:hAnsi="VIC" w:cs="Calibri"/>
          <w:sz w:val="24"/>
          <w:szCs w:val="24"/>
          <w:shd w:val="clear" w:color="auto" w:fill="FFFFFF"/>
        </w:rPr>
        <w:t xml:space="preserve">Ross, A. </w:t>
      </w:r>
      <w:r w:rsidR="007F25A2" w:rsidRPr="003A78FF">
        <w:rPr>
          <w:rFonts w:ascii="VIC" w:hAnsi="VIC" w:cs="Calibri"/>
          <w:sz w:val="24"/>
          <w:szCs w:val="24"/>
          <w:shd w:val="clear" w:color="auto" w:fill="FFFFFF"/>
        </w:rPr>
        <w:t xml:space="preserve">(2022, </w:t>
      </w:r>
      <w:r w:rsidR="00315C61" w:rsidRPr="003A78FF">
        <w:rPr>
          <w:rFonts w:ascii="VIC" w:hAnsi="VIC" w:cs="Calibri"/>
          <w:sz w:val="24"/>
          <w:szCs w:val="24"/>
          <w:shd w:val="clear" w:color="auto" w:fill="FFFFFF"/>
        </w:rPr>
        <w:t xml:space="preserve">August 12). </w:t>
      </w:r>
      <w:r w:rsidR="00A3089D" w:rsidRPr="003A78FF">
        <w:rPr>
          <w:rFonts w:ascii="VIC" w:hAnsi="VIC" w:cs="Calibri"/>
          <w:i/>
          <w:sz w:val="24"/>
          <w:szCs w:val="24"/>
          <w:shd w:val="clear" w:color="auto" w:fill="FFFFFF"/>
        </w:rPr>
        <w:t>Latest report reveals a solution to stretched healthcare system</w:t>
      </w:r>
      <w:r w:rsidR="00A3089D" w:rsidRPr="003A78FF">
        <w:rPr>
          <w:rFonts w:ascii="VIC" w:hAnsi="VIC" w:cs="Calibri"/>
          <w:sz w:val="24"/>
          <w:szCs w:val="24"/>
          <w:shd w:val="clear" w:color="auto" w:fill="FFFFFF"/>
        </w:rPr>
        <w:t>. Medibank</w:t>
      </w:r>
      <w:r w:rsidR="0084013F" w:rsidRPr="003A78FF">
        <w:rPr>
          <w:rFonts w:ascii="VIC" w:hAnsi="VIC" w:cs="Calibri"/>
          <w:sz w:val="24"/>
          <w:szCs w:val="24"/>
          <w:shd w:val="clear" w:color="auto" w:fill="FFFFFF"/>
        </w:rPr>
        <w:t xml:space="preserve"> </w:t>
      </w:r>
      <w:r w:rsidR="00A3089D" w:rsidRPr="003A78FF">
        <w:rPr>
          <w:rFonts w:ascii="VIC" w:hAnsi="VIC" w:cs="Calibri"/>
          <w:sz w:val="24"/>
          <w:szCs w:val="24"/>
          <w:shd w:val="clear" w:color="auto" w:fill="FFFFFF"/>
        </w:rPr>
        <w:t xml:space="preserve">Media Releases. </w:t>
      </w:r>
      <w:hyperlink r:id="rId35" w:history="1">
        <w:r w:rsidR="00A3089D" w:rsidRPr="003A78FF">
          <w:rPr>
            <w:rStyle w:val="Hyperlink"/>
            <w:rFonts w:ascii="VIC" w:hAnsi="VIC" w:cs="Calibri"/>
            <w:color w:val="auto"/>
            <w:sz w:val="24"/>
            <w:szCs w:val="24"/>
            <w:u w:val="none"/>
            <w:shd w:val="clear" w:color="auto" w:fill="FFFFFF"/>
          </w:rPr>
          <w:t>https://www.medibank.com.au/livebetter/newsroom/post/latest-report-reveals-a-solution-to-stretched-healthcare-system</w:t>
        </w:r>
      </w:hyperlink>
      <w:r w:rsidR="00A3089D" w:rsidRPr="003A78FF">
        <w:rPr>
          <w:rFonts w:ascii="VIC" w:hAnsi="VIC" w:cs="Calibri"/>
          <w:sz w:val="24"/>
          <w:szCs w:val="24"/>
          <w:shd w:val="clear" w:color="auto" w:fill="FFFFFF"/>
        </w:rPr>
        <w:t xml:space="preserve"> </w:t>
      </w:r>
    </w:p>
    <w:p w14:paraId="2892930D" w14:textId="7B510767" w:rsidR="00CB182D" w:rsidRPr="003A78FF" w:rsidRDefault="009E7B57" w:rsidP="00A13531">
      <w:pPr>
        <w:pStyle w:val="SCVbody"/>
        <w:rPr>
          <w:rFonts w:ascii="VIC" w:hAnsi="VIC" w:cs="Calibri"/>
          <w:sz w:val="24"/>
          <w:szCs w:val="24"/>
        </w:rPr>
      </w:pPr>
      <w:r w:rsidRPr="003A78FF">
        <w:rPr>
          <w:rFonts w:ascii="VIC" w:hAnsi="VIC" w:cs="Calibri"/>
          <w:sz w:val="24"/>
          <w:szCs w:val="24"/>
          <w:shd w:val="clear" w:color="auto" w:fill="FFFFFF"/>
        </w:rPr>
        <w:t xml:space="preserve">Ross, J., Santhirapala, R., MacEwen, C. and Coulter, A., </w:t>
      </w:r>
      <w:r w:rsidR="0068033E" w:rsidRPr="003A78FF">
        <w:rPr>
          <w:rFonts w:ascii="VIC" w:hAnsi="VIC" w:cs="Calibri"/>
          <w:sz w:val="24"/>
          <w:szCs w:val="24"/>
          <w:shd w:val="clear" w:color="auto" w:fill="FFFFFF"/>
        </w:rPr>
        <w:t>(</w:t>
      </w:r>
      <w:r w:rsidRPr="003A78FF">
        <w:rPr>
          <w:rFonts w:ascii="VIC" w:hAnsi="VIC" w:cs="Calibri"/>
          <w:sz w:val="24"/>
          <w:szCs w:val="24"/>
          <w:shd w:val="clear" w:color="auto" w:fill="FFFFFF"/>
        </w:rPr>
        <w:t>2018</w:t>
      </w:r>
      <w:r w:rsidR="0068033E" w:rsidRPr="003A78FF">
        <w:rPr>
          <w:rFonts w:ascii="VIC" w:hAnsi="VIC" w:cs="Calibri"/>
          <w:sz w:val="24"/>
          <w:szCs w:val="24"/>
          <w:shd w:val="clear" w:color="auto" w:fill="FFFFFF"/>
        </w:rPr>
        <w:t>)</w:t>
      </w:r>
      <w:r w:rsidRPr="003A78FF">
        <w:rPr>
          <w:rFonts w:ascii="VIC" w:hAnsi="VIC" w:cs="Calibri"/>
          <w:sz w:val="24"/>
          <w:szCs w:val="24"/>
          <w:shd w:val="clear" w:color="auto" w:fill="FFFFFF"/>
        </w:rPr>
        <w:t xml:space="preserve">. </w:t>
      </w:r>
      <w:r w:rsidRPr="003A78FF">
        <w:rPr>
          <w:rFonts w:ascii="VIC" w:hAnsi="VIC" w:cs="Calibri"/>
          <w:i/>
          <w:sz w:val="24"/>
          <w:szCs w:val="24"/>
          <w:shd w:val="clear" w:color="auto" w:fill="FFFFFF"/>
        </w:rPr>
        <w:t>Helping patients choose wisely.</w:t>
      </w:r>
      <w:r w:rsidRPr="003A78FF">
        <w:rPr>
          <w:rFonts w:ascii="Cambria" w:hAnsi="Cambria" w:cs="Cambria"/>
          <w:sz w:val="24"/>
          <w:szCs w:val="24"/>
          <w:shd w:val="clear" w:color="auto" w:fill="FFFFFF"/>
        </w:rPr>
        <w:t> </w:t>
      </w:r>
      <w:r w:rsidR="0084013F" w:rsidRPr="003A78FF">
        <w:rPr>
          <w:rFonts w:ascii="VIC" w:hAnsi="VIC" w:cs="Calibri"/>
          <w:sz w:val="24"/>
          <w:szCs w:val="24"/>
          <w:shd w:val="clear" w:color="auto" w:fill="FFFFFF"/>
        </w:rPr>
        <w:t>BMI</w:t>
      </w:r>
      <w:r w:rsidRPr="003A78FF">
        <w:rPr>
          <w:rFonts w:ascii="VIC" w:hAnsi="VIC" w:cs="Calibri"/>
          <w:sz w:val="24"/>
          <w:szCs w:val="24"/>
          <w:shd w:val="clear" w:color="auto" w:fill="FFFFFF"/>
        </w:rPr>
        <w:t>,</w:t>
      </w:r>
      <w:r w:rsidRPr="003A78FF">
        <w:rPr>
          <w:rFonts w:ascii="Cambria" w:hAnsi="Cambria" w:cs="Cambria"/>
          <w:sz w:val="24"/>
          <w:szCs w:val="24"/>
          <w:shd w:val="clear" w:color="auto" w:fill="FFFFFF"/>
        </w:rPr>
        <w:t> </w:t>
      </w:r>
      <w:r w:rsidRPr="003A78FF">
        <w:rPr>
          <w:rFonts w:ascii="VIC" w:hAnsi="VIC" w:cs="Calibri"/>
          <w:i/>
          <w:sz w:val="24"/>
          <w:szCs w:val="24"/>
          <w:shd w:val="clear" w:color="auto" w:fill="FFFFFF"/>
        </w:rPr>
        <w:t>361</w:t>
      </w:r>
      <w:r w:rsidRPr="003A78FF">
        <w:rPr>
          <w:rFonts w:ascii="VIC" w:hAnsi="VIC" w:cs="Calibri"/>
          <w:sz w:val="24"/>
          <w:szCs w:val="24"/>
          <w:shd w:val="clear" w:color="auto" w:fill="FFFFFF"/>
        </w:rPr>
        <w:t>.</w:t>
      </w:r>
    </w:p>
    <w:p w14:paraId="7A6B3C83" w14:textId="77777777" w:rsidR="00D32469" w:rsidRPr="003A78FF" w:rsidRDefault="00D32469" w:rsidP="00A13531">
      <w:pPr>
        <w:pStyle w:val="SCVbody"/>
        <w:rPr>
          <w:rFonts w:ascii="VIC" w:hAnsi="VIC" w:cs="Calibri"/>
          <w:sz w:val="24"/>
          <w:szCs w:val="24"/>
          <w:shd w:val="clear" w:color="auto" w:fill="FFFFFF"/>
        </w:rPr>
      </w:pPr>
      <w:r w:rsidRPr="003A78FF">
        <w:rPr>
          <w:rFonts w:ascii="VIC" w:hAnsi="VIC" w:cs="Calibri"/>
          <w:sz w:val="24"/>
          <w:szCs w:val="24"/>
          <w:shd w:val="clear" w:color="auto" w:fill="FFFFFF"/>
        </w:rPr>
        <w:t xml:space="preserve">Safer Care Victoria (2022, Sep 22). </w:t>
      </w:r>
      <w:r w:rsidRPr="003A78FF">
        <w:rPr>
          <w:rFonts w:ascii="VIC" w:hAnsi="VIC" w:cs="Calibri"/>
          <w:i/>
          <w:sz w:val="24"/>
          <w:szCs w:val="24"/>
          <w:shd w:val="clear" w:color="auto" w:fill="FFFFFF"/>
        </w:rPr>
        <w:t>Best Care: Guidance for non-urgent elective surgery</w:t>
      </w:r>
      <w:r w:rsidRPr="003A78FF">
        <w:rPr>
          <w:rFonts w:ascii="VIC" w:hAnsi="VIC" w:cs="Calibri"/>
          <w:sz w:val="24"/>
          <w:szCs w:val="24"/>
          <w:shd w:val="clear" w:color="auto" w:fill="FFFFFF"/>
        </w:rPr>
        <w:t>.</w:t>
      </w:r>
      <w:r w:rsidRPr="003A78FF">
        <w:rPr>
          <w:rFonts w:ascii="VIC" w:hAnsi="VIC" w:cs="Calibri"/>
          <w:sz w:val="24"/>
          <w:szCs w:val="24"/>
        </w:rPr>
        <w:t xml:space="preserve"> </w:t>
      </w:r>
      <w:r w:rsidRPr="003A78FF">
        <w:rPr>
          <w:rFonts w:ascii="VIC" w:hAnsi="VIC" w:cs="Calibri"/>
          <w:sz w:val="24"/>
          <w:szCs w:val="24"/>
          <w:shd w:val="clear" w:color="auto" w:fill="FFFFFF"/>
        </w:rPr>
        <w:t>https://aci.health.nsw.gov.au/__data/assets/pdf_file/0009/717876/ACI-Same-day-hip-and-knee-joint-replacement-surgery-key-principles.pdf</w:t>
      </w:r>
    </w:p>
    <w:p w14:paraId="2B25CF9E" w14:textId="33AD5AFF" w:rsidR="009E7B57" w:rsidRPr="003A78FF" w:rsidRDefault="009E7B57" w:rsidP="00A13531">
      <w:pPr>
        <w:pStyle w:val="SCVbody"/>
        <w:rPr>
          <w:rFonts w:ascii="VIC" w:hAnsi="VIC" w:cs="Calibri"/>
          <w:sz w:val="24"/>
          <w:szCs w:val="24"/>
          <w:shd w:val="clear" w:color="auto" w:fill="FFFFFF"/>
        </w:rPr>
      </w:pPr>
      <w:r w:rsidRPr="003A78FF">
        <w:rPr>
          <w:rFonts w:ascii="VIC" w:hAnsi="VIC" w:cs="Calibri"/>
          <w:sz w:val="24"/>
          <w:szCs w:val="24"/>
          <w:shd w:val="clear" w:color="auto" w:fill="FFFFFF"/>
        </w:rPr>
        <w:t xml:space="preserve">Scarfe, A., Duncan, J., Ma, N., Cameron, A., Rankin, D., Karatassas, A., Fletcher, D., Watters, D. and Maddern, G., </w:t>
      </w:r>
      <w:r w:rsidR="0068033E" w:rsidRPr="003A78FF">
        <w:rPr>
          <w:rFonts w:ascii="VIC" w:hAnsi="VIC" w:cs="Calibri"/>
          <w:sz w:val="24"/>
          <w:szCs w:val="24"/>
          <w:shd w:val="clear" w:color="auto" w:fill="FFFFFF"/>
        </w:rPr>
        <w:t>(</w:t>
      </w:r>
      <w:r w:rsidRPr="003A78FF">
        <w:rPr>
          <w:rFonts w:ascii="VIC" w:hAnsi="VIC" w:cs="Calibri"/>
          <w:sz w:val="24"/>
          <w:szCs w:val="24"/>
          <w:shd w:val="clear" w:color="auto" w:fill="FFFFFF"/>
        </w:rPr>
        <w:t>2018</w:t>
      </w:r>
      <w:r w:rsidR="0068033E" w:rsidRPr="003A78FF">
        <w:rPr>
          <w:rFonts w:ascii="VIC" w:hAnsi="VIC" w:cs="Calibri"/>
          <w:sz w:val="24"/>
          <w:szCs w:val="24"/>
          <w:shd w:val="clear" w:color="auto" w:fill="FFFFFF"/>
        </w:rPr>
        <w:t>)</w:t>
      </w:r>
      <w:r w:rsidRPr="003A78FF">
        <w:rPr>
          <w:rFonts w:ascii="VIC" w:hAnsi="VIC" w:cs="Calibri"/>
          <w:sz w:val="24"/>
          <w:szCs w:val="24"/>
          <w:shd w:val="clear" w:color="auto" w:fill="FFFFFF"/>
        </w:rPr>
        <w:t>. Day case hernia repair: weak evidence or practice gap?</w:t>
      </w:r>
      <w:r w:rsidRPr="003A78FF">
        <w:rPr>
          <w:rFonts w:ascii="Cambria" w:hAnsi="Cambria" w:cs="Cambria"/>
          <w:sz w:val="24"/>
          <w:szCs w:val="24"/>
          <w:shd w:val="clear" w:color="auto" w:fill="FFFFFF"/>
        </w:rPr>
        <w:t> </w:t>
      </w:r>
      <w:r w:rsidRPr="003A78FF">
        <w:rPr>
          <w:rFonts w:ascii="VIC" w:hAnsi="VIC" w:cs="Calibri"/>
          <w:i/>
          <w:sz w:val="24"/>
          <w:szCs w:val="24"/>
          <w:shd w:val="clear" w:color="auto" w:fill="FFFFFF"/>
        </w:rPr>
        <w:t>ANZ journal of surgery</w:t>
      </w:r>
      <w:r w:rsidRPr="003A78FF">
        <w:rPr>
          <w:rFonts w:ascii="VIC" w:hAnsi="VIC" w:cs="Calibri"/>
          <w:sz w:val="24"/>
          <w:szCs w:val="24"/>
          <w:shd w:val="clear" w:color="auto" w:fill="FFFFFF"/>
        </w:rPr>
        <w:t>,</w:t>
      </w:r>
      <w:r w:rsidRPr="003A78FF">
        <w:rPr>
          <w:rFonts w:ascii="Cambria" w:hAnsi="Cambria" w:cs="Cambria"/>
          <w:sz w:val="24"/>
          <w:szCs w:val="24"/>
          <w:shd w:val="clear" w:color="auto" w:fill="FFFFFF"/>
        </w:rPr>
        <w:t> </w:t>
      </w:r>
      <w:r w:rsidRPr="003A78FF">
        <w:rPr>
          <w:rFonts w:ascii="VIC" w:hAnsi="VIC" w:cs="Calibri"/>
          <w:i/>
          <w:sz w:val="24"/>
          <w:szCs w:val="24"/>
          <w:shd w:val="clear" w:color="auto" w:fill="FFFFFF"/>
        </w:rPr>
        <w:t>88</w:t>
      </w:r>
      <w:r w:rsidRPr="003A78FF">
        <w:rPr>
          <w:rFonts w:ascii="VIC" w:hAnsi="VIC" w:cs="Calibri"/>
          <w:sz w:val="24"/>
          <w:szCs w:val="24"/>
          <w:shd w:val="clear" w:color="auto" w:fill="FFFFFF"/>
        </w:rPr>
        <w:t xml:space="preserve">(6), pp.547-553. </w:t>
      </w:r>
    </w:p>
    <w:p w14:paraId="1E12B9B7" w14:textId="0117064C" w:rsidR="00864FB4" w:rsidRPr="003A78FF" w:rsidRDefault="00C7102A" w:rsidP="00A13531">
      <w:pPr>
        <w:pStyle w:val="SCVbody"/>
        <w:rPr>
          <w:rFonts w:ascii="VIC" w:hAnsi="VIC"/>
          <w:i/>
          <w:iCs/>
          <w:sz w:val="24"/>
          <w:szCs w:val="24"/>
        </w:rPr>
      </w:pPr>
      <w:r w:rsidRPr="003A78FF">
        <w:rPr>
          <w:rFonts w:ascii="VIC" w:hAnsi="VIC" w:cs="Calibri"/>
          <w:sz w:val="24"/>
          <w:szCs w:val="24"/>
          <w:shd w:val="clear" w:color="auto" w:fill="FFFFFF"/>
        </w:rPr>
        <w:lastRenderedPageBreak/>
        <w:t>St</w:t>
      </w:r>
      <w:r w:rsidR="00A92CEC" w:rsidRPr="003A78FF">
        <w:rPr>
          <w:rFonts w:ascii="VIC" w:hAnsi="VIC"/>
          <w:color w:val="222222"/>
          <w:sz w:val="24"/>
          <w:szCs w:val="24"/>
          <w:shd w:val="clear" w:color="auto" w:fill="FFFFFF"/>
        </w:rPr>
        <w:t xml:space="preserve"> Vincent’s Hospital Melbourne</w:t>
      </w:r>
      <w:r w:rsidR="00AA0875" w:rsidRPr="003A78FF">
        <w:rPr>
          <w:rFonts w:ascii="VIC" w:hAnsi="VIC"/>
          <w:color w:val="222222"/>
          <w:sz w:val="24"/>
          <w:szCs w:val="24"/>
          <w:shd w:val="clear" w:color="auto" w:fill="FFFFFF"/>
        </w:rPr>
        <w:t xml:space="preserve"> (May 2022).</w:t>
      </w:r>
      <w:r w:rsidR="008B5605" w:rsidRPr="003A78FF">
        <w:rPr>
          <w:rFonts w:ascii="VIC" w:hAnsi="VIC"/>
          <w:sz w:val="24"/>
          <w:szCs w:val="24"/>
        </w:rPr>
        <w:t xml:space="preserve"> </w:t>
      </w:r>
      <w:r w:rsidR="008B5605" w:rsidRPr="003A78FF">
        <w:rPr>
          <w:rFonts w:ascii="VIC" w:hAnsi="VIC"/>
          <w:i/>
          <w:iCs/>
          <w:sz w:val="24"/>
          <w:szCs w:val="24"/>
        </w:rPr>
        <w:t>Day of Surgery Discharge and Transfer to Hospital in the Home (HITH) Policy</w:t>
      </w:r>
      <w:r w:rsidR="0043733E" w:rsidRPr="003A78FF">
        <w:rPr>
          <w:rFonts w:ascii="VIC" w:hAnsi="VIC"/>
          <w:i/>
          <w:iCs/>
          <w:sz w:val="24"/>
          <w:szCs w:val="24"/>
        </w:rPr>
        <w:t>.</w:t>
      </w:r>
    </w:p>
    <w:p w14:paraId="7A29A030" w14:textId="0E686E06" w:rsidR="00864FB4" w:rsidRPr="003A78FF" w:rsidRDefault="00864FB4" w:rsidP="00A13531">
      <w:pPr>
        <w:pStyle w:val="SCVbody"/>
        <w:rPr>
          <w:rFonts w:ascii="VIC" w:hAnsi="VIC"/>
          <w:sz w:val="24"/>
          <w:szCs w:val="24"/>
        </w:rPr>
      </w:pPr>
      <w:r w:rsidRPr="003A78FF">
        <w:rPr>
          <w:rFonts w:ascii="VIC" w:hAnsi="VIC" w:cs="Calibri"/>
          <w:sz w:val="24"/>
          <w:szCs w:val="24"/>
          <w:shd w:val="clear" w:color="auto" w:fill="FFFFFF"/>
        </w:rPr>
        <w:t xml:space="preserve">Vandepitte, C., Van </w:t>
      </w:r>
      <w:r w:rsidRPr="003A78FF">
        <w:rPr>
          <w:rFonts w:ascii="VIC" w:hAnsi="VIC"/>
          <w:color w:val="222222"/>
          <w:sz w:val="24"/>
          <w:szCs w:val="24"/>
          <w:shd w:val="clear" w:color="auto" w:fill="FFFFFF"/>
        </w:rPr>
        <w:t>Pachtenbeke, L., Van Herreweghe, I., Gupta, R.K. and Elkassabany, N.M., (2022</w:t>
      </w:r>
      <w:r w:rsidR="0068033E" w:rsidRPr="003A78FF">
        <w:rPr>
          <w:rFonts w:ascii="VIC" w:hAnsi="VIC"/>
          <w:color w:val="222222"/>
          <w:sz w:val="24"/>
          <w:szCs w:val="24"/>
          <w:shd w:val="clear" w:color="auto" w:fill="FFFFFF"/>
        </w:rPr>
        <w:t>)</w:t>
      </w:r>
      <w:r w:rsidRPr="003A78FF">
        <w:rPr>
          <w:rFonts w:ascii="VIC" w:hAnsi="VIC"/>
          <w:color w:val="222222"/>
          <w:sz w:val="24"/>
          <w:szCs w:val="24"/>
          <w:shd w:val="clear" w:color="auto" w:fill="FFFFFF"/>
        </w:rPr>
        <w:t xml:space="preserve">. </w:t>
      </w:r>
      <w:r w:rsidRPr="003A78FF">
        <w:rPr>
          <w:rFonts w:ascii="VIC" w:hAnsi="VIC"/>
          <w:i/>
          <w:iCs/>
          <w:color w:val="222222"/>
          <w:sz w:val="24"/>
          <w:szCs w:val="24"/>
          <w:shd w:val="clear" w:color="auto" w:fill="FFFFFF"/>
        </w:rPr>
        <w:t>Same Day Joint Replacement Surgery: Patient Selection and Perioperative Management.</w:t>
      </w:r>
      <w:r w:rsidRPr="003A78FF">
        <w:rPr>
          <w:rFonts w:ascii="Cambria" w:hAnsi="Cambria" w:cs="Cambria"/>
          <w:i/>
          <w:iCs/>
          <w:color w:val="222222"/>
          <w:sz w:val="24"/>
          <w:szCs w:val="24"/>
          <w:shd w:val="clear" w:color="auto" w:fill="FFFFFF"/>
        </w:rPr>
        <w:t> </w:t>
      </w:r>
      <w:r w:rsidRPr="003A78FF">
        <w:rPr>
          <w:rFonts w:ascii="VIC" w:hAnsi="VIC"/>
          <w:color w:val="222222"/>
          <w:sz w:val="24"/>
          <w:szCs w:val="24"/>
          <w:shd w:val="clear" w:color="auto" w:fill="FFFFFF"/>
        </w:rPr>
        <w:t>Anesthesiology Clinics.</w:t>
      </w:r>
    </w:p>
    <w:p w14:paraId="2F71DB90" w14:textId="401348C7" w:rsidR="0043733E" w:rsidRPr="003A78FF" w:rsidRDefault="0043733E" w:rsidP="00A13531">
      <w:pPr>
        <w:pStyle w:val="SCVbody"/>
        <w:rPr>
          <w:rFonts w:ascii="VIC" w:hAnsi="VIC" w:cstheme="minorHAnsi"/>
          <w:i/>
          <w:color w:val="000000"/>
          <w:sz w:val="22"/>
          <w:szCs w:val="22"/>
        </w:rPr>
      </w:pPr>
    </w:p>
    <w:bookmarkEnd w:id="7"/>
    <w:bookmarkEnd w:id="8"/>
    <w:p w14:paraId="5B206F78" w14:textId="544CFFD5" w:rsidR="00A36DA2" w:rsidRPr="003A78FF" w:rsidRDefault="00A36DA2" w:rsidP="00A36DA2">
      <w:pPr>
        <w:pStyle w:val="NormalWeb"/>
        <w:rPr>
          <w:rFonts w:ascii="VIC" w:hAnsi="VIC" w:cstheme="minorHAnsi"/>
          <w:i/>
          <w:iCs/>
          <w:color w:val="000000"/>
          <w:sz w:val="18"/>
          <w:szCs w:val="18"/>
        </w:rPr>
      </w:pPr>
    </w:p>
    <w:sectPr w:rsidR="00A36DA2" w:rsidRPr="003A78FF" w:rsidSect="00775AF1">
      <w:headerReference w:type="even" r:id="rId36"/>
      <w:headerReference w:type="default" r:id="rId37"/>
      <w:type w:val="continuous"/>
      <w:pgSz w:w="11906" w:h="16838" w:code="9"/>
      <w:pgMar w:top="1588" w:right="992" w:bottom="1440" w:left="1077" w:header="851" w:footer="851"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52667" w14:textId="77777777" w:rsidR="009548DC" w:rsidRDefault="009548DC" w:rsidP="002D711A">
      <w:pPr>
        <w:spacing w:after="0" w:line="240" w:lineRule="auto"/>
      </w:pPr>
      <w:r>
        <w:separator/>
      </w:r>
    </w:p>
  </w:endnote>
  <w:endnote w:type="continuationSeparator" w:id="0">
    <w:p w14:paraId="255AE822" w14:textId="77777777" w:rsidR="009548DC" w:rsidRDefault="009548DC" w:rsidP="002D711A">
      <w:pPr>
        <w:spacing w:after="0" w:line="240" w:lineRule="auto"/>
      </w:pPr>
      <w:r>
        <w:continuationSeparator/>
      </w:r>
    </w:p>
  </w:endnote>
  <w:endnote w:type="continuationNotice" w:id="1">
    <w:p w14:paraId="1ED7D8E8" w14:textId="77777777" w:rsidR="009548DC" w:rsidRDefault="009548D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quot;Courier New&quo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VIC">
    <w:panose1 w:val="00000500000000000000"/>
    <w:charset w:val="00"/>
    <w:family w:val="auto"/>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D8241" w14:textId="77777777" w:rsidR="00385D03" w:rsidRDefault="00385D03">
    <w:pPr>
      <w:pStyle w:val="Footer"/>
    </w:pPr>
    <w:r>
      <mc:AlternateContent>
        <mc:Choice Requires="wps">
          <w:drawing>
            <wp:anchor distT="0" distB="0" distL="114300" distR="114300" simplePos="0" relativeHeight="251658240" behindDoc="0" locked="0" layoutInCell="0" allowOverlap="1" wp14:anchorId="411108D9" wp14:editId="458D4F36">
              <wp:simplePos x="0" y="0"/>
              <wp:positionH relativeFrom="page">
                <wp:posOffset>0</wp:posOffset>
              </wp:positionH>
              <wp:positionV relativeFrom="page">
                <wp:posOffset>10234930</wp:posOffset>
              </wp:positionV>
              <wp:extent cx="7560310" cy="266700"/>
              <wp:effectExtent l="0" t="0" r="0" b="0"/>
              <wp:wrapNone/>
              <wp:docPr id="4" name="Text Box 4"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E5B413" w14:textId="77777777" w:rsidR="00385D03" w:rsidRPr="00F635D9" w:rsidRDefault="00385D03" w:rsidP="00F635D9">
                          <w:pPr>
                            <w:spacing w:before="0" w:after="0"/>
                            <w:jc w:val="center"/>
                            <w:rPr>
                              <w:rFonts w:ascii="Arial Black" w:hAnsi="Arial Black"/>
                              <w:color w:val="000000"/>
                            </w:rPr>
                          </w:pPr>
                          <w:r w:rsidRPr="00F635D9">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11108D9" id="_x0000_t202" coordsize="21600,21600" o:spt="202" path="m,l,21600r21600,l21600,xe">
              <v:stroke joinstyle="miter"/>
              <v:path gradientshapeok="t" o:connecttype="rect"/>
            </v:shapetype>
            <v:shape id="Text Box 4" o:spid="_x0000_s1026" type="#_x0000_t202" alt="{&quot;HashCode&quot;:904758361,&quot;Height&quot;:841.0,&quot;Width&quot;:595.0,&quot;Placement&quot;:&quot;Footer&quot;,&quot;Index&quot;:&quot;OddAndEven&quot;,&quot;Section&quot;:1,&quot;Top&quot;:0.0,&quot;Left&quot;:0.0}" style="position:absolute;margin-left:0;margin-top:805.9pt;width:595.3pt;height:21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jTfFAIAACQEAAAOAAAAZHJzL2Uyb0RvYy54bWysU01v2zAMvQ/YfxB0X2ynbboZcYqsRYYB&#10;QVsgHXpWZCk2IImapMTOfv0o2UmKbqdhF5kmKX689zS/67UiB+F8C6aixSSnRBgOdWt2Ff3xsvr0&#10;mRIfmKmZAiMqehSe3i0+fph3thRTaEDVwhEsYnzZ2Yo2IdgyyzxvhGZ+AlYYDEpwmgX8dbusdqzD&#10;6lpl0zyfZR242jrgwnv0PgxBukj1pRQ8PEnpRSCqojhbSKdL5zae2WLOyp1jtmn5OAb7hyk0aw02&#10;PZd6YIGRvWv/KKVb7sCDDBMOOgMpWy7SDrhNkb/bZtMwK9IuCI63Z5j8/yvLHw8b++xI6L9CjwRG&#10;QDrrS4/OuE8vnY5fnJRgHCE8nmETfSAcnbc3s/yqwBDH2HQ2u80TrtnltnU+fBOgSTQq6pCWhBY7&#10;rH3Ajph6SonNDKxapRI1ypCuorOrmzxdOEfwhjJ48TJrtEK/7ccFtlAfcS8HA+Xe8lWLzdfMh2fm&#10;kGOcF3UbnvCQCrAJjBYlDbhff/PHfIQeo5R0qJmK+p975gQl6rtBUr4U19dRZOkHDffWuz15zV7f&#10;A8qxwJdheTJjblAnUzrQryjrZeyGIWY49qzo9mTeh0HB+Cy4WC5TEsrJsrA2G8tj6QhjhPSlf2XO&#10;jrgHZOwRTqpi5Tv4h9yBgOU+gGwTNxHYAc0Rb5Riomx8NlHrb/9T1uVxL34DAAD//wMAUEsDBBQA&#10;BgAIAAAAIQCDso8r3wAAAAsBAAAPAAAAZHJzL2Rvd25yZXYueG1sTI/NTsMwEITvSLyDtUjcqBMo&#10;URviVAjEBQkhCuLsxJufJl5Hsdsmb9/NCY47M5qdL9tNthcnHH3rSEG8ikAglc60VCv4+X6724Dw&#10;QZPRvSNUMKOHXX59lenUuDN94WkfasEl5FOtoAlhSKX0ZYNW+5UbkNir3Gh14HOspRn1mcttL++j&#10;KJFWt8QfGj3gS4Nltz9aBevPbVHJQ2cPH/P7PLdd9ftaVErd3kzPTyACTuEvDMt8ng45byrckYwX&#10;vQIGCawmccwEix9vowREsWiPDxuQeSb/M+QXAAAA//8DAFBLAQItABQABgAIAAAAIQC2gziS/gAA&#10;AOEBAAATAAAAAAAAAAAAAAAAAAAAAABbQ29udGVudF9UeXBlc10ueG1sUEsBAi0AFAAGAAgAAAAh&#10;ADj9If/WAAAAlAEAAAsAAAAAAAAAAAAAAAAALwEAAF9yZWxzLy5yZWxzUEsBAi0AFAAGAAgAAAAh&#10;AJ62NN8UAgAAJAQAAA4AAAAAAAAAAAAAAAAALgIAAGRycy9lMm9Eb2MueG1sUEsBAi0AFAAGAAgA&#10;AAAhAIOyjyvfAAAACwEAAA8AAAAAAAAAAAAAAAAAbgQAAGRycy9kb3ducmV2LnhtbFBLBQYAAAAA&#10;BAAEAPMAAAB6BQAAAAA=&#10;" o:allowincell="f" filled="f" stroked="f" strokeweight=".5pt">
              <v:textbox inset=",0,,0">
                <w:txbxContent>
                  <w:p w14:paraId="58E5B413" w14:textId="77777777" w:rsidR="00385D03" w:rsidRPr="00F635D9" w:rsidRDefault="00385D03" w:rsidP="00F635D9">
                    <w:pPr>
                      <w:spacing w:before="0" w:after="0"/>
                      <w:jc w:val="center"/>
                      <w:rPr>
                        <w:rFonts w:ascii="Arial Black" w:hAnsi="Arial Black"/>
                        <w:color w:val="000000"/>
                      </w:rPr>
                    </w:pPr>
                    <w:r w:rsidRPr="00F635D9">
                      <w:rPr>
                        <w:rFonts w:ascii="Arial Black" w:hAnsi="Arial Black"/>
                        <w:color w:val="00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4C49F" w14:textId="430E25FF" w:rsidR="00385D03" w:rsidRPr="006B337A" w:rsidRDefault="00CD27BE" w:rsidP="00C15DBE">
    <w:pPr>
      <w:pStyle w:val="SCVfooter"/>
      <w:jc w:val="right"/>
    </w:pPr>
    <w:r>
      <mc:AlternateContent>
        <mc:Choice Requires="wps">
          <w:drawing>
            <wp:anchor distT="0" distB="0" distL="114300" distR="114300" simplePos="0" relativeHeight="251658241" behindDoc="0" locked="0" layoutInCell="0" allowOverlap="1" wp14:anchorId="5924B769" wp14:editId="709D2D74">
              <wp:simplePos x="0" y="0"/>
              <wp:positionH relativeFrom="page">
                <wp:posOffset>0</wp:posOffset>
              </wp:positionH>
              <wp:positionV relativeFrom="page">
                <wp:posOffset>10189210</wp:posOffset>
              </wp:positionV>
              <wp:extent cx="7560310" cy="311785"/>
              <wp:effectExtent l="0" t="0" r="0" b="12065"/>
              <wp:wrapNone/>
              <wp:docPr id="1" name="Text Box 1"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843D50" w14:textId="77777777" w:rsidR="00CD27BE" w:rsidRPr="00CD27BE" w:rsidRDefault="00CD27BE" w:rsidP="00CD27BE">
                          <w:pPr>
                            <w:spacing w:before="0" w:after="0"/>
                            <w:jc w:val="center"/>
                            <w:rPr>
                              <w:rFonts w:ascii="Arial Black" w:hAnsi="Arial Black"/>
                              <w:color w:val="000000"/>
                            </w:rPr>
                          </w:pPr>
                          <w:r w:rsidRPr="00CD27BE">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924B769" id="_x0000_t202" coordsize="21600,21600" o:spt="202" path="m,l,21600r21600,l21600,xe">
              <v:stroke joinstyle="miter"/>
              <v:path gradientshapeok="t" o:connecttype="rect"/>
            </v:shapetype>
            <v:shape id="Text Box 1" o:spid="_x0000_s1027"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73843D50" w14:textId="77777777" w:rsidR="00CD27BE" w:rsidRPr="00CD27BE" w:rsidRDefault="00CD27BE" w:rsidP="00CD27BE">
                    <w:pPr>
                      <w:spacing w:before="0" w:after="0"/>
                      <w:jc w:val="center"/>
                      <w:rPr>
                        <w:rFonts w:ascii="Arial Black" w:hAnsi="Arial Black"/>
                        <w:color w:val="000000"/>
                      </w:rPr>
                    </w:pPr>
                    <w:r w:rsidRPr="00CD27BE">
                      <w:rPr>
                        <w:rFonts w:ascii="Arial Black" w:hAnsi="Arial Black"/>
                        <w:color w:val="000000"/>
                      </w:rPr>
                      <w:t>OFFICIAL</w:t>
                    </w:r>
                  </w:p>
                </w:txbxContent>
              </v:textbox>
              <w10:wrap anchorx="page" anchory="page"/>
            </v:shape>
          </w:pict>
        </mc:Fallback>
      </mc:AlternateContent>
    </w:r>
    <w:r w:rsidR="00990084">
      <w:fldChar w:fldCharType="begin"/>
    </w:r>
    <w:r w:rsidR="00990084">
      <w:instrText>STYLEREF  "SCV factsheet title"  \* MERGEFORMAT</w:instrText>
    </w:r>
    <w:r w:rsidR="00990084">
      <w:fldChar w:fldCharType="end"/>
    </w:r>
    <w:r w:rsidR="00385D03">
      <w:t> </w:t>
    </w:r>
    <w:r w:rsidR="00385D03">
      <w:t> </w:t>
    </w:r>
    <w:r w:rsidR="00385D03">
      <w:rPr>
        <w:b/>
      </w:rPr>
      <w:t>Safer Care Victoria</w:t>
    </w:r>
    <w:r w:rsidR="00385D03">
      <w:t> </w:t>
    </w:r>
    <w:r w:rsidR="00385D03">
      <w:t> </w:t>
    </w:r>
    <w:r w:rsidR="00385D03">
      <w:fldChar w:fldCharType="begin"/>
    </w:r>
    <w:r w:rsidR="00385D03">
      <w:instrText xml:space="preserve"> PAGE   \* MERGEFORMAT </w:instrText>
    </w:r>
    <w:r w:rsidR="00385D03">
      <w:fldChar w:fldCharType="separate"/>
    </w:r>
    <w:r w:rsidR="00385D03">
      <w:t>3</w:t>
    </w:r>
    <w:r w:rsidR="00385D0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78F89" w14:textId="7CA46325" w:rsidR="00DD6E4F" w:rsidRDefault="00DD6E4F">
    <w:pPr>
      <w:pStyle w:val="Footer"/>
    </w:pPr>
  </w:p>
  <w:p w14:paraId="24A22E83" w14:textId="5BE95215" w:rsidR="00DD6E4F" w:rsidRDefault="00DD6E4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16667" w14:textId="77777777" w:rsidR="009548DC" w:rsidRDefault="009548DC" w:rsidP="00E33E08">
      <w:pPr>
        <w:spacing w:before="0" w:after="0" w:line="240" w:lineRule="auto"/>
      </w:pPr>
    </w:p>
  </w:footnote>
  <w:footnote w:type="continuationSeparator" w:id="0">
    <w:p w14:paraId="2899A8C3" w14:textId="77777777" w:rsidR="009548DC" w:rsidRDefault="009548DC" w:rsidP="00E33E08">
      <w:pPr>
        <w:spacing w:before="0" w:after="0" w:line="240" w:lineRule="auto"/>
      </w:pPr>
    </w:p>
  </w:footnote>
  <w:footnote w:type="continuationNotice" w:id="1">
    <w:p w14:paraId="5E899C42" w14:textId="77777777" w:rsidR="009548DC" w:rsidRDefault="009548DC">
      <w:pPr>
        <w:spacing w:before="0" w:after="0" w:line="240" w:lineRule="auto"/>
      </w:pPr>
    </w:p>
  </w:footnote>
  <w:footnote w:id="2">
    <w:p w14:paraId="51CD6668" w14:textId="7E78C989" w:rsidR="00EC70F6" w:rsidRPr="00A941A2" w:rsidRDefault="00EC70F6" w:rsidP="00962518">
      <w:pPr>
        <w:pStyle w:val="SCVbody"/>
        <w:spacing w:before="0" w:after="0" w:line="240" w:lineRule="auto"/>
        <w:ind w:left="142" w:hanging="142"/>
        <w:rPr>
          <w:rFonts w:cstheme="minorHAnsi"/>
          <w:sz w:val="16"/>
          <w:szCs w:val="16"/>
        </w:rPr>
      </w:pPr>
      <w:r w:rsidRPr="00A941A2">
        <w:rPr>
          <w:rStyle w:val="FootnoteReference"/>
          <w:rFonts w:cstheme="minorHAnsi"/>
          <w:sz w:val="16"/>
          <w:szCs w:val="16"/>
        </w:rPr>
        <w:footnoteRef/>
      </w:r>
      <w:r w:rsidRPr="00A941A2">
        <w:rPr>
          <w:rFonts w:cstheme="minorHAnsi"/>
          <w:sz w:val="16"/>
          <w:szCs w:val="16"/>
        </w:rPr>
        <w:t xml:space="preserve"> </w:t>
      </w:r>
      <w:r w:rsidRPr="00A941A2">
        <w:rPr>
          <w:rFonts w:cstheme="minorHAnsi"/>
          <w:sz w:val="16"/>
          <w:szCs w:val="16"/>
          <w:shd w:val="clear" w:color="auto" w:fill="FFFFFF"/>
        </w:rPr>
        <w:t>Scarfe, A., Duncan, J., Ma, N., Cameron, A., Rankin, D., Karatassas, A., ... &amp; Maddern, G. (2018). Day case hernia repair: weak evidence or practice gap?. </w:t>
      </w:r>
      <w:r w:rsidRPr="00A941A2">
        <w:rPr>
          <w:rFonts w:cstheme="minorHAnsi"/>
          <w:i/>
          <w:sz w:val="16"/>
          <w:szCs w:val="16"/>
          <w:shd w:val="clear" w:color="auto" w:fill="FFFFFF"/>
        </w:rPr>
        <w:t>ANZ journal of surgery</w:t>
      </w:r>
      <w:r w:rsidRPr="00A941A2">
        <w:rPr>
          <w:rFonts w:cstheme="minorHAnsi"/>
          <w:sz w:val="16"/>
          <w:szCs w:val="16"/>
          <w:shd w:val="clear" w:color="auto" w:fill="FFFFFF"/>
        </w:rPr>
        <w:t>, </w:t>
      </w:r>
      <w:r w:rsidRPr="00A941A2">
        <w:rPr>
          <w:rFonts w:cstheme="minorHAnsi"/>
          <w:i/>
          <w:sz w:val="16"/>
          <w:szCs w:val="16"/>
          <w:shd w:val="clear" w:color="auto" w:fill="FFFFFF"/>
        </w:rPr>
        <w:t>88</w:t>
      </w:r>
      <w:r w:rsidRPr="00A941A2">
        <w:rPr>
          <w:rFonts w:cstheme="minorHAnsi"/>
          <w:sz w:val="16"/>
          <w:szCs w:val="16"/>
          <w:shd w:val="clear" w:color="auto" w:fill="FFFFFF"/>
        </w:rPr>
        <w:t>(6), 547-553.</w:t>
      </w:r>
    </w:p>
  </w:footnote>
  <w:footnote w:id="3">
    <w:p w14:paraId="2A7B42ED" w14:textId="2641BA7D" w:rsidR="00E35B6F" w:rsidRPr="00A941A2" w:rsidRDefault="00E35B6F" w:rsidP="00962518">
      <w:pPr>
        <w:pStyle w:val="SCVbody"/>
        <w:spacing w:before="0" w:after="0" w:line="240" w:lineRule="auto"/>
        <w:ind w:left="142" w:hanging="142"/>
        <w:rPr>
          <w:rFonts w:cstheme="minorHAnsi"/>
          <w:sz w:val="16"/>
          <w:szCs w:val="16"/>
        </w:rPr>
      </w:pPr>
      <w:r w:rsidRPr="00A941A2">
        <w:rPr>
          <w:rStyle w:val="FootnoteReference"/>
          <w:rFonts w:cstheme="minorHAnsi"/>
          <w:sz w:val="16"/>
          <w:szCs w:val="16"/>
        </w:rPr>
        <w:footnoteRef/>
      </w:r>
      <w:r w:rsidRPr="00A941A2">
        <w:rPr>
          <w:rFonts w:cstheme="minorHAnsi"/>
          <w:sz w:val="16"/>
          <w:szCs w:val="16"/>
        </w:rPr>
        <w:t xml:space="preserve"> </w:t>
      </w:r>
      <w:r w:rsidRPr="00A941A2">
        <w:rPr>
          <w:rFonts w:cstheme="minorHAnsi"/>
          <w:sz w:val="16"/>
          <w:szCs w:val="16"/>
          <w:shd w:val="clear" w:color="auto" w:fill="FFFFFF"/>
        </w:rPr>
        <w:t>Hollington, P., Toogood, G. J., &amp; Padbury, R. T. A. (1999). A prospective randomized trial of day</w:t>
      </w:r>
      <w:r w:rsidRPr="00A941A2">
        <w:rPr>
          <w:rFonts w:ascii="Cambria Math" w:hAnsi="Cambria Math" w:cs="Cambria Math"/>
          <w:sz w:val="16"/>
          <w:szCs w:val="16"/>
          <w:shd w:val="clear" w:color="auto" w:fill="FFFFFF"/>
        </w:rPr>
        <w:t>‐</w:t>
      </w:r>
      <w:r w:rsidRPr="00A941A2">
        <w:rPr>
          <w:rFonts w:cstheme="minorHAnsi"/>
          <w:sz w:val="16"/>
          <w:szCs w:val="16"/>
          <w:shd w:val="clear" w:color="auto" w:fill="FFFFFF"/>
        </w:rPr>
        <w:t>stay only versus overnight</w:t>
      </w:r>
      <w:r w:rsidRPr="00A941A2">
        <w:rPr>
          <w:rFonts w:ascii="Cambria Math" w:hAnsi="Cambria Math" w:cs="Cambria Math"/>
          <w:sz w:val="16"/>
          <w:szCs w:val="16"/>
          <w:shd w:val="clear" w:color="auto" w:fill="FFFFFF"/>
        </w:rPr>
        <w:t>‐</w:t>
      </w:r>
      <w:r w:rsidRPr="00A941A2">
        <w:rPr>
          <w:rFonts w:cstheme="minorHAnsi"/>
          <w:sz w:val="16"/>
          <w:szCs w:val="16"/>
          <w:shd w:val="clear" w:color="auto" w:fill="FFFFFF"/>
        </w:rPr>
        <w:t>stay laparoscopic cholecystectomy. </w:t>
      </w:r>
      <w:r w:rsidRPr="00A941A2">
        <w:rPr>
          <w:rFonts w:cstheme="minorHAnsi"/>
          <w:i/>
          <w:sz w:val="16"/>
          <w:szCs w:val="16"/>
          <w:shd w:val="clear" w:color="auto" w:fill="FFFFFF"/>
        </w:rPr>
        <w:t>Australian and New Zealand Journal of Surgery</w:t>
      </w:r>
      <w:r w:rsidRPr="00A941A2">
        <w:rPr>
          <w:rFonts w:cstheme="minorHAnsi"/>
          <w:sz w:val="16"/>
          <w:szCs w:val="16"/>
          <w:shd w:val="clear" w:color="auto" w:fill="FFFFFF"/>
        </w:rPr>
        <w:t>, </w:t>
      </w:r>
      <w:r w:rsidRPr="00A941A2">
        <w:rPr>
          <w:rFonts w:cstheme="minorHAnsi"/>
          <w:i/>
          <w:sz w:val="16"/>
          <w:szCs w:val="16"/>
          <w:shd w:val="clear" w:color="auto" w:fill="FFFFFF"/>
        </w:rPr>
        <w:t>69</w:t>
      </w:r>
      <w:r w:rsidRPr="00A941A2">
        <w:rPr>
          <w:rFonts w:cstheme="minorHAnsi"/>
          <w:sz w:val="16"/>
          <w:szCs w:val="16"/>
          <w:shd w:val="clear" w:color="auto" w:fill="FFFFFF"/>
        </w:rPr>
        <w:t>(12), 841-843.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5306A" w14:textId="77777777" w:rsidR="00DD6E4F" w:rsidRDefault="00DD6E4F">
    <w:pPr>
      <w:pStyle w:val="Header"/>
    </w:pPr>
  </w:p>
  <w:p w14:paraId="21568C01" w14:textId="77777777" w:rsidR="00DD6E4F" w:rsidRDefault="00DD6E4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8841F" w14:textId="77777777" w:rsidR="00385D03" w:rsidRDefault="00385D03">
    <w:pPr>
      <w:pStyle w:val="Header"/>
    </w:pPr>
    <w:r>
      <w:rPr>
        <w:noProof/>
      </w:rPr>
      <w:drawing>
        <wp:anchor distT="0" distB="0" distL="114300" distR="114300" simplePos="0" relativeHeight="251658242" behindDoc="1" locked="1" layoutInCell="1" allowOverlap="1" wp14:anchorId="38C5C9EF" wp14:editId="16E09717">
          <wp:simplePos x="0" y="0"/>
          <wp:positionH relativeFrom="page">
            <wp:align>left</wp:align>
          </wp:positionH>
          <wp:positionV relativeFrom="page">
            <wp:align>top</wp:align>
          </wp:positionV>
          <wp:extent cx="1522800" cy="1206000"/>
          <wp:effectExtent l="0" t="0" r="1270" b="0"/>
          <wp:wrapNone/>
          <wp:docPr id="2" name="Picture 2" descr="Safer Care Victori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afer Care Victoria&#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2800" cy="1206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E5AF3" w14:textId="73436C73" w:rsidR="00DD6E4F" w:rsidRDefault="00DD6E4F">
    <w:pPr>
      <w:pStyle w:val="Header"/>
    </w:pPr>
  </w:p>
  <w:p w14:paraId="54E9B3C3" w14:textId="20FEC413" w:rsidR="00DD6E4F" w:rsidRDefault="00DD6E4F"/>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F692A" w14:textId="77777777" w:rsidR="00385D03" w:rsidRDefault="00385D03" w:rsidP="00B1051C">
    <w:pPr>
      <w:pStyle w:val="SCVfooterempty"/>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E1242" w14:textId="18DD12DA" w:rsidR="00385D03" w:rsidRDefault="008A4372" w:rsidP="008A4372">
    <w:pPr>
      <w:pStyle w:val="Header"/>
    </w:pPr>
    <w:r>
      <w:rPr>
        <w:noProof/>
      </w:rPr>
      <w:drawing>
        <wp:anchor distT="0" distB="0" distL="114300" distR="114300" simplePos="0" relativeHeight="251658243" behindDoc="1" locked="1" layoutInCell="1" allowOverlap="1" wp14:anchorId="27F8D41B" wp14:editId="1A442145">
          <wp:simplePos x="0" y="0"/>
          <wp:positionH relativeFrom="page">
            <wp:posOffset>-46990</wp:posOffset>
          </wp:positionH>
          <wp:positionV relativeFrom="page">
            <wp:posOffset>-93980</wp:posOffset>
          </wp:positionV>
          <wp:extent cx="1092200" cy="864870"/>
          <wp:effectExtent l="0" t="0" r="0" b="0"/>
          <wp:wrapNone/>
          <wp:docPr id="3" name="Picture 3" descr="Safer Care Victori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afer Care Victoria&#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92200" cy="86487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463D0"/>
    <w:multiLevelType w:val="hybridMultilevel"/>
    <w:tmpl w:val="CA5E0E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D97DE3"/>
    <w:multiLevelType w:val="hybridMultilevel"/>
    <w:tmpl w:val="60DE9C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3DF2513"/>
    <w:multiLevelType w:val="hybridMultilevel"/>
    <w:tmpl w:val="20E8D5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40E4523"/>
    <w:multiLevelType w:val="hybridMultilevel"/>
    <w:tmpl w:val="FFFFFFFF"/>
    <w:lvl w:ilvl="0" w:tplc="A714535E">
      <w:start w:val="1"/>
      <w:numFmt w:val="bullet"/>
      <w:lvlText w:val="·"/>
      <w:lvlJc w:val="left"/>
      <w:pPr>
        <w:ind w:left="720" w:hanging="360"/>
      </w:pPr>
      <w:rPr>
        <w:rFonts w:ascii="Symbol" w:hAnsi="Symbol" w:hint="default"/>
      </w:rPr>
    </w:lvl>
    <w:lvl w:ilvl="1" w:tplc="D85CCBFE">
      <w:start w:val="1"/>
      <w:numFmt w:val="bullet"/>
      <w:lvlText w:val="o"/>
      <w:lvlJc w:val="left"/>
      <w:pPr>
        <w:ind w:left="1440" w:hanging="360"/>
      </w:pPr>
      <w:rPr>
        <w:rFonts w:ascii="Courier New" w:hAnsi="Courier New" w:hint="default"/>
      </w:rPr>
    </w:lvl>
    <w:lvl w:ilvl="2" w:tplc="8C1A4D8C">
      <w:start w:val="1"/>
      <w:numFmt w:val="bullet"/>
      <w:lvlText w:val=""/>
      <w:lvlJc w:val="left"/>
      <w:pPr>
        <w:ind w:left="2160" w:hanging="360"/>
      </w:pPr>
      <w:rPr>
        <w:rFonts w:ascii="Wingdings" w:hAnsi="Wingdings" w:hint="default"/>
      </w:rPr>
    </w:lvl>
    <w:lvl w:ilvl="3" w:tplc="47CEF7B8">
      <w:start w:val="1"/>
      <w:numFmt w:val="bullet"/>
      <w:lvlText w:val=""/>
      <w:lvlJc w:val="left"/>
      <w:pPr>
        <w:ind w:left="2880" w:hanging="360"/>
      </w:pPr>
      <w:rPr>
        <w:rFonts w:ascii="Symbol" w:hAnsi="Symbol" w:hint="default"/>
      </w:rPr>
    </w:lvl>
    <w:lvl w:ilvl="4" w:tplc="D2A00368">
      <w:start w:val="1"/>
      <w:numFmt w:val="bullet"/>
      <w:lvlText w:val="o"/>
      <w:lvlJc w:val="left"/>
      <w:pPr>
        <w:ind w:left="3600" w:hanging="360"/>
      </w:pPr>
      <w:rPr>
        <w:rFonts w:ascii="Courier New" w:hAnsi="Courier New" w:hint="default"/>
      </w:rPr>
    </w:lvl>
    <w:lvl w:ilvl="5" w:tplc="E50EE4D8">
      <w:start w:val="1"/>
      <w:numFmt w:val="bullet"/>
      <w:lvlText w:val=""/>
      <w:lvlJc w:val="left"/>
      <w:pPr>
        <w:ind w:left="4320" w:hanging="360"/>
      </w:pPr>
      <w:rPr>
        <w:rFonts w:ascii="Wingdings" w:hAnsi="Wingdings" w:hint="default"/>
      </w:rPr>
    </w:lvl>
    <w:lvl w:ilvl="6" w:tplc="E6E6A612">
      <w:start w:val="1"/>
      <w:numFmt w:val="bullet"/>
      <w:lvlText w:val=""/>
      <w:lvlJc w:val="left"/>
      <w:pPr>
        <w:ind w:left="5040" w:hanging="360"/>
      </w:pPr>
      <w:rPr>
        <w:rFonts w:ascii="Symbol" w:hAnsi="Symbol" w:hint="default"/>
      </w:rPr>
    </w:lvl>
    <w:lvl w:ilvl="7" w:tplc="A01E44DC">
      <w:start w:val="1"/>
      <w:numFmt w:val="bullet"/>
      <w:lvlText w:val="o"/>
      <w:lvlJc w:val="left"/>
      <w:pPr>
        <w:ind w:left="5760" w:hanging="360"/>
      </w:pPr>
      <w:rPr>
        <w:rFonts w:ascii="Courier New" w:hAnsi="Courier New" w:hint="default"/>
      </w:rPr>
    </w:lvl>
    <w:lvl w:ilvl="8" w:tplc="29A8611A">
      <w:start w:val="1"/>
      <w:numFmt w:val="bullet"/>
      <w:lvlText w:val=""/>
      <w:lvlJc w:val="left"/>
      <w:pPr>
        <w:ind w:left="6480" w:hanging="360"/>
      </w:pPr>
      <w:rPr>
        <w:rFonts w:ascii="Wingdings" w:hAnsi="Wingdings" w:hint="default"/>
      </w:rPr>
    </w:lvl>
  </w:abstractNum>
  <w:abstractNum w:abstractNumId="4" w15:restartNumberingAfterBreak="0">
    <w:nsid w:val="053D128A"/>
    <w:multiLevelType w:val="hybridMultilevel"/>
    <w:tmpl w:val="C4326E68"/>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 w15:restartNumberingAfterBreak="0">
    <w:nsid w:val="10070A6F"/>
    <w:multiLevelType w:val="hybridMultilevel"/>
    <w:tmpl w:val="6A62A4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A2C360D"/>
    <w:multiLevelType w:val="hybridMultilevel"/>
    <w:tmpl w:val="88BCFF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B7B64C0"/>
    <w:multiLevelType w:val="multilevel"/>
    <w:tmpl w:val="B96621C2"/>
    <w:styleLink w:val="ZZPulloutbullets"/>
    <w:lvl w:ilvl="0">
      <w:start w:val="1"/>
      <w:numFmt w:val="bullet"/>
      <w:pStyle w:val="SCVpulloutbullet"/>
      <w:lvlText w:val="•"/>
      <w:lvlJc w:val="left"/>
      <w:pPr>
        <w:ind w:left="284" w:hanging="284"/>
      </w:pPr>
      <w:rPr>
        <w:rFonts w:ascii="Calibri" w:hAnsi="Calibri" w:hint="default"/>
        <w:color w:val="007586" w:themeColor="text2"/>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1FE07A00"/>
    <w:multiLevelType w:val="hybridMultilevel"/>
    <w:tmpl w:val="568A72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57B2181"/>
    <w:multiLevelType w:val="hybridMultilevel"/>
    <w:tmpl w:val="33FE03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7663621"/>
    <w:multiLevelType w:val="hybridMultilevel"/>
    <w:tmpl w:val="95D47A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C420B80"/>
    <w:multiLevelType w:val="hybridMultilevel"/>
    <w:tmpl w:val="DAAEFC9A"/>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12" w15:restartNumberingAfterBreak="0">
    <w:nsid w:val="2C7F3CF6"/>
    <w:multiLevelType w:val="hybridMultilevel"/>
    <w:tmpl w:val="EED290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2CF6913"/>
    <w:multiLevelType w:val="hybridMultilevel"/>
    <w:tmpl w:val="AE126A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52572A5"/>
    <w:multiLevelType w:val="hybridMultilevel"/>
    <w:tmpl w:val="FFFFFFFF"/>
    <w:lvl w:ilvl="0" w:tplc="043821F6">
      <w:start w:val="1"/>
      <w:numFmt w:val="bullet"/>
      <w:lvlText w:val="·"/>
      <w:lvlJc w:val="left"/>
      <w:pPr>
        <w:ind w:left="720" w:hanging="360"/>
      </w:pPr>
      <w:rPr>
        <w:rFonts w:ascii="Symbol" w:hAnsi="Symbol" w:hint="default"/>
      </w:rPr>
    </w:lvl>
    <w:lvl w:ilvl="1" w:tplc="3D787C64">
      <w:start w:val="1"/>
      <w:numFmt w:val="bullet"/>
      <w:lvlText w:val="o"/>
      <w:lvlJc w:val="left"/>
      <w:pPr>
        <w:ind w:left="1440" w:hanging="360"/>
      </w:pPr>
      <w:rPr>
        <w:rFonts w:ascii="&quot;Courier New&quot;" w:hAnsi="&quot;Courier New&quot;" w:hint="default"/>
      </w:rPr>
    </w:lvl>
    <w:lvl w:ilvl="2" w:tplc="7506E39E">
      <w:start w:val="1"/>
      <w:numFmt w:val="bullet"/>
      <w:lvlText w:val=""/>
      <w:lvlJc w:val="left"/>
      <w:pPr>
        <w:ind w:left="2160" w:hanging="360"/>
      </w:pPr>
      <w:rPr>
        <w:rFonts w:ascii="Wingdings" w:hAnsi="Wingdings" w:hint="default"/>
      </w:rPr>
    </w:lvl>
    <w:lvl w:ilvl="3" w:tplc="B2BEA538">
      <w:start w:val="1"/>
      <w:numFmt w:val="bullet"/>
      <w:lvlText w:val=""/>
      <w:lvlJc w:val="left"/>
      <w:pPr>
        <w:ind w:left="2880" w:hanging="360"/>
      </w:pPr>
      <w:rPr>
        <w:rFonts w:ascii="Symbol" w:hAnsi="Symbol" w:hint="default"/>
      </w:rPr>
    </w:lvl>
    <w:lvl w:ilvl="4" w:tplc="D138C890">
      <w:start w:val="1"/>
      <w:numFmt w:val="bullet"/>
      <w:lvlText w:val="o"/>
      <w:lvlJc w:val="left"/>
      <w:pPr>
        <w:ind w:left="3600" w:hanging="360"/>
      </w:pPr>
      <w:rPr>
        <w:rFonts w:ascii="Courier New" w:hAnsi="Courier New" w:hint="default"/>
      </w:rPr>
    </w:lvl>
    <w:lvl w:ilvl="5" w:tplc="B8205648">
      <w:start w:val="1"/>
      <w:numFmt w:val="bullet"/>
      <w:lvlText w:val=""/>
      <w:lvlJc w:val="left"/>
      <w:pPr>
        <w:ind w:left="4320" w:hanging="360"/>
      </w:pPr>
      <w:rPr>
        <w:rFonts w:ascii="Wingdings" w:hAnsi="Wingdings" w:hint="default"/>
      </w:rPr>
    </w:lvl>
    <w:lvl w:ilvl="6" w:tplc="94EC8764">
      <w:start w:val="1"/>
      <w:numFmt w:val="bullet"/>
      <w:lvlText w:val=""/>
      <w:lvlJc w:val="left"/>
      <w:pPr>
        <w:ind w:left="5040" w:hanging="360"/>
      </w:pPr>
      <w:rPr>
        <w:rFonts w:ascii="Symbol" w:hAnsi="Symbol" w:hint="default"/>
      </w:rPr>
    </w:lvl>
    <w:lvl w:ilvl="7" w:tplc="99A490EC">
      <w:start w:val="1"/>
      <w:numFmt w:val="bullet"/>
      <w:lvlText w:val="o"/>
      <w:lvlJc w:val="left"/>
      <w:pPr>
        <w:ind w:left="5760" w:hanging="360"/>
      </w:pPr>
      <w:rPr>
        <w:rFonts w:ascii="Courier New" w:hAnsi="Courier New" w:hint="default"/>
      </w:rPr>
    </w:lvl>
    <w:lvl w:ilvl="8" w:tplc="51E8C81A">
      <w:start w:val="1"/>
      <w:numFmt w:val="bullet"/>
      <w:lvlText w:val=""/>
      <w:lvlJc w:val="left"/>
      <w:pPr>
        <w:ind w:left="6480" w:hanging="360"/>
      </w:pPr>
      <w:rPr>
        <w:rFonts w:ascii="Wingdings" w:hAnsi="Wingdings" w:hint="default"/>
      </w:rPr>
    </w:lvl>
  </w:abstractNum>
  <w:abstractNum w:abstractNumId="15" w15:restartNumberingAfterBreak="0">
    <w:nsid w:val="3560588C"/>
    <w:multiLevelType w:val="hybridMultilevel"/>
    <w:tmpl w:val="74E00FF0"/>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370571AB"/>
    <w:multiLevelType w:val="hybridMultilevel"/>
    <w:tmpl w:val="0FF0E0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74B7834"/>
    <w:multiLevelType w:val="hybridMultilevel"/>
    <w:tmpl w:val="572EDA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93615B0"/>
    <w:multiLevelType w:val="multilevel"/>
    <w:tmpl w:val="F27293EC"/>
    <w:name w:val="List num2"/>
    <w:lvl w:ilvl="0">
      <w:start w:val="1"/>
      <w:numFmt w:val="decimal"/>
      <w:suff w:val="space"/>
      <w:lvlText w:val="Section %1.0"/>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right"/>
      <w:pPr>
        <w:ind w:left="0" w:firstLine="0"/>
      </w:pPr>
      <w:rPr>
        <w:rFonts w:hint="default"/>
      </w:rPr>
    </w:lvl>
  </w:abstractNum>
  <w:abstractNum w:abstractNumId="19" w15:restartNumberingAfterBreak="0">
    <w:nsid w:val="399D72C5"/>
    <w:multiLevelType w:val="hybridMultilevel"/>
    <w:tmpl w:val="6FBAC4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E6C68D4"/>
    <w:multiLevelType w:val="multilevel"/>
    <w:tmpl w:val="FCC83088"/>
    <w:styleLink w:val="ZZNumbersdigit"/>
    <w:lvl w:ilvl="0">
      <w:start w:val="1"/>
      <w:numFmt w:val="decimal"/>
      <w:pStyle w:val="SCVnumberdigit"/>
      <w:lvlText w:val="%1."/>
      <w:lvlJc w:val="left"/>
      <w:pPr>
        <w:tabs>
          <w:tab w:val="num" w:pos="397"/>
        </w:tabs>
        <w:ind w:left="397" w:hanging="397"/>
      </w:pPr>
      <w:rPr>
        <w:rFonts w:cs="Times New Roman" w:hint="default"/>
      </w:rPr>
    </w:lvl>
    <w:lvl w:ilvl="1">
      <w:start w:val="1"/>
      <w:numFmt w:val="lowerLetter"/>
      <w:pStyle w:val="SCVnumberloweralphaindent"/>
      <w:lvlText w:val="%2."/>
      <w:lvlJc w:val="left"/>
      <w:pPr>
        <w:tabs>
          <w:tab w:val="num" w:pos="794"/>
        </w:tabs>
        <w:ind w:left="794" w:hanging="397"/>
      </w:pPr>
      <w:rPr>
        <w:rFonts w:cs="Times New Roman" w:hint="default"/>
      </w:rPr>
    </w:lvl>
    <w:lvl w:ilvl="2">
      <w:start w:val="1"/>
      <w:numFmt w:val="none"/>
      <w:lvlRestart w:val="0"/>
      <w:lvlText w:val=""/>
      <w:lvlJc w:val="left"/>
      <w:pPr>
        <w:ind w:left="0" w:firstLine="0"/>
      </w:pPr>
      <w:rPr>
        <w:rFonts w:hint="default"/>
        <w:color w:val="auto"/>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cs="Times New Roman" w:hint="default"/>
      </w:rPr>
    </w:lvl>
    <w:lvl w:ilvl="5">
      <w:start w:val="1"/>
      <w:numFmt w:val="none"/>
      <w:lvlRestart w:val="0"/>
      <w:lvlText w:val=""/>
      <w:lvlJc w:val="left"/>
      <w:pPr>
        <w:tabs>
          <w:tab w:val="num" w:pos="0"/>
        </w:tabs>
        <w:ind w:left="0" w:firstLine="0"/>
      </w:pPr>
      <w:rPr>
        <w:rFonts w:cs="Times New Roman" w:hint="default"/>
      </w:rPr>
    </w:lvl>
    <w:lvl w:ilvl="6">
      <w:start w:val="1"/>
      <w:numFmt w:val="none"/>
      <w:lvlRestart w:val="0"/>
      <w:lvlText w:val=""/>
      <w:lvlJc w:val="left"/>
      <w:pPr>
        <w:ind w:left="0" w:firstLine="0"/>
      </w:pPr>
      <w:rPr>
        <w:rFonts w:cs="Times New Roman" w:hint="default"/>
      </w:rPr>
    </w:lvl>
    <w:lvl w:ilvl="7">
      <w:start w:val="1"/>
      <w:numFmt w:val="none"/>
      <w:lvlRestart w:val="0"/>
      <w:lvlText w:val=""/>
      <w:lvlJc w:val="left"/>
      <w:pPr>
        <w:ind w:left="0" w:firstLine="0"/>
      </w:pPr>
      <w:rPr>
        <w:rFonts w:cs="Times New Roman" w:hint="default"/>
      </w:rPr>
    </w:lvl>
    <w:lvl w:ilvl="8">
      <w:start w:val="1"/>
      <w:numFmt w:val="none"/>
      <w:lvlRestart w:val="0"/>
      <w:lvlText w:val=""/>
      <w:lvlJc w:val="right"/>
      <w:pPr>
        <w:ind w:left="0" w:firstLine="0"/>
      </w:pPr>
      <w:rPr>
        <w:rFonts w:cs="Times New Roman" w:hint="default"/>
      </w:rPr>
    </w:lvl>
  </w:abstractNum>
  <w:abstractNum w:abstractNumId="21" w15:restartNumberingAfterBreak="0">
    <w:nsid w:val="3F1E21FB"/>
    <w:multiLevelType w:val="hybridMultilevel"/>
    <w:tmpl w:val="96085F9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2E78079"/>
    <w:multiLevelType w:val="hybridMultilevel"/>
    <w:tmpl w:val="FFFFFFFF"/>
    <w:lvl w:ilvl="0" w:tplc="B052D698">
      <w:start w:val="1"/>
      <w:numFmt w:val="bullet"/>
      <w:lvlText w:val="·"/>
      <w:lvlJc w:val="left"/>
      <w:pPr>
        <w:ind w:left="720" w:hanging="360"/>
      </w:pPr>
      <w:rPr>
        <w:rFonts w:ascii="Symbol" w:hAnsi="Symbol" w:hint="default"/>
      </w:rPr>
    </w:lvl>
    <w:lvl w:ilvl="1" w:tplc="195056AA">
      <w:start w:val="1"/>
      <w:numFmt w:val="bullet"/>
      <w:lvlText w:val="o"/>
      <w:lvlJc w:val="left"/>
      <w:pPr>
        <w:ind w:left="1440" w:hanging="360"/>
      </w:pPr>
      <w:rPr>
        <w:rFonts w:ascii="Courier New" w:hAnsi="Courier New" w:hint="default"/>
      </w:rPr>
    </w:lvl>
    <w:lvl w:ilvl="2" w:tplc="1AEAD7F2">
      <w:start w:val="1"/>
      <w:numFmt w:val="bullet"/>
      <w:lvlText w:val=""/>
      <w:lvlJc w:val="left"/>
      <w:pPr>
        <w:ind w:left="2160" w:hanging="360"/>
      </w:pPr>
      <w:rPr>
        <w:rFonts w:ascii="Wingdings" w:hAnsi="Wingdings" w:hint="default"/>
      </w:rPr>
    </w:lvl>
    <w:lvl w:ilvl="3" w:tplc="E020CEA2">
      <w:start w:val="1"/>
      <w:numFmt w:val="bullet"/>
      <w:lvlText w:val=""/>
      <w:lvlJc w:val="left"/>
      <w:pPr>
        <w:ind w:left="2880" w:hanging="360"/>
      </w:pPr>
      <w:rPr>
        <w:rFonts w:ascii="Symbol" w:hAnsi="Symbol" w:hint="default"/>
      </w:rPr>
    </w:lvl>
    <w:lvl w:ilvl="4" w:tplc="A5006B96">
      <w:start w:val="1"/>
      <w:numFmt w:val="bullet"/>
      <w:lvlText w:val="o"/>
      <w:lvlJc w:val="left"/>
      <w:pPr>
        <w:ind w:left="3600" w:hanging="360"/>
      </w:pPr>
      <w:rPr>
        <w:rFonts w:ascii="Courier New" w:hAnsi="Courier New" w:hint="default"/>
      </w:rPr>
    </w:lvl>
    <w:lvl w:ilvl="5" w:tplc="C2F24152">
      <w:start w:val="1"/>
      <w:numFmt w:val="bullet"/>
      <w:lvlText w:val=""/>
      <w:lvlJc w:val="left"/>
      <w:pPr>
        <w:ind w:left="4320" w:hanging="360"/>
      </w:pPr>
      <w:rPr>
        <w:rFonts w:ascii="Wingdings" w:hAnsi="Wingdings" w:hint="default"/>
      </w:rPr>
    </w:lvl>
    <w:lvl w:ilvl="6" w:tplc="4F4223DA">
      <w:start w:val="1"/>
      <w:numFmt w:val="bullet"/>
      <w:lvlText w:val=""/>
      <w:lvlJc w:val="left"/>
      <w:pPr>
        <w:ind w:left="5040" w:hanging="360"/>
      </w:pPr>
      <w:rPr>
        <w:rFonts w:ascii="Symbol" w:hAnsi="Symbol" w:hint="default"/>
      </w:rPr>
    </w:lvl>
    <w:lvl w:ilvl="7" w:tplc="CB9EEBA2">
      <w:start w:val="1"/>
      <w:numFmt w:val="bullet"/>
      <w:lvlText w:val="o"/>
      <w:lvlJc w:val="left"/>
      <w:pPr>
        <w:ind w:left="5760" w:hanging="360"/>
      </w:pPr>
      <w:rPr>
        <w:rFonts w:ascii="Courier New" w:hAnsi="Courier New" w:hint="default"/>
      </w:rPr>
    </w:lvl>
    <w:lvl w:ilvl="8" w:tplc="348404D6">
      <w:start w:val="1"/>
      <w:numFmt w:val="bullet"/>
      <w:lvlText w:val=""/>
      <w:lvlJc w:val="left"/>
      <w:pPr>
        <w:ind w:left="6480" w:hanging="360"/>
      </w:pPr>
      <w:rPr>
        <w:rFonts w:ascii="Wingdings" w:hAnsi="Wingdings" w:hint="default"/>
      </w:rPr>
    </w:lvl>
  </w:abstractNum>
  <w:abstractNum w:abstractNumId="23" w15:restartNumberingAfterBreak="0">
    <w:nsid w:val="4915706E"/>
    <w:multiLevelType w:val="hybridMultilevel"/>
    <w:tmpl w:val="1C902F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49A4687E"/>
    <w:multiLevelType w:val="hybridMultilevel"/>
    <w:tmpl w:val="DC706F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A8513C4"/>
    <w:multiLevelType w:val="multilevel"/>
    <w:tmpl w:val="1EF4C3C8"/>
    <w:styleLink w:val="ZZTablenumbers"/>
    <w:lvl w:ilvl="0">
      <w:start w:val="1"/>
      <w:numFmt w:val="decimal"/>
      <w:pStyle w:val="SCVtablenumber1"/>
      <w:lvlText w:val="%1."/>
      <w:lvlJc w:val="left"/>
      <w:pPr>
        <w:ind w:left="340" w:hanging="340"/>
      </w:pPr>
      <w:rPr>
        <w:rFonts w:hint="default"/>
      </w:rPr>
    </w:lvl>
    <w:lvl w:ilvl="1">
      <w:start w:val="1"/>
      <w:numFmt w:val="lowerLetter"/>
      <w:pStyle w:val="SCVtablenumber2"/>
      <w:lvlText w:val="(%2)"/>
      <w:lvlJc w:val="left"/>
      <w:pPr>
        <w:tabs>
          <w:tab w:val="num" w:pos="340"/>
        </w:tabs>
        <w:ind w:left="680" w:hanging="34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4BAE054B"/>
    <w:multiLevelType w:val="hybridMultilevel"/>
    <w:tmpl w:val="8F509CF8"/>
    <w:lvl w:ilvl="0" w:tplc="911ECBE6">
      <w:start w:val="1"/>
      <w:numFmt w:val="bullet"/>
      <w:lvlText w:val="•"/>
      <w:lvlJc w:val="left"/>
      <w:pPr>
        <w:ind w:left="360" w:hanging="360"/>
      </w:pPr>
      <w:rPr>
        <w:rFonts w:ascii="Arial" w:hAnsi="Aria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27" w15:restartNumberingAfterBreak="0">
    <w:nsid w:val="4CAD57C7"/>
    <w:multiLevelType w:val="hybridMultilevel"/>
    <w:tmpl w:val="ADDA064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541611C2"/>
    <w:multiLevelType w:val="multilevel"/>
    <w:tmpl w:val="75C44796"/>
    <w:styleLink w:val="ZZTablebullets"/>
    <w:lvl w:ilvl="0">
      <w:start w:val="1"/>
      <w:numFmt w:val="decimal"/>
      <w:pStyle w:val="SCVtablebullet1"/>
      <w:lvlText w:val="%1."/>
      <w:lvlJc w:val="left"/>
      <w:pPr>
        <w:ind w:left="227" w:hanging="227"/>
      </w:pPr>
      <w:rPr>
        <w:rFonts w:hint="default"/>
      </w:rPr>
    </w:lvl>
    <w:lvl w:ilvl="1">
      <w:start w:val="1"/>
      <w:numFmt w:val="bullet"/>
      <w:lvlRestart w:val="0"/>
      <w:pStyle w:val="SCVtablebullet2"/>
      <w:lvlText w:val="–"/>
      <w:lvlJc w:val="left"/>
      <w:pPr>
        <w:tabs>
          <w:tab w:val="num" w:pos="227"/>
        </w:tabs>
        <w:ind w:left="454" w:hanging="227"/>
      </w:pPr>
      <w:rPr>
        <w:rFonts w:ascii="Calibri" w:hAnsi="Calibri" w:hint="default"/>
      </w:rPr>
    </w:lvl>
    <w:lvl w:ilvl="2">
      <w:start w:val="1"/>
      <w:numFmt w:val="none"/>
      <w:lvlRestart w:val="0"/>
      <w:lvlText w:val=""/>
      <w:lvlJc w:val="left"/>
      <w:rPr>
        <w:rFonts w:cs="Times New Roman" w:hint="default"/>
      </w:rPr>
    </w:lvl>
    <w:lvl w:ilvl="3">
      <w:start w:val="1"/>
      <w:numFmt w:val="none"/>
      <w:lvlRestart w:val="0"/>
      <w:lvlText w:val=""/>
      <w:lvlJc w:val="left"/>
      <w:rPr>
        <w:rFonts w:cs="Times New Roman" w:hint="default"/>
      </w:rPr>
    </w:lvl>
    <w:lvl w:ilvl="4">
      <w:start w:val="1"/>
      <w:numFmt w:val="none"/>
      <w:lvlRestart w:val="0"/>
      <w:lvlText w:val=""/>
      <w:lvlJc w:val="left"/>
      <w:rPr>
        <w:rFonts w:cs="Times New Roman" w:hint="default"/>
      </w:rPr>
    </w:lvl>
    <w:lvl w:ilvl="5">
      <w:start w:val="1"/>
      <w:numFmt w:val="none"/>
      <w:lvlRestart w:val="0"/>
      <w:lvlText w:val=""/>
      <w:lvlJc w:val="left"/>
      <w:rPr>
        <w:rFonts w:cs="Times New Roman" w:hint="default"/>
      </w:rPr>
    </w:lvl>
    <w:lvl w:ilvl="6">
      <w:start w:val="1"/>
      <w:numFmt w:val="none"/>
      <w:lvlRestart w:val="0"/>
      <w:lvlText w:val=""/>
      <w:lvlJc w:val="left"/>
      <w:rPr>
        <w:rFonts w:cs="Times New Roman" w:hint="default"/>
      </w:rPr>
    </w:lvl>
    <w:lvl w:ilvl="7">
      <w:start w:val="1"/>
      <w:numFmt w:val="none"/>
      <w:lvlRestart w:val="0"/>
      <w:lvlText w:val=""/>
      <w:lvlJc w:val="left"/>
      <w:rPr>
        <w:rFonts w:cs="Times New Roman" w:hint="default"/>
      </w:rPr>
    </w:lvl>
    <w:lvl w:ilvl="8">
      <w:start w:val="1"/>
      <w:numFmt w:val="none"/>
      <w:lvlRestart w:val="0"/>
      <w:lvlText w:val=""/>
      <w:lvlJc w:val="left"/>
      <w:rPr>
        <w:rFonts w:cs="Times New Roman" w:hint="default"/>
      </w:rPr>
    </w:lvl>
  </w:abstractNum>
  <w:abstractNum w:abstractNumId="29" w15:restartNumberingAfterBreak="0">
    <w:nsid w:val="5A7F747F"/>
    <w:multiLevelType w:val="hybridMultilevel"/>
    <w:tmpl w:val="91E0C050"/>
    <w:lvl w:ilvl="0" w:tplc="6B54E1F8">
      <w:numFmt w:val="bullet"/>
      <w:lvlText w:val="-"/>
      <w:lvlJc w:val="left"/>
      <w:pPr>
        <w:ind w:left="644" w:hanging="360"/>
      </w:pPr>
      <w:rPr>
        <w:rFonts w:ascii="Arial" w:eastAsiaTheme="minorEastAsia" w:hAnsi="Arial" w:cs="Aria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30" w15:restartNumberingAfterBreak="0">
    <w:nsid w:val="5BBB5E45"/>
    <w:multiLevelType w:val="hybridMultilevel"/>
    <w:tmpl w:val="B4F25F32"/>
    <w:lvl w:ilvl="0" w:tplc="0C090001">
      <w:start w:val="1"/>
      <w:numFmt w:val="bullet"/>
      <w:lvlText w:val=""/>
      <w:lvlJc w:val="left"/>
      <w:pPr>
        <w:ind w:left="502" w:hanging="360"/>
      </w:pPr>
      <w:rPr>
        <w:rFonts w:ascii="Symbol" w:hAnsi="Symbol" w:hint="default"/>
      </w:rPr>
    </w:lvl>
    <w:lvl w:ilvl="1" w:tplc="0C090003">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31" w15:restartNumberingAfterBreak="0">
    <w:nsid w:val="61320433"/>
    <w:multiLevelType w:val="multilevel"/>
    <w:tmpl w:val="69C2D2B4"/>
    <w:styleLink w:val="ZZBullets"/>
    <w:lvl w:ilvl="0">
      <w:start w:val="1"/>
      <w:numFmt w:val="bullet"/>
      <w:pStyle w:val="SCVbullet1"/>
      <w:lvlText w:val=""/>
      <w:lvlJc w:val="left"/>
      <w:pPr>
        <w:ind w:left="284" w:hanging="284"/>
      </w:pPr>
      <w:rPr>
        <w:rFonts w:ascii="Wingdings 2" w:hAnsi="Wingdings 2" w:hint="default"/>
        <w:color w:val="004C97" w:themeColor="accent4"/>
        <w:position w:val="2"/>
        <w:sz w:val="16"/>
      </w:rPr>
    </w:lvl>
    <w:lvl w:ilvl="1">
      <w:start w:val="1"/>
      <w:numFmt w:val="bullet"/>
      <w:pStyle w:val="SCVbullet2"/>
      <w:lvlText w:val="–"/>
      <w:lvlJc w:val="left"/>
      <w:pPr>
        <w:tabs>
          <w:tab w:val="num" w:pos="284"/>
        </w:tabs>
        <w:ind w:left="567" w:hanging="283"/>
      </w:pPr>
      <w:rPr>
        <w:rFonts w:ascii="Arial Black" w:hAnsi="Arial Black"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2" w15:restartNumberingAfterBreak="0">
    <w:nsid w:val="6309259F"/>
    <w:multiLevelType w:val="multilevel"/>
    <w:tmpl w:val="DECE3280"/>
    <w:styleLink w:val="ZZQuotebullets"/>
    <w:lvl w:ilvl="0">
      <w:start w:val="1"/>
      <w:numFmt w:val="bullet"/>
      <w:pStyle w:val="SCVquotebullet1"/>
      <w:lvlText w:val="•"/>
      <w:lvlJc w:val="left"/>
      <w:pPr>
        <w:ind w:left="680" w:hanging="283"/>
      </w:pPr>
      <w:rPr>
        <w:rFonts w:ascii="Calibri" w:hAnsi="Calibri" w:hint="default"/>
        <w:color w:val="007586" w:themeColor="text2"/>
      </w:rPr>
    </w:lvl>
    <w:lvl w:ilvl="1">
      <w:start w:val="1"/>
      <w:numFmt w:val="bullet"/>
      <w:lvlRestart w:val="0"/>
      <w:pStyle w:val="SCVquotebullet2"/>
      <w:lvlText w:val="–"/>
      <w:lvlJc w:val="left"/>
      <w:pPr>
        <w:ind w:left="964" w:hanging="284"/>
      </w:pPr>
      <w:rPr>
        <w:rFonts w:ascii="Calibri" w:hAnsi="Calibri" w:hint="default"/>
        <w:color w:val="007586" w:themeColor="text2"/>
      </w:rPr>
    </w:lvl>
    <w:lvl w:ilvl="2">
      <w:start w:val="1"/>
      <w:numFmt w:val="none"/>
      <w:lvlRestart w:val="0"/>
      <w:lvlText w:val=""/>
      <w:lvlJc w:val="left"/>
      <w:pPr>
        <w:ind w:left="0" w:firstLine="0"/>
      </w:pPr>
      <w:rPr>
        <w:rFonts w:cs="Times New Roman" w:hint="default"/>
      </w:rPr>
    </w:lvl>
    <w:lvl w:ilvl="3">
      <w:start w:val="1"/>
      <w:numFmt w:val="none"/>
      <w:lvlRestart w:val="0"/>
      <w:lvlText w:val=""/>
      <w:lvlJc w:val="left"/>
      <w:pPr>
        <w:ind w:left="0" w:firstLine="0"/>
      </w:pPr>
      <w:rPr>
        <w:rFonts w:cs="Times New Roman" w:hint="default"/>
      </w:rPr>
    </w:lvl>
    <w:lvl w:ilvl="4">
      <w:start w:val="1"/>
      <w:numFmt w:val="none"/>
      <w:lvlRestart w:val="0"/>
      <w:lvlText w:val=""/>
      <w:lvlJc w:val="left"/>
      <w:pPr>
        <w:ind w:left="0" w:firstLine="0"/>
      </w:pPr>
      <w:rPr>
        <w:rFonts w:cs="Times New Roman" w:hint="default"/>
      </w:rPr>
    </w:lvl>
    <w:lvl w:ilvl="5">
      <w:start w:val="1"/>
      <w:numFmt w:val="none"/>
      <w:lvlRestart w:val="0"/>
      <w:lvlText w:val=""/>
      <w:lvlJc w:val="left"/>
      <w:pPr>
        <w:ind w:left="0" w:firstLine="0"/>
      </w:pPr>
      <w:rPr>
        <w:rFonts w:cs="Times New Roman" w:hint="default"/>
      </w:rPr>
    </w:lvl>
    <w:lvl w:ilvl="6">
      <w:start w:val="1"/>
      <w:numFmt w:val="none"/>
      <w:lvlRestart w:val="0"/>
      <w:lvlText w:val=""/>
      <w:lvlJc w:val="left"/>
      <w:pPr>
        <w:ind w:left="0" w:firstLine="0"/>
      </w:pPr>
      <w:rPr>
        <w:rFonts w:cs="Times New Roman" w:hint="default"/>
      </w:rPr>
    </w:lvl>
    <w:lvl w:ilvl="7">
      <w:start w:val="1"/>
      <w:numFmt w:val="none"/>
      <w:lvlRestart w:val="0"/>
      <w:lvlText w:val=""/>
      <w:lvlJc w:val="left"/>
      <w:pPr>
        <w:ind w:left="0" w:firstLine="0"/>
      </w:pPr>
      <w:rPr>
        <w:rFonts w:cs="Times New Roman" w:hint="default"/>
      </w:rPr>
    </w:lvl>
    <w:lvl w:ilvl="8">
      <w:start w:val="1"/>
      <w:numFmt w:val="none"/>
      <w:lvlRestart w:val="0"/>
      <w:lvlText w:val=""/>
      <w:lvlJc w:val="left"/>
      <w:pPr>
        <w:ind w:left="0" w:firstLine="0"/>
      </w:pPr>
      <w:rPr>
        <w:rFonts w:cs="Times New Roman" w:hint="default"/>
      </w:rPr>
    </w:lvl>
  </w:abstractNum>
  <w:abstractNum w:abstractNumId="33" w15:restartNumberingAfterBreak="0">
    <w:nsid w:val="670F04EF"/>
    <w:multiLevelType w:val="hybridMultilevel"/>
    <w:tmpl w:val="79F8BA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678100D6"/>
    <w:multiLevelType w:val="hybridMultilevel"/>
    <w:tmpl w:val="A3DA83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67B97588"/>
    <w:multiLevelType w:val="hybridMultilevel"/>
    <w:tmpl w:val="80DA9A8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6" w15:restartNumberingAfterBreak="0">
    <w:nsid w:val="6DC873B9"/>
    <w:multiLevelType w:val="hybridMultilevel"/>
    <w:tmpl w:val="C46029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71995296"/>
    <w:multiLevelType w:val="hybridMultilevel"/>
    <w:tmpl w:val="3CD06F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7289339D"/>
    <w:multiLevelType w:val="hybridMultilevel"/>
    <w:tmpl w:val="7FA2D8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78966FEB"/>
    <w:multiLevelType w:val="hybridMultilevel"/>
    <w:tmpl w:val="8FF2DB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79F619B4"/>
    <w:multiLevelType w:val="multilevel"/>
    <w:tmpl w:val="32A667BE"/>
    <w:styleLink w:val="ZZBulletsafternumbers"/>
    <w:lvl w:ilvl="0">
      <w:start w:val="1"/>
      <w:numFmt w:val="none"/>
      <w:lvlText w:val=""/>
      <w:lvlJc w:val="left"/>
      <w:pPr>
        <w:ind w:left="0" w:firstLine="0"/>
      </w:pPr>
      <w:rPr>
        <w:rFonts w:hint="default"/>
      </w:rPr>
    </w:lvl>
    <w:lvl w:ilvl="1">
      <w:start w:val="1"/>
      <w:numFmt w:val="bullet"/>
      <w:lvlRestart w:val="0"/>
      <w:pStyle w:val="SCVbulletafternumbers"/>
      <w:lvlText w:val="•"/>
      <w:lvlJc w:val="left"/>
      <w:pPr>
        <w:ind w:left="794" w:hanging="39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1" w15:restartNumberingAfterBreak="0">
    <w:nsid w:val="7E1C3D49"/>
    <w:multiLevelType w:val="hybridMultilevel"/>
    <w:tmpl w:val="D98EA484"/>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7EBA697E"/>
    <w:multiLevelType w:val="hybridMultilevel"/>
    <w:tmpl w:val="896C60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7FB927DB"/>
    <w:multiLevelType w:val="multilevel"/>
    <w:tmpl w:val="75C44796"/>
    <w:numStyleLink w:val="ZZTablebullets"/>
  </w:abstractNum>
  <w:abstractNum w:abstractNumId="44" w15:restartNumberingAfterBreak="0">
    <w:nsid w:val="7FD44514"/>
    <w:multiLevelType w:val="multilevel"/>
    <w:tmpl w:val="457635A8"/>
    <w:name w:val="List num"/>
    <w:lvl w:ilvl="0">
      <w:start w:val="1"/>
      <w:numFmt w:val="lowerLetter"/>
      <w:lvlText w:val="(%1)"/>
      <w:lvlJc w:val="left"/>
      <w:pPr>
        <w:ind w:left="397" w:hanging="397"/>
      </w:pPr>
      <w:rPr>
        <w:rFonts w:hint="default"/>
      </w:rPr>
    </w:lvl>
    <w:lvl w:ilvl="1">
      <w:start w:val="1"/>
      <w:numFmt w:val="lowerRoman"/>
      <w:lvlText w:val="(%2)"/>
      <w:lvlJc w:val="left"/>
      <w:pPr>
        <w:ind w:left="794" w:hanging="397"/>
      </w:pPr>
      <w:rPr>
        <w:rFonts w:hint="default"/>
      </w:rPr>
    </w:lvl>
    <w:lvl w:ilvl="2">
      <w:start w:val="1"/>
      <w:numFmt w:val="decimal"/>
      <w:lvlText w:val="(%3)"/>
      <w:lvlJc w:val="left"/>
      <w:pPr>
        <w:ind w:left="1191" w:hanging="397"/>
      </w:pPr>
      <w:rPr>
        <w:rFonts w:hint="default"/>
      </w:rPr>
    </w:lvl>
    <w:lvl w:ilvl="3">
      <w:start w:val="1"/>
      <w:numFmt w:val="upperLetter"/>
      <w:lvlText w:val="(%4)"/>
      <w:lvlJc w:val="left"/>
      <w:pPr>
        <w:ind w:left="1588" w:hanging="397"/>
      </w:pPr>
      <w:rPr>
        <w:rFonts w:hint="default"/>
      </w:rPr>
    </w:lvl>
    <w:lvl w:ilvl="4">
      <w:start w:val="1"/>
      <w:numFmt w:val="upperRoman"/>
      <w:lvlRestart w:val="1"/>
      <w:lvlText w:val="(%5)"/>
      <w:lvlJc w:val="left"/>
      <w:pPr>
        <w:ind w:left="1985" w:hanging="397"/>
      </w:pPr>
      <w:rPr>
        <w:rFonts w:hint="default"/>
      </w:rPr>
    </w:lvl>
    <w:lvl w:ilvl="5">
      <w:start w:val="1"/>
      <w:numFmt w:val="decimal"/>
      <w:lvlText w:val="%3.%4.%5.%6"/>
      <w:lvlJc w:val="left"/>
      <w:pPr>
        <w:tabs>
          <w:tab w:val="num" w:pos="2345"/>
        </w:tabs>
        <w:ind w:left="2382" w:hanging="397"/>
      </w:pPr>
      <w:rPr>
        <w:rFonts w:hint="default"/>
      </w:rPr>
    </w:lvl>
    <w:lvl w:ilvl="6">
      <w:start w:val="1"/>
      <w:numFmt w:val="lowerLetter"/>
      <w:lvlText w:val="(%7)"/>
      <w:lvlJc w:val="left"/>
      <w:pPr>
        <w:tabs>
          <w:tab w:val="num" w:pos="2742"/>
        </w:tabs>
        <w:ind w:left="2779" w:hanging="397"/>
      </w:pPr>
      <w:rPr>
        <w:rFonts w:hint="default"/>
      </w:rPr>
    </w:lvl>
    <w:lvl w:ilvl="7">
      <w:start w:val="1"/>
      <w:numFmt w:val="lowerRoman"/>
      <w:lvlText w:val="(%8)"/>
      <w:lvlJc w:val="left"/>
      <w:pPr>
        <w:tabs>
          <w:tab w:val="num" w:pos="3139"/>
        </w:tabs>
        <w:ind w:left="3176" w:hanging="397"/>
      </w:pPr>
      <w:rPr>
        <w:rFonts w:hint="default"/>
      </w:rPr>
    </w:lvl>
    <w:lvl w:ilvl="8">
      <w:start w:val="1"/>
      <w:numFmt w:val="decimal"/>
      <w:lvlText w:val="%9."/>
      <w:lvlJc w:val="left"/>
      <w:pPr>
        <w:tabs>
          <w:tab w:val="num" w:pos="3536"/>
        </w:tabs>
        <w:ind w:left="3573" w:hanging="397"/>
      </w:pPr>
      <w:rPr>
        <w:rFonts w:hint="default"/>
      </w:rPr>
    </w:lvl>
  </w:abstractNum>
  <w:num w:numId="1" w16cid:durableId="542979867">
    <w:abstractNumId w:val="22"/>
  </w:num>
  <w:num w:numId="2" w16cid:durableId="1374111378">
    <w:abstractNumId w:val="3"/>
  </w:num>
  <w:num w:numId="3" w16cid:durableId="600719019">
    <w:abstractNumId w:val="14"/>
  </w:num>
  <w:num w:numId="4" w16cid:durableId="1438914964">
    <w:abstractNumId w:val="31"/>
  </w:num>
  <w:num w:numId="5" w16cid:durableId="1726173679">
    <w:abstractNumId w:val="20"/>
  </w:num>
  <w:num w:numId="6" w16cid:durableId="2030448208">
    <w:abstractNumId w:val="32"/>
  </w:num>
  <w:num w:numId="7" w16cid:durableId="1647199176">
    <w:abstractNumId w:val="28"/>
  </w:num>
  <w:num w:numId="8" w16cid:durableId="469323082">
    <w:abstractNumId w:val="25"/>
  </w:num>
  <w:num w:numId="9" w16cid:durableId="1534268571">
    <w:abstractNumId w:val="40"/>
  </w:num>
  <w:num w:numId="10" w16cid:durableId="1163202039">
    <w:abstractNumId w:val="7"/>
  </w:num>
  <w:num w:numId="11" w16cid:durableId="1902131196">
    <w:abstractNumId w:val="43"/>
  </w:num>
  <w:num w:numId="12" w16cid:durableId="2059354571">
    <w:abstractNumId w:val="41"/>
  </w:num>
  <w:num w:numId="13" w16cid:durableId="1190098964">
    <w:abstractNumId w:val="21"/>
  </w:num>
  <w:num w:numId="14" w16cid:durableId="2083600663">
    <w:abstractNumId w:val="6"/>
  </w:num>
  <w:num w:numId="15" w16cid:durableId="1577124982">
    <w:abstractNumId w:val="2"/>
  </w:num>
  <w:num w:numId="16" w16cid:durableId="1617366615">
    <w:abstractNumId w:val="26"/>
  </w:num>
  <w:num w:numId="17" w16cid:durableId="1249388316">
    <w:abstractNumId w:val="29"/>
  </w:num>
  <w:num w:numId="18" w16cid:durableId="476537450">
    <w:abstractNumId w:val="9"/>
  </w:num>
  <w:num w:numId="19" w16cid:durableId="1339310938">
    <w:abstractNumId w:val="39"/>
  </w:num>
  <w:num w:numId="20" w16cid:durableId="500703941">
    <w:abstractNumId w:val="16"/>
  </w:num>
  <w:num w:numId="21" w16cid:durableId="126165353">
    <w:abstractNumId w:val="27"/>
  </w:num>
  <w:num w:numId="22" w16cid:durableId="1614315504">
    <w:abstractNumId w:val="11"/>
  </w:num>
  <w:num w:numId="23" w16cid:durableId="1881046182">
    <w:abstractNumId w:val="35"/>
  </w:num>
  <w:num w:numId="24" w16cid:durableId="866453798">
    <w:abstractNumId w:val="17"/>
  </w:num>
  <w:num w:numId="25" w16cid:durableId="940912926">
    <w:abstractNumId w:val="30"/>
  </w:num>
  <w:num w:numId="26" w16cid:durableId="93402726">
    <w:abstractNumId w:val="15"/>
  </w:num>
  <w:num w:numId="27" w16cid:durableId="795637114">
    <w:abstractNumId w:val="4"/>
  </w:num>
  <w:num w:numId="28" w16cid:durableId="583926397">
    <w:abstractNumId w:val="13"/>
  </w:num>
  <w:num w:numId="29" w16cid:durableId="313948679">
    <w:abstractNumId w:val="5"/>
  </w:num>
  <w:num w:numId="30" w16cid:durableId="790831318">
    <w:abstractNumId w:val="0"/>
  </w:num>
  <w:num w:numId="31" w16cid:durableId="1965697931">
    <w:abstractNumId w:val="12"/>
  </w:num>
  <w:num w:numId="32" w16cid:durableId="569920965">
    <w:abstractNumId w:val="10"/>
  </w:num>
  <w:num w:numId="33" w16cid:durableId="1196237974">
    <w:abstractNumId w:val="34"/>
  </w:num>
  <w:num w:numId="34" w16cid:durableId="1490251711">
    <w:abstractNumId w:val="37"/>
  </w:num>
  <w:num w:numId="35" w16cid:durableId="1270620480">
    <w:abstractNumId w:val="24"/>
  </w:num>
  <w:num w:numId="36" w16cid:durableId="1584755268">
    <w:abstractNumId w:val="33"/>
  </w:num>
  <w:num w:numId="37" w16cid:durableId="1989823286">
    <w:abstractNumId w:val="36"/>
  </w:num>
  <w:num w:numId="38" w16cid:durableId="686491763">
    <w:abstractNumId w:val="42"/>
  </w:num>
  <w:num w:numId="39" w16cid:durableId="1417170652">
    <w:abstractNumId w:val="38"/>
  </w:num>
  <w:num w:numId="40" w16cid:durableId="578710218">
    <w:abstractNumId w:val="1"/>
  </w:num>
  <w:num w:numId="41" w16cid:durableId="426534662">
    <w:abstractNumId w:val="8"/>
  </w:num>
  <w:num w:numId="42" w16cid:durableId="426968079">
    <w:abstractNumId w:val="19"/>
  </w:num>
  <w:num w:numId="43" w16cid:durableId="1494561765">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D82"/>
    <w:rsid w:val="0000106A"/>
    <w:rsid w:val="00001CAE"/>
    <w:rsid w:val="00001F2C"/>
    <w:rsid w:val="00002B48"/>
    <w:rsid w:val="00003634"/>
    <w:rsid w:val="000047F5"/>
    <w:rsid w:val="00004B29"/>
    <w:rsid w:val="00004F5D"/>
    <w:rsid w:val="00005CB6"/>
    <w:rsid w:val="000065C8"/>
    <w:rsid w:val="00007220"/>
    <w:rsid w:val="00007969"/>
    <w:rsid w:val="00007BD6"/>
    <w:rsid w:val="000100AB"/>
    <w:rsid w:val="000101BC"/>
    <w:rsid w:val="0001061A"/>
    <w:rsid w:val="00010A0B"/>
    <w:rsid w:val="00010B00"/>
    <w:rsid w:val="00010C0C"/>
    <w:rsid w:val="00010F5A"/>
    <w:rsid w:val="000113F8"/>
    <w:rsid w:val="000119FD"/>
    <w:rsid w:val="00011C69"/>
    <w:rsid w:val="00012CD9"/>
    <w:rsid w:val="00012F6F"/>
    <w:rsid w:val="00013215"/>
    <w:rsid w:val="000137CF"/>
    <w:rsid w:val="00013A54"/>
    <w:rsid w:val="0001402A"/>
    <w:rsid w:val="00014213"/>
    <w:rsid w:val="000142AA"/>
    <w:rsid w:val="000144FD"/>
    <w:rsid w:val="00014B55"/>
    <w:rsid w:val="00014CCF"/>
    <w:rsid w:val="000151F4"/>
    <w:rsid w:val="00015791"/>
    <w:rsid w:val="00015A1A"/>
    <w:rsid w:val="00016F00"/>
    <w:rsid w:val="00016FE6"/>
    <w:rsid w:val="00017BF3"/>
    <w:rsid w:val="00017FCE"/>
    <w:rsid w:val="00020378"/>
    <w:rsid w:val="00020670"/>
    <w:rsid w:val="000209D4"/>
    <w:rsid w:val="00020A87"/>
    <w:rsid w:val="00020D3B"/>
    <w:rsid w:val="00020E3E"/>
    <w:rsid w:val="000212B4"/>
    <w:rsid w:val="000218BB"/>
    <w:rsid w:val="0002245B"/>
    <w:rsid w:val="0002325A"/>
    <w:rsid w:val="0002328B"/>
    <w:rsid w:val="00023BF3"/>
    <w:rsid w:val="00023C6C"/>
    <w:rsid w:val="00024184"/>
    <w:rsid w:val="000241B6"/>
    <w:rsid w:val="00024670"/>
    <w:rsid w:val="00026249"/>
    <w:rsid w:val="000265A8"/>
    <w:rsid w:val="00026811"/>
    <w:rsid w:val="00026985"/>
    <w:rsid w:val="00026DB6"/>
    <w:rsid w:val="00027300"/>
    <w:rsid w:val="000279CB"/>
    <w:rsid w:val="00027D69"/>
    <w:rsid w:val="00030819"/>
    <w:rsid w:val="00030CDB"/>
    <w:rsid w:val="00031F30"/>
    <w:rsid w:val="000321E1"/>
    <w:rsid w:val="00032526"/>
    <w:rsid w:val="00032555"/>
    <w:rsid w:val="00032597"/>
    <w:rsid w:val="0003278A"/>
    <w:rsid w:val="000332E7"/>
    <w:rsid w:val="0003368D"/>
    <w:rsid w:val="00033824"/>
    <w:rsid w:val="000339D3"/>
    <w:rsid w:val="00033CCD"/>
    <w:rsid w:val="00033F76"/>
    <w:rsid w:val="000341D9"/>
    <w:rsid w:val="00034CC2"/>
    <w:rsid w:val="00034E49"/>
    <w:rsid w:val="000354CE"/>
    <w:rsid w:val="00035BA2"/>
    <w:rsid w:val="00036011"/>
    <w:rsid w:val="00036C20"/>
    <w:rsid w:val="000375C2"/>
    <w:rsid w:val="00037685"/>
    <w:rsid w:val="0004041C"/>
    <w:rsid w:val="0004077E"/>
    <w:rsid w:val="0004185E"/>
    <w:rsid w:val="00043CF8"/>
    <w:rsid w:val="000443D0"/>
    <w:rsid w:val="000457DA"/>
    <w:rsid w:val="000462D1"/>
    <w:rsid w:val="0004698F"/>
    <w:rsid w:val="00046D8A"/>
    <w:rsid w:val="00047670"/>
    <w:rsid w:val="000477DC"/>
    <w:rsid w:val="0005026C"/>
    <w:rsid w:val="00050878"/>
    <w:rsid w:val="00050F64"/>
    <w:rsid w:val="0005265D"/>
    <w:rsid w:val="000526A2"/>
    <w:rsid w:val="00052AA4"/>
    <w:rsid w:val="00052F43"/>
    <w:rsid w:val="00052FA1"/>
    <w:rsid w:val="00054A6E"/>
    <w:rsid w:val="00055E4D"/>
    <w:rsid w:val="000561D3"/>
    <w:rsid w:val="00056988"/>
    <w:rsid w:val="000571E2"/>
    <w:rsid w:val="00057258"/>
    <w:rsid w:val="00057956"/>
    <w:rsid w:val="00057B0E"/>
    <w:rsid w:val="00057DBC"/>
    <w:rsid w:val="0006010E"/>
    <w:rsid w:val="00060CE1"/>
    <w:rsid w:val="00060EDE"/>
    <w:rsid w:val="00060FE5"/>
    <w:rsid w:val="00061114"/>
    <w:rsid w:val="00061314"/>
    <w:rsid w:val="000615E0"/>
    <w:rsid w:val="00061FB3"/>
    <w:rsid w:val="00062D77"/>
    <w:rsid w:val="00063082"/>
    <w:rsid w:val="00063158"/>
    <w:rsid w:val="00063299"/>
    <w:rsid w:val="00063605"/>
    <w:rsid w:val="00063F8F"/>
    <w:rsid w:val="00064EBB"/>
    <w:rsid w:val="000655E4"/>
    <w:rsid w:val="00065969"/>
    <w:rsid w:val="00066231"/>
    <w:rsid w:val="00066356"/>
    <w:rsid w:val="000663E2"/>
    <w:rsid w:val="0006681A"/>
    <w:rsid w:val="00066B87"/>
    <w:rsid w:val="000671CC"/>
    <w:rsid w:val="00067A59"/>
    <w:rsid w:val="0007003D"/>
    <w:rsid w:val="000704EC"/>
    <w:rsid w:val="00070549"/>
    <w:rsid w:val="00071130"/>
    <w:rsid w:val="00072279"/>
    <w:rsid w:val="000723AD"/>
    <w:rsid w:val="0007248C"/>
    <w:rsid w:val="000729AA"/>
    <w:rsid w:val="00072EEC"/>
    <w:rsid w:val="0007413D"/>
    <w:rsid w:val="0007421F"/>
    <w:rsid w:val="0007478B"/>
    <w:rsid w:val="00074E9F"/>
    <w:rsid w:val="000752E7"/>
    <w:rsid w:val="0007530C"/>
    <w:rsid w:val="00075895"/>
    <w:rsid w:val="00075BAA"/>
    <w:rsid w:val="00075E6C"/>
    <w:rsid w:val="00076925"/>
    <w:rsid w:val="00080715"/>
    <w:rsid w:val="000807E4"/>
    <w:rsid w:val="00080F50"/>
    <w:rsid w:val="00081AFD"/>
    <w:rsid w:val="00081C12"/>
    <w:rsid w:val="00082ECA"/>
    <w:rsid w:val="00084B4F"/>
    <w:rsid w:val="00087230"/>
    <w:rsid w:val="00087D42"/>
    <w:rsid w:val="00087FA1"/>
    <w:rsid w:val="000900A9"/>
    <w:rsid w:val="000902E0"/>
    <w:rsid w:val="0009062A"/>
    <w:rsid w:val="00091DA8"/>
    <w:rsid w:val="000926DD"/>
    <w:rsid w:val="00092AC7"/>
    <w:rsid w:val="00092CA0"/>
    <w:rsid w:val="00092E41"/>
    <w:rsid w:val="00092ED9"/>
    <w:rsid w:val="0009334A"/>
    <w:rsid w:val="00093B05"/>
    <w:rsid w:val="00093FDD"/>
    <w:rsid w:val="0009430E"/>
    <w:rsid w:val="000947EC"/>
    <w:rsid w:val="000948B4"/>
    <w:rsid w:val="00094B73"/>
    <w:rsid w:val="00094D66"/>
    <w:rsid w:val="000951F5"/>
    <w:rsid w:val="000955D5"/>
    <w:rsid w:val="00097452"/>
    <w:rsid w:val="00097B61"/>
    <w:rsid w:val="000A0511"/>
    <w:rsid w:val="000A0B07"/>
    <w:rsid w:val="000A0BEF"/>
    <w:rsid w:val="000A22D9"/>
    <w:rsid w:val="000A25E6"/>
    <w:rsid w:val="000A2620"/>
    <w:rsid w:val="000A28D8"/>
    <w:rsid w:val="000A2B30"/>
    <w:rsid w:val="000A3879"/>
    <w:rsid w:val="000A3CD2"/>
    <w:rsid w:val="000A3E9B"/>
    <w:rsid w:val="000A4259"/>
    <w:rsid w:val="000A4888"/>
    <w:rsid w:val="000A4A13"/>
    <w:rsid w:val="000A586F"/>
    <w:rsid w:val="000A58EC"/>
    <w:rsid w:val="000A5DD7"/>
    <w:rsid w:val="000A5FA2"/>
    <w:rsid w:val="000A6142"/>
    <w:rsid w:val="000A6323"/>
    <w:rsid w:val="000A636F"/>
    <w:rsid w:val="000A67BD"/>
    <w:rsid w:val="000A74F6"/>
    <w:rsid w:val="000A7D35"/>
    <w:rsid w:val="000B01A8"/>
    <w:rsid w:val="000B0556"/>
    <w:rsid w:val="000B0E88"/>
    <w:rsid w:val="000B1052"/>
    <w:rsid w:val="000B1428"/>
    <w:rsid w:val="000B1915"/>
    <w:rsid w:val="000B1B44"/>
    <w:rsid w:val="000B1FA7"/>
    <w:rsid w:val="000B252C"/>
    <w:rsid w:val="000B2557"/>
    <w:rsid w:val="000B264D"/>
    <w:rsid w:val="000B2705"/>
    <w:rsid w:val="000B29AD"/>
    <w:rsid w:val="000B2C99"/>
    <w:rsid w:val="000B2CA3"/>
    <w:rsid w:val="000B43AD"/>
    <w:rsid w:val="000B498E"/>
    <w:rsid w:val="000B5C3E"/>
    <w:rsid w:val="000B6896"/>
    <w:rsid w:val="000B6FFC"/>
    <w:rsid w:val="000B73D1"/>
    <w:rsid w:val="000B7970"/>
    <w:rsid w:val="000B7A52"/>
    <w:rsid w:val="000C036F"/>
    <w:rsid w:val="000C2A67"/>
    <w:rsid w:val="000C3449"/>
    <w:rsid w:val="000C3EAB"/>
    <w:rsid w:val="000C4442"/>
    <w:rsid w:val="000C4D05"/>
    <w:rsid w:val="000C5036"/>
    <w:rsid w:val="000C55BF"/>
    <w:rsid w:val="000C5BAF"/>
    <w:rsid w:val="000C6372"/>
    <w:rsid w:val="000C638A"/>
    <w:rsid w:val="000C751F"/>
    <w:rsid w:val="000C7AB2"/>
    <w:rsid w:val="000C7B2D"/>
    <w:rsid w:val="000C7F96"/>
    <w:rsid w:val="000D03BE"/>
    <w:rsid w:val="000D1042"/>
    <w:rsid w:val="000D14FA"/>
    <w:rsid w:val="000D1C94"/>
    <w:rsid w:val="000D1CC1"/>
    <w:rsid w:val="000D248C"/>
    <w:rsid w:val="000D2C8E"/>
    <w:rsid w:val="000D384F"/>
    <w:rsid w:val="000D4A75"/>
    <w:rsid w:val="000D5890"/>
    <w:rsid w:val="000D69BF"/>
    <w:rsid w:val="000D7841"/>
    <w:rsid w:val="000D7EFA"/>
    <w:rsid w:val="000D7F10"/>
    <w:rsid w:val="000E02E1"/>
    <w:rsid w:val="000E0E8F"/>
    <w:rsid w:val="000E1F27"/>
    <w:rsid w:val="000E348E"/>
    <w:rsid w:val="000E35E4"/>
    <w:rsid w:val="000E392D"/>
    <w:rsid w:val="000E39B6"/>
    <w:rsid w:val="000E3A54"/>
    <w:rsid w:val="000E3D05"/>
    <w:rsid w:val="000E3FE7"/>
    <w:rsid w:val="000E411E"/>
    <w:rsid w:val="000E5092"/>
    <w:rsid w:val="000E5AB1"/>
    <w:rsid w:val="000E62CC"/>
    <w:rsid w:val="000E69D5"/>
    <w:rsid w:val="000E71E1"/>
    <w:rsid w:val="000E7F36"/>
    <w:rsid w:val="000F058D"/>
    <w:rsid w:val="000F1DF4"/>
    <w:rsid w:val="000F1E3D"/>
    <w:rsid w:val="000F1F4B"/>
    <w:rsid w:val="000F2F37"/>
    <w:rsid w:val="000F345E"/>
    <w:rsid w:val="000F370F"/>
    <w:rsid w:val="000F4288"/>
    <w:rsid w:val="000F4DEB"/>
    <w:rsid w:val="000F4DED"/>
    <w:rsid w:val="000F5059"/>
    <w:rsid w:val="000F570F"/>
    <w:rsid w:val="000F6024"/>
    <w:rsid w:val="000F65A4"/>
    <w:rsid w:val="000F6917"/>
    <w:rsid w:val="000F6C53"/>
    <w:rsid w:val="000F7165"/>
    <w:rsid w:val="000F73A1"/>
    <w:rsid w:val="000F78E8"/>
    <w:rsid w:val="001001BD"/>
    <w:rsid w:val="00100361"/>
    <w:rsid w:val="00101853"/>
    <w:rsid w:val="00101C6B"/>
    <w:rsid w:val="00102379"/>
    <w:rsid w:val="0010289D"/>
    <w:rsid w:val="00102DFD"/>
    <w:rsid w:val="00103722"/>
    <w:rsid w:val="00103814"/>
    <w:rsid w:val="00103CA7"/>
    <w:rsid w:val="00103DB8"/>
    <w:rsid w:val="0010416A"/>
    <w:rsid w:val="00104DD4"/>
    <w:rsid w:val="00105456"/>
    <w:rsid w:val="00105EB8"/>
    <w:rsid w:val="001065D6"/>
    <w:rsid w:val="0010676D"/>
    <w:rsid w:val="001068D5"/>
    <w:rsid w:val="00106B22"/>
    <w:rsid w:val="00106FE5"/>
    <w:rsid w:val="00107250"/>
    <w:rsid w:val="0010746A"/>
    <w:rsid w:val="00107793"/>
    <w:rsid w:val="00107DE2"/>
    <w:rsid w:val="00110632"/>
    <w:rsid w:val="001106A8"/>
    <w:rsid w:val="00110775"/>
    <w:rsid w:val="00110A0F"/>
    <w:rsid w:val="00111748"/>
    <w:rsid w:val="00111A93"/>
    <w:rsid w:val="001125C9"/>
    <w:rsid w:val="001126CC"/>
    <w:rsid w:val="00112C57"/>
    <w:rsid w:val="00113152"/>
    <w:rsid w:val="00113315"/>
    <w:rsid w:val="001138BD"/>
    <w:rsid w:val="00113BE6"/>
    <w:rsid w:val="00113F28"/>
    <w:rsid w:val="001146EE"/>
    <w:rsid w:val="001149B9"/>
    <w:rsid w:val="00114A6C"/>
    <w:rsid w:val="00116880"/>
    <w:rsid w:val="00116A2E"/>
    <w:rsid w:val="00116C3F"/>
    <w:rsid w:val="00116D60"/>
    <w:rsid w:val="00120261"/>
    <w:rsid w:val="00121252"/>
    <w:rsid w:val="001212F0"/>
    <w:rsid w:val="0012222F"/>
    <w:rsid w:val="00122CAB"/>
    <w:rsid w:val="001230C6"/>
    <w:rsid w:val="0012330F"/>
    <w:rsid w:val="00123B9B"/>
    <w:rsid w:val="00123C4E"/>
    <w:rsid w:val="00124609"/>
    <w:rsid w:val="00124E34"/>
    <w:rsid w:val="001254CE"/>
    <w:rsid w:val="001257F7"/>
    <w:rsid w:val="00125AF2"/>
    <w:rsid w:val="0012680D"/>
    <w:rsid w:val="00126EC3"/>
    <w:rsid w:val="001278F3"/>
    <w:rsid w:val="00127EAC"/>
    <w:rsid w:val="00127EC5"/>
    <w:rsid w:val="0012A88E"/>
    <w:rsid w:val="00130063"/>
    <w:rsid w:val="0013006F"/>
    <w:rsid w:val="00130300"/>
    <w:rsid w:val="00131762"/>
    <w:rsid w:val="00131ECF"/>
    <w:rsid w:val="00132142"/>
    <w:rsid w:val="0013296E"/>
    <w:rsid w:val="001329AA"/>
    <w:rsid w:val="00132B8A"/>
    <w:rsid w:val="001331F4"/>
    <w:rsid w:val="00133264"/>
    <w:rsid w:val="00133822"/>
    <w:rsid w:val="001347D6"/>
    <w:rsid w:val="001361BC"/>
    <w:rsid w:val="00136331"/>
    <w:rsid w:val="00136B2F"/>
    <w:rsid w:val="00137099"/>
    <w:rsid w:val="001377C5"/>
    <w:rsid w:val="00140318"/>
    <w:rsid w:val="001405A3"/>
    <w:rsid w:val="001407C5"/>
    <w:rsid w:val="001412E8"/>
    <w:rsid w:val="001422C8"/>
    <w:rsid w:val="001422CC"/>
    <w:rsid w:val="0014266B"/>
    <w:rsid w:val="00142CC3"/>
    <w:rsid w:val="001432A7"/>
    <w:rsid w:val="001433D1"/>
    <w:rsid w:val="00143540"/>
    <w:rsid w:val="00143FC6"/>
    <w:rsid w:val="0014424F"/>
    <w:rsid w:val="001446E6"/>
    <w:rsid w:val="00144EC2"/>
    <w:rsid w:val="00145346"/>
    <w:rsid w:val="0014539B"/>
    <w:rsid w:val="00145CDB"/>
    <w:rsid w:val="001462C1"/>
    <w:rsid w:val="00146348"/>
    <w:rsid w:val="00146CB2"/>
    <w:rsid w:val="00147BE1"/>
    <w:rsid w:val="00147C94"/>
    <w:rsid w:val="001501D6"/>
    <w:rsid w:val="00150333"/>
    <w:rsid w:val="001508AB"/>
    <w:rsid w:val="00151F5C"/>
    <w:rsid w:val="00152397"/>
    <w:rsid w:val="001527F9"/>
    <w:rsid w:val="001529AE"/>
    <w:rsid w:val="00152F10"/>
    <w:rsid w:val="001539EA"/>
    <w:rsid w:val="001543E9"/>
    <w:rsid w:val="00155568"/>
    <w:rsid w:val="00155785"/>
    <w:rsid w:val="001558C3"/>
    <w:rsid w:val="00156AC7"/>
    <w:rsid w:val="00156AC9"/>
    <w:rsid w:val="00156B86"/>
    <w:rsid w:val="00157988"/>
    <w:rsid w:val="0015D09E"/>
    <w:rsid w:val="0016014E"/>
    <w:rsid w:val="00160482"/>
    <w:rsid w:val="0016142A"/>
    <w:rsid w:val="00161476"/>
    <w:rsid w:val="001617B6"/>
    <w:rsid w:val="00161A09"/>
    <w:rsid w:val="0016211A"/>
    <w:rsid w:val="001624B2"/>
    <w:rsid w:val="001629AF"/>
    <w:rsid w:val="00163200"/>
    <w:rsid w:val="00163971"/>
    <w:rsid w:val="00165088"/>
    <w:rsid w:val="00165876"/>
    <w:rsid w:val="001659D7"/>
    <w:rsid w:val="00165E66"/>
    <w:rsid w:val="00166041"/>
    <w:rsid w:val="0016642C"/>
    <w:rsid w:val="00166536"/>
    <w:rsid w:val="001668B2"/>
    <w:rsid w:val="00166F35"/>
    <w:rsid w:val="00167126"/>
    <w:rsid w:val="0016712E"/>
    <w:rsid w:val="001671C0"/>
    <w:rsid w:val="00167A1E"/>
    <w:rsid w:val="00167E25"/>
    <w:rsid w:val="00170A54"/>
    <w:rsid w:val="00170C2B"/>
    <w:rsid w:val="0017164F"/>
    <w:rsid w:val="00171B1A"/>
    <w:rsid w:val="00171BBF"/>
    <w:rsid w:val="00171C41"/>
    <w:rsid w:val="001742EE"/>
    <w:rsid w:val="0017451C"/>
    <w:rsid w:val="00174B29"/>
    <w:rsid w:val="00174CC7"/>
    <w:rsid w:val="00174F38"/>
    <w:rsid w:val="0017524D"/>
    <w:rsid w:val="00175303"/>
    <w:rsid w:val="00175675"/>
    <w:rsid w:val="001765F5"/>
    <w:rsid w:val="00176EC9"/>
    <w:rsid w:val="0017715F"/>
    <w:rsid w:val="00177B8C"/>
    <w:rsid w:val="00180048"/>
    <w:rsid w:val="001807C6"/>
    <w:rsid w:val="00181C09"/>
    <w:rsid w:val="00183139"/>
    <w:rsid w:val="00183310"/>
    <w:rsid w:val="001837B0"/>
    <w:rsid w:val="00183F65"/>
    <w:rsid w:val="00184162"/>
    <w:rsid w:val="00184240"/>
    <w:rsid w:val="0018440D"/>
    <w:rsid w:val="001849FD"/>
    <w:rsid w:val="00185B2E"/>
    <w:rsid w:val="0018669F"/>
    <w:rsid w:val="00186F5F"/>
    <w:rsid w:val="00187223"/>
    <w:rsid w:val="0018746A"/>
    <w:rsid w:val="00187C5D"/>
    <w:rsid w:val="00187F9D"/>
    <w:rsid w:val="0019011A"/>
    <w:rsid w:val="00191CB5"/>
    <w:rsid w:val="0019351B"/>
    <w:rsid w:val="00193612"/>
    <w:rsid w:val="00193D15"/>
    <w:rsid w:val="0019402B"/>
    <w:rsid w:val="001944BF"/>
    <w:rsid w:val="00194B79"/>
    <w:rsid w:val="00194F37"/>
    <w:rsid w:val="00195ADF"/>
    <w:rsid w:val="00195CB3"/>
    <w:rsid w:val="00195CD0"/>
    <w:rsid w:val="00195DC4"/>
    <w:rsid w:val="00196143"/>
    <w:rsid w:val="0019658D"/>
    <w:rsid w:val="00196D84"/>
    <w:rsid w:val="00197145"/>
    <w:rsid w:val="001971A9"/>
    <w:rsid w:val="001A092D"/>
    <w:rsid w:val="001A0A5A"/>
    <w:rsid w:val="001A24FC"/>
    <w:rsid w:val="001A2A72"/>
    <w:rsid w:val="001A2BA3"/>
    <w:rsid w:val="001A2C5B"/>
    <w:rsid w:val="001A3058"/>
    <w:rsid w:val="001A3111"/>
    <w:rsid w:val="001A3577"/>
    <w:rsid w:val="001A528A"/>
    <w:rsid w:val="001A6028"/>
    <w:rsid w:val="001A6745"/>
    <w:rsid w:val="001A6A4D"/>
    <w:rsid w:val="001A78CC"/>
    <w:rsid w:val="001B002A"/>
    <w:rsid w:val="001B04E3"/>
    <w:rsid w:val="001B07D5"/>
    <w:rsid w:val="001B0BCB"/>
    <w:rsid w:val="001B156C"/>
    <w:rsid w:val="001B1C35"/>
    <w:rsid w:val="001B28D7"/>
    <w:rsid w:val="001B37F4"/>
    <w:rsid w:val="001B3DCE"/>
    <w:rsid w:val="001B438E"/>
    <w:rsid w:val="001B4449"/>
    <w:rsid w:val="001B4825"/>
    <w:rsid w:val="001B50D8"/>
    <w:rsid w:val="001B55A8"/>
    <w:rsid w:val="001B5773"/>
    <w:rsid w:val="001B57B2"/>
    <w:rsid w:val="001B5973"/>
    <w:rsid w:val="001B6181"/>
    <w:rsid w:val="001B65B3"/>
    <w:rsid w:val="001B6787"/>
    <w:rsid w:val="001B71A9"/>
    <w:rsid w:val="001B75FA"/>
    <w:rsid w:val="001B78C3"/>
    <w:rsid w:val="001C15D8"/>
    <w:rsid w:val="001C1C50"/>
    <w:rsid w:val="001C255D"/>
    <w:rsid w:val="001C2E2A"/>
    <w:rsid w:val="001C2E9D"/>
    <w:rsid w:val="001C300A"/>
    <w:rsid w:val="001C32DE"/>
    <w:rsid w:val="001C3A5A"/>
    <w:rsid w:val="001C3BD3"/>
    <w:rsid w:val="001C529D"/>
    <w:rsid w:val="001C5C13"/>
    <w:rsid w:val="001C5D98"/>
    <w:rsid w:val="001C64AD"/>
    <w:rsid w:val="001C6E4D"/>
    <w:rsid w:val="001C715C"/>
    <w:rsid w:val="001C759C"/>
    <w:rsid w:val="001C7676"/>
    <w:rsid w:val="001C7BAE"/>
    <w:rsid w:val="001D06A9"/>
    <w:rsid w:val="001D10D6"/>
    <w:rsid w:val="001D1692"/>
    <w:rsid w:val="001D1953"/>
    <w:rsid w:val="001D1F79"/>
    <w:rsid w:val="001D22B3"/>
    <w:rsid w:val="001D287A"/>
    <w:rsid w:val="001D2E9C"/>
    <w:rsid w:val="001D32E0"/>
    <w:rsid w:val="001D36CB"/>
    <w:rsid w:val="001D490A"/>
    <w:rsid w:val="001D4D87"/>
    <w:rsid w:val="001D509E"/>
    <w:rsid w:val="001D51B8"/>
    <w:rsid w:val="001D629C"/>
    <w:rsid w:val="001D65D1"/>
    <w:rsid w:val="001D7642"/>
    <w:rsid w:val="001D7B40"/>
    <w:rsid w:val="001E0512"/>
    <w:rsid w:val="001E0672"/>
    <w:rsid w:val="001E0FF3"/>
    <w:rsid w:val="001E12E8"/>
    <w:rsid w:val="001E153D"/>
    <w:rsid w:val="001E1828"/>
    <w:rsid w:val="001E20A8"/>
    <w:rsid w:val="001E29C6"/>
    <w:rsid w:val="001E2BE2"/>
    <w:rsid w:val="001E2C59"/>
    <w:rsid w:val="001E2D8D"/>
    <w:rsid w:val="001E31FA"/>
    <w:rsid w:val="001E3273"/>
    <w:rsid w:val="001E4660"/>
    <w:rsid w:val="001E48F9"/>
    <w:rsid w:val="001E52AA"/>
    <w:rsid w:val="001E5B74"/>
    <w:rsid w:val="001E5C52"/>
    <w:rsid w:val="001E5CEA"/>
    <w:rsid w:val="001E64F6"/>
    <w:rsid w:val="001E6746"/>
    <w:rsid w:val="001E67B0"/>
    <w:rsid w:val="001E7AEB"/>
    <w:rsid w:val="001E7C33"/>
    <w:rsid w:val="001F0D6F"/>
    <w:rsid w:val="001F23F0"/>
    <w:rsid w:val="001F30B5"/>
    <w:rsid w:val="001F35ED"/>
    <w:rsid w:val="001F4383"/>
    <w:rsid w:val="001F4AE7"/>
    <w:rsid w:val="001F4C79"/>
    <w:rsid w:val="001F616F"/>
    <w:rsid w:val="001F6A1A"/>
    <w:rsid w:val="001F6E24"/>
    <w:rsid w:val="001F7424"/>
    <w:rsid w:val="002003E4"/>
    <w:rsid w:val="002004AD"/>
    <w:rsid w:val="00200AA0"/>
    <w:rsid w:val="00202A50"/>
    <w:rsid w:val="00203BC7"/>
    <w:rsid w:val="002042C6"/>
    <w:rsid w:val="002049CF"/>
    <w:rsid w:val="00204B82"/>
    <w:rsid w:val="00204B84"/>
    <w:rsid w:val="00204DFA"/>
    <w:rsid w:val="00204FA7"/>
    <w:rsid w:val="002055DC"/>
    <w:rsid w:val="0020571A"/>
    <w:rsid w:val="00205763"/>
    <w:rsid w:val="002059BE"/>
    <w:rsid w:val="00205C68"/>
    <w:rsid w:val="00205CB5"/>
    <w:rsid w:val="00206BDA"/>
    <w:rsid w:val="0020762E"/>
    <w:rsid w:val="0020780D"/>
    <w:rsid w:val="00207BA3"/>
    <w:rsid w:val="00207D59"/>
    <w:rsid w:val="00207FEC"/>
    <w:rsid w:val="0021060A"/>
    <w:rsid w:val="00210DFF"/>
    <w:rsid w:val="00210FE6"/>
    <w:rsid w:val="002112A2"/>
    <w:rsid w:val="00211C95"/>
    <w:rsid w:val="00211D10"/>
    <w:rsid w:val="002141B8"/>
    <w:rsid w:val="00214348"/>
    <w:rsid w:val="00215ECA"/>
    <w:rsid w:val="00216069"/>
    <w:rsid w:val="00216214"/>
    <w:rsid w:val="002163D6"/>
    <w:rsid w:val="002165AB"/>
    <w:rsid w:val="00216A60"/>
    <w:rsid w:val="00216E52"/>
    <w:rsid w:val="00217688"/>
    <w:rsid w:val="00217EA9"/>
    <w:rsid w:val="002207F5"/>
    <w:rsid w:val="00220C20"/>
    <w:rsid w:val="00220D68"/>
    <w:rsid w:val="002211F4"/>
    <w:rsid w:val="00222121"/>
    <w:rsid w:val="002228A8"/>
    <w:rsid w:val="0022293D"/>
    <w:rsid w:val="00222952"/>
    <w:rsid w:val="00222A7A"/>
    <w:rsid w:val="00222BEB"/>
    <w:rsid w:val="00222E7A"/>
    <w:rsid w:val="00222F3D"/>
    <w:rsid w:val="00223217"/>
    <w:rsid w:val="00223480"/>
    <w:rsid w:val="00223A01"/>
    <w:rsid w:val="00223E49"/>
    <w:rsid w:val="00224067"/>
    <w:rsid w:val="00225218"/>
    <w:rsid w:val="002257F3"/>
    <w:rsid w:val="00225E60"/>
    <w:rsid w:val="00226589"/>
    <w:rsid w:val="0022692D"/>
    <w:rsid w:val="0022748B"/>
    <w:rsid w:val="002274E7"/>
    <w:rsid w:val="00227743"/>
    <w:rsid w:val="00227BB6"/>
    <w:rsid w:val="00230BBB"/>
    <w:rsid w:val="0023163B"/>
    <w:rsid w:val="00231B66"/>
    <w:rsid w:val="0023202C"/>
    <w:rsid w:val="002328F6"/>
    <w:rsid w:val="002334F3"/>
    <w:rsid w:val="002339FF"/>
    <w:rsid w:val="00233A2C"/>
    <w:rsid w:val="00233AE3"/>
    <w:rsid w:val="00233FFB"/>
    <w:rsid w:val="00234253"/>
    <w:rsid w:val="0023441A"/>
    <w:rsid w:val="002344FE"/>
    <w:rsid w:val="0023459D"/>
    <w:rsid w:val="00234619"/>
    <w:rsid w:val="002347FF"/>
    <w:rsid w:val="00234893"/>
    <w:rsid w:val="00235808"/>
    <w:rsid w:val="00236A68"/>
    <w:rsid w:val="00236B53"/>
    <w:rsid w:val="00237944"/>
    <w:rsid w:val="00237A0B"/>
    <w:rsid w:val="00237B83"/>
    <w:rsid w:val="00237D3A"/>
    <w:rsid w:val="00240AE6"/>
    <w:rsid w:val="0024157B"/>
    <w:rsid w:val="002418DA"/>
    <w:rsid w:val="002418EF"/>
    <w:rsid w:val="00241978"/>
    <w:rsid w:val="00242108"/>
    <w:rsid w:val="0024245B"/>
    <w:rsid w:val="00242BD2"/>
    <w:rsid w:val="0024376F"/>
    <w:rsid w:val="00243AB1"/>
    <w:rsid w:val="00243F89"/>
    <w:rsid w:val="0024452B"/>
    <w:rsid w:val="00245043"/>
    <w:rsid w:val="0024534F"/>
    <w:rsid w:val="0024672D"/>
    <w:rsid w:val="00246955"/>
    <w:rsid w:val="002469BA"/>
    <w:rsid w:val="002479B9"/>
    <w:rsid w:val="00247A2E"/>
    <w:rsid w:val="00247C0F"/>
    <w:rsid w:val="00251552"/>
    <w:rsid w:val="0025185D"/>
    <w:rsid w:val="00251F9B"/>
    <w:rsid w:val="0025242B"/>
    <w:rsid w:val="00252698"/>
    <w:rsid w:val="00252A1C"/>
    <w:rsid w:val="002534CB"/>
    <w:rsid w:val="00253FBC"/>
    <w:rsid w:val="0025496C"/>
    <w:rsid w:val="00254FBC"/>
    <w:rsid w:val="002556C4"/>
    <w:rsid w:val="0025578B"/>
    <w:rsid w:val="0025608B"/>
    <w:rsid w:val="002563AB"/>
    <w:rsid w:val="002564C1"/>
    <w:rsid w:val="002566D7"/>
    <w:rsid w:val="0025685B"/>
    <w:rsid w:val="002570BD"/>
    <w:rsid w:val="00257121"/>
    <w:rsid w:val="0025793A"/>
    <w:rsid w:val="0025796B"/>
    <w:rsid w:val="00257A6F"/>
    <w:rsid w:val="00257F11"/>
    <w:rsid w:val="0026028E"/>
    <w:rsid w:val="002607E0"/>
    <w:rsid w:val="002609C1"/>
    <w:rsid w:val="002614FB"/>
    <w:rsid w:val="002619FA"/>
    <w:rsid w:val="00261E24"/>
    <w:rsid w:val="00262E01"/>
    <w:rsid w:val="00263F9E"/>
    <w:rsid w:val="00264272"/>
    <w:rsid w:val="002642C6"/>
    <w:rsid w:val="00264E6A"/>
    <w:rsid w:val="00265398"/>
    <w:rsid w:val="00265432"/>
    <w:rsid w:val="00265928"/>
    <w:rsid w:val="002659B4"/>
    <w:rsid w:val="00265F0B"/>
    <w:rsid w:val="0026615A"/>
    <w:rsid w:val="002663CA"/>
    <w:rsid w:val="00266E0D"/>
    <w:rsid w:val="00267A92"/>
    <w:rsid w:val="00267D39"/>
    <w:rsid w:val="00270578"/>
    <w:rsid w:val="00270C38"/>
    <w:rsid w:val="00270DDC"/>
    <w:rsid w:val="002711AA"/>
    <w:rsid w:val="0027296E"/>
    <w:rsid w:val="00272EC4"/>
    <w:rsid w:val="00273287"/>
    <w:rsid w:val="00273B56"/>
    <w:rsid w:val="002744B6"/>
    <w:rsid w:val="002745F5"/>
    <w:rsid w:val="00274E62"/>
    <w:rsid w:val="00274F5C"/>
    <w:rsid w:val="00275A73"/>
    <w:rsid w:val="00275AD3"/>
    <w:rsid w:val="00275F6F"/>
    <w:rsid w:val="00276532"/>
    <w:rsid w:val="00276717"/>
    <w:rsid w:val="0027705A"/>
    <w:rsid w:val="002801CF"/>
    <w:rsid w:val="00280E80"/>
    <w:rsid w:val="00282118"/>
    <w:rsid w:val="00282835"/>
    <w:rsid w:val="00283882"/>
    <w:rsid w:val="00284937"/>
    <w:rsid w:val="00284FA2"/>
    <w:rsid w:val="00285987"/>
    <w:rsid w:val="00285EC6"/>
    <w:rsid w:val="0028628D"/>
    <w:rsid w:val="00286435"/>
    <w:rsid w:val="00286657"/>
    <w:rsid w:val="00286662"/>
    <w:rsid w:val="0028736E"/>
    <w:rsid w:val="00287537"/>
    <w:rsid w:val="00287F48"/>
    <w:rsid w:val="00292326"/>
    <w:rsid w:val="002929E7"/>
    <w:rsid w:val="00292D36"/>
    <w:rsid w:val="002934CD"/>
    <w:rsid w:val="00293B00"/>
    <w:rsid w:val="00294345"/>
    <w:rsid w:val="00294984"/>
    <w:rsid w:val="00294A5A"/>
    <w:rsid w:val="0029618A"/>
    <w:rsid w:val="002964D7"/>
    <w:rsid w:val="0029655A"/>
    <w:rsid w:val="00297281"/>
    <w:rsid w:val="0029757D"/>
    <w:rsid w:val="00297A47"/>
    <w:rsid w:val="00297AE6"/>
    <w:rsid w:val="00297B79"/>
    <w:rsid w:val="002A01D1"/>
    <w:rsid w:val="002A0D62"/>
    <w:rsid w:val="002A0EF5"/>
    <w:rsid w:val="002A11B2"/>
    <w:rsid w:val="002A1258"/>
    <w:rsid w:val="002A1642"/>
    <w:rsid w:val="002A1B35"/>
    <w:rsid w:val="002A2494"/>
    <w:rsid w:val="002A2552"/>
    <w:rsid w:val="002A3F2A"/>
    <w:rsid w:val="002A418A"/>
    <w:rsid w:val="002A422F"/>
    <w:rsid w:val="002A4643"/>
    <w:rsid w:val="002A4AD5"/>
    <w:rsid w:val="002A4B3B"/>
    <w:rsid w:val="002A4D8C"/>
    <w:rsid w:val="002A50AA"/>
    <w:rsid w:val="002A5699"/>
    <w:rsid w:val="002A5772"/>
    <w:rsid w:val="002A5891"/>
    <w:rsid w:val="002A5F93"/>
    <w:rsid w:val="002A75AE"/>
    <w:rsid w:val="002A7612"/>
    <w:rsid w:val="002B031A"/>
    <w:rsid w:val="002B03F1"/>
    <w:rsid w:val="002B0FF8"/>
    <w:rsid w:val="002B102A"/>
    <w:rsid w:val="002B2EBD"/>
    <w:rsid w:val="002B34FC"/>
    <w:rsid w:val="002B3F50"/>
    <w:rsid w:val="002B4035"/>
    <w:rsid w:val="002B44B6"/>
    <w:rsid w:val="002B44DD"/>
    <w:rsid w:val="002B46F1"/>
    <w:rsid w:val="002B5734"/>
    <w:rsid w:val="002B5E2B"/>
    <w:rsid w:val="002B61D8"/>
    <w:rsid w:val="002B6DAA"/>
    <w:rsid w:val="002B6EB8"/>
    <w:rsid w:val="002B749C"/>
    <w:rsid w:val="002B7BBE"/>
    <w:rsid w:val="002BD38F"/>
    <w:rsid w:val="002C0FC0"/>
    <w:rsid w:val="002C1F95"/>
    <w:rsid w:val="002C20FD"/>
    <w:rsid w:val="002C21E7"/>
    <w:rsid w:val="002C2BFB"/>
    <w:rsid w:val="002C3246"/>
    <w:rsid w:val="002C392C"/>
    <w:rsid w:val="002C3FAA"/>
    <w:rsid w:val="002C45F4"/>
    <w:rsid w:val="002C462C"/>
    <w:rsid w:val="002C537B"/>
    <w:rsid w:val="002C5612"/>
    <w:rsid w:val="002C564E"/>
    <w:rsid w:val="002C5D7C"/>
    <w:rsid w:val="002C61D3"/>
    <w:rsid w:val="002C76DF"/>
    <w:rsid w:val="002C7C15"/>
    <w:rsid w:val="002C7F9D"/>
    <w:rsid w:val="002D04D7"/>
    <w:rsid w:val="002D0E3F"/>
    <w:rsid w:val="002D1905"/>
    <w:rsid w:val="002D1C47"/>
    <w:rsid w:val="002D1F83"/>
    <w:rsid w:val="002D2C37"/>
    <w:rsid w:val="002D3232"/>
    <w:rsid w:val="002D32B7"/>
    <w:rsid w:val="002D32DA"/>
    <w:rsid w:val="002D4689"/>
    <w:rsid w:val="002D51F5"/>
    <w:rsid w:val="002D5518"/>
    <w:rsid w:val="002D5621"/>
    <w:rsid w:val="002D5E29"/>
    <w:rsid w:val="002D615C"/>
    <w:rsid w:val="002D6F3C"/>
    <w:rsid w:val="002D70F7"/>
    <w:rsid w:val="002D711A"/>
    <w:rsid w:val="002D72F0"/>
    <w:rsid w:val="002D7336"/>
    <w:rsid w:val="002D785C"/>
    <w:rsid w:val="002D7A31"/>
    <w:rsid w:val="002E0A82"/>
    <w:rsid w:val="002E0F7E"/>
    <w:rsid w:val="002E1712"/>
    <w:rsid w:val="002E19B5"/>
    <w:rsid w:val="002E1F2E"/>
    <w:rsid w:val="002E2574"/>
    <w:rsid w:val="002E2ECD"/>
    <w:rsid w:val="002E3396"/>
    <w:rsid w:val="002E3865"/>
    <w:rsid w:val="002E41F0"/>
    <w:rsid w:val="002E43C0"/>
    <w:rsid w:val="002E4D77"/>
    <w:rsid w:val="002E4DC4"/>
    <w:rsid w:val="002E5A8B"/>
    <w:rsid w:val="002E60E9"/>
    <w:rsid w:val="002E64EA"/>
    <w:rsid w:val="002E69CA"/>
    <w:rsid w:val="002E6DC1"/>
    <w:rsid w:val="002E6DEA"/>
    <w:rsid w:val="002E7203"/>
    <w:rsid w:val="002F0114"/>
    <w:rsid w:val="002F0B8C"/>
    <w:rsid w:val="002F0C48"/>
    <w:rsid w:val="002F1173"/>
    <w:rsid w:val="002F1C03"/>
    <w:rsid w:val="002F2953"/>
    <w:rsid w:val="002F2D73"/>
    <w:rsid w:val="002F3119"/>
    <w:rsid w:val="002F39F0"/>
    <w:rsid w:val="002F3A62"/>
    <w:rsid w:val="002F4026"/>
    <w:rsid w:val="002F4173"/>
    <w:rsid w:val="002F51D4"/>
    <w:rsid w:val="002F54B6"/>
    <w:rsid w:val="002F5817"/>
    <w:rsid w:val="002F6C50"/>
    <w:rsid w:val="002F6DA5"/>
    <w:rsid w:val="002F6E44"/>
    <w:rsid w:val="002F6E73"/>
    <w:rsid w:val="002F7176"/>
    <w:rsid w:val="002F739B"/>
    <w:rsid w:val="00300665"/>
    <w:rsid w:val="00302417"/>
    <w:rsid w:val="00303615"/>
    <w:rsid w:val="0030363F"/>
    <w:rsid w:val="0030368C"/>
    <w:rsid w:val="003037E6"/>
    <w:rsid w:val="00303E66"/>
    <w:rsid w:val="0030413D"/>
    <w:rsid w:val="00304384"/>
    <w:rsid w:val="003046C9"/>
    <w:rsid w:val="00304711"/>
    <w:rsid w:val="00304E9D"/>
    <w:rsid w:val="0030554E"/>
    <w:rsid w:val="00305DDF"/>
    <w:rsid w:val="0030603A"/>
    <w:rsid w:val="0030667E"/>
    <w:rsid w:val="003070A3"/>
    <w:rsid w:val="0030729C"/>
    <w:rsid w:val="0030739C"/>
    <w:rsid w:val="003075D5"/>
    <w:rsid w:val="003076D8"/>
    <w:rsid w:val="00307FAF"/>
    <w:rsid w:val="00310234"/>
    <w:rsid w:val="00310336"/>
    <w:rsid w:val="00310D33"/>
    <w:rsid w:val="00310F13"/>
    <w:rsid w:val="00311480"/>
    <w:rsid w:val="0031149C"/>
    <w:rsid w:val="003129DF"/>
    <w:rsid w:val="00312B69"/>
    <w:rsid w:val="00313EEA"/>
    <w:rsid w:val="00314A0C"/>
    <w:rsid w:val="00314ADD"/>
    <w:rsid w:val="00315244"/>
    <w:rsid w:val="003159B9"/>
    <w:rsid w:val="00315B8F"/>
    <w:rsid w:val="00315C61"/>
    <w:rsid w:val="00315D5F"/>
    <w:rsid w:val="0031604D"/>
    <w:rsid w:val="003162E4"/>
    <w:rsid w:val="00316428"/>
    <w:rsid w:val="00316BD2"/>
    <w:rsid w:val="00316FC9"/>
    <w:rsid w:val="0031726B"/>
    <w:rsid w:val="00317DB8"/>
    <w:rsid w:val="00320576"/>
    <w:rsid w:val="00320881"/>
    <w:rsid w:val="0032099F"/>
    <w:rsid w:val="00320AE4"/>
    <w:rsid w:val="0032160B"/>
    <w:rsid w:val="0032189F"/>
    <w:rsid w:val="003227EF"/>
    <w:rsid w:val="00322976"/>
    <w:rsid w:val="00322CF0"/>
    <w:rsid w:val="00323625"/>
    <w:rsid w:val="003237DA"/>
    <w:rsid w:val="00323F93"/>
    <w:rsid w:val="003240C5"/>
    <w:rsid w:val="0032483A"/>
    <w:rsid w:val="00324B08"/>
    <w:rsid w:val="00325390"/>
    <w:rsid w:val="003253D7"/>
    <w:rsid w:val="00325834"/>
    <w:rsid w:val="00325DCC"/>
    <w:rsid w:val="00325E21"/>
    <w:rsid w:val="0032609F"/>
    <w:rsid w:val="00326223"/>
    <w:rsid w:val="00326840"/>
    <w:rsid w:val="00326E18"/>
    <w:rsid w:val="003279C7"/>
    <w:rsid w:val="00330542"/>
    <w:rsid w:val="003306ED"/>
    <w:rsid w:val="00330F4F"/>
    <w:rsid w:val="003311AB"/>
    <w:rsid w:val="00331B87"/>
    <w:rsid w:val="0033266F"/>
    <w:rsid w:val="0033301B"/>
    <w:rsid w:val="00333447"/>
    <w:rsid w:val="00334717"/>
    <w:rsid w:val="0033478D"/>
    <w:rsid w:val="00334A3B"/>
    <w:rsid w:val="00336396"/>
    <w:rsid w:val="00336614"/>
    <w:rsid w:val="003372AF"/>
    <w:rsid w:val="0033798B"/>
    <w:rsid w:val="00337AAF"/>
    <w:rsid w:val="00337B4F"/>
    <w:rsid w:val="003402F9"/>
    <w:rsid w:val="0034045B"/>
    <w:rsid w:val="00340BEC"/>
    <w:rsid w:val="00341915"/>
    <w:rsid w:val="00341922"/>
    <w:rsid w:val="00341EA9"/>
    <w:rsid w:val="00341EC9"/>
    <w:rsid w:val="0034234C"/>
    <w:rsid w:val="00342B56"/>
    <w:rsid w:val="003435AD"/>
    <w:rsid w:val="00343B79"/>
    <w:rsid w:val="00343C19"/>
    <w:rsid w:val="00343D0F"/>
    <w:rsid w:val="00343DAF"/>
    <w:rsid w:val="0034406A"/>
    <w:rsid w:val="003443E9"/>
    <w:rsid w:val="00344897"/>
    <w:rsid w:val="00345826"/>
    <w:rsid w:val="00345B45"/>
    <w:rsid w:val="00345F0B"/>
    <w:rsid w:val="003461A6"/>
    <w:rsid w:val="003474DD"/>
    <w:rsid w:val="00347701"/>
    <w:rsid w:val="00350441"/>
    <w:rsid w:val="00351899"/>
    <w:rsid w:val="00351FA8"/>
    <w:rsid w:val="00352ED4"/>
    <w:rsid w:val="00353364"/>
    <w:rsid w:val="003540BF"/>
    <w:rsid w:val="0035435E"/>
    <w:rsid w:val="00354D98"/>
    <w:rsid w:val="00355115"/>
    <w:rsid w:val="00357930"/>
    <w:rsid w:val="003602DC"/>
    <w:rsid w:val="00360888"/>
    <w:rsid w:val="003613DD"/>
    <w:rsid w:val="00361B86"/>
    <w:rsid w:val="00361EF0"/>
    <w:rsid w:val="00362223"/>
    <w:rsid w:val="00362EE5"/>
    <w:rsid w:val="003642F8"/>
    <w:rsid w:val="00364677"/>
    <w:rsid w:val="003648E6"/>
    <w:rsid w:val="003651C7"/>
    <w:rsid w:val="00365BB5"/>
    <w:rsid w:val="003661E1"/>
    <w:rsid w:val="00366BC1"/>
    <w:rsid w:val="0036778F"/>
    <w:rsid w:val="0036783F"/>
    <w:rsid w:val="00370113"/>
    <w:rsid w:val="00370249"/>
    <w:rsid w:val="00370287"/>
    <w:rsid w:val="0037135C"/>
    <w:rsid w:val="003714CF"/>
    <w:rsid w:val="00372668"/>
    <w:rsid w:val="00373176"/>
    <w:rsid w:val="0037363A"/>
    <w:rsid w:val="00373769"/>
    <w:rsid w:val="003737F2"/>
    <w:rsid w:val="00374761"/>
    <w:rsid w:val="00374B6D"/>
    <w:rsid w:val="00375D4B"/>
    <w:rsid w:val="00376A84"/>
    <w:rsid w:val="00376BFD"/>
    <w:rsid w:val="0037785F"/>
    <w:rsid w:val="00377A7B"/>
    <w:rsid w:val="00377B26"/>
    <w:rsid w:val="00377B4F"/>
    <w:rsid w:val="00377EE2"/>
    <w:rsid w:val="0038041F"/>
    <w:rsid w:val="003821EC"/>
    <w:rsid w:val="003823E6"/>
    <w:rsid w:val="00382E4F"/>
    <w:rsid w:val="00383036"/>
    <w:rsid w:val="003836BC"/>
    <w:rsid w:val="003845DF"/>
    <w:rsid w:val="003848DC"/>
    <w:rsid w:val="00384B6C"/>
    <w:rsid w:val="0038531A"/>
    <w:rsid w:val="00385973"/>
    <w:rsid w:val="00385D03"/>
    <w:rsid w:val="00385D15"/>
    <w:rsid w:val="003864A4"/>
    <w:rsid w:val="003864B7"/>
    <w:rsid w:val="0038771C"/>
    <w:rsid w:val="00387DF2"/>
    <w:rsid w:val="00387F63"/>
    <w:rsid w:val="00390750"/>
    <w:rsid w:val="00390A75"/>
    <w:rsid w:val="00390F8E"/>
    <w:rsid w:val="0039141A"/>
    <w:rsid w:val="0039158F"/>
    <w:rsid w:val="00391CE5"/>
    <w:rsid w:val="00391DDE"/>
    <w:rsid w:val="00391FB2"/>
    <w:rsid w:val="00392507"/>
    <w:rsid w:val="00393148"/>
    <w:rsid w:val="003939F1"/>
    <w:rsid w:val="0039520F"/>
    <w:rsid w:val="003956F8"/>
    <w:rsid w:val="003961A6"/>
    <w:rsid w:val="0039748C"/>
    <w:rsid w:val="00397616"/>
    <w:rsid w:val="00397650"/>
    <w:rsid w:val="00397A43"/>
    <w:rsid w:val="00397EA7"/>
    <w:rsid w:val="003A0B0F"/>
    <w:rsid w:val="003A0C16"/>
    <w:rsid w:val="003A123A"/>
    <w:rsid w:val="003A15FD"/>
    <w:rsid w:val="003A1CEC"/>
    <w:rsid w:val="003A1E95"/>
    <w:rsid w:val="003A235C"/>
    <w:rsid w:val="003A25B1"/>
    <w:rsid w:val="003A2E64"/>
    <w:rsid w:val="003A30A8"/>
    <w:rsid w:val="003A3A54"/>
    <w:rsid w:val="003A3D77"/>
    <w:rsid w:val="003A3F4C"/>
    <w:rsid w:val="003A41F6"/>
    <w:rsid w:val="003A430B"/>
    <w:rsid w:val="003A442E"/>
    <w:rsid w:val="003A4461"/>
    <w:rsid w:val="003A4E05"/>
    <w:rsid w:val="003A541A"/>
    <w:rsid w:val="003A575D"/>
    <w:rsid w:val="003A598D"/>
    <w:rsid w:val="003A6892"/>
    <w:rsid w:val="003A6923"/>
    <w:rsid w:val="003A78FF"/>
    <w:rsid w:val="003A7A58"/>
    <w:rsid w:val="003A7A90"/>
    <w:rsid w:val="003B0335"/>
    <w:rsid w:val="003B0A6B"/>
    <w:rsid w:val="003B0DE6"/>
    <w:rsid w:val="003B1392"/>
    <w:rsid w:val="003B1857"/>
    <w:rsid w:val="003B1A6D"/>
    <w:rsid w:val="003B1F19"/>
    <w:rsid w:val="003B2048"/>
    <w:rsid w:val="003B2169"/>
    <w:rsid w:val="003B2372"/>
    <w:rsid w:val="003B25E2"/>
    <w:rsid w:val="003B2F6D"/>
    <w:rsid w:val="003B43D9"/>
    <w:rsid w:val="003B4D40"/>
    <w:rsid w:val="003B4E4F"/>
    <w:rsid w:val="003B59CB"/>
    <w:rsid w:val="003B5B36"/>
    <w:rsid w:val="003B6214"/>
    <w:rsid w:val="003B7856"/>
    <w:rsid w:val="003C0470"/>
    <w:rsid w:val="003C07AC"/>
    <w:rsid w:val="003C1B3A"/>
    <w:rsid w:val="003C2C67"/>
    <w:rsid w:val="003C2D4C"/>
    <w:rsid w:val="003C3B1A"/>
    <w:rsid w:val="003C3B3A"/>
    <w:rsid w:val="003C4B11"/>
    <w:rsid w:val="003C5085"/>
    <w:rsid w:val="003C568C"/>
    <w:rsid w:val="003C5720"/>
    <w:rsid w:val="003C5BA4"/>
    <w:rsid w:val="003C5C7A"/>
    <w:rsid w:val="003C67DD"/>
    <w:rsid w:val="003C69F6"/>
    <w:rsid w:val="003C6C48"/>
    <w:rsid w:val="003C7FC0"/>
    <w:rsid w:val="003D10B2"/>
    <w:rsid w:val="003D1F68"/>
    <w:rsid w:val="003D2281"/>
    <w:rsid w:val="003D2FC2"/>
    <w:rsid w:val="003D338C"/>
    <w:rsid w:val="003D38EF"/>
    <w:rsid w:val="003D3AEE"/>
    <w:rsid w:val="003D458A"/>
    <w:rsid w:val="003D50AC"/>
    <w:rsid w:val="003D5289"/>
    <w:rsid w:val="003D59D6"/>
    <w:rsid w:val="003D5E84"/>
    <w:rsid w:val="003D64AC"/>
    <w:rsid w:val="003D666D"/>
    <w:rsid w:val="003D7E4A"/>
    <w:rsid w:val="003E17BE"/>
    <w:rsid w:val="003E1826"/>
    <w:rsid w:val="003E1D40"/>
    <w:rsid w:val="003E20A8"/>
    <w:rsid w:val="003E248D"/>
    <w:rsid w:val="003E24F8"/>
    <w:rsid w:val="003E29D6"/>
    <w:rsid w:val="003E335B"/>
    <w:rsid w:val="003E3E26"/>
    <w:rsid w:val="003E4306"/>
    <w:rsid w:val="003E43AB"/>
    <w:rsid w:val="003E4B6C"/>
    <w:rsid w:val="003E575D"/>
    <w:rsid w:val="003E5DE3"/>
    <w:rsid w:val="003E70F5"/>
    <w:rsid w:val="003E74AF"/>
    <w:rsid w:val="003E7980"/>
    <w:rsid w:val="003E7F20"/>
    <w:rsid w:val="003E7F51"/>
    <w:rsid w:val="003F1285"/>
    <w:rsid w:val="003F1295"/>
    <w:rsid w:val="003F15E0"/>
    <w:rsid w:val="003F2A8F"/>
    <w:rsid w:val="003F355F"/>
    <w:rsid w:val="003F40C6"/>
    <w:rsid w:val="003F4308"/>
    <w:rsid w:val="003F5102"/>
    <w:rsid w:val="003F5332"/>
    <w:rsid w:val="003F5D66"/>
    <w:rsid w:val="003F7023"/>
    <w:rsid w:val="003F76FC"/>
    <w:rsid w:val="003F7E90"/>
    <w:rsid w:val="004002EB"/>
    <w:rsid w:val="00400B5E"/>
    <w:rsid w:val="0040122F"/>
    <w:rsid w:val="00401327"/>
    <w:rsid w:val="00402987"/>
    <w:rsid w:val="0040313B"/>
    <w:rsid w:val="00403537"/>
    <w:rsid w:val="00404C2A"/>
    <w:rsid w:val="00404F0D"/>
    <w:rsid w:val="00404F30"/>
    <w:rsid w:val="004050F2"/>
    <w:rsid w:val="00405133"/>
    <w:rsid w:val="00405A08"/>
    <w:rsid w:val="0040656B"/>
    <w:rsid w:val="004070D9"/>
    <w:rsid w:val="00407A79"/>
    <w:rsid w:val="00410253"/>
    <w:rsid w:val="004108A6"/>
    <w:rsid w:val="00410C38"/>
    <w:rsid w:val="004115F4"/>
    <w:rsid w:val="00411AF2"/>
    <w:rsid w:val="004127EA"/>
    <w:rsid w:val="00412EF1"/>
    <w:rsid w:val="0041326D"/>
    <w:rsid w:val="004146EA"/>
    <w:rsid w:val="00416345"/>
    <w:rsid w:val="00416475"/>
    <w:rsid w:val="00416BEA"/>
    <w:rsid w:val="00416CFD"/>
    <w:rsid w:val="00417AE7"/>
    <w:rsid w:val="00420124"/>
    <w:rsid w:val="0042057B"/>
    <w:rsid w:val="00420E46"/>
    <w:rsid w:val="0042120E"/>
    <w:rsid w:val="004214AB"/>
    <w:rsid w:val="00421B60"/>
    <w:rsid w:val="004225ED"/>
    <w:rsid w:val="00422DDC"/>
    <w:rsid w:val="004231B5"/>
    <w:rsid w:val="004236C8"/>
    <w:rsid w:val="00424183"/>
    <w:rsid w:val="00424F1A"/>
    <w:rsid w:val="00425359"/>
    <w:rsid w:val="0042579A"/>
    <w:rsid w:val="00425889"/>
    <w:rsid w:val="00425FF5"/>
    <w:rsid w:val="00426DA3"/>
    <w:rsid w:val="00427338"/>
    <w:rsid w:val="00427520"/>
    <w:rsid w:val="00427572"/>
    <w:rsid w:val="00427681"/>
    <w:rsid w:val="00427B85"/>
    <w:rsid w:val="00430099"/>
    <w:rsid w:val="00430645"/>
    <w:rsid w:val="004307A0"/>
    <w:rsid w:val="00430839"/>
    <w:rsid w:val="004311A6"/>
    <w:rsid w:val="00431AB3"/>
    <w:rsid w:val="0043292C"/>
    <w:rsid w:val="004335D3"/>
    <w:rsid w:val="004335EA"/>
    <w:rsid w:val="004339C9"/>
    <w:rsid w:val="00433DB7"/>
    <w:rsid w:val="00434D98"/>
    <w:rsid w:val="004360C1"/>
    <w:rsid w:val="00436267"/>
    <w:rsid w:val="004366B5"/>
    <w:rsid w:val="0043696B"/>
    <w:rsid w:val="00436C33"/>
    <w:rsid w:val="00436FCF"/>
    <w:rsid w:val="0043733E"/>
    <w:rsid w:val="00437510"/>
    <w:rsid w:val="00440205"/>
    <w:rsid w:val="004402BE"/>
    <w:rsid w:val="004403E2"/>
    <w:rsid w:val="00441E18"/>
    <w:rsid w:val="00443300"/>
    <w:rsid w:val="00443EB3"/>
    <w:rsid w:val="00443F4E"/>
    <w:rsid w:val="00444022"/>
    <w:rsid w:val="00444C78"/>
    <w:rsid w:val="00445273"/>
    <w:rsid w:val="00446128"/>
    <w:rsid w:val="00446445"/>
    <w:rsid w:val="004469BC"/>
    <w:rsid w:val="004476E8"/>
    <w:rsid w:val="004501D4"/>
    <w:rsid w:val="004509BB"/>
    <w:rsid w:val="00451099"/>
    <w:rsid w:val="00451764"/>
    <w:rsid w:val="00451F2E"/>
    <w:rsid w:val="00451F38"/>
    <w:rsid w:val="00452901"/>
    <w:rsid w:val="004534D7"/>
    <w:rsid w:val="00453750"/>
    <w:rsid w:val="00453D55"/>
    <w:rsid w:val="004552E7"/>
    <w:rsid w:val="00455432"/>
    <w:rsid w:val="004554CF"/>
    <w:rsid w:val="00455CC1"/>
    <w:rsid w:val="00456104"/>
    <w:rsid w:val="00456356"/>
    <w:rsid w:val="00456575"/>
    <w:rsid w:val="00456941"/>
    <w:rsid w:val="00456A1D"/>
    <w:rsid w:val="00456DCA"/>
    <w:rsid w:val="004572A6"/>
    <w:rsid w:val="00460217"/>
    <w:rsid w:val="00460A6A"/>
    <w:rsid w:val="00461530"/>
    <w:rsid w:val="0046253E"/>
    <w:rsid w:val="00462766"/>
    <w:rsid w:val="0046297E"/>
    <w:rsid w:val="00462C02"/>
    <w:rsid w:val="00462DDC"/>
    <w:rsid w:val="004634C0"/>
    <w:rsid w:val="00463C5A"/>
    <w:rsid w:val="00463E58"/>
    <w:rsid w:val="00463E94"/>
    <w:rsid w:val="00465C93"/>
    <w:rsid w:val="00465E8E"/>
    <w:rsid w:val="00466932"/>
    <w:rsid w:val="004702EA"/>
    <w:rsid w:val="00470A15"/>
    <w:rsid w:val="0047160C"/>
    <w:rsid w:val="004717A3"/>
    <w:rsid w:val="00471E6E"/>
    <w:rsid w:val="00472E95"/>
    <w:rsid w:val="004731A2"/>
    <w:rsid w:val="004734B0"/>
    <w:rsid w:val="004738D9"/>
    <w:rsid w:val="00473916"/>
    <w:rsid w:val="00473BAD"/>
    <w:rsid w:val="00473CD6"/>
    <w:rsid w:val="00474AC0"/>
    <w:rsid w:val="00474F07"/>
    <w:rsid w:val="00476405"/>
    <w:rsid w:val="00476469"/>
    <w:rsid w:val="004769A0"/>
    <w:rsid w:val="00476AB0"/>
    <w:rsid w:val="00476E22"/>
    <w:rsid w:val="004777DB"/>
    <w:rsid w:val="00477ABC"/>
    <w:rsid w:val="00480060"/>
    <w:rsid w:val="004803F1"/>
    <w:rsid w:val="00481288"/>
    <w:rsid w:val="0048178E"/>
    <w:rsid w:val="00481FD9"/>
    <w:rsid w:val="0048259C"/>
    <w:rsid w:val="004825AC"/>
    <w:rsid w:val="00482A2F"/>
    <w:rsid w:val="00482A52"/>
    <w:rsid w:val="00482D02"/>
    <w:rsid w:val="00482DC6"/>
    <w:rsid w:val="00482FC2"/>
    <w:rsid w:val="004833FE"/>
    <w:rsid w:val="00484326"/>
    <w:rsid w:val="004848FB"/>
    <w:rsid w:val="00484A51"/>
    <w:rsid w:val="00485801"/>
    <w:rsid w:val="00486C42"/>
    <w:rsid w:val="00486F72"/>
    <w:rsid w:val="00487108"/>
    <w:rsid w:val="00487CA4"/>
    <w:rsid w:val="00487EAC"/>
    <w:rsid w:val="00487EB3"/>
    <w:rsid w:val="004900ED"/>
    <w:rsid w:val="004901CD"/>
    <w:rsid w:val="00490369"/>
    <w:rsid w:val="0049094E"/>
    <w:rsid w:val="00490966"/>
    <w:rsid w:val="00491033"/>
    <w:rsid w:val="00491257"/>
    <w:rsid w:val="004916FC"/>
    <w:rsid w:val="004917CC"/>
    <w:rsid w:val="00491AF8"/>
    <w:rsid w:val="004926EF"/>
    <w:rsid w:val="004932A3"/>
    <w:rsid w:val="00493390"/>
    <w:rsid w:val="0049379F"/>
    <w:rsid w:val="004944CE"/>
    <w:rsid w:val="004964C3"/>
    <w:rsid w:val="00496661"/>
    <w:rsid w:val="00496E0B"/>
    <w:rsid w:val="0049782D"/>
    <w:rsid w:val="00497CA9"/>
    <w:rsid w:val="00497EB0"/>
    <w:rsid w:val="004A18EE"/>
    <w:rsid w:val="004A19E6"/>
    <w:rsid w:val="004A2360"/>
    <w:rsid w:val="004A2556"/>
    <w:rsid w:val="004A27CF"/>
    <w:rsid w:val="004A2C20"/>
    <w:rsid w:val="004A2E06"/>
    <w:rsid w:val="004A4508"/>
    <w:rsid w:val="004A461E"/>
    <w:rsid w:val="004A52FA"/>
    <w:rsid w:val="004A55E0"/>
    <w:rsid w:val="004A5823"/>
    <w:rsid w:val="004A5AA3"/>
    <w:rsid w:val="004A5EB9"/>
    <w:rsid w:val="004A5EC6"/>
    <w:rsid w:val="004A7519"/>
    <w:rsid w:val="004A7F0E"/>
    <w:rsid w:val="004B01FC"/>
    <w:rsid w:val="004B07C3"/>
    <w:rsid w:val="004B0963"/>
    <w:rsid w:val="004B098B"/>
    <w:rsid w:val="004B11C4"/>
    <w:rsid w:val="004B18D7"/>
    <w:rsid w:val="004B1D1E"/>
    <w:rsid w:val="004B2AB5"/>
    <w:rsid w:val="004B2F55"/>
    <w:rsid w:val="004B3460"/>
    <w:rsid w:val="004B390E"/>
    <w:rsid w:val="004B3B36"/>
    <w:rsid w:val="004B4325"/>
    <w:rsid w:val="004B4496"/>
    <w:rsid w:val="004B471B"/>
    <w:rsid w:val="004B47EB"/>
    <w:rsid w:val="004B501B"/>
    <w:rsid w:val="004B5391"/>
    <w:rsid w:val="004B59E7"/>
    <w:rsid w:val="004B5C00"/>
    <w:rsid w:val="004B644F"/>
    <w:rsid w:val="004B64B1"/>
    <w:rsid w:val="004B7024"/>
    <w:rsid w:val="004B7129"/>
    <w:rsid w:val="004C0AEF"/>
    <w:rsid w:val="004C12E5"/>
    <w:rsid w:val="004C188E"/>
    <w:rsid w:val="004C1CB3"/>
    <w:rsid w:val="004C1EAB"/>
    <w:rsid w:val="004C2B5C"/>
    <w:rsid w:val="004C3670"/>
    <w:rsid w:val="004C36A5"/>
    <w:rsid w:val="004C42F1"/>
    <w:rsid w:val="004C47B4"/>
    <w:rsid w:val="004C538E"/>
    <w:rsid w:val="004C5E77"/>
    <w:rsid w:val="004C61C2"/>
    <w:rsid w:val="004C63D2"/>
    <w:rsid w:val="004C6618"/>
    <w:rsid w:val="004C6A38"/>
    <w:rsid w:val="004C6A81"/>
    <w:rsid w:val="004C7BF5"/>
    <w:rsid w:val="004C7EF7"/>
    <w:rsid w:val="004D01AC"/>
    <w:rsid w:val="004D0D75"/>
    <w:rsid w:val="004D0E38"/>
    <w:rsid w:val="004D0E41"/>
    <w:rsid w:val="004D1255"/>
    <w:rsid w:val="004D17CE"/>
    <w:rsid w:val="004D3518"/>
    <w:rsid w:val="004D391B"/>
    <w:rsid w:val="004D3D51"/>
    <w:rsid w:val="004D3EC1"/>
    <w:rsid w:val="004D4FA5"/>
    <w:rsid w:val="004D55A2"/>
    <w:rsid w:val="004D573D"/>
    <w:rsid w:val="004D62D6"/>
    <w:rsid w:val="004D6898"/>
    <w:rsid w:val="004D7778"/>
    <w:rsid w:val="004D7A7E"/>
    <w:rsid w:val="004E0327"/>
    <w:rsid w:val="004E0AE3"/>
    <w:rsid w:val="004E0DDE"/>
    <w:rsid w:val="004E14FE"/>
    <w:rsid w:val="004E1575"/>
    <w:rsid w:val="004E1F4D"/>
    <w:rsid w:val="004E25B5"/>
    <w:rsid w:val="004E2635"/>
    <w:rsid w:val="004E27C0"/>
    <w:rsid w:val="004E2B36"/>
    <w:rsid w:val="004E2E2A"/>
    <w:rsid w:val="004E449D"/>
    <w:rsid w:val="004E4C45"/>
    <w:rsid w:val="004E4E5C"/>
    <w:rsid w:val="004E52BB"/>
    <w:rsid w:val="004E5387"/>
    <w:rsid w:val="004E566D"/>
    <w:rsid w:val="004E6088"/>
    <w:rsid w:val="004E6FF0"/>
    <w:rsid w:val="004E74FE"/>
    <w:rsid w:val="004E78AC"/>
    <w:rsid w:val="004E7AE8"/>
    <w:rsid w:val="004E7B8F"/>
    <w:rsid w:val="004F0230"/>
    <w:rsid w:val="004F09F6"/>
    <w:rsid w:val="004F0A98"/>
    <w:rsid w:val="004F2019"/>
    <w:rsid w:val="004F234D"/>
    <w:rsid w:val="004F236C"/>
    <w:rsid w:val="004F2567"/>
    <w:rsid w:val="004F3752"/>
    <w:rsid w:val="004F3AC6"/>
    <w:rsid w:val="004F3CDA"/>
    <w:rsid w:val="004F3F4E"/>
    <w:rsid w:val="004F4523"/>
    <w:rsid w:val="004F561C"/>
    <w:rsid w:val="004F5986"/>
    <w:rsid w:val="004F5CFE"/>
    <w:rsid w:val="004F6AD5"/>
    <w:rsid w:val="004F6F4E"/>
    <w:rsid w:val="004F77C5"/>
    <w:rsid w:val="004F7F65"/>
    <w:rsid w:val="0050016A"/>
    <w:rsid w:val="0050087D"/>
    <w:rsid w:val="00500EF9"/>
    <w:rsid w:val="00501DA9"/>
    <w:rsid w:val="005021DC"/>
    <w:rsid w:val="00502992"/>
    <w:rsid w:val="00502D44"/>
    <w:rsid w:val="005036DE"/>
    <w:rsid w:val="00503B38"/>
    <w:rsid w:val="00503C5B"/>
    <w:rsid w:val="005040AB"/>
    <w:rsid w:val="00504F4A"/>
    <w:rsid w:val="005063DD"/>
    <w:rsid w:val="00507196"/>
    <w:rsid w:val="005079B2"/>
    <w:rsid w:val="00510167"/>
    <w:rsid w:val="00510308"/>
    <w:rsid w:val="0051087E"/>
    <w:rsid w:val="00510C25"/>
    <w:rsid w:val="00510C7E"/>
    <w:rsid w:val="00511E12"/>
    <w:rsid w:val="00511E3C"/>
    <w:rsid w:val="005120B8"/>
    <w:rsid w:val="0051257B"/>
    <w:rsid w:val="00512726"/>
    <w:rsid w:val="005129FD"/>
    <w:rsid w:val="00512D1C"/>
    <w:rsid w:val="00512E77"/>
    <w:rsid w:val="005132D3"/>
    <w:rsid w:val="00513E86"/>
    <w:rsid w:val="00515557"/>
    <w:rsid w:val="00515958"/>
    <w:rsid w:val="00515B6F"/>
    <w:rsid w:val="00515E1C"/>
    <w:rsid w:val="005168DF"/>
    <w:rsid w:val="0051796F"/>
    <w:rsid w:val="005179C8"/>
    <w:rsid w:val="00517D71"/>
    <w:rsid w:val="0052045C"/>
    <w:rsid w:val="00520B18"/>
    <w:rsid w:val="00520DC6"/>
    <w:rsid w:val="00521727"/>
    <w:rsid w:val="00521C11"/>
    <w:rsid w:val="00521CA5"/>
    <w:rsid w:val="0052265A"/>
    <w:rsid w:val="00522E67"/>
    <w:rsid w:val="00523E77"/>
    <w:rsid w:val="005245F7"/>
    <w:rsid w:val="00524A1D"/>
    <w:rsid w:val="0052539E"/>
    <w:rsid w:val="005254D0"/>
    <w:rsid w:val="00526651"/>
    <w:rsid w:val="00526AC7"/>
    <w:rsid w:val="00526FBB"/>
    <w:rsid w:val="00527E5E"/>
    <w:rsid w:val="005306A2"/>
    <w:rsid w:val="00531900"/>
    <w:rsid w:val="00531CBF"/>
    <w:rsid w:val="005324E2"/>
    <w:rsid w:val="005327C8"/>
    <w:rsid w:val="00532C16"/>
    <w:rsid w:val="0053376F"/>
    <w:rsid w:val="0053416C"/>
    <w:rsid w:val="00534268"/>
    <w:rsid w:val="005342EF"/>
    <w:rsid w:val="005350B4"/>
    <w:rsid w:val="00535DE2"/>
    <w:rsid w:val="00536D16"/>
    <w:rsid w:val="005370FF"/>
    <w:rsid w:val="005378D2"/>
    <w:rsid w:val="00537FAD"/>
    <w:rsid w:val="0054015F"/>
    <w:rsid w:val="005405D2"/>
    <w:rsid w:val="005409DC"/>
    <w:rsid w:val="00540EE0"/>
    <w:rsid w:val="00540FE5"/>
    <w:rsid w:val="00541168"/>
    <w:rsid w:val="005415D3"/>
    <w:rsid w:val="005416D7"/>
    <w:rsid w:val="00541B29"/>
    <w:rsid w:val="00541C2F"/>
    <w:rsid w:val="00541F8B"/>
    <w:rsid w:val="0054254D"/>
    <w:rsid w:val="0054259B"/>
    <w:rsid w:val="00542AB0"/>
    <w:rsid w:val="00543B87"/>
    <w:rsid w:val="00543CCA"/>
    <w:rsid w:val="00543D31"/>
    <w:rsid w:val="00543E24"/>
    <w:rsid w:val="00543EF3"/>
    <w:rsid w:val="005450D9"/>
    <w:rsid w:val="00545D7E"/>
    <w:rsid w:val="00545EC3"/>
    <w:rsid w:val="00545F1C"/>
    <w:rsid w:val="00546EB1"/>
    <w:rsid w:val="00547A71"/>
    <w:rsid w:val="00547B23"/>
    <w:rsid w:val="00547E07"/>
    <w:rsid w:val="00550559"/>
    <w:rsid w:val="005509AA"/>
    <w:rsid w:val="00550C2B"/>
    <w:rsid w:val="00550F59"/>
    <w:rsid w:val="005514D4"/>
    <w:rsid w:val="00551F41"/>
    <w:rsid w:val="00552DE4"/>
    <w:rsid w:val="00553297"/>
    <w:rsid w:val="00553405"/>
    <w:rsid w:val="00553ECC"/>
    <w:rsid w:val="00553EF0"/>
    <w:rsid w:val="005540C6"/>
    <w:rsid w:val="00554331"/>
    <w:rsid w:val="0055486D"/>
    <w:rsid w:val="00555137"/>
    <w:rsid w:val="0055654B"/>
    <w:rsid w:val="005567D7"/>
    <w:rsid w:val="00556C79"/>
    <w:rsid w:val="00556CBF"/>
    <w:rsid w:val="00556D38"/>
    <w:rsid w:val="00557926"/>
    <w:rsid w:val="00557EC2"/>
    <w:rsid w:val="005600CC"/>
    <w:rsid w:val="005619BB"/>
    <w:rsid w:val="00561BCA"/>
    <w:rsid w:val="00561D8E"/>
    <w:rsid w:val="0056329E"/>
    <w:rsid w:val="00563527"/>
    <w:rsid w:val="005636D2"/>
    <w:rsid w:val="005637C1"/>
    <w:rsid w:val="00564B1D"/>
    <w:rsid w:val="00565F4F"/>
    <w:rsid w:val="0056602B"/>
    <w:rsid w:val="0056634B"/>
    <w:rsid w:val="0056647F"/>
    <w:rsid w:val="005666C0"/>
    <w:rsid w:val="00566BD1"/>
    <w:rsid w:val="00570165"/>
    <w:rsid w:val="005701F7"/>
    <w:rsid w:val="0057152E"/>
    <w:rsid w:val="00572014"/>
    <w:rsid w:val="00572125"/>
    <w:rsid w:val="00572250"/>
    <w:rsid w:val="005722FA"/>
    <w:rsid w:val="00572696"/>
    <w:rsid w:val="00572AD7"/>
    <w:rsid w:val="0057407A"/>
    <w:rsid w:val="005743C5"/>
    <w:rsid w:val="00574488"/>
    <w:rsid w:val="00574BE7"/>
    <w:rsid w:val="005761D5"/>
    <w:rsid w:val="005761DD"/>
    <w:rsid w:val="00576382"/>
    <w:rsid w:val="00576560"/>
    <w:rsid w:val="005767DD"/>
    <w:rsid w:val="00576897"/>
    <w:rsid w:val="005770B6"/>
    <w:rsid w:val="0057727A"/>
    <w:rsid w:val="005775AD"/>
    <w:rsid w:val="00577B56"/>
    <w:rsid w:val="00577CFF"/>
    <w:rsid w:val="0058105B"/>
    <w:rsid w:val="0058124E"/>
    <w:rsid w:val="0058133C"/>
    <w:rsid w:val="00582D5E"/>
    <w:rsid w:val="00582F3D"/>
    <w:rsid w:val="005841F2"/>
    <w:rsid w:val="005848A5"/>
    <w:rsid w:val="00585765"/>
    <w:rsid w:val="00585CCA"/>
    <w:rsid w:val="0058654F"/>
    <w:rsid w:val="005875A3"/>
    <w:rsid w:val="005879C1"/>
    <w:rsid w:val="00587D32"/>
    <w:rsid w:val="0059076E"/>
    <w:rsid w:val="00590C11"/>
    <w:rsid w:val="00590CBB"/>
    <w:rsid w:val="00590FB4"/>
    <w:rsid w:val="0059123A"/>
    <w:rsid w:val="00591E96"/>
    <w:rsid w:val="0059205D"/>
    <w:rsid w:val="00592DBC"/>
    <w:rsid w:val="00593A04"/>
    <w:rsid w:val="00593AB6"/>
    <w:rsid w:val="005943A6"/>
    <w:rsid w:val="005945C5"/>
    <w:rsid w:val="00594C14"/>
    <w:rsid w:val="005953EA"/>
    <w:rsid w:val="005956AC"/>
    <w:rsid w:val="0059571D"/>
    <w:rsid w:val="005966F1"/>
    <w:rsid w:val="005974E9"/>
    <w:rsid w:val="00597FAC"/>
    <w:rsid w:val="005A03F7"/>
    <w:rsid w:val="005A0474"/>
    <w:rsid w:val="005A0C2B"/>
    <w:rsid w:val="005A1169"/>
    <w:rsid w:val="005A3416"/>
    <w:rsid w:val="005A342C"/>
    <w:rsid w:val="005A4023"/>
    <w:rsid w:val="005A4716"/>
    <w:rsid w:val="005A5855"/>
    <w:rsid w:val="005A713D"/>
    <w:rsid w:val="005A7979"/>
    <w:rsid w:val="005B0636"/>
    <w:rsid w:val="005B07EA"/>
    <w:rsid w:val="005B0C19"/>
    <w:rsid w:val="005B0C65"/>
    <w:rsid w:val="005B0F82"/>
    <w:rsid w:val="005B1956"/>
    <w:rsid w:val="005B1BDC"/>
    <w:rsid w:val="005B1C4F"/>
    <w:rsid w:val="005B24E8"/>
    <w:rsid w:val="005B27FE"/>
    <w:rsid w:val="005B31A9"/>
    <w:rsid w:val="005B3DD0"/>
    <w:rsid w:val="005B42BF"/>
    <w:rsid w:val="005B498A"/>
    <w:rsid w:val="005B53AB"/>
    <w:rsid w:val="005B5AC6"/>
    <w:rsid w:val="005B5B75"/>
    <w:rsid w:val="005B5FEB"/>
    <w:rsid w:val="005B607E"/>
    <w:rsid w:val="005B6A82"/>
    <w:rsid w:val="005B6D73"/>
    <w:rsid w:val="005B76DF"/>
    <w:rsid w:val="005B7760"/>
    <w:rsid w:val="005B79CB"/>
    <w:rsid w:val="005C0184"/>
    <w:rsid w:val="005C04F0"/>
    <w:rsid w:val="005C0555"/>
    <w:rsid w:val="005C0E91"/>
    <w:rsid w:val="005C0ECB"/>
    <w:rsid w:val="005C1094"/>
    <w:rsid w:val="005C10AD"/>
    <w:rsid w:val="005C12A8"/>
    <w:rsid w:val="005C1E0F"/>
    <w:rsid w:val="005C2068"/>
    <w:rsid w:val="005C2551"/>
    <w:rsid w:val="005C3C1B"/>
    <w:rsid w:val="005C4474"/>
    <w:rsid w:val="005C4C58"/>
    <w:rsid w:val="005C5141"/>
    <w:rsid w:val="005C562E"/>
    <w:rsid w:val="005C5649"/>
    <w:rsid w:val="005C677F"/>
    <w:rsid w:val="005C72D1"/>
    <w:rsid w:val="005C748C"/>
    <w:rsid w:val="005C7555"/>
    <w:rsid w:val="005C7B76"/>
    <w:rsid w:val="005CE818"/>
    <w:rsid w:val="005D0A42"/>
    <w:rsid w:val="005D1624"/>
    <w:rsid w:val="005D1664"/>
    <w:rsid w:val="005D1864"/>
    <w:rsid w:val="005D1FC8"/>
    <w:rsid w:val="005D20F4"/>
    <w:rsid w:val="005D26E2"/>
    <w:rsid w:val="005D3D39"/>
    <w:rsid w:val="005D46D2"/>
    <w:rsid w:val="005D4B6E"/>
    <w:rsid w:val="005D4BB6"/>
    <w:rsid w:val="005D4CFB"/>
    <w:rsid w:val="005D4FD9"/>
    <w:rsid w:val="005D5B2D"/>
    <w:rsid w:val="005D6D99"/>
    <w:rsid w:val="005D72CA"/>
    <w:rsid w:val="005D749D"/>
    <w:rsid w:val="005D7530"/>
    <w:rsid w:val="005D7740"/>
    <w:rsid w:val="005E003B"/>
    <w:rsid w:val="005E0594"/>
    <w:rsid w:val="005E08D7"/>
    <w:rsid w:val="005E0A49"/>
    <w:rsid w:val="005E0AF5"/>
    <w:rsid w:val="005E0BF7"/>
    <w:rsid w:val="005E0E6D"/>
    <w:rsid w:val="005E0E96"/>
    <w:rsid w:val="005E152E"/>
    <w:rsid w:val="005E1AC1"/>
    <w:rsid w:val="005E1C98"/>
    <w:rsid w:val="005E219B"/>
    <w:rsid w:val="005E2557"/>
    <w:rsid w:val="005E2CE8"/>
    <w:rsid w:val="005E2E3B"/>
    <w:rsid w:val="005E3641"/>
    <w:rsid w:val="005E3A7B"/>
    <w:rsid w:val="005E3DA3"/>
    <w:rsid w:val="005E4611"/>
    <w:rsid w:val="005E4B4C"/>
    <w:rsid w:val="005E4C16"/>
    <w:rsid w:val="005E4D15"/>
    <w:rsid w:val="005E4EED"/>
    <w:rsid w:val="005E5420"/>
    <w:rsid w:val="005E57E1"/>
    <w:rsid w:val="005E5947"/>
    <w:rsid w:val="005E63A2"/>
    <w:rsid w:val="005E6492"/>
    <w:rsid w:val="005E66E9"/>
    <w:rsid w:val="005E6E0A"/>
    <w:rsid w:val="005E7456"/>
    <w:rsid w:val="005E7821"/>
    <w:rsid w:val="005E7901"/>
    <w:rsid w:val="005F04C5"/>
    <w:rsid w:val="005F06C9"/>
    <w:rsid w:val="005F119F"/>
    <w:rsid w:val="005F1504"/>
    <w:rsid w:val="005F1655"/>
    <w:rsid w:val="005F1AAB"/>
    <w:rsid w:val="005F1B1A"/>
    <w:rsid w:val="005F2DEE"/>
    <w:rsid w:val="005F30DF"/>
    <w:rsid w:val="005F3EEE"/>
    <w:rsid w:val="005F42B8"/>
    <w:rsid w:val="005F45F4"/>
    <w:rsid w:val="005F4921"/>
    <w:rsid w:val="005F4955"/>
    <w:rsid w:val="005F4CE2"/>
    <w:rsid w:val="005F5E2B"/>
    <w:rsid w:val="005F61DF"/>
    <w:rsid w:val="005F6599"/>
    <w:rsid w:val="005F6AB0"/>
    <w:rsid w:val="005F6FF5"/>
    <w:rsid w:val="005F7703"/>
    <w:rsid w:val="005F7B25"/>
    <w:rsid w:val="006001B7"/>
    <w:rsid w:val="00600280"/>
    <w:rsid w:val="00600E9B"/>
    <w:rsid w:val="006012E1"/>
    <w:rsid w:val="006013B0"/>
    <w:rsid w:val="0060163A"/>
    <w:rsid w:val="0060163C"/>
    <w:rsid w:val="006023F9"/>
    <w:rsid w:val="0060258E"/>
    <w:rsid w:val="0060290E"/>
    <w:rsid w:val="00603279"/>
    <w:rsid w:val="006033E9"/>
    <w:rsid w:val="00603E7A"/>
    <w:rsid w:val="006047EA"/>
    <w:rsid w:val="0060486B"/>
    <w:rsid w:val="00605BCF"/>
    <w:rsid w:val="00605CF0"/>
    <w:rsid w:val="00606759"/>
    <w:rsid w:val="00606C6E"/>
    <w:rsid w:val="00606EFA"/>
    <w:rsid w:val="006074A2"/>
    <w:rsid w:val="00607FF5"/>
    <w:rsid w:val="00610023"/>
    <w:rsid w:val="00610559"/>
    <w:rsid w:val="0061092E"/>
    <w:rsid w:val="00610F5F"/>
    <w:rsid w:val="006112DF"/>
    <w:rsid w:val="0061197D"/>
    <w:rsid w:val="00611BD7"/>
    <w:rsid w:val="00612401"/>
    <w:rsid w:val="00612763"/>
    <w:rsid w:val="006127C1"/>
    <w:rsid w:val="00612A64"/>
    <w:rsid w:val="00612EDE"/>
    <w:rsid w:val="00612FD7"/>
    <w:rsid w:val="00613B1F"/>
    <w:rsid w:val="00614076"/>
    <w:rsid w:val="0061486E"/>
    <w:rsid w:val="00614B19"/>
    <w:rsid w:val="00615707"/>
    <w:rsid w:val="006159B2"/>
    <w:rsid w:val="00615B34"/>
    <w:rsid w:val="00616087"/>
    <w:rsid w:val="00616E67"/>
    <w:rsid w:val="00617470"/>
    <w:rsid w:val="00617A3E"/>
    <w:rsid w:val="00617BB5"/>
    <w:rsid w:val="006204F4"/>
    <w:rsid w:val="006206B3"/>
    <w:rsid w:val="006208C4"/>
    <w:rsid w:val="00620B9E"/>
    <w:rsid w:val="00620F9C"/>
    <w:rsid w:val="00621037"/>
    <w:rsid w:val="00621CC6"/>
    <w:rsid w:val="006221DA"/>
    <w:rsid w:val="006225DC"/>
    <w:rsid w:val="0062299B"/>
    <w:rsid w:val="006229DB"/>
    <w:rsid w:val="00622BDD"/>
    <w:rsid w:val="00623024"/>
    <w:rsid w:val="006230DE"/>
    <w:rsid w:val="00623CC5"/>
    <w:rsid w:val="00623DF7"/>
    <w:rsid w:val="00624202"/>
    <w:rsid w:val="0062514B"/>
    <w:rsid w:val="0062594E"/>
    <w:rsid w:val="00625953"/>
    <w:rsid w:val="00625C6C"/>
    <w:rsid w:val="006263C1"/>
    <w:rsid w:val="00627EF0"/>
    <w:rsid w:val="00630273"/>
    <w:rsid w:val="006309DA"/>
    <w:rsid w:val="00631249"/>
    <w:rsid w:val="00631805"/>
    <w:rsid w:val="00631D43"/>
    <w:rsid w:val="0063261A"/>
    <w:rsid w:val="006328AE"/>
    <w:rsid w:val="00632A32"/>
    <w:rsid w:val="00632BC6"/>
    <w:rsid w:val="00632F2E"/>
    <w:rsid w:val="0063318D"/>
    <w:rsid w:val="006332F6"/>
    <w:rsid w:val="00633C69"/>
    <w:rsid w:val="00633E38"/>
    <w:rsid w:val="00635453"/>
    <w:rsid w:val="0063549A"/>
    <w:rsid w:val="006356DD"/>
    <w:rsid w:val="00635796"/>
    <w:rsid w:val="00635D8D"/>
    <w:rsid w:val="00635E8F"/>
    <w:rsid w:val="00636336"/>
    <w:rsid w:val="006364CD"/>
    <w:rsid w:val="006407DC"/>
    <w:rsid w:val="00640811"/>
    <w:rsid w:val="006413F2"/>
    <w:rsid w:val="00641436"/>
    <w:rsid w:val="00641611"/>
    <w:rsid w:val="00641709"/>
    <w:rsid w:val="0064204B"/>
    <w:rsid w:val="006420C3"/>
    <w:rsid w:val="006420EF"/>
    <w:rsid w:val="00643366"/>
    <w:rsid w:val="0064384E"/>
    <w:rsid w:val="00643EC8"/>
    <w:rsid w:val="00644788"/>
    <w:rsid w:val="00644956"/>
    <w:rsid w:val="0064564D"/>
    <w:rsid w:val="006457B6"/>
    <w:rsid w:val="00645E9B"/>
    <w:rsid w:val="00646500"/>
    <w:rsid w:val="00646910"/>
    <w:rsid w:val="00646B2E"/>
    <w:rsid w:val="006475B0"/>
    <w:rsid w:val="00647782"/>
    <w:rsid w:val="00647E01"/>
    <w:rsid w:val="0065001E"/>
    <w:rsid w:val="006501E5"/>
    <w:rsid w:val="0065049B"/>
    <w:rsid w:val="00650818"/>
    <w:rsid w:val="0065093E"/>
    <w:rsid w:val="00650F59"/>
    <w:rsid w:val="0065204D"/>
    <w:rsid w:val="006532E3"/>
    <w:rsid w:val="006534B2"/>
    <w:rsid w:val="006545A5"/>
    <w:rsid w:val="00654E6E"/>
    <w:rsid w:val="00655323"/>
    <w:rsid w:val="00655731"/>
    <w:rsid w:val="00655B7C"/>
    <w:rsid w:val="0065615D"/>
    <w:rsid w:val="00656280"/>
    <w:rsid w:val="00656326"/>
    <w:rsid w:val="00656873"/>
    <w:rsid w:val="00656D8F"/>
    <w:rsid w:val="00657011"/>
    <w:rsid w:val="006577A8"/>
    <w:rsid w:val="006602EF"/>
    <w:rsid w:val="00660442"/>
    <w:rsid w:val="00660761"/>
    <w:rsid w:val="00660AB5"/>
    <w:rsid w:val="00660D7F"/>
    <w:rsid w:val="0066169F"/>
    <w:rsid w:val="006618F4"/>
    <w:rsid w:val="00661FB3"/>
    <w:rsid w:val="00662220"/>
    <w:rsid w:val="00662256"/>
    <w:rsid w:val="0066236D"/>
    <w:rsid w:val="006625F5"/>
    <w:rsid w:val="00662AC7"/>
    <w:rsid w:val="00663E3B"/>
    <w:rsid w:val="006644E7"/>
    <w:rsid w:val="00664BD9"/>
    <w:rsid w:val="00664FF9"/>
    <w:rsid w:val="006650B5"/>
    <w:rsid w:val="006651B1"/>
    <w:rsid w:val="00665778"/>
    <w:rsid w:val="006657B4"/>
    <w:rsid w:val="00665F62"/>
    <w:rsid w:val="006664E3"/>
    <w:rsid w:val="006665D1"/>
    <w:rsid w:val="00666732"/>
    <w:rsid w:val="00666B7D"/>
    <w:rsid w:val="00666BCF"/>
    <w:rsid w:val="00666F44"/>
    <w:rsid w:val="006677F8"/>
    <w:rsid w:val="00667A74"/>
    <w:rsid w:val="0067022E"/>
    <w:rsid w:val="006703BB"/>
    <w:rsid w:val="00671953"/>
    <w:rsid w:val="00672000"/>
    <w:rsid w:val="006725B8"/>
    <w:rsid w:val="00672674"/>
    <w:rsid w:val="0067272E"/>
    <w:rsid w:val="00672DBD"/>
    <w:rsid w:val="00673603"/>
    <w:rsid w:val="00673A87"/>
    <w:rsid w:val="00673ED6"/>
    <w:rsid w:val="00674115"/>
    <w:rsid w:val="006741CF"/>
    <w:rsid w:val="00674BD3"/>
    <w:rsid w:val="00675BC3"/>
    <w:rsid w:val="00676785"/>
    <w:rsid w:val="00676E5F"/>
    <w:rsid w:val="00677CA6"/>
    <w:rsid w:val="00677ECB"/>
    <w:rsid w:val="006800AE"/>
    <w:rsid w:val="00680333"/>
    <w:rsid w:val="0068033E"/>
    <w:rsid w:val="00680653"/>
    <w:rsid w:val="00680A3D"/>
    <w:rsid w:val="00680BF5"/>
    <w:rsid w:val="00682FFD"/>
    <w:rsid w:val="006833ED"/>
    <w:rsid w:val="006834D9"/>
    <w:rsid w:val="00683BF7"/>
    <w:rsid w:val="00683C81"/>
    <w:rsid w:val="00683E37"/>
    <w:rsid w:val="00683E84"/>
    <w:rsid w:val="00684545"/>
    <w:rsid w:val="00684CA1"/>
    <w:rsid w:val="00684EEC"/>
    <w:rsid w:val="0068562D"/>
    <w:rsid w:val="006859ED"/>
    <w:rsid w:val="00685B7A"/>
    <w:rsid w:val="00685CAD"/>
    <w:rsid w:val="0068682F"/>
    <w:rsid w:val="00686B01"/>
    <w:rsid w:val="0068753F"/>
    <w:rsid w:val="006877D2"/>
    <w:rsid w:val="00690537"/>
    <w:rsid w:val="00690656"/>
    <w:rsid w:val="00690811"/>
    <w:rsid w:val="0069083E"/>
    <w:rsid w:val="0069118D"/>
    <w:rsid w:val="0069138F"/>
    <w:rsid w:val="006921F4"/>
    <w:rsid w:val="00692E25"/>
    <w:rsid w:val="00693550"/>
    <w:rsid w:val="006938E0"/>
    <w:rsid w:val="00693904"/>
    <w:rsid w:val="0069413A"/>
    <w:rsid w:val="006943A6"/>
    <w:rsid w:val="006945CA"/>
    <w:rsid w:val="00694D78"/>
    <w:rsid w:val="00696390"/>
    <w:rsid w:val="0069661F"/>
    <w:rsid w:val="00697B7E"/>
    <w:rsid w:val="00697FC8"/>
    <w:rsid w:val="006A026B"/>
    <w:rsid w:val="006A057E"/>
    <w:rsid w:val="006A05AC"/>
    <w:rsid w:val="006A0A23"/>
    <w:rsid w:val="006A0DB9"/>
    <w:rsid w:val="006A16F5"/>
    <w:rsid w:val="006A1FB4"/>
    <w:rsid w:val="006A2EE1"/>
    <w:rsid w:val="006A3309"/>
    <w:rsid w:val="006A3A5A"/>
    <w:rsid w:val="006A3B62"/>
    <w:rsid w:val="006A406B"/>
    <w:rsid w:val="006A4723"/>
    <w:rsid w:val="006A4A70"/>
    <w:rsid w:val="006A4A84"/>
    <w:rsid w:val="006A4AF6"/>
    <w:rsid w:val="006A50FF"/>
    <w:rsid w:val="006A5ABB"/>
    <w:rsid w:val="006A5B34"/>
    <w:rsid w:val="006A5BF7"/>
    <w:rsid w:val="006A5D7E"/>
    <w:rsid w:val="006A66CD"/>
    <w:rsid w:val="006A6AB6"/>
    <w:rsid w:val="006A7552"/>
    <w:rsid w:val="006A7DDD"/>
    <w:rsid w:val="006B06AC"/>
    <w:rsid w:val="006B2903"/>
    <w:rsid w:val="006B337A"/>
    <w:rsid w:val="006B3826"/>
    <w:rsid w:val="006B3FB5"/>
    <w:rsid w:val="006B4204"/>
    <w:rsid w:val="006B44DE"/>
    <w:rsid w:val="006B44EA"/>
    <w:rsid w:val="006B45E4"/>
    <w:rsid w:val="006B565C"/>
    <w:rsid w:val="006B6559"/>
    <w:rsid w:val="006B6DAE"/>
    <w:rsid w:val="006B6F72"/>
    <w:rsid w:val="006B7431"/>
    <w:rsid w:val="006B756D"/>
    <w:rsid w:val="006B7AFE"/>
    <w:rsid w:val="006C08C9"/>
    <w:rsid w:val="006C107C"/>
    <w:rsid w:val="006C3BC7"/>
    <w:rsid w:val="006C4754"/>
    <w:rsid w:val="006C4809"/>
    <w:rsid w:val="006C48C3"/>
    <w:rsid w:val="006C51F1"/>
    <w:rsid w:val="006C58BE"/>
    <w:rsid w:val="006C5C02"/>
    <w:rsid w:val="006C6187"/>
    <w:rsid w:val="006C64A1"/>
    <w:rsid w:val="006C7340"/>
    <w:rsid w:val="006C77A9"/>
    <w:rsid w:val="006C7A7F"/>
    <w:rsid w:val="006D09AF"/>
    <w:rsid w:val="006D0E61"/>
    <w:rsid w:val="006D1CF5"/>
    <w:rsid w:val="006D23E1"/>
    <w:rsid w:val="006D2534"/>
    <w:rsid w:val="006D2B60"/>
    <w:rsid w:val="006D2EC0"/>
    <w:rsid w:val="006D34FC"/>
    <w:rsid w:val="006D373F"/>
    <w:rsid w:val="006D4021"/>
    <w:rsid w:val="006D4635"/>
    <w:rsid w:val="006D4720"/>
    <w:rsid w:val="006D4957"/>
    <w:rsid w:val="006D4991"/>
    <w:rsid w:val="006D49DC"/>
    <w:rsid w:val="006D4B75"/>
    <w:rsid w:val="006D4D32"/>
    <w:rsid w:val="006D51DF"/>
    <w:rsid w:val="006D54C6"/>
    <w:rsid w:val="006D5B85"/>
    <w:rsid w:val="006D6AA1"/>
    <w:rsid w:val="006D741D"/>
    <w:rsid w:val="006E04C5"/>
    <w:rsid w:val="006E0FCF"/>
    <w:rsid w:val="006E1B21"/>
    <w:rsid w:val="006E2877"/>
    <w:rsid w:val="006E3392"/>
    <w:rsid w:val="006E430B"/>
    <w:rsid w:val="006E4C76"/>
    <w:rsid w:val="006E4E52"/>
    <w:rsid w:val="006E4E58"/>
    <w:rsid w:val="006E51D3"/>
    <w:rsid w:val="006E520A"/>
    <w:rsid w:val="006E532F"/>
    <w:rsid w:val="006E56D6"/>
    <w:rsid w:val="006E5F5C"/>
    <w:rsid w:val="006E6146"/>
    <w:rsid w:val="006E669A"/>
    <w:rsid w:val="006E69FB"/>
    <w:rsid w:val="006E6CDF"/>
    <w:rsid w:val="006E7016"/>
    <w:rsid w:val="006E70BB"/>
    <w:rsid w:val="006E74DF"/>
    <w:rsid w:val="006E7967"/>
    <w:rsid w:val="006E7B7B"/>
    <w:rsid w:val="006E7C80"/>
    <w:rsid w:val="006F00E0"/>
    <w:rsid w:val="006F1038"/>
    <w:rsid w:val="006F13F9"/>
    <w:rsid w:val="006F19C3"/>
    <w:rsid w:val="006F2A41"/>
    <w:rsid w:val="006F2BEE"/>
    <w:rsid w:val="006F3437"/>
    <w:rsid w:val="006F3517"/>
    <w:rsid w:val="006F37F2"/>
    <w:rsid w:val="006F3E54"/>
    <w:rsid w:val="006F423B"/>
    <w:rsid w:val="006F6693"/>
    <w:rsid w:val="006F6773"/>
    <w:rsid w:val="006F7EE4"/>
    <w:rsid w:val="00700278"/>
    <w:rsid w:val="00700354"/>
    <w:rsid w:val="00702526"/>
    <w:rsid w:val="00702947"/>
    <w:rsid w:val="00703CB6"/>
    <w:rsid w:val="00703DA1"/>
    <w:rsid w:val="00704445"/>
    <w:rsid w:val="00704EAC"/>
    <w:rsid w:val="00704FF6"/>
    <w:rsid w:val="007068BC"/>
    <w:rsid w:val="00707FE8"/>
    <w:rsid w:val="007100CC"/>
    <w:rsid w:val="0071060A"/>
    <w:rsid w:val="007107BE"/>
    <w:rsid w:val="007107E8"/>
    <w:rsid w:val="00711FDB"/>
    <w:rsid w:val="00712A5E"/>
    <w:rsid w:val="007138CD"/>
    <w:rsid w:val="007140DC"/>
    <w:rsid w:val="00714470"/>
    <w:rsid w:val="007148FE"/>
    <w:rsid w:val="00714905"/>
    <w:rsid w:val="00714AAE"/>
    <w:rsid w:val="007150D1"/>
    <w:rsid w:val="00715206"/>
    <w:rsid w:val="00715222"/>
    <w:rsid w:val="0071585B"/>
    <w:rsid w:val="00717275"/>
    <w:rsid w:val="007172C6"/>
    <w:rsid w:val="00717B26"/>
    <w:rsid w:val="007202F3"/>
    <w:rsid w:val="007206AF"/>
    <w:rsid w:val="00720BCF"/>
    <w:rsid w:val="00722040"/>
    <w:rsid w:val="007229C3"/>
    <w:rsid w:val="00723767"/>
    <w:rsid w:val="0072408C"/>
    <w:rsid w:val="00724239"/>
    <w:rsid w:val="00724962"/>
    <w:rsid w:val="00724A0F"/>
    <w:rsid w:val="00724CC1"/>
    <w:rsid w:val="007258A8"/>
    <w:rsid w:val="00726128"/>
    <w:rsid w:val="00726808"/>
    <w:rsid w:val="00726D2F"/>
    <w:rsid w:val="007278FA"/>
    <w:rsid w:val="00727D9B"/>
    <w:rsid w:val="00730064"/>
    <w:rsid w:val="0073098A"/>
    <w:rsid w:val="007311B5"/>
    <w:rsid w:val="00731248"/>
    <w:rsid w:val="00731B05"/>
    <w:rsid w:val="007322BF"/>
    <w:rsid w:val="00732796"/>
    <w:rsid w:val="00732807"/>
    <w:rsid w:val="00732E7B"/>
    <w:rsid w:val="00732FF1"/>
    <w:rsid w:val="00733E5D"/>
    <w:rsid w:val="007341D8"/>
    <w:rsid w:val="007346B6"/>
    <w:rsid w:val="00734805"/>
    <w:rsid w:val="00734AAC"/>
    <w:rsid w:val="00734FA8"/>
    <w:rsid w:val="007354C9"/>
    <w:rsid w:val="00736732"/>
    <w:rsid w:val="00736AAD"/>
    <w:rsid w:val="00736AFC"/>
    <w:rsid w:val="00736D3F"/>
    <w:rsid w:val="00737592"/>
    <w:rsid w:val="00737D3E"/>
    <w:rsid w:val="00737D9A"/>
    <w:rsid w:val="00740019"/>
    <w:rsid w:val="00740416"/>
    <w:rsid w:val="00740B8F"/>
    <w:rsid w:val="00740C1E"/>
    <w:rsid w:val="00740C75"/>
    <w:rsid w:val="00740FF2"/>
    <w:rsid w:val="00741664"/>
    <w:rsid w:val="00742714"/>
    <w:rsid w:val="00742BF7"/>
    <w:rsid w:val="00742D63"/>
    <w:rsid w:val="007432F9"/>
    <w:rsid w:val="007434AD"/>
    <w:rsid w:val="00743928"/>
    <w:rsid w:val="00743D80"/>
    <w:rsid w:val="00743DAD"/>
    <w:rsid w:val="007443D7"/>
    <w:rsid w:val="00744467"/>
    <w:rsid w:val="00744ACD"/>
    <w:rsid w:val="007450F8"/>
    <w:rsid w:val="007456AA"/>
    <w:rsid w:val="00745E9A"/>
    <w:rsid w:val="00745ECB"/>
    <w:rsid w:val="00746426"/>
    <w:rsid w:val="00747C87"/>
    <w:rsid w:val="00750008"/>
    <w:rsid w:val="00750136"/>
    <w:rsid w:val="00750A59"/>
    <w:rsid w:val="00750A7D"/>
    <w:rsid w:val="00750BF9"/>
    <w:rsid w:val="00750CBE"/>
    <w:rsid w:val="00750E79"/>
    <w:rsid w:val="007511A2"/>
    <w:rsid w:val="0075184B"/>
    <w:rsid w:val="00752D95"/>
    <w:rsid w:val="007532AC"/>
    <w:rsid w:val="007532C4"/>
    <w:rsid w:val="007536BD"/>
    <w:rsid w:val="007548D8"/>
    <w:rsid w:val="00754CC1"/>
    <w:rsid w:val="007556DE"/>
    <w:rsid w:val="0075572E"/>
    <w:rsid w:val="00755C17"/>
    <w:rsid w:val="00755FE7"/>
    <w:rsid w:val="007560FD"/>
    <w:rsid w:val="00756A72"/>
    <w:rsid w:val="00756B83"/>
    <w:rsid w:val="00756F2F"/>
    <w:rsid w:val="00757F35"/>
    <w:rsid w:val="00760677"/>
    <w:rsid w:val="00760796"/>
    <w:rsid w:val="007607B4"/>
    <w:rsid w:val="007608A5"/>
    <w:rsid w:val="007611CF"/>
    <w:rsid w:val="007612F2"/>
    <w:rsid w:val="007613EB"/>
    <w:rsid w:val="00762584"/>
    <w:rsid w:val="00762D20"/>
    <w:rsid w:val="007630FD"/>
    <w:rsid w:val="00763CC5"/>
    <w:rsid w:val="0076416D"/>
    <w:rsid w:val="00764DF5"/>
    <w:rsid w:val="007650D2"/>
    <w:rsid w:val="007657D3"/>
    <w:rsid w:val="00765DB0"/>
    <w:rsid w:val="007665DC"/>
    <w:rsid w:val="00766B04"/>
    <w:rsid w:val="00766B5A"/>
    <w:rsid w:val="00767149"/>
    <w:rsid w:val="00767B8C"/>
    <w:rsid w:val="00767DD7"/>
    <w:rsid w:val="0077002E"/>
    <w:rsid w:val="007707AB"/>
    <w:rsid w:val="00770D27"/>
    <w:rsid w:val="0077143B"/>
    <w:rsid w:val="00772209"/>
    <w:rsid w:val="0077253B"/>
    <w:rsid w:val="007727C8"/>
    <w:rsid w:val="00773410"/>
    <w:rsid w:val="007736DE"/>
    <w:rsid w:val="00773AB8"/>
    <w:rsid w:val="00773F36"/>
    <w:rsid w:val="00774382"/>
    <w:rsid w:val="00774C40"/>
    <w:rsid w:val="00774F3E"/>
    <w:rsid w:val="00774F78"/>
    <w:rsid w:val="00775AF1"/>
    <w:rsid w:val="0077687B"/>
    <w:rsid w:val="007770A5"/>
    <w:rsid w:val="00777ABD"/>
    <w:rsid w:val="0078029E"/>
    <w:rsid w:val="00781237"/>
    <w:rsid w:val="00781FCA"/>
    <w:rsid w:val="00782CFB"/>
    <w:rsid w:val="0078319D"/>
    <w:rsid w:val="007834F2"/>
    <w:rsid w:val="00783578"/>
    <w:rsid w:val="00783A5B"/>
    <w:rsid w:val="00783E06"/>
    <w:rsid w:val="0078432C"/>
    <w:rsid w:val="00784BD3"/>
    <w:rsid w:val="00784C5B"/>
    <w:rsid w:val="00785AAD"/>
    <w:rsid w:val="0078636A"/>
    <w:rsid w:val="00786A7C"/>
    <w:rsid w:val="00786C1F"/>
    <w:rsid w:val="00786FF9"/>
    <w:rsid w:val="00787539"/>
    <w:rsid w:val="00787CBA"/>
    <w:rsid w:val="00787E49"/>
    <w:rsid w:val="00787F8A"/>
    <w:rsid w:val="0079005D"/>
    <w:rsid w:val="00790111"/>
    <w:rsid w:val="0079022D"/>
    <w:rsid w:val="007905AA"/>
    <w:rsid w:val="00791020"/>
    <w:rsid w:val="007928CF"/>
    <w:rsid w:val="00793549"/>
    <w:rsid w:val="00793776"/>
    <w:rsid w:val="00793834"/>
    <w:rsid w:val="00793F7C"/>
    <w:rsid w:val="007941C4"/>
    <w:rsid w:val="007941E9"/>
    <w:rsid w:val="00794908"/>
    <w:rsid w:val="007960D8"/>
    <w:rsid w:val="007962A7"/>
    <w:rsid w:val="0079642F"/>
    <w:rsid w:val="00796484"/>
    <w:rsid w:val="00796BE3"/>
    <w:rsid w:val="00796E63"/>
    <w:rsid w:val="00797370"/>
    <w:rsid w:val="007976E2"/>
    <w:rsid w:val="007A04D2"/>
    <w:rsid w:val="007A09F7"/>
    <w:rsid w:val="007A0A49"/>
    <w:rsid w:val="007A104E"/>
    <w:rsid w:val="007A19D8"/>
    <w:rsid w:val="007A224B"/>
    <w:rsid w:val="007A3478"/>
    <w:rsid w:val="007A3BE8"/>
    <w:rsid w:val="007A4145"/>
    <w:rsid w:val="007A421E"/>
    <w:rsid w:val="007A4440"/>
    <w:rsid w:val="007A48AC"/>
    <w:rsid w:val="007A4B22"/>
    <w:rsid w:val="007A5618"/>
    <w:rsid w:val="007A589E"/>
    <w:rsid w:val="007A59C8"/>
    <w:rsid w:val="007A5B6C"/>
    <w:rsid w:val="007A5F82"/>
    <w:rsid w:val="007A6190"/>
    <w:rsid w:val="007A6B07"/>
    <w:rsid w:val="007A7027"/>
    <w:rsid w:val="007A78E0"/>
    <w:rsid w:val="007A7C6B"/>
    <w:rsid w:val="007B0022"/>
    <w:rsid w:val="007B01BB"/>
    <w:rsid w:val="007B0346"/>
    <w:rsid w:val="007B0C05"/>
    <w:rsid w:val="007B1511"/>
    <w:rsid w:val="007B1969"/>
    <w:rsid w:val="007B19B7"/>
    <w:rsid w:val="007B1FDB"/>
    <w:rsid w:val="007B2065"/>
    <w:rsid w:val="007B20AE"/>
    <w:rsid w:val="007B2278"/>
    <w:rsid w:val="007B29D4"/>
    <w:rsid w:val="007B4CC7"/>
    <w:rsid w:val="007B4FEB"/>
    <w:rsid w:val="007B54A3"/>
    <w:rsid w:val="007B55C7"/>
    <w:rsid w:val="007B5B4B"/>
    <w:rsid w:val="007B649C"/>
    <w:rsid w:val="007B702B"/>
    <w:rsid w:val="007B7965"/>
    <w:rsid w:val="007B7BD9"/>
    <w:rsid w:val="007B7E43"/>
    <w:rsid w:val="007B7FC5"/>
    <w:rsid w:val="007C0309"/>
    <w:rsid w:val="007C0576"/>
    <w:rsid w:val="007C0707"/>
    <w:rsid w:val="007C074B"/>
    <w:rsid w:val="007C1176"/>
    <w:rsid w:val="007C12C1"/>
    <w:rsid w:val="007C12E0"/>
    <w:rsid w:val="007C1944"/>
    <w:rsid w:val="007C1AEB"/>
    <w:rsid w:val="007C2C2F"/>
    <w:rsid w:val="007C2EDB"/>
    <w:rsid w:val="007C31C8"/>
    <w:rsid w:val="007C34BE"/>
    <w:rsid w:val="007C41D4"/>
    <w:rsid w:val="007C50D6"/>
    <w:rsid w:val="007C6075"/>
    <w:rsid w:val="007C6BAC"/>
    <w:rsid w:val="007C6EB9"/>
    <w:rsid w:val="007C75A8"/>
    <w:rsid w:val="007C7A1F"/>
    <w:rsid w:val="007D017B"/>
    <w:rsid w:val="007D033D"/>
    <w:rsid w:val="007D131D"/>
    <w:rsid w:val="007D13B2"/>
    <w:rsid w:val="007D13C5"/>
    <w:rsid w:val="007D1CDE"/>
    <w:rsid w:val="007D2069"/>
    <w:rsid w:val="007D218A"/>
    <w:rsid w:val="007D2857"/>
    <w:rsid w:val="007D307C"/>
    <w:rsid w:val="007D36ED"/>
    <w:rsid w:val="007D40B5"/>
    <w:rsid w:val="007D45C6"/>
    <w:rsid w:val="007D5716"/>
    <w:rsid w:val="007D5F9E"/>
    <w:rsid w:val="007D64A1"/>
    <w:rsid w:val="007D6671"/>
    <w:rsid w:val="007D6713"/>
    <w:rsid w:val="007D698F"/>
    <w:rsid w:val="007D6CA3"/>
    <w:rsid w:val="007D740C"/>
    <w:rsid w:val="007E098F"/>
    <w:rsid w:val="007E18D6"/>
    <w:rsid w:val="007E2547"/>
    <w:rsid w:val="007E2A27"/>
    <w:rsid w:val="007E2A76"/>
    <w:rsid w:val="007E32F8"/>
    <w:rsid w:val="007E3BA2"/>
    <w:rsid w:val="007E3BFD"/>
    <w:rsid w:val="007E409F"/>
    <w:rsid w:val="007E4A15"/>
    <w:rsid w:val="007E4FA2"/>
    <w:rsid w:val="007E5462"/>
    <w:rsid w:val="007E576D"/>
    <w:rsid w:val="007E5D3F"/>
    <w:rsid w:val="007E6EB7"/>
    <w:rsid w:val="007E6F43"/>
    <w:rsid w:val="007E6FAB"/>
    <w:rsid w:val="007E71F4"/>
    <w:rsid w:val="007E77DC"/>
    <w:rsid w:val="007E78D1"/>
    <w:rsid w:val="007F11A3"/>
    <w:rsid w:val="007F1752"/>
    <w:rsid w:val="007F1A4C"/>
    <w:rsid w:val="007F1DF9"/>
    <w:rsid w:val="007F25A2"/>
    <w:rsid w:val="007F3797"/>
    <w:rsid w:val="007F37A9"/>
    <w:rsid w:val="007F3872"/>
    <w:rsid w:val="007F4D89"/>
    <w:rsid w:val="007F53A8"/>
    <w:rsid w:val="007F55BB"/>
    <w:rsid w:val="007F6EC0"/>
    <w:rsid w:val="007F723F"/>
    <w:rsid w:val="007F7766"/>
    <w:rsid w:val="008000C3"/>
    <w:rsid w:val="0080098C"/>
    <w:rsid w:val="008022C3"/>
    <w:rsid w:val="0080276F"/>
    <w:rsid w:val="00802DB5"/>
    <w:rsid w:val="008036FD"/>
    <w:rsid w:val="00803952"/>
    <w:rsid w:val="008041E6"/>
    <w:rsid w:val="00804C26"/>
    <w:rsid w:val="008051B7"/>
    <w:rsid w:val="00805B03"/>
    <w:rsid w:val="0080621C"/>
    <w:rsid w:val="008065D2"/>
    <w:rsid w:val="008069AC"/>
    <w:rsid w:val="00807EE9"/>
    <w:rsid w:val="008106EF"/>
    <w:rsid w:val="0081147B"/>
    <w:rsid w:val="008114D5"/>
    <w:rsid w:val="00811A76"/>
    <w:rsid w:val="0081335C"/>
    <w:rsid w:val="008138C1"/>
    <w:rsid w:val="00813B39"/>
    <w:rsid w:val="00813BB9"/>
    <w:rsid w:val="008148F4"/>
    <w:rsid w:val="00814996"/>
    <w:rsid w:val="00815A8A"/>
    <w:rsid w:val="00815FDD"/>
    <w:rsid w:val="00816343"/>
    <w:rsid w:val="00816863"/>
    <w:rsid w:val="00817024"/>
    <w:rsid w:val="00817E10"/>
    <w:rsid w:val="0082044D"/>
    <w:rsid w:val="0082051A"/>
    <w:rsid w:val="00820D19"/>
    <w:rsid w:val="00820F8F"/>
    <w:rsid w:val="0082194C"/>
    <w:rsid w:val="008222FF"/>
    <w:rsid w:val="00822628"/>
    <w:rsid w:val="00822708"/>
    <w:rsid w:val="00822CC9"/>
    <w:rsid w:val="00823AB1"/>
    <w:rsid w:val="00823DC8"/>
    <w:rsid w:val="008241FF"/>
    <w:rsid w:val="008242B4"/>
    <w:rsid w:val="00824732"/>
    <w:rsid w:val="00824CE5"/>
    <w:rsid w:val="00825DB6"/>
    <w:rsid w:val="008261E0"/>
    <w:rsid w:val="00826489"/>
    <w:rsid w:val="00826B62"/>
    <w:rsid w:val="00827454"/>
    <w:rsid w:val="008279DF"/>
    <w:rsid w:val="00827A01"/>
    <w:rsid w:val="00827C66"/>
    <w:rsid w:val="00827F71"/>
    <w:rsid w:val="0083021A"/>
    <w:rsid w:val="008310B3"/>
    <w:rsid w:val="00831758"/>
    <w:rsid w:val="00832E22"/>
    <w:rsid w:val="008331B9"/>
    <w:rsid w:val="008340DF"/>
    <w:rsid w:val="008342D2"/>
    <w:rsid w:val="0083460A"/>
    <w:rsid w:val="00834936"/>
    <w:rsid w:val="00834998"/>
    <w:rsid w:val="0083539D"/>
    <w:rsid w:val="00835FAE"/>
    <w:rsid w:val="00836CC9"/>
    <w:rsid w:val="0083707E"/>
    <w:rsid w:val="008376F1"/>
    <w:rsid w:val="00837903"/>
    <w:rsid w:val="0083791F"/>
    <w:rsid w:val="00837C10"/>
    <w:rsid w:val="0084013F"/>
    <w:rsid w:val="00840524"/>
    <w:rsid w:val="00840A89"/>
    <w:rsid w:val="008411E9"/>
    <w:rsid w:val="00841617"/>
    <w:rsid w:val="00841696"/>
    <w:rsid w:val="0084200F"/>
    <w:rsid w:val="00842370"/>
    <w:rsid w:val="00842E25"/>
    <w:rsid w:val="00842EA3"/>
    <w:rsid w:val="0084365D"/>
    <w:rsid w:val="00843B2C"/>
    <w:rsid w:val="00843C50"/>
    <w:rsid w:val="00843C64"/>
    <w:rsid w:val="008441D3"/>
    <w:rsid w:val="0084444C"/>
    <w:rsid w:val="00844F16"/>
    <w:rsid w:val="00845983"/>
    <w:rsid w:val="00845DF8"/>
    <w:rsid w:val="00845E22"/>
    <w:rsid w:val="00845E89"/>
    <w:rsid w:val="0084663C"/>
    <w:rsid w:val="008467E4"/>
    <w:rsid w:val="008467EB"/>
    <w:rsid w:val="00846C84"/>
    <w:rsid w:val="008474CA"/>
    <w:rsid w:val="00847745"/>
    <w:rsid w:val="00847A88"/>
    <w:rsid w:val="00847CA4"/>
    <w:rsid w:val="00850938"/>
    <w:rsid w:val="00850ECB"/>
    <w:rsid w:val="008510E6"/>
    <w:rsid w:val="008515EA"/>
    <w:rsid w:val="0085212D"/>
    <w:rsid w:val="00852827"/>
    <w:rsid w:val="00852C04"/>
    <w:rsid w:val="00852D62"/>
    <w:rsid w:val="00852E01"/>
    <w:rsid w:val="00852FB1"/>
    <w:rsid w:val="008537A7"/>
    <w:rsid w:val="00853FB6"/>
    <w:rsid w:val="00855FF9"/>
    <w:rsid w:val="0085635A"/>
    <w:rsid w:val="00857527"/>
    <w:rsid w:val="00857CEC"/>
    <w:rsid w:val="008608FF"/>
    <w:rsid w:val="00860978"/>
    <w:rsid w:val="00860F05"/>
    <w:rsid w:val="0086162E"/>
    <w:rsid w:val="0086277A"/>
    <w:rsid w:val="008630D1"/>
    <w:rsid w:val="00864519"/>
    <w:rsid w:val="008648DB"/>
    <w:rsid w:val="00864E96"/>
    <w:rsid w:val="00864FB4"/>
    <w:rsid w:val="0086521B"/>
    <w:rsid w:val="008655AA"/>
    <w:rsid w:val="0086560A"/>
    <w:rsid w:val="008657F9"/>
    <w:rsid w:val="00865A5B"/>
    <w:rsid w:val="00865CA6"/>
    <w:rsid w:val="00865D56"/>
    <w:rsid w:val="00865F34"/>
    <w:rsid w:val="00865FBF"/>
    <w:rsid w:val="008663C7"/>
    <w:rsid w:val="0086684A"/>
    <w:rsid w:val="008668A8"/>
    <w:rsid w:val="0086695F"/>
    <w:rsid w:val="0086730E"/>
    <w:rsid w:val="00867D7F"/>
    <w:rsid w:val="008719DF"/>
    <w:rsid w:val="00871F80"/>
    <w:rsid w:val="008722D2"/>
    <w:rsid w:val="00872466"/>
    <w:rsid w:val="0087267D"/>
    <w:rsid w:val="00872CE0"/>
    <w:rsid w:val="00872E10"/>
    <w:rsid w:val="00872E38"/>
    <w:rsid w:val="00873434"/>
    <w:rsid w:val="00875140"/>
    <w:rsid w:val="008751F9"/>
    <w:rsid w:val="008755E2"/>
    <w:rsid w:val="00876171"/>
    <w:rsid w:val="008766C6"/>
    <w:rsid w:val="008768AD"/>
    <w:rsid w:val="00877079"/>
    <w:rsid w:val="00877EF5"/>
    <w:rsid w:val="008803F3"/>
    <w:rsid w:val="00880931"/>
    <w:rsid w:val="00880AC4"/>
    <w:rsid w:val="00880B81"/>
    <w:rsid w:val="00880C2A"/>
    <w:rsid w:val="008810EC"/>
    <w:rsid w:val="008814E1"/>
    <w:rsid w:val="00881AE9"/>
    <w:rsid w:val="00882982"/>
    <w:rsid w:val="00882ABF"/>
    <w:rsid w:val="00882E1A"/>
    <w:rsid w:val="008830DF"/>
    <w:rsid w:val="008836EE"/>
    <w:rsid w:val="00883A77"/>
    <w:rsid w:val="0088479C"/>
    <w:rsid w:val="008852C0"/>
    <w:rsid w:val="00885355"/>
    <w:rsid w:val="0088551B"/>
    <w:rsid w:val="00885DE9"/>
    <w:rsid w:val="00886834"/>
    <w:rsid w:val="008868D1"/>
    <w:rsid w:val="00890AD9"/>
    <w:rsid w:val="00890C2E"/>
    <w:rsid w:val="0089192E"/>
    <w:rsid w:val="008941D3"/>
    <w:rsid w:val="0089431F"/>
    <w:rsid w:val="0089496A"/>
    <w:rsid w:val="00894D6B"/>
    <w:rsid w:val="00894E5B"/>
    <w:rsid w:val="008960D7"/>
    <w:rsid w:val="00897110"/>
    <w:rsid w:val="00897447"/>
    <w:rsid w:val="00897A4E"/>
    <w:rsid w:val="00897B00"/>
    <w:rsid w:val="008A0129"/>
    <w:rsid w:val="008A0958"/>
    <w:rsid w:val="008A0BD4"/>
    <w:rsid w:val="008A4372"/>
    <w:rsid w:val="008A4900"/>
    <w:rsid w:val="008A4E71"/>
    <w:rsid w:val="008A55FE"/>
    <w:rsid w:val="008A56CF"/>
    <w:rsid w:val="008A5B08"/>
    <w:rsid w:val="008A6E9F"/>
    <w:rsid w:val="008A7962"/>
    <w:rsid w:val="008A7FA1"/>
    <w:rsid w:val="008B146D"/>
    <w:rsid w:val="008B196F"/>
    <w:rsid w:val="008B1FDC"/>
    <w:rsid w:val="008B2526"/>
    <w:rsid w:val="008B2906"/>
    <w:rsid w:val="008B3FA0"/>
    <w:rsid w:val="008B42AD"/>
    <w:rsid w:val="008B5605"/>
    <w:rsid w:val="008B5666"/>
    <w:rsid w:val="008B5B03"/>
    <w:rsid w:val="008B5C7A"/>
    <w:rsid w:val="008B606B"/>
    <w:rsid w:val="008C02AE"/>
    <w:rsid w:val="008C0D80"/>
    <w:rsid w:val="008C22C8"/>
    <w:rsid w:val="008C24AF"/>
    <w:rsid w:val="008C2AFD"/>
    <w:rsid w:val="008C35B9"/>
    <w:rsid w:val="008C42DC"/>
    <w:rsid w:val="008C4413"/>
    <w:rsid w:val="008C4A21"/>
    <w:rsid w:val="008C4D74"/>
    <w:rsid w:val="008C61F5"/>
    <w:rsid w:val="008C6272"/>
    <w:rsid w:val="008C6E2F"/>
    <w:rsid w:val="008C6F78"/>
    <w:rsid w:val="008C6FE4"/>
    <w:rsid w:val="008C772D"/>
    <w:rsid w:val="008D00B7"/>
    <w:rsid w:val="008D0281"/>
    <w:rsid w:val="008D06B4"/>
    <w:rsid w:val="008D0DE5"/>
    <w:rsid w:val="008D1828"/>
    <w:rsid w:val="008D1BCB"/>
    <w:rsid w:val="008D1E95"/>
    <w:rsid w:val="008D23A3"/>
    <w:rsid w:val="008D240D"/>
    <w:rsid w:val="008D25BD"/>
    <w:rsid w:val="008D2625"/>
    <w:rsid w:val="008D2D8B"/>
    <w:rsid w:val="008D36F2"/>
    <w:rsid w:val="008D3895"/>
    <w:rsid w:val="008D3E4F"/>
    <w:rsid w:val="008D40D0"/>
    <w:rsid w:val="008D4DCD"/>
    <w:rsid w:val="008D5083"/>
    <w:rsid w:val="008D50E3"/>
    <w:rsid w:val="008D5896"/>
    <w:rsid w:val="008D5E31"/>
    <w:rsid w:val="008D5F7D"/>
    <w:rsid w:val="008D6AEE"/>
    <w:rsid w:val="008D7E57"/>
    <w:rsid w:val="008E0621"/>
    <w:rsid w:val="008E0A33"/>
    <w:rsid w:val="008E1FE1"/>
    <w:rsid w:val="008E2348"/>
    <w:rsid w:val="008E28EC"/>
    <w:rsid w:val="008E2C3F"/>
    <w:rsid w:val="008E32E4"/>
    <w:rsid w:val="008E347D"/>
    <w:rsid w:val="008E3525"/>
    <w:rsid w:val="008E3889"/>
    <w:rsid w:val="008E4095"/>
    <w:rsid w:val="008E4466"/>
    <w:rsid w:val="008E45DF"/>
    <w:rsid w:val="008E4A0A"/>
    <w:rsid w:val="008E4DFC"/>
    <w:rsid w:val="008E58F1"/>
    <w:rsid w:val="008E5F80"/>
    <w:rsid w:val="008E6B2F"/>
    <w:rsid w:val="008E702C"/>
    <w:rsid w:val="008E7258"/>
    <w:rsid w:val="008E729A"/>
    <w:rsid w:val="008E76F0"/>
    <w:rsid w:val="008E7711"/>
    <w:rsid w:val="008F04C8"/>
    <w:rsid w:val="008F1217"/>
    <w:rsid w:val="008F124A"/>
    <w:rsid w:val="008F176B"/>
    <w:rsid w:val="008F1AC9"/>
    <w:rsid w:val="008F1F26"/>
    <w:rsid w:val="008F23BC"/>
    <w:rsid w:val="008F2557"/>
    <w:rsid w:val="008F2AD6"/>
    <w:rsid w:val="008F2D82"/>
    <w:rsid w:val="008F364C"/>
    <w:rsid w:val="008F3949"/>
    <w:rsid w:val="008F3FF6"/>
    <w:rsid w:val="008F4909"/>
    <w:rsid w:val="008F56A3"/>
    <w:rsid w:val="008F66D6"/>
    <w:rsid w:val="008F693A"/>
    <w:rsid w:val="008F6CDF"/>
    <w:rsid w:val="008F6D45"/>
    <w:rsid w:val="008F70C1"/>
    <w:rsid w:val="008F70D9"/>
    <w:rsid w:val="008F76D8"/>
    <w:rsid w:val="008F7814"/>
    <w:rsid w:val="009000C0"/>
    <w:rsid w:val="009015DB"/>
    <w:rsid w:val="009019C8"/>
    <w:rsid w:val="00901ECD"/>
    <w:rsid w:val="00901F6E"/>
    <w:rsid w:val="009024E1"/>
    <w:rsid w:val="00903F5A"/>
    <w:rsid w:val="00903F81"/>
    <w:rsid w:val="00904AAC"/>
    <w:rsid w:val="00904D66"/>
    <w:rsid w:val="009055EB"/>
    <w:rsid w:val="00905E6A"/>
    <w:rsid w:val="00906144"/>
    <w:rsid w:val="00906360"/>
    <w:rsid w:val="00906BB1"/>
    <w:rsid w:val="00907AB9"/>
    <w:rsid w:val="00907FF7"/>
    <w:rsid w:val="0090EC2E"/>
    <w:rsid w:val="0091030F"/>
    <w:rsid w:val="0091070F"/>
    <w:rsid w:val="009108B9"/>
    <w:rsid w:val="00912D0A"/>
    <w:rsid w:val="00912DC7"/>
    <w:rsid w:val="0091316E"/>
    <w:rsid w:val="009149C5"/>
    <w:rsid w:val="00914DC7"/>
    <w:rsid w:val="00914F75"/>
    <w:rsid w:val="00915C87"/>
    <w:rsid w:val="00915CFA"/>
    <w:rsid w:val="0091680A"/>
    <w:rsid w:val="00916BF8"/>
    <w:rsid w:val="00916CBE"/>
    <w:rsid w:val="00916FB6"/>
    <w:rsid w:val="009171FF"/>
    <w:rsid w:val="0092018B"/>
    <w:rsid w:val="00920E37"/>
    <w:rsid w:val="00920EA2"/>
    <w:rsid w:val="00921434"/>
    <w:rsid w:val="00921BBD"/>
    <w:rsid w:val="00921BF4"/>
    <w:rsid w:val="00921E62"/>
    <w:rsid w:val="00922944"/>
    <w:rsid w:val="00924A63"/>
    <w:rsid w:val="00925452"/>
    <w:rsid w:val="0092562D"/>
    <w:rsid w:val="009272F8"/>
    <w:rsid w:val="00927DB2"/>
    <w:rsid w:val="00927F41"/>
    <w:rsid w:val="0093079E"/>
    <w:rsid w:val="009314F1"/>
    <w:rsid w:val="00931CCC"/>
    <w:rsid w:val="00931EFD"/>
    <w:rsid w:val="00931FD9"/>
    <w:rsid w:val="00932ABE"/>
    <w:rsid w:val="00932D05"/>
    <w:rsid w:val="00933346"/>
    <w:rsid w:val="009342E4"/>
    <w:rsid w:val="0093460A"/>
    <w:rsid w:val="00934C41"/>
    <w:rsid w:val="009361C3"/>
    <w:rsid w:val="00936479"/>
    <w:rsid w:val="00937012"/>
    <w:rsid w:val="009375F2"/>
    <w:rsid w:val="00937A10"/>
    <w:rsid w:val="00937B54"/>
    <w:rsid w:val="00937CDB"/>
    <w:rsid w:val="00937D9E"/>
    <w:rsid w:val="00940582"/>
    <w:rsid w:val="00942142"/>
    <w:rsid w:val="00942729"/>
    <w:rsid w:val="009431D6"/>
    <w:rsid w:val="00943C26"/>
    <w:rsid w:val="00944FEB"/>
    <w:rsid w:val="00945316"/>
    <w:rsid w:val="00945368"/>
    <w:rsid w:val="00945552"/>
    <w:rsid w:val="0094586D"/>
    <w:rsid w:val="009464B0"/>
    <w:rsid w:val="009468FB"/>
    <w:rsid w:val="009469B9"/>
    <w:rsid w:val="00946B30"/>
    <w:rsid w:val="00946B9C"/>
    <w:rsid w:val="00947742"/>
    <w:rsid w:val="00947A0F"/>
    <w:rsid w:val="00947B8F"/>
    <w:rsid w:val="00947E9A"/>
    <w:rsid w:val="00950184"/>
    <w:rsid w:val="009501C9"/>
    <w:rsid w:val="00950E42"/>
    <w:rsid w:val="009512CD"/>
    <w:rsid w:val="009517F1"/>
    <w:rsid w:val="00952290"/>
    <w:rsid w:val="009525CF"/>
    <w:rsid w:val="009548DC"/>
    <w:rsid w:val="00954F5A"/>
    <w:rsid w:val="009565FB"/>
    <w:rsid w:val="00956E55"/>
    <w:rsid w:val="00957917"/>
    <w:rsid w:val="009579EA"/>
    <w:rsid w:val="00957F3F"/>
    <w:rsid w:val="00957F9D"/>
    <w:rsid w:val="00961EF5"/>
    <w:rsid w:val="00961F06"/>
    <w:rsid w:val="00962518"/>
    <w:rsid w:val="00963E60"/>
    <w:rsid w:val="009641BB"/>
    <w:rsid w:val="009645ED"/>
    <w:rsid w:val="00965471"/>
    <w:rsid w:val="0096567F"/>
    <w:rsid w:val="00966115"/>
    <w:rsid w:val="0096612F"/>
    <w:rsid w:val="00966242"/>
    <w:rsid w:val="00966623"/>
    <w:rsid w:val="00970135"/>
    <w:rsid w:val="00970B6C"/>
    <w:rsid w:val="00971AEE"/>
    <w:rsid w:val="00971C73"/>
    <w:rsid w:val="00972812"/>
    <w:rsid w:val="00973394"/>
    <w:rsid w:val="0097358E"/>
    <w:rsid w:val="00973F3C"/>
    <w:rsid w:val="0097447F"/>
    <w:rsid w:val="009755D5"/>
    <w:rsid w:val="00975B12"/>
    <w:rsid w:val="00975C0A"/>
    <w:rsid w:val="00975D0E"/>
    <w:rsid w:val="0097636E"/>
    <w:rsid w:val="00976419"/>
    <w:rsid w:val="00976702"/>
    <w:rsid w:val="00976A34"/>
    <w:rsid w:val="00976A77"/>
    <w:rsid w:val="00976BDA"/>
    <w:rsid w:val="00976FF5"/>
    <w:rsid w:val="009803E0"/>
    <w:rsid w:val="0098059C"/>
    <w:rsid w:val="00980738"/>
    <w:rsid w:val="00980C2D"/>
    <w:rsid w:val="00980DF2"/>
    <w:rsid w:val="00980FD4"/>
    <w:rsid w:val="009812AE"/>
    <w:rsid w:val="00981F63"/>
    <w:rsid w:val="009820E0"/>
    <w:rsid w:val="009822AD"/>
    <w:rsid w:val="009834C0"/>
    <w:rsid w:val="009838DB"/>
    <w:rsid w:val="0098573E"/>
    <w:rsid w:val="0098617C"/>
    <w:rsid w:val="00986A54"/>
    <w:rsid w:val="00986AAC"/>
    <w:rsid w:val="00987524"/>
    <w:rsid w:val="009877E4"/>
    <w:rsid w:val="00987FB3"/>
    <w:rsid w:val="00990084"/>
    <w:rsid w:val="0099014E"/>
    <w:rsid w:val="0099032A"/>
    <w:rsid w:val="0099035A"/>
    <w:rsid w:val="009905FA"/>
    <w:rsid w:val="00990993"/>
    <w:rsid w:val="00991B2C"/>
    <w:rsid w:val="00991C39"/>
    <w:rsid w:val="00991F18"/>
    <w:rsid w:val="009927A7"/>
    <w:rsid w:val="00992CD5"/>
    <w:rsid w:val="009931BE"/>
    <w:rsid w:val="009931CB"/>
    <w:rsid w:val="00993B69"/>
    <w:rsid w:val="00993B9B"/>
    <w:rsid w:val="00994B72"/>
    <w:rsid w:val="00995197"/>
    <w:rsid w:val="00995391"/>
    <w:rsid w:val="00995526"/>
    <w:rsid w:val="00995743"/>
    <w:rsid w:val="0099576E"/>
    <w:rsid w:val="009962E8"/>
    <w:rsid w:val="009967E5"/>
    <w:rsid w:val="0099694D"/>
    <w:rsid w:val="00997238"/>
    <w:rsid w:val="009972FB"/>
    <w:rsid w:val="009A080F"/>
    <w:rsid w:val="009A0C96"/>
    <w:rsid w:val="009A0E50"/>
    <w:rsid w:val="009A1A75"/>
    <w:rsid w:val="009A1DA2"/>
    <w:rsid w:val="009A22F4"/>
    <w:rsid w:val="009A35AA"/>
    <w:rsid w:val="009A3704"/>
    <w:rsid w:val="009A3E4A"/>
    <w:rsid w:val="009A4054"/>
    <w:rsid w:val="009A4739"/>
    <w:rsid w:val="009A4A98"/>
    <w:rsid w:val="009A5A09"/>
    <w:rsid w:val="009A5C56"/>
    <w:rsid w:val="009A60DB"/>
    <w:rsid w:val="009A6271"/>
    <w:rsid w:val="009A6545"/>
    <w:rsid w:val="009A674F"/>
    <w:rsid w:val="009A68B8"/>
    <w:rsid w:val="009A6D22"/>
    <w:rsid w:val="009A6FF1"/>
    <w:rsid w:val="009A7063"/>
    <w:rsid w:val="009A7401"/>
    <w:rsid w:val="009A7951"/>
    <w:rsid w:val="009B04C1"/>
    <w:rsid w:val="009B0E25"/>
    <w:rsid w:val="009B14E8"/>
    <w:rsid w:val="009B199C"/>
    <w:rsid w:val="009B1F2C"/>
    <w:rsid w:val="009B317D"/>
    <w:rsid w:val="009B3849"/>
    <w:rsid w:val="009B3B3E"/>
    <w:rsid w:val="009B551A"/>
    <w:rsid w:val="009B58AD"/>
    <w:rsid w:val="009B5979"/>
    <w:rsid w:val="009B5E69"/>
    <w:rsid w:val="009B61F1"/>
    <w:rsid w:val="009B62AC"/>
    <w:rsid w:val="009B62E0"/>
    <w:rsid w:val="009B6CA7"/>
    <w:rsid w:val="009C04D4"/>
    <w:rsid w:val="009C06EB"/>
    <w:rsid w:val="009C0745"/>
    <w:rsid w:val="009C0D85"/>
    <w:rsid w:val="009C13D6"/>
    <w:rsid w:val="009C1845"/>
    <w:rsid w:val="009C197F"/>
    <w:rsid w:val="009C1D38"/>
    <w:rsid w:val="009C2164"/>
    <w:rsid w:val="009C25C3"/>
    <w:rsid w:val="009C28A3"/>
    <w:rsid w:val="009C30EE"/>
    <w:rsid w:val="009C361F"/>
    <w:rsid w:val="009C39C2"/>
    <w:rsid w:val="009C3A0D"/>
    <w:rsid w:val="009C3D88"/>
    <w:rsid w:val="009C491B"/>
    <w:rsid w:val="009C55CB"/>
    <w:rsid w:val="009C56A8"/>
    <w:rsid w:val="009C5E6A"/>
    <w:rsid w:val="009C64EC"/>
    <w:rsid w:val="009C65DB"/>
    <w:rsid w:val="009C6702"/>
    <w:rsid w:val="009C7072"/>
    <w:rsid w:val="009C75B6"/>
    <w:rsid w:val="009C7E1A"/>
    <w:rsid w:val="009D1505"/>
    <w:rsid w:val="009D1765"/>
    <w:rsid w:val="009D19DF"/>
    <w:rsid w:val="009D1D24"/>
    <w:rsid w:val="009D1E9B"/>
    <w:rsid w:val="009D2A39"/>
    <w:rsid w:val="009D3DA2"/>
    <w:rsid w:val="009D40C9"/>
    <w:rsid w:val="009D44A2"/>
    <w:rsid w:val="009D593D"/>
    <w:rsid w:val="009D6885"/>
    <w:rsid w:val="009D6949"/>
    <w:rsid w:val="009D79CB"/>
    <w:rsid w:val="009D7EA9"/>
    <w:rsid w:val="009E0BA4"/>
    <w:rsid w:val="009E0ECD"/>
    <w:rsid w:val="009E1579"/>
    <w:rsid w:val="009E1651"/>
    <w:rsid w:val="009E22D2"/>
    <w:rsid w:val="009E3858"/>
    <w:rsid w:val="009E3FA6"/>
    <w:rsid w:val="009E467D"/>
    <w:rsid w:val="009E53BE"/>
    <w:rsid w:val="009E6DEB"/>
    <w:rsid w:val="009E70B9"/>
    <w:rsid w:val="009E70DD"/>
    <w:rsid w:val="009E7361"/>
    <w:rsid w:val="009E7384"/>
    <w:rsid w:val="009E75BA"/>
    <w:rsid w:val="009E7B57"/>
    <w:rsid w:val="009E7D37"/>
    <w:rsid w:val="009E7E0B"/>
    <w:rsid w:val="009E7EA8"/>
    <w:rsid w:val="009F0E47"/>
    <w:rsid w:val="009F0F09"/>
    <w:rsid w:val="009F118A"/>
    <w:rsid w:val="009F1688"/>
    <w:rsid w:val="009F1E7D"/>
    <w:rsid w:val="009F2ED9"/>
    <w:rsid w:val="009F30F9"/>
    <w:rsid w:val="009F3231"/>
    <w:rsid w:val="009F3538"/>
    <w:rsid w:val="009F43AE"/>
    <w:rsid w:val="009F4CF5"/>
    <w:rsid w:val="009F5168"/>
    <w:rsid w:val="009F5290"/>
    <w:rsid w:val="009F59B6"/>
    <w:rsid w:val="009F5A09"/>
    <w:rsid w:val="009F5A81"/>
    <w:rsid w:val="009F5C24"/>
    <w:rsid w:val="009F5C58"/>
    <w:rsid w:val="009F682A"/>
    <w:rsid w:val="009F692F"/>
    <w:rsid w:val="009F727D"/>
    <w:rsid w:val="009F7A66"/>
    <w:rsid w:val="009F7C23"/>
    <w:rsid w:val="00A00399"/>
    <w:rsid w:val="00A00E0E"/>
    <w:rsid w:val="00A0152B"/>
    <w:rsid w:val="00A018AA"/>
    <w:rsid w:val="00A01E1C"/>
    <w:rsid w:val="00A01F41"/>
    <w:rsid w:val="00A023A0"/>
    <w:rsid w:val="00A027AC"/>
    <w:rsid w:val="00A02E7A"/>
    <w:rsid w:val="00A034F7"/>
    <w:rsid w:val="00A03569"/>
    <w:rsid w:val="00A0371A"/>
    <w:rsid w:val="00A051B0"/>
    <w:rsid w:val="00A05AC2"/>
    <w:rsid w:val="00A05EBC"/>
    <w:rsid w:val="00A06327"/>
    <w:rsid w:val="00A0675A"/>
    <w:rsid w:val="00A0686C"/>
    <w:rsid w:val="00A06BA9"/>
    <w:rsid w:val="00A07823"/>
    <w:rsid w:val="00A07C46"/>
    <w:rsid w:val="00A10B77"/>
    <w:rsid w:val="00A1111D"/>
    <w:rsid w:val="00A12DB6"/>
    <w:rsid w:val="00A130BF"/>
    <w:rsid w:val="00A133FB"/>
    <w:rsid w:val="00A13531"/>
    <w:rsid w:val="00A138E9"/>
    <w:rsid w:val="00A13A5B"/>
    <w:rsid w:val="00A1421B"/>
    <w:rsid w:val="00A143C4"/>
    <w:rsid w:val="00A14DA7"/>
    <w:rsid w:val="00A154FA"/>
    <w:rsid w:val="00A1562B"/>
    <w:rsid w:val="00A1588D"/>
    <w:rsid w:val="00A15FE5"/>
    <w:rsid w:val="00A160DD"/>
    <w:rsid w:val="00A16F83"/>
    <w:rsid w:val="00A170F4"/>
    <w:rsid w:val="00A17588"/>
    <w:rsid w:val="00A17D02"/>
    <w:rsid w:val="00A20154"/>
    <w:rsid w:val="00A20D35"/>
    <w:rsid w:val="00A20F4B"/>
    <w:rsid w:val="00A21408"/>
    <w:rsid w:val="00A21CFD"/>
    <w:rsid w:val="00A22A1D"/>
    <w:rsid w:val="00A23BA4"/>
    <w:rsid w:val="00A2489D"/>
    <w:rsid w:val="00A24C82"/>
    <w:rsid w:val="00A24F27"/>
    <w:rsid w:val="00A2522E"/>
    <w:rsid w:val="00A2524C"/>
    <w:rsid w:val="00A25A8C"/>
    <w:rsid w:val="00A25B78"/>
    <w:rsid w:val="00A25F85"/>
    <w:rsid w:val="00A26370"/>
    <w:rsid w:val="00A279CE"/>
    <w:rsid w:val="00A27A80"/>
    <w:rsid w:val="00A27B01"/>
    <w:rsid w:val="00A305DE"/>
    <w:rsid w:val="00A3089D"/>
    <w:rsid w:val="00A30BC4"/>
    <w:rsid w:val="00A30FE3"/>
    <w:rsid w:val="00A31BE0"/>
    <w:rsid w:val="00A31DB4"/>
    <w:rsid w:val="00A32D2B"/>
    <w:rsid w:val="00A33CEC"/>
    <w:rsid w:val="00A33D7D"/>
    <w:rsid w:val="00A33E59"/>
    <w:rsid w:val="00A34362"/>
    <w:rsid w:val="00A359C4"/>
    <w:rsid w:val="00A3660D"/>
    <w:rsid w:val="00A36DA2"/>
    <w:rsid w:val="00A400CC"/>
    <w:rsid w:val="00A40495"/>
    <w:rsid w:val="00A4057D"/>
    <w:rsid w:val="00A407B5"/>
    <w:rsid w:val="00A407ED"/>
    <w:rsid w:val="00A40877"/>
    <w:rsid w:val="00A40A0D"/>
    <w:rsid w:val="00A40F21"/>
    <w:rsid w:val="00A40F50"/>
    <w:rsid w:val="00A420BE"/>
    <w:rsid w:val="00A43396"/>
    <w:rsid w:val="00A433DD"/>
    <w:rsid w:val="00A438C4"/>
    <w:rsid w:val="00A44DB1"/>
    <w:rsid w:val="00A44DD3"/>
    <w:rsid w:val="00A4512E"/>
    <w:rsid w:val="00A45292"/>
    <w:rsid w:val="00A452A1"/>
    <w:rsid w:val="00A45CB0"/>
    <w:rsid w:val="00A46288"/>
    <w:rsid w:val="00A465F0"/>
    <w:rsid w:val="00A46BA8"/>
    <w:rsid w:val="00A470B3"/>
    <w:rsid w:val="00A470C9"/>
    <w:rsid w:val="00A47634"/>
    <w:rsid w:val="00A47681"/>
    <w:rsid w:val="00A47B68"/>
    <w:rsid w:val="00A47E88"/>
    <w:rsid w:val="00A506D5"/>
    <w:rsid w:val="00A5126C"/>
    <w:rsid w:val="00A51AE0"/>
    <w:rsid w:val="00A51CB2"/>
    <w:rsid w:val="00A52645"/>
    <w:rsid w:val="00A527BF"/>
    <w:rsid w:val="00A53E93"/>
    <w:rsid w:val="00A53EEE"/>
    <w:rsid w:val="00A54296"/>
    <w:rsid w:val="00A548F4"/>
    <w:rsid w:val="00A5529F"/>
    <w:rsid w:val="00A55838"/>
    <w:rsid w:val="00A55A35"/>
    <w:rsid w:val="00A5611C"/>
    <w:rsid w:val="00A57565"/>
    <w:rsid w:val="00A6095F"/>
    <w:rsid w:val="00A609E8"/>
    <w:rsid w:val="00A60B7E"/>
    <w:rsid w:val="00A612FE"/>
    <w:rsid w:val="00A613E6"/>
    <w:rsid w:val="00A617D2"/>
    <w:rsid w:val="00A618B6"/>
    <w:rsid w:val="00A618CF"/>
    <w:rsid w:val="00A62664"/>
    <w:rsid w:val="00A62DC5"/>
    <w:rsid w:val="00A6314C"/>
    <w:rsid w:val="00A6420A"/>
    <w:rsid w:val="00A6439C"/>
    <w:rsid w:val="00A6452B"/>
    <w:rsid w:val="00A64B9B"/>
    <w:rsid w:val="00A664EE"/>
    <w:rsid w:val="00A66D9B"/>
    <w:rsid w:val="00A66F4D"/>
    <w:rsid w:val="00A677A9"/>
    <w:rsid w:val="00A703B3"/>
    <w:rsid w:val="00A709D8"/>
    <w:rsid w:val="00A70B49"/>
    <w:rsid w:val="00A70B95"/>
    <w:rsid w:val="00A70CDF"/>
    <w:rsid w:val="00A71EC3"/>
    <w:rsid w:val="00A720D0"/>
    <w:rsid w:val="00A720E8"/>
    <w:rsid w:val="00A72903"/>
    <w:rsid w:val="00A7299E"/>
    <w:rsid w:val="00A7300D"/>
    <w:rsid w:val="00A73EFA"/>
    <w:rsid w:val="00A73FEA"/>
    <w:rsid w:val="00A74006"/>
    <w:rsid w:val="00A74034"/>
    <w:rsid w:val="00A740D4"/>
    <w:rsid w:val="00A74166"/>
    <w:rsid w:val="00A75198"/>
    <w:rsid w:val="00A7560B"/>
    <w:rsid w:val="00A75F5B"/>
    <w:rsid w:val="00A760F5"/>
    <w:rsid w:val="00A774FB"/>
    <w:rsid w:val="00A77C4A"/>
    <w:rsid w:val="00A8084F"/>
    <w:rsid w:val="00A808BB"/>
    <w:rsid w:val="00A80D49"/>
    <w:rsid w:val="00A81122"/>
    <w:rsid w:val="00A81533"/>
    <w:rsid w:val="00A815AE"/>
    <w:rsid w:val="00A81AA6"/>
    <w:rsid w:val="00A82230"/>
    <w:rsid w:val="00A826DD"/>
    <w:rsid w:val="00A82F68"/>
    <w:rsid w:val="00A8316F"/>
    <w:rsid w:val="00A83B92"/>
    <w:rsid w:val="00A841BA"/>
    <w:rsid w:val="00A84494"/>
    <w:rsid w:val="00A848E2"/>
    <w:rsid w:val="00A84F51"/>
    <w:rsid w:val="00A85298"/>
    <w:rsid w:val="00A85614"/>
    <w:rsid w:val="00A85827"/>
    <w:rsid w:val="00A85B7B"/>
    <w:rsid w:val="00A8673D"/>
    <w:rsid w:val="00A869EE"/>
    <w:rsid w:val="00A873BA"/>
    <w:rsid w:val="00A877C2"/>
    <w:rsid w:val="00A9002B"/>
    <w:rsid w:val="00A90DB5"/>
    <w:rsid w:val="00A91832"/>
    <w:rsid w:val="00A91EC6"/>
    <w:rsid w:val="00A92C57"/>
    <w:rsid w:val="00A92CEC"/>
    <w:rsid w:val="00A92D94"/>
    <w:rsid w:val="00A93197"/>
    <w:rsid w:val="00A938E1"/>
    <w:rsid w:val="00A941A2"/>
    <w:rsid w:val="00A943EC"/>
    <w:rsid w:val="00A9500A"/>
    <w:rsid w:val="00A95904"/>
    <w:rsid w:val="00A95B55"/>
    <w:rsid w:val="00A9613A"/>
    <w:rsid w:val="00A969BB"/>
    <w:rsid w:val="00A97075"/>
    <w:rsid w:val="00A9712A"/>
    <w:rsid w:val="00A97841"/>
    <w:rsid w:val="00A97A91"/>
    <w:rsid w:val="00A97AE0"/>
    <w:rsid w:val="00AA07AF"/>
    <w:rsid w:val="00AA0875"/>
    <w:rsid w:val="00AA0F15"/>
    <w:rsid w:val="00AA10A5"/>
    <w:rsid w:val="00AA26B8"/>
    <w:rsid w:val="00AA355F"/>
    <w:rsid w:val="00AA3B4D"/>
    <w:rsid w:val="00AA4288"/>
    <w:rsid w:val="00AA486A"/>
    <w:rsid w:val="00AA4907"/>
    <w:rsid w:val="00AA4C7F"/>
    <w:rsid w:val="00AA4D09"/>
    <w:rsid w:val="00AA4E60"/>
    <w:rsid w:val="00AA5612"/>
    <w:rsid w:val="00AA6126"/>
    <w:rsid w:val="00AA6292"/>
    <w:rsid w:val="00AA64F9"/>
    <w:rsid w:val="00AA712E"/>
    <w:rsid w:val="00AA7526"/>
    <w:rsid w:val="00AB0572"/>
    <w:rsid w:val="00AB0850"/>
    <w:rsid w:val="00AB0F40"/>
    <w:rsid w:val="00AB1051"/>
    <w:rsid w:val="00AB121C"/>
    <w:rsid w:val="00AB13EB"/>
    <w:rsid w:val="00AB1AE1"/>
    <w:rsid w:val="00AB1B76"/>
    <w:rsid w:val="00AB24E4"/>
    <w:rsid w:val="00AB2E4B"/>
    <w:rsid w:val="00AB2F5A"/>
    <w:rsid w:val="00AB30BA"/>
    <w:rsid w:val="00AB311B"/>
    <w:rsid w:val="00AB3235"/>
    <w:rsid w:val="00AB34CD"/>
    <w:rsid w:val="00AB37F9"/>
    <w:rsid w:val="00AB396E"/>
    <w:rsid w:val="00AB3DBD"/>
    <w:rsid w:val="00AB3E00"/>
    <w:rsid w:val="00AB4B48"/>
    <w:rsid w:val="00AB4DB1"/>
    <w:rsid w:val="00AB4FE3"/>
    <w:rsid w:val="00AB6ABE"/>
    <w:rsid w:val="00AB71BD"/>
    <w:rsid w:val="00AB7BF9"/>
    <w:rsid w:val="00AB7FD3"/>
    <w:rsid w:val="00AC0375"/>
    <w:rsid w:val="00AC0B87"/>
    <w:rsid w:val="00AC0F4E"/>
    <w:rsid w:val="00AC132E"/>
    <w:rsid w:val="00AC1541"/>
    <w:rsid w:val="00AC1F77"/>
    <w:rsid w:val="00AC24A2"/>
    <w:rsid w:val="00AC2624"/>
    <w:rsid w:val="00AC2B9B"/>
    <w:rsid w:val="00AC32A8"/>
    <w:rsid w:val="00AC370D"/>
    <w:rsid w:val="00AC3C03"/>
    <w:rsid w:val="00AC5168"/>
    <w:rsid w:val="00AC59B0"/>
    <w:rsid w:val="00AC5D72"/>
    <w:rsid w:val="00AC6458"/>
    <w:rsid w:val="00AC7B15"/>
    <w:rsid w:val="00AC7BDF"/>
    <w:rsid w:val="00AD03C2"/>
    <w:rsid w:val="00AD0637"/>
    <w:rsid w:val="00AD0884"/>
    <w:rsid w:val="00AD0D5A"/>
    <w:rsid w:val="00AD104E"/>
    <w:rsid w:val="00AD1351"/>
    <w:rsid w:val="00AD15BA"/>
    <w:rsid w:val="00AD168F"/>
    <w:rsid w:val="00AD2144"/>
    <w:rsid w:val="00AD2549"/>
    <w:rsid w:val="00AD3263"/>
    <w:rsid w:val="00AD34CD"/>
    <w:rsid w:val="00AD36B7"/>
    <w:rsid w:val="00AD3E53"/>
    <w:rsid w:val="00AD3EC0"/>
    <w:rsid w:val="00AD419D"/>
    <w:rsid w:val="00AD4280"/>
    <w:rsid w:val="00AD4528"/>
    <w:rsid w:val="00AD4CC1"/>
    <w:rsid w:val="00AD4E25"/>
    <w:rsid w:val="00AD5817"/>
    <w:rsid w:val="00AD588B"/>
    <w:rsid w:val="00AD5A70"/>
    <w:rsid w:val="00AD5A88"/>
    <w:rsid w:val="00AD66CF"/>
    <w:rsid w:val="00AD74B8"/>
    <w:rsid w:val="00AD7B2C"/>
    <w:rsid w:val="00AD7E4E"/>
    <w:rsid w:val="00AD7E8B"/>
    <w:rsid w:val="00AE04EB"/>
    <w:rsid w:val="00AE0A89"/>
    <w:rsid w:val="00AE2690"/>
    <w:rsid w:val="00AE271D"/>
    <w:rsid w:val="00AE2F63"/>
    <w:rsid w:val="00AE2FAE"/>
    <w:rsid w:val="00AE342F"/>
    <w:rsid w:val="00AE3ED7"/>
    <w:rsid w:val="00AE4319"/>
    <w:rsid w:val="00AE45F9"/>
    <w:rsid w:val="00AE475B"/>
    <w:rsid w:val="00AE4A87"/>
    <w:rsid w:val="00AE548B"/>
    <w:rsid w:val="00AE5AF7"/>
    <w:rsid w:val="00AE5E04"/>
    <w:rsid w:val="00AE6A07"/>
    <w:rsid w:val="00AE7125"/>
    <w:rsid w:val="00AF12DC"/>
    <w:rsid w:val="00AF145A"/>
    <w:rsid w:val="00AF160B"/>
    <w:rsid w:val="00AF2528"/>
    <w:rsid w:val="00AF3174"/>
    <w:rsid w:val="00AF3662"/>
    <w:rsid w:val="00AF3B86"/>
    <w:rsid w:val="00AF4B3A"/>
    <w:rsid w:val="00AF4D58"/>
    <w:rsid w:val="00AF5C00"/>
    <w:rsid w:val="00AF5CD9"/>
    <w:rsid w:val="00AF6666"/>
    <w:rsid w:val="00AF699A"/>
    <w:rsid w:val="00AF6E75"/>
    <w:rsid w:val="00AF7576"/>
    <w:rsid w:val="00AF7A35"/>
    <w:rsid w:val="00AF7BC5"/>
    <w:rsid w:val="00AF7F24"/>
    <w:rsid w:val="00B004F9"/>
    <w:rsid w:val="00B01437"/>
    <w:rsid w:val="00B015C2"/>
    <w:rsid w:val="00B01B40"/>
    <w:rsid w:val="00B01BE8"/>
    <w:rsid w:val="00B01EB2"/>
    <w:rsid w:val="00B02008"/>
    <w:rsid w:val="00B023A2"/>
    <w:rsid w:val="00B02C07"/>
    <w:rsid w:val="00B02E29"/>
    <w:rsid w:val="00B03827"/>
    <w:rsid w:val="00B03A28"/>
    <w:rsid w:val="00B03FB5"/>
    <w:rsid w:val="00B04081"/>
    <w:rsid w:val="00B0475A"/>
    <w:rsid w:val="00B04F7A"/>
    <w:rsid w:val="00B05F16"/>
    <w:rsid w:val="00B06297"/>
    <w:rsid w:val="00B062B7"/>
    <w:rsid w:val="00B06C30"/>
    <w:rsid w:val="00B06E1A"/>
    <w:rsid w:val="00B0705E"/>
    <w:rsid w:val="00B07364"/>
    <w:rsid w:val="00B102A6"/>
    <w:rsid w:val="00B1051C"/>
    <w:rsid w:val="00B10B6A"/>
    <w:rsid w:val="00B116E3"/>
    <w:rsid w:val="00B116F5"/>
    <w:rsid w:val="00B11AAA"/>
    <w:rsid w:val="00B11D77"/>
    <w:rsid w:val="00B121B0"/>
    <w:rsid w:val="00B1275E"/>
    <w:rsid w:val="00B12B94"/>
    <w:rsid w:val="00B12D59"/>
    <w:rsid w:val="00B12F7F"/>
    <w:rsid w:val="00B138A1"/>
    <w:rsid w:val="00B13B3A"/>
    <w:rsid w:val="00B141BD"/>
    <w:rsid w:val="00B142AB"/>
    <w:rsid w:val="00B148E3"/>
    <w:rsid w:val="00B14D2F"/>
    <w:rsid w:val="00B15592"/>
    <w:rsid w:val="00B15A50"/>
    <w:rsid w:val="00B16453"/>
    <w:rsid w:val="00B1653E"/>
    <w:rsid w:val="00B16A40"/>
    <w:rsid w:val="00B16B5A"/>
    <w:rsid w:val="00B16D2B"/>
    <w:rsid w:val="00B16DDA"/>
    <w:rsid w:val="00B17742"/>
    <w:rsid w:val="00B21F75"/>
    <w:rsid w:val="00B22291"/>
    <w:rsid w:val="00B23748"/>
    <w:rsid w:val="00B23AE9"/>
    <w:rsid w:val="00B23E14"/>
    <w:rsid w:val="00B24747"/>
    <w:rsid w:val="00B24CF6"/>
    <w:rsid w:val="00B24D68"/>
    <w:rsid w:val="00B24F08"/>
    <w:rsid w:val="00B2532E"/>
    <w:rsid w:val="00B25C8D"/>
    <w:rsid w:val="00B263CF"/>
    <w:rsid w:val="00B27223"/>
    <w:rsid w:val="00B272D7"/>
    <w:rsid w:val="00B273C3"/>
    <w:rsid w:val="00B2751D"/>
    <w:rsid w:val="00B27E8F"/>
    <w:rsid w:val="00B27E9C"/>
    <w:rsid w:val="00B31A51"/>
    <w:rsid w:val="00B3265C"/>
    <w:rsid w:val="00B33118"/>
    <w:rsid w:val="00B333FD"/>
    <w:rsid w:val="00B335DB"/>
    <w:rsid w:val="00B336A0"/>
    <w:rsid w:val="00B35015"/>
    <w:rsid w:val="00B35CB5"/>
    <w:rsid w:val="00B36983"/>
    <w:rsid w:val="00B37FF8"/>
    <w:rsid w:val="00B4033E"/>
    <w:rsid w:val="00B403E4"/>
    <w:rsid w:val="00B4041F"/>
    <w:rsid w:val="00B408E5"/>
    <w:rsid w:val="00B40E3B"/>
    <w:rsid w:val="00B411AB"/>
    <w:rsid w:val="00B41702"/>
    <w:rsid w:val="00B41DC0"/>
    <w:rsid w:val="00B41DEC"/>
    <w:rsid w:val="00B42BBD"/>
    <w:rsid w:val="00B42EBA"/>
    <w:rsid w:val="00B42FF3"/>
    <w:rsid w:val="00B4349F"/>
    <w:rsid w:val="00B43530"/>
    <w:rsid w:val="00B43625"/>
    <w:rsid w:val="00B4431B"/>
    <w:rsid w:val="00B44412"/>
    <w:rsid w:val="00B44B39"/>
    <w:rsid w:val="00B44F7B"/>
    <w:rsid w:val="00B451D9"/>
    <w:rsid w:val="00B45718"/>
    <w:rsid w:val="00B46298"/>
    <w:rsid w:val="00B46308"/>
    <w:rsid w:val="00B4659C"/>
    <w:rsid w:val="00B46B8A"/>
    <w:rsid w:val="00B47821"/>
    <w:rsid w:val="00B478E8"/>
    <w:rsid w:val="00B47DFE"/>
    <w:rsid w:val="00B50CC0"/>
    <w:rsid w:val="00B50D5C"/>
    <w:rsid w:val="00B51238"/>
    <w:rsid w:val="00B515DB"/>
    <w:rsid w:val="00B51B08"/>
    <w:rsid w:val="00B51C51"/>
    <w:rsid w:val="00B52CCF"/>
    <w:rsid w:val="00B535BF"/>
    <w:rsid w:val="00B538C0"/>
    <w:rsid w:val="00B54889"/>
    <w:rsid w:val="00B54A84"/>
    <w:rsid w:val="00B54F11"/>
    <w:rsid w:val="00B556E1"/>
    <w:rsid w:val="00B55A4D"/>
    <w:rsid w:val="00B55D2C"/>
    <w:rsid w:val="00B55D98"/>
    <w:rsid w:val="00B55F2D"/>
    <w:rsid w:val="00B56542"/>
    <w:rsid w:val="00B56D7E"/>
    <w:rsid w:val="00B56EB6"/>
    <w:rsid w:val="00B57447"/>
    <w:rsid w:val="00B57640"/>
    <w:rsid w:val="00B57B4B"/>
    <w:rsid w:val="00B600C3"/>
    <w:rsid w:val="00B602F0"/>
    <w:rsid w:val="00B61404"/>
    <w:rsid w:val="00B62C6C"/>
    <w:rsid w:val="00B63291"/>
    <w:rsid w:val="00B638BC"/>
    <w:rsid w:val="00B63BE2"/>
    <w:rsid w:val="00B63D7B"/>
    <w:rsid w:val="00B63E41"/>
    <w:rsid w:val="00B641DB"/>
    <w:rsid w:val="00B6487C"/>
    <w:rsid w:val="00B64BCB"/>
    <w:rsid w:val="00B64D0D"/>
    <w:rsid w:val="00B64E12"/>
    <w:rsid w:val="00B673BB"/>
    <w:rsid w:val="00B6743F"/>
    <w:rsid w:val="00B6766B"/>
    <w:rsid w:val="00B67BE7"/>
    <w:rsid w:val="00B67E61"/>
    <w:rsid w:val="00B67E88"/>
    <w:rsid w:val="00B703C7"/>
    <w:rsid w:val="00B70BB2"/>
    <w:rsid w:val="00B71628"/>
    <w:rsid w:val="00B71D91"/>
    <w:rsid w:val="00B71DB7"/>
    <w:rsid w:val="00B722B1"/>
    <w:rsid w:val="00B72311"/>
    <w:rsid w:val="00B724B4"/>
    <w:rsid w:val="00B7254B"/>
    <w:rsid w:val="00B731B9"/>
    <w:rsid w:val="00B735C6"/>
    <w:rsid w:val="00B73B9C"/>
    <w:rsid w:val="00B742BC"/>
    <w:rsid w:val="00B74425"/>
    <w:rsid w:val="00B74566"/>
    <w:rsid w:val="00B74597"/>
    <w:rsid w:val="00B752BA"/>
    <w:rsid w:val="00B75BAC"/>
    <w:rsid w:val="00B76B14"/>
    <w:rsid w:val="00B76CBF"/>
    <w:rsid w:val="00B77784"/>
    <w:rsid w:val="00B77DF4"/>
    <w:rsid w:val="00B77E3F"/>
    <w:rsid w:val="00B80B44"/>
    <w:rsid w:val="00B81258"/>
    <w:rsid w:val="00B819CF"/>
    <w:rsid w:val="00B81B44"/>
    <w:rsid w:val="00B82113"/>
    <w:rsid w:val="00B831B6"/>
    <w:rsid w:val="00B8335A"/>
    <w:rsid w:val="00B83DB9"/>
    <w:rsid w:val="00B83FCE"/>
    <w:rsid w:val="00B84506"/>
    <w:rsid w:val="00B85095"/>
    <w:rsid w:val="00B85783"/>
    <w:rsid w:val="00B8620E"/>
    <w:rsid w:val="00B8775B"/>
    <w:rsid w:val="00B9053B"/>
    <w:rsid w:val="00B9163C"/>
    <w:rsid w:val="00B9191E"/>
    <w:rsid w:val="00B91A5F"/>
    <w:rsid w:val="00B92B11"/>
    <w:rsid w:val="00B92C7E"/>
    <w:rsid w:val="00B93381"/>
    <w:rsid w:val="00B93421"/>
    <w:rsid w:val="00B940AE"/>
    <w:rsid w:val="00B9415F"/>
    <w:rsid w:val="00B94497"/>
    <w:rsid w:val="00B94559"/>
    <w:rsid w:val="00B94FFF"/>
    <w:rsid w:val="00B95092"/>
    <w:rsid w:val="00B950B0"/>
    <w:rsid w:val="00B953C2"/>
    <w:rsid w:val="00B953CA"/>
    <w:rsid w:val="00B95478"/>
    <w:rsid w:val="00B958B6"/>
    <w:rsid w:val="00B96399"/>
    <w:rsid w:val="00B96500"/>
    <w:rsid w:val="00B96B47"/>
    <w:rsid w:val="00B972EA"/>
    <w:rsid w:val="00B97716"/>
    <w:rsid w:val="00B9777C"/>
    <w:rsid w:val="00BA0C37"/>
    <w:rsid w:val="00BA121E"/>
    <w:rsid w:val="00BA2307"/>
    <w:rsid w:val="00BA2ADC"/>
    <w:rsid w:val="00BA2F20"/>
    <w:rsid w:val="00BA353A"/>
    <w:rsid w:val="00BA3782"/>
    <w:rsid w:val="00BA387E"/>
    <w:rsid w:val="00BA3968"/>
    <w:rsid w:val="00BA4A09"/>
    <w:rsid w:val="00BA4B37"/>
    <w:rsid w:val="00BA4CE4"/>
    <w:rsid w:val="00BA5084"/>
    <w:rsid w:val="00BA5BEB"/>
    <w:rsid w:val="00BA605B"/>
    <w:rsid w:val="00BB082E"/>
    <w:rsid w:val="00BB12BD"/>
    <w:rsid w:val="00BB18A4"/>
    <w:rsid w:val="00BB1B44"/>
    <w:rsid w:val="00BB27E4"/>
    <w:rsid w:val="00BB3525"/>
    <w:rsid w:val="00BB3908"/>
    <w:rsid w:val="00BB3A3E"/>
    <w:rsid w:val="00BB3EDE"/>
    <w:rsid w:val="00BB47F1"/>
    <w:rsid w:val="00BB4A02"/>
    <w:rsid w:val="00BB4D98"/>
    <w:rsid w:val="00BB4E6C"/>
    <w:rsid w:val="00BB4EBF"/>
    <w:rsid w:val="00BB53E1"/>
    <w:rsid w:val="00BB56BC"/>
    <w:rsid w:val="00BB59E0"/>
    <w:rsid w:val="00BB6F12"/>
    <w:rsid w:val="00BB75FE"/>
    <w:rsid w:val="00BB796D"/>
    <w:rsid w:val="00BB7CF7"/>
    <w:rsid w:val="00BB7DF0"/>
    <w:rsid w:val="00BB7FB0"/>
    <w:rsid w:val="00BC04B2"/>
    <w:rsid w:val="00BC065B"/>
    <w:rsid w:val="00BC0D11"/>
    <w:rsid w:val="00BC0F3C"/>
    <w:rsid w:val="00BC1890"/>
    <w:rsid w:val="00BC238C"/>
    <w:rsid w:val="00BC2719"/>
    <w:rsid w:val="00BC2928"/>
    <w:rsid w:val="00BC3422"/>
    <w:rsid w:val="00BC437C"/>
    <w:rsid w:val="00BC5980"/>
    <w:rsid w:val="00BC5B06"/>
    <w:rsid w:val="00BC6008"/>
    <w:rsid w:val="00BC60D4"/>
    <w:rsid w:val="00BC65B4"/>
    <w:rsid w:val="00BC670E"/>
    <w:rsid w:val="00BC68B3"/>
    <w:rsid w:val="00BC6A00"/>
    <w:rsid w:val="00BC6B73"/>
    <w:rsid w:val="00BC6BB8"/>
    <w:rsid w:val="00BC6C90"/>
    <w:rsid w:val="00BC6E19"/>
    <w:rsid w:val="00BC770A"/>
    <w:rsid w:val="00BC790F"/>
    <w:rsid w:val="00BD05FA"/>
    <w:rsid w:val="00BD090F"/>
    <w:rsid w:val="00BD0B31"/>
    <w:rsid w:val="00BD0F4B"/>
    <w:rsid w:val="00BD1888"/>
    <w:rsid w:val="00BD2BD6"/>
    <w:rsid w:val="00BD3210"/>
    <w:rsid w:val="00BD3B45"/>
    <w:rsid w:val="00BD3CB0"/>
    <w:rsid w:val="00BD4FF1"/>
    <w:rsid w:val="00BD5018"/>
    <w:rsid w:val="00BD5578"/>
    <w:rsid w:val="00BD55D4"/>
    <w:rsid w:val="00BD57A4"/>
    <w:rsid w:val="00BD5DF4"/>
    <w:rsid w:val="00BD6FEC"/>
    <w:rsid w:val="00BD7214"/>
    <w:rsid w:val="00BD7636"/>
    <w:rsid w:val="00BE05A7"/>
    <w:rsid w:val="00BE0831"/>
    <w:rsid w:val="00BE1608"/>
    <w:rsid w:val="00BE18F5"/>
    <w:rsid w:val="00BE23F1"/>
    <w:rsid w:val="00BE252A"/>
    <w:rsid w:val="00BE32C3"/>
    <w:rsid w:val="00BE3FB5"/>
    <w:rsid w:val="00BE4EDC"/>
    <w:rsid w:val="00BE51CE"/>
    <w:rsid w:val="00BE5688"/>
    <w:rsid w:val="00BE5A15"/>
    <w:rsid w:val="00BE5ADC"/>
    <w:rsid w:val="00BE5E4F"/>
    <w:rsid w:val="00BE74C3"/>
    <w:rsid w:val="00BE763E"/>
    <w:rsid w:val="00BE781D"/>
    <w:rsid w:val="00BE7B82"/>
    <w:rsid w:val="00BF05AF"/>
    <w:rsid w:val="00BF0654"/>
    <w:rsid w:val="00BF0E1A"/>
    <w:rsid w:val="00BF137F"/>
    <w:rsid w:val="00BF19AA"/>
    <w:rsid w:val="00BF1A6A"/>
    <w:rsid w:val="00BF2D32"/>
    <w:rsid w:val="00BF2EA6"/>
    <w:rsid w:val="00BF4F96"/>
    <w:rsid w:val="00BF525B"/>
    <w:rsid w:val="00BF56EB"/>
    <w:rsid w:val="00BF5CFE"/>
    <w:rsid w:val="00BF6152"/>
    <w:rsid w:val="00BF7EAF"/>
    <w:rsid w:val="00BF7F8A"/>
    <w:rsid w:val="00C00E00"/>
    <w:rsid w:val="00C01275"/>
    <w:rsid w:val="00C01343"/>
    <w:rsid w:val="00C015B9"/>
    <w:rsid w:val="00C01DCA"/>
    <w:rsid w:val="00C021AB"/>
    <w:rsid w:val="00C022F9"/>
    <w:rsid w:val="00C0266F"/>
    <w:rsid w:val="00C032EA"/>
    <w:rsid w:val="00C0331B"/>
    <w:rsid w:val="00C04AE8"/>
    <w:rsid w:val="00C0533A"/>
    <w:rsid w:val="00C0575E"/>
    <w:rsid w:val="00C06592"/>
    <w:rsid w:val="00C06C17"/>
    <w:rsid w:val="00C06EB5"/>
    <w:rsid w:val="00C06F4D"/>
    <w:rsid w:val="00C07285"/>
    <w:rsid w:val="00C074AA"/>
    <w:rsid w:val="00C0754A"/>
    <w:rsid w:val="00C10AA8"/>
    <w:rsid w:val="00C1145F"/>
    <w:rsid w:val="00C11778"/>
    <w:rsid w:val="00C11CD1"/>
    <w:rsid w:val="00C12244"/>
    <w:rsid w:val="00C12765"/>
    <w:rsid w:val="00C1365C"/>
    <w:rsid w:val="00C137F0"/>
    <w:rsid w:val="00C13FFB"/>
    <w:rsid w:val="00C14201"/>
    <w:rsid w:val="00C14B3F"/>
    <w:rsid w:val="00C15386"/>
    <w:rsid w:val="00C15701"/>
    <w:rsid w:val="00C15DBE"/>
    <w:rsid w:val="00C1665B"/>
    <w:rsid w:val="00C16826"/>
    <w:rsid w:val="00C16CA0"/>
    <w:rsid w:val="00C179DA"/>
    <w:rsid w:val="00C17B6C"/>
    <w:rsid w:val="00C17B83"/>
    <w:rsid w:val="00C20024"/>
    <w:rsid w:val="00C20B97"/>
    <w:rsid w:val="00C2121E"/>
    <w:rsid w:val="00C21606"/>
    <w:rsid w:val="00C2244E"/>
    <w:rsid w:val="00C23034"/>
    <w:rsid w:val="00C2344B"/>
    <w:rsid w:val="00C243D8"/>
    <w:rsid w:val="00C258F2"/>
    <w:rsid w:val="00C26B61"/>
    <w:rsid w:val="00C27067"/>
    <w:rsid w:val="00C2715F"/>
    <w:rsid w:val="00C27A69"/>
    <w:rsid w:val="00C27BEB"/>
    <w:rsid w:val="00C30542"/>
    <w:rsid w:val="00C310EF"/>
    <w:rsid w:val="00C31AAE"/>
    <w:rsid w:val="00C31CA4"/>
    <w:rsid w:val="00C32104"/>
    <w:rsid w:val="00C32D49"/>
    <w:rsid w:val="00C33147"/>
    <w:rsid w:val="00C33AD3"/>
    <w:rsid w:val="00C34EEA"/>
    <w:rsid w:val="00C35C75"/>
    <w:rsid w:val="00C35D8A"/>
    <w:rsid w:val="00C35E35"/>
    <w:rsid w:val="00C36569"/>
    <w:rsid w:val="00C36C67"/>
    <w:rsid w:val="00C37665"/>
    <w:rsid w:val="00C37742"/>
    <w:rsid w:val="00C37C49"/>
    <w:rsid w:val="00C40050"/>
    <w:rsid w:val="00C40115"/>
    <w:rsid w:val="00C40751"/>
    <w:rsid w:val="00C40B20"/>
    <w:rsid w:val="00C40BDD"/>
    <w:rsid w:val="00C40D2C"/>
    <w:rsid w:val="00C4100C"/>
    <w:rsid w:val="00C41314"/>
    <w:rsid w:val="00C4190A"/>
    <w:rsid w:val="00C41B20"/>
    <w:rsid w:val="00C41B3C"/>
    <w:rsid w:val="00C41EC4"/>
    <w:rsid w:val="00C42452"/>
    <w:rsid w:val="00C42E3F"/>
    <w:rsid w:val="00C4310A"/>
    <w:rsid w:val="00C4329B"/>
    <w:rsid w:val="00C437BE"/>
    <w:rsid w:val="00C43ABE"/>
    <w:rsid w:val="00C43C01"/>
    <w:rsid w:val="00C43F06"/>
    <w:rsid w:val="00C4510D"/>
    <w:rsid w:val="00C45339"/>
    <w:rsid w:val="00C45702"/>
    <w:rsid w:val="00C45920"/>
    <w:rsid w:val="00C45AD7"/>
    <w:rsid w:val="00C47503"/>
    <w:rsid w:val="00C47B27"/>
    <w:rsid w:val="00C47FDD"/>
    <w:rsid w:val="00C47FE3"/>
    <w:rsid w:val="00C50A2B"/>
    <w:rsid w:val="00C51699"/>
    <w:rsid w:val="00C51C01"/>
    <w:rsid w:val="00C524E2"/>
    <w:rsid w:val="00C539DC"/>
    <w:rsid w:val="00C5406B"/>
    <w:rsid w:val="00C54BC6"/>
    <w:rsid w:val="00C5586A"/>
    <w:rsid w:val="00C55B40"/>
    <w:rsid w:val="00C55D40"/>
    <w:rsid w:val="00C55F6C"/>
    <w:rsid w:val="00C562AE"/>
    <w:rsid w:val="00C56A53"/>
    <w:rsid w:val="00C56C16"/>
    <w:rsid w:val="00C57545"/>
    <w:rsid w:val="00C601D5"/>
    <w:rsid w:val="00C6024E"/>
    <w:rsid w:val="00C60EB6"/>
    <w:rsid w:val="00C61D68"/>
    <w:rsid w:val="00C637E1"/>
    <w:rsid w:val="00C6389D"/>
    <w:rsid w:val="00C643B2"/>
    <w:rsid w:val="00C64CA8"/>
    <w:rsid w:val="00C64FFF"/>
    <w:rsid w:val="00C6551A"/>
    <w:rsid w:val="00C65527"/>
    <w:rsid w:val="00C65BBA"/>
    <w:rsid w:val="00C66D9A"/>
    <w:rsid w:val="00C67A21"/>
    <w:rsid w:val="00C67EAC"/>
    <w:rsid w:val="00C7023E"/>
    <w:rsid w:val="00C70D50"/>
    <w:rsid w:val="00C7102A"/>
    <w:rsid w:val="00C71A49"/>
    <w:rsid w:val="00C72252"/>
    <w:rsid w:val="00C72905"/>
    <w:rsid w:val="00C72CF0"/>
    <w:rsid w:val="00C73790"/>
    <w:rsid w:val="00C73A7A"/>
    <w:rsid w:val="00C74A24"/>
    <w:rsid w:val="00C74A25"/>
    <w:rsid w:val="00C74E3B"/>
    <w:rsid w:val="00C7536E"/>
    <w:rsid w:val="00C7681D"/>
    <w:rsid w:val="00C76880"/>
    <w:rsid w:val="00C7695B"/>
    <w:rsid w:val="00C77915"/>
    <w:rsid w:val="00C77C4C"/>
    <w:rsid w:val="00C77FAD"/>
    <w:rsid w:val="00C80613"/>
    <w:rsid w:val="00C81050"/>
    <w:rsid w:val="00C81173"/>
    <w:rsid w:val="00C81850"/>
    <w:rsid w:val="00C81E74"/>
    <w:rsid w:val="00C8231D"/>
    <w:rsid w:val="00C828A6"/>
    <w:rsid w:val="00C82F63"/>
    <w:rsid w:val="00C84394"/>
    <w:rsid w:val="00C8484F"/>
    <w:rsid w:val="00C84C22"/>
    <w:rsid w:val="00C856BB"/>
    <w:rsid w:val="00C85994"/>
    <w:rsid w:val="00C865FA"/>
    <w:rsid w:val="00C86CA6"/>
    <w:rsid w:val="00C87CC5"/>
    <w:rsid w:val="00C907D7"/>
    <w:rsid w:val="00C90887"/>
    <w:rsid w:val="00C911B4"/>
    <w:rsid w:val="00C91257"/>
    <w:rsid w:val="00C91C12"/>
    <w:rsid w:val="00C91DC2"/>
    <w:rsid w:val="00C91EAA"/>
    <w:rsid w:val="00C92111"/>
    <w:rsid w:val="00C92338"/>
    <w:rsid w:val="00C92ABF"/>
    <w:rsid w:val="00C92C26"/>
    <w:rsid w:val="00C93497"/>
    <w:rsid w:val="00C9374E"/>
    <w:rsid w:val="00C93D67"/>
    <w:rsid w:val="00C93F4E"/>
    <w:rsid w:val="00C9527A"/>
    <w:rsid w:val="00C95350"/>
    <w:rsid w:val="00C95E66"/>
    <w:rsid w:val="00C96051"/>
    <w:rsid w:val="00C96B11"/>
    <w:rsid w:val="00C9742A"/>
    <w:rsid w:val="00C97B86"/>
    <w:rsid w:val="00CA0025"/>
    <w:rsid w:val="00CA04ED"/>
    <w:rsid w:val="00CA05DC"/>
    <w:rsid w:val="00CA0C99"/>
    <w:rsid w:val="00CA140E"/>
    <w:rsid w:val="00CA151F"/>
    <w:rsid w:val="00CA1720"/>
    <w:rsid w:val="00CA172D"/>
    <w:rsid w:val="00CA19B3"/>
    <w:rsid w:val="00CA1D79"/>
    <w:rsid w:val="00CA21DC"/>
    <w:rsid w:val="00CA28D7"/>
    <w:rsid w:val="00CA31F7"/>
    <w:rsid w:val="00CA34DE"/>
    <w:rsid w:val="00CA3F60"/>
    <w:rsid w:val="00CA47FD"/>
    <w:rsid w:val="00CA5B8F"/>
    <w:rsid w:val="00CA6056"/>
    <w:rsid w:val="00CA61CA"/>
    <w:rsid w:val="00CA6A82"/>
    <w:rsid w:val="00CA6DA6"/>
    <w:rsid w:val="00CA7B47"/>
    <w:rsid w:val="00CB07D5"/>
    <w:rsid w:val="00CB0843"/>
    <w:rsid w:val="00CB1311"/>
    <w:rsid w:val="00CB182D"/>
    <w:rsid w:val="00CB1DD6"/>
    <w:rsid w:val="00CB1E97"/>
    <w:rsid w:val="00CB2C66"/>
    <w:rsid w:val="00CB2E21"/>
    <w:rsid w:val="00CB3213"/>
    <w:rsid w:val="00CB3976"/>
    <w:rsid w:val="00CB3B18"/>
    <w:rsid w:val="00CB3F0B"/>
    <w:rsid w:val="00CB4403"/>
    <w:rsid w:val="00CB441A"/>
    <w:rsid w:val="00CB495A"/>
    <w:rsid w:val="00CB5825"/>
    <w:rsid w:val="00CB5BF0"/>
    <w:rsid w:val="00CB5E29"/>
    <w:rsid w:val="00CB62FC"/>
    <w:rsid w:val="00CB6537"/>
    <w:rsid w:val="00CB680D"/>
    <w:rsid w:val="00CB6E90"/>
    <w:rsid w:val="00CB7060"/>
    <w:rsid w:val="00CB765B"/>
    <w:rsid w:val="00CB7DBE"/>
    <w:rsid w:val="00CC0016"/>
    <w:rsid w:val="00CC07F5"/>
    <w:rsid w:val="00CC09E9"/>
    <w:rsid w:val="00CC1501"/>
    <w:rsid w:val="00CC1956"/>
    <w:rsid w:val="00CC1BBC"/>
    <w:rsid w:val="00CC2189"/>
    <w:rsid w:val="00CC25C9"/>
    <w:rsid w:val="00CC27A1"/>
    <w:rsid w:val="00CC284C"/>
    <w:rsid w:val="00CC28C3"/>
    <w:rsid w:val="00CC2D60"/>
    <w:rsid w:val="00CC3455"/>
    <w:rsid w:val="00CC3A6F"/>
    <w:rsid w:val="00CC3ADC"/>
    <w:rsid w:val="00CC3B6F"/>
    <w:rsid w:val="00CC3E5D"/>
    <w:rsid w:val="00CC401D"/>
    <w:rsid w:val="00CC4FA6"/>
    <w:rsid w:val="00CC550E"/>
    <w:rsid w:val="00CC6087"/>
    <w:rsid w:val="00CC60A1"/>
    <w:rsid w:val="00CC6A1C"/>
    <w:rsid w:val="00CC6E3E"/>
    <w:rsid w:val="00CD00B5"/>
    <w:rsid w:val="00CD020F"/>
    <w:rsid w:val="00CD0307"/>
    <w:rsid w:val="00CD0953"/>
    <w:rsid w:val="00CD0DB0"/>
    <w:rsid w:val="00CD11A0"/>
    <w:rsid w:val="00CD17F0"/>
    <w:rsid w:val="00CD21C2"/>
    <w:rsid w:val="00CD27BE"/>
    <w:rsid w:val="00CD34F1"/>
    <w:rsid w:val="00CD37BE"/>
    <w:rsid w:val="00CD3809"/>
    <w:rsid w:val="00CD3D1B"/>
    <w:rsid w:val="00CD3EFB"/>
    <w:rsid w:val="00CD4AE6"/>
    <w:rsid w:val="00CD53F4"/>
    <w:rsid w:val="00CD59CA"/>
    <w:rsid w:val="00CD60EC"/>
    <w:rsid w:val="00CD6321"/>
    <w:rsid w:val="00CD657E"/>
    <w:rsid w:val="00CD6CE7"/>
    <w:rsid w:val="00CD7004"/>
    <w:rsid w:val="00CD73DD"/>
    <w:rsid w:val="00CD7ABC"/>
    <w:rsid w:val="00CD7CB1"/>
    <w:rsid w:val="00CE012A"/>
    <w:rsid w:val="00CE06F0"/>
    <w:rsid w:val="00CE083F"/>
    <w:rsid w:val="00CE0B89"/>
    <w:rsid w:val="00CE0C9E"/>
    <w:rsid w:val="00CE18EB"/>
    <w:rsid w:val="00CE1A01"/>
    <w:rsid w:val="00CE1A6F"/>
    <w:rsid w:val="00CE1B2B"/>
    <w:rsid w:val="00CE440E"/>
    <w:rsid w:val="00CE44CA"/>
    <w:rsid w:val="00CE51C8"/>
    <w:rsid w:val="00CE5746"/>
    <w:rsid w:val="00CE5D9F"/>
    <w:rsid w:val="00CE60F7"/>
    <w:rsid w:val="00CE632E"/>
    <w:rsid w:val="00CE639F"/>
    <w:rsid w:val="00CE67B8"/>
    <w:rsid w:val="00CE684F"/>
    <w:rsid w:val="00CE6863"/>
    <w:rsid w:val="00CE694B"/>
    <w:rsid w:val="00CE7097"/>
    <w:rsid w:val="00CE7CDE"/>
    <w:rsid w:val="00CF03E8"/>
    <w:rsid w:val="00CF0BA1"/>
    <w:rsid w:val="00CF1175"/>
    <w:rsid w:val="00CF19B6"/>
    <w:rsid w:val="00CF2474"/>
    <w:rsid w:val="00CF2A02"/>
    <w:rsid w:val="00CF2D71"/>
    <w:rsid w:val="00CF2F54"/>
    <w:rsid w:val="00CF3415"/>
    <w:rsid w:val="00CF478B"/>
    <w:rsid w:val="00CF478D"/>
    <w:rsid w:val="00CF5493"/>
    <w:rsid w:val="00CF54E5"/>
    <w:rsid w:val="00CF64BD"/>
    <w:rsid w:val="00CF69A0"/>
    <w:rsid w:val="00CF69EF"/>
    <w:rsid w:val="00CF6EC4"/>
    <w:rsid w:val="00CF7219"/>
    <w:rsid w:val="00CF783B"/>
    <w:rsid w:val="00CF7A6C"/>
    <w:rsid w:val="00D00366"/>
    <w:rsid w:val="00D00D27"/>
    <w:rsid w:val="00D01120"/>
    <w:rsid w:val="00D01BE1"/>
    <w:rsid w:val="00D02663"/>
    <w:rsid w:val="00D02EF3"/>
    <w:rsid w:val="00D03720"/>
    <w:rsid w:val="00D040ED"/>
    <w:rsid w:val="00D0494F"/>
    <w:rsid w:val="00D04D94"/>
    <w:rsid w:val="00D04E18"/>
    <w:rsid w:val="00D05514"/>
    <w:rsid w:val="00D058AE"/>
    <w:rsid w:val="00D0633E"/>
    <w:rsid w:val="00D06631"/>
    <w:rsid w:val="00D0663C"/>
    <w:rsid w:val="00D0684B"/>
    <w:rsid w:val="00D068A5"/>
    <w:rsid w:val="00D0791C"/>
    <w:rsid w:val="00D07DCC"/>
    <w:rsid w:val="00D1041E"/>
    <w:rsid w:val="00D10F93"/>
    <w:rsid w:val="00D1119F"/>
    <w:rsid w:val="00D11C63"/>
    <w:rsid w:val="00D1229B"/>
    <w:rsid w:val="00D12E74"/>
    <w:rsid w:val="00D13B8E"/>
    <w:rsid w:val="00D14568"/>
    <w:rsid w:val="00D14A49"/>
    <w:rsid w:val="00D14E9F"/>
    <w:rsid w:val="00D1570B"/>
    <w:rsid w:val="00D15955"/>
    <w:rsid w:val="00D1633C"/>
    <w:rsid w:val="00D167BD"/>
    <w:rsid w:val="00D16A80"/>
    <w:rsid w:val="00D16C75"/>
    <w:rsid w:val="00D16E35"/>
    <w:rsid w:val="00D17AAB"/>
    <w:rsid w:val="00D17FC1"/>
    <w:rsid w:val="00D20DFF"/>
    <w:rsid w:val="00D21802"/>
    <w:rsid w:val="00D229B7"/>
    <w:rsid w:val="00D2312F"/>
    <w:rsid w:val="00D23B04"/>
    <w:rsid w:val="00D23B9F"/>
    <w:rsid w:val="00D23E65"/>
    <w:rsid w:val="00D23E9C"/>
    <w:rsid w:val="00D2476C"/>
    <w:rsid w:val="00D26736"/>
    <w:rsid w:val="00D269C1"/>
    <w:rsid w:val="00D2730E"/>
    <w:rsid w:val="00D2780B"/>
    <w:rsid w:val="00D27944"/>
    <w:rsid w:val="00D27E28"/>
    <w:rsid w:val="00D30766"/>
    <w:rsid w:val="00D30A7F"/>
    <w:rsid w:val="00D30BA1"/>
    <w:rsid w:val="00D31F5E"/>
    <w:rsid w:val="00D31FEE"/>
    <w:rsid w:val="00D320F2"/>
    <w:rsid w:val="00D321E6"/>
    <w:rsid w:val="00D32469"/>
    <w:rsid w:val="00D32EC9"/>
    <w:rsid w:val="00D3311A"/>
    <w:rsid w:val="00D33875"/>
    <w:rsid w:val="00D3451A"/>
    <w:rsid w:val="00D34675"/>
    <w:rsid w:val="00D34D3F"/>
    <w:rsid w:val="00D34EE8"/>
    <w:rsid w:val="00D35758"/>
    <w:rsid w:val="00D35D98"/>
    <w:rsid w:val="00D35DA8"/>
    <w:rsid w:val="00D36072"/>
    <w:rsid w:val="00D361BA"/>
    <w:rsid w:val="00D3631B"/>
    <w:rsid w:val="00D37142"/>
    <w:rsid w:val="00D372CF"/>
    <w:rsid w:val="00D3781C"/>
    <w:rsid w:val="00D37C6D"/>
    <w:rsid w:val="00D37D64"/>
    <w:rsid w:val="00D37DC8"/>
    <w:rsid w:val="00D37E01"/>
    <w:rsid w:val="00D37E1D"/>
    <w:rsid w:val="00D40897"/>
    <w:rsid w:val="00D40D8B"/>
    <w:rsid w:val="00D41600"/>
    <w:rsid w:val="00D41814"/>
    <w:rsid w:val="00D418D8"/>
    <w:rsid w:val="00D41ACB"/>
    <w:rsid w:val="00D41B2F"/>
    <w:rsid w:val="00D42820"/>
    <w:rsid w:val="00D43322"/>
    <w:rsid w:val="00D445D7"/>
    <w:rsid w:val="00D446C5"/>
    <w:rsid w:val="00D4483F"/>
    <w:rsid w:val="00D44953"/>
    <w:rsid w:val="00D44F82"/>
    <w:rsid w:val="00D453FF"/>
    <w:rsid w:val="00D457D0"/>
    <w:rsid w:val="00D461DC"/>
    <w:rsid w:val="00D469FB"/>
    <w:rsid w:val="00D473CC"/>
    <w:rsid w:val="00D47570"/>
    <w:rsid w:val="00D47DF6"/>
    <w:rsid w:val="00D47FC8"/>
    <w:rsid w:val="00D508A8"/>
    <w:rsid w:val="00D50A21"/>
    <w:rsid w:val="00D50C47"/>
    <w:rsid w:val="00D51014"/>
    <w:rsid w:val="00D516D4"/>
    <w:rsid w:val="00D5198D"/>
    <w:rsid w:val="00D51C41"/>
    <w:rsid w:val="00D51CAA"/>
    <w:rsid w:val="00D51DD0"/>
    <w:rsid w:val="00D52958"/>
    <w:rsid w:val="00D52E52"/>
    <w:rsid w:val="00D53231"/>
    <w:rsid w:val="00D53B4D"/>
    <w:rsid w:val="00D542F3"/>
    <w:rsid w:val="00D54513"/>
    <w:rsid w:val="00D54AAE"/>
    <w:rsid w:val="00D54C4B"/>
    <w:rsid w:val="00D54E35"/>
    <w:rsid w:val="00D559D6"/>
    <w:rsid w:val="00D5644B"/>
    <w:rsid w:val="00D56868"/>
    <w:rsid w:val="00D56E25"/>
    <w:rsid w:val="00D56E51"/>
    <w:rsid w:val="00D57136"/>
    <w:rsid w:val="00D57E89"/>
    <w:rsid w:val="00D6021C"/>
    <w:rsid w:val="00D60BAA"/>
    <w:rsid w:val="00D60E1A"/>
    <w:rsid w:val="00D61073"/>
    <w:rsid w:val="00D610F5"/>
    <w:rsid w:val="00D6189B"/>
    <w:rsid w:val="00D623CD"/>
    <w:rsid w:val="00D6248C"/>
    <w:rsid w:val="00D62660"/>
    <w:rsid w:val="00D62726"/>
    <w:rsid w:val="00D628AA"/>
    <w:rsid w:val="00D63556"/>
    <w:rsid w:val="00D64951"/>
    <w:rsid w:val="00D64D86"/>
    <w:rsid w:val="00D6533D"/>
    <w:rsid w:val="00D6560D"/>
    <w:rsid w:val="00D65637"/>
    <w:rsid w:val="00D65AFE"/>
    <w:rsid w:val="00D65D77"/>
    <w:rsid w:val="00D65E71"/>
    <w:rsid w:val="00D66107"/>
    <w:rsid w:val="00D66124"/>
    <w:rsid w:val="00D661DC"/>
    <w:rsid w:val="00D66275"/>
    <w:rsid w:val="00D662E0"/>
    <w:rsid w:val="00D6636E"/>
    <w:rsid w:val="00D66778"/>
    <w:rsid w:val="00D66B41"/>
    <w:rsid w:val="00D674E6"/>
    <w:rsid w:val="00D67781"/>
    <w:rsid w:val="00D67F9A"/>
    <w:rsid w:val="00D70442"/>
    <w:rsid w:val="00D718D7"/>
    <w:rsid w:val="00D7216A"/>
    <w:rsid w:val="00D72AD5"/>
    <w:rsid w:val="00D73871"/>
    <w:rsid w:val="00D73E10"/>
    <w:rsid w:val="00D73EC7"/>
    <w:rsid w:val="00D7411C"/>
    <w:rsid w:val="00D74193"/>
    <w:rsid w:val="00D74D7F"/>
    <w:rsid w:val="00D74E8A"/>
    <w:rsid w:val="00D75054"/>
    <w:rsid w:val="00D75F5D"/>
    <w:rsid w:val="00D77CD8"/>
    <w:rsid w:val="00D800F7"/>
    <w:rsid w:val="00D80582"/>
    <w:rsid w:val="00D80E1D"/>
    <w:rsid w:val="00D814B7"/>
    <w:rsid w:val="00D82663"/>
    <w:rsid w:val="00D82772"/>
    <w:rsid w:val="00D83756"/>
    <w:rsid w:val="00D83C61"/>
    <w:rsid w:val="00D83EFD"/>
    <w:rsid w:val="00D83F80"/>
    <w:rsid w:val="00D858FA"/>
    <w:rsid w:val="00D85D84"/>
    <w:rsid w:val="00D85DA4"/>
    <w:rsid w:val="00D85EAD"/>
    <w:rsid w:val="00D863EB"/>
    <w:rsid w:val="00D865E9"/>
    <w:rsid w:val="00D86818"/>
    <w:rsid w:val="00D86C05"/>
    <w:rsid w:val="00D86F10"/>
    <w:rsid w:val="00D874F2"/>
    <w:rsid w:val="00D90688"/>
    <w:rsid w:val="00D9068C"/>
    <w:rsid w:val="00D91B26"/>
    <w:rsid w:val="00D927A3"/>
    <w:rsid w:val="00D92954"/>
    <w:rsid w:val="00D92D35"/>
    <w:rsid w:val="00D92ECA"/>
    <w:rsid w:val="00D93ECC"/>
    <w:rsid w:val="00D943AF"/>
    <w:rsid w:val="00D948DB"/>
    <w:rsid w:val="00D94C82"/>
    <w:rsid w:val="00D9528A"/>
    <w:rsid w:val="00D9633E"/>
    <w:rsid w:val="00D96BC4"/>
    <w:rsid w:val="00D96DAC"/>
    <w:rsid w:val="00D96DD5"/>
    <w:rsid w:val="00D9740D"/>
    <w:rsid w:val="00D97D04"/>
    <w:rsid w:val="00D97DEE"/>
    <w:rsid w:val="00DA03C1"/>
    <w:rsid w:val="00DA086F"/>
    <w:rsid w:val="00DA0F6C"/>
    <w:rsid w:val="00DA1058"/>
    <w:rsid w:val="00DA1464"/>
    <w:rsid w:val="00DA1671"/>
    <w:rsid w:val="00DA1AE2"/>
    <w:rsid w:val="00DA1CEB"/>
    <w:rsid w:val="00DA1E6C"/>
    <w:rsid w:val="00DA1FD8"/>
    <w:rsid w:val="00DA218F"/>
    <w:rsid w:val="00DA28D0"/>
    <w:rsid w:val="00DA29AF"/>
    <w:rsid w:val="00DA30CA"/>
    <w:rsid w:val="00DA33A9"/>
    <w:rsid w:val="00DA37BF"/>
    <w:rsid w:val="00DA3AAD"/>
    <w:rsid w:val="00DA493A"/>
    <w:rsid w:val="00DA4F57"/>
    <w:rsid w:val="00DA52C8"/>
    <w:rsid w:val="00DA5590"/>
    <w:rsid w:val="00DA5BCA"/>
    <w:rsid w:val="00DA7BE3"/>
    <w:rsid w:val="00DA7D97"/>
    <w:rsid w:val="00DB03D3"/>
    <w:rsid w:val="00DB03F9"/>
    <w:rsid w:val="00DB0481"/>
    <w:rsid w:val="00DB0804"/>
    <w:rsid w:val="00DB099F"/>
    <w:rsid w:val="00DB0AC7"/>
    <w:rsid w:val="00DB0FB9"/>
    <w:rsid w:val="00DB104D"/>
    <w:rsid w:val="00DB10AA"/>
    <w:rsid w:val="00DB15C7"/>
    <w:rsid w:val="00DB2DBB"/>
    <w:rsid w:val="00DB2E60"/>
    <w:rsid w:val="00DB2F73"/>
    <w:rsid w:val="00DB312B"/>
    <w:rsid w:val="00DB3288"/>
    <w:rsid w:val="00DB505A"/>
    <w:rsid w:val="00DB77A4"/>
    <w:rsid w:val="00DB7B43"/>
    <w:rsid w:val="00DB7DF8"/>
    <w:rsid w:val="00DC0AAD"/>
    <w:rsid w:val="00DC12CB"/>
    <w:rsid w:val="00DC1BBC"/>
    <w:rsid w:val="00DC241B"/>
    <w:rsid w:val="00DC2FB0"/>
    <w:rsid w:val="00DC4631"/>
    <w:rsid w:val="00DC4A56"/>
    <w:rsid w:val="00DC4B29"/>
    <w:rsid w:val="00DC5654"/>
    <w:rsid w:val="00DC596B"/>
    <w:rsid w:val="00DC5C48"/>
    <w:rsid w:val="00DC5C91"/>
    <w:rsid w:val="00DC6067"/>
    <w:rsid w:val="00DC6154"/>
    <w:rsid w:val="00DC61E6"/>
    <w:rsid w:val="00DC62B4"/>
    <w:rsid w:val="00DC63BB"/>
    <w:rsid w:val="00DC6532"/>
    <w:rsid w:val="00DC658F"/>
    <w:rsid w:val="00DC6600"/>
    <w:rsid w:val="00DC674A"/>
    <w:rsid w:val="00DC6A42"/>
    <w:rsid w:val="00DC7194"/>
    <w:rsid w:val="00DC7653"/>
    <w:rsid w:val="00DC7688"/>
    <w:rsid w:val="00DC78A5"/>
    <w:rsid w:val="00DD0BC2"/>
    <w:rsid w:val="00DD1623"/>
    <w:rsid w:val="00DD1896"/>
    <w:rsid w:val="00DD1FD8"/>
    <w:rsid w:val="00DD2355"/>
    <w:rsid w:val="00DD2A6D"/>
    <w:rsid w:val="00DD2F82"/>
    <w:rsid w:val="00DD32F8"/>
    <w:rsid w:val="00DD34D3"/>
    <w:rsid w:val="00DD360D"/>
    <w:rsid w:val="00DD362A"/>
    <w:rsid w:val="00DD36AC"/>
    <w:rsid w:val="00DD3F4C"/>
    <w:rsid w:val="00DD44DB"/>
    <w:rsid w:val="00DD46B7"/>
    <w:rsid w:val="00DD489B"/>
    <w:rsid w:val="00DD53F5"/>
    <w:rsid w:val="00DD5789"/>
    <w:rsid w:val="00DD6383"/>
    <w:rsid w:val="00DD63B4"/>
    <w:rsid w:val="00DD6627"/>
    <w:rsid w:val="00DD6E4F"/>
    <w:rsid w:val="00DD78CC"/>
    <w:rsid w:val="00DD7FAE"/>
    <w:rsid w:val="00DE0E4E"/>
    <w:rsid w:val="00DE1440"/>
    <w:rsid w:val="00DE156D"/>
    <w:rsid w:val="00DE19E5"/>
    <w:rsid w:val="00DE259F"/>
    <w:rsid w:val="00DE2994"/>
    <w:rsid w:val="00DE2E1E"/>
    <w:rsid w:val="00DE32CC"/>
    <w:rsid w:val="00DE3912"/>
    <w:rsid w:val="00DE466F"/>
    <w:rsid w:val="00DE4AA9"/>
    <w:rsid w:val="00DE547E"/>
    <w:rsid w:val="00DE5896"/>
    <w:rsid w:val="00DE58C9"/>
    <w:rsid w:val="00DE5BCF"/>
    <w:rsid w:val="00DE5E26"/>
    <w:rsid w:val="00DE60CC"/>
    <w:rsid w:val="00DE7A3C"/>
    <w:rsid w:val="00DE7D2F"/>
    <w:rsid w:val="00DF050B"/>
    <w:rsid w:val="00DF1540"/>
    <w:rsid w:val="00DF162C"/>
    <w:rsid w:val="00DF19C9"/>
    <w:rsid w:val="00DF1AFF"/>
    <w:rsid w:val="00DF1E33"/>
    <w:rsid w:val="00DF1F2C"/>
    <w:rsid w:val="00DF29FA"/>
    <w:rsid w:val="00DF3311"/>
    <w:rsid w:val="00DF3A29"/>
    <w:rsid w:val="00DF42CB"/>
    <w:rsid w:val="00DF4787"/>
    <w:rsid w:val="00DF4BB4"/>
    <w:rsid w:val="00DF52CC"/>
    <w:rsid w:val="00DF5803"/>
    <w:rsid w:val="00DF58CC"/>
    <w:rsid w:val="00DF5B68"/>
    <w:rsid w:val="00DF5C1A"/>
    <w:rsid w:val="00DF5F86"/>
    <w:rsid w:val="00DF607D"/>
    <w:rsid w:val="00DF62FF"/>
    <w:rsid w:val="00DF6AAE"/>
    <w:rsid w:val="00DF7797"/>
    <w:rsid w:val="00DF7C4B"/>
    <w:rsid w:val="00E01059"/>
    <w:rsid w:val="00E01691"/>
    <w:rsid w:val="00E024F5"/>
    <w:rsid w:val="00E024F7"/>
    <w:rsid w:val="00E02773"/>
    <w:rsid w:val="00E02E61"/>
    <w:rsid w:val="00E02F5B"/>
    <w:rsid w:val="00E03307"/>
    <w:rsid w:val="00E03617"/>
    <w:rsid w:val="00E03751"/>
    <w:rsid w:val="00E037B8"/>
    <w:rsid w:val="00E041BD"/>
    <w:rsid w:val="00E04805"/>
    <w:rsid w:val="00E04F82"/>
    <w:rsid w:val="00E05272"/>
    <w:rsid w:val="00E05F96"/>
    <w:rsid w:val="00E0610B"/>
    <w:rsid w:val="00E06416"/>
    <w:rsid w:val="00E0716C"/>
    <w:rsid w:val="00E07542"/>
    <w:rsid w:val="00E07C8B"/>
    <w:rsid w:val="00E07D2B"/>
    <w:rsid w:val="00E10288"/>
    <w:rsid w:val="00E1028C"/>
    <w:rsid w:val="00E10478"/>
    <w:rsid w:val="00E10621"/>
    <w:rsid w:val="00E1081F"/>
    <w:rsid w:val="00E10B99"/>
    <w:rsid w:val="00E111A7"/>
    <w:rsid w:val="00E11888"/>
    <w:rsid w:val="00E1214E"/>
    <w:rsid w:val="00E125C9"/>
    <w:rsid w:val="00E134BF"/>
    <w:rsid w:val="00E135F8"/>
    <w:rsid w:val="00E15268"/>
    <w:rsid w:val="00E157E5"/>
    <w:rsid w:val="00E159CA"/>
    <w:rsid w:val="00E15F58"/>
    <w:rsid w:val="00E160E7"/>
    <w:rsid w:val="00E1613E"/>
    <w:rsid w:val="00E17DAB"/>
    <w:rsid w:val="00E204DE"/>
    <w:rsid w:val="00E2051B"/>
    <w:rsid w:val="00E20B7B"/>
    <w:rsid w:val="00E21533"/>
    <w:rsid w:val="00E218C7"/>
    <w:rsid w:val="00E21DE8"/>
    <w:rsid w:val="00E2229E"/>
    <w:rsid w:val="00E224B1"/>
    <w:rsid w:val="00E225BC"/>
    <w:rsid w:val="00E228A1"/>
    <w:rsid w:val="00E22A20"/>
    <w:rsid w:val="00E22BB5"/>
    <w:rsid w:val="00E23BB5"/>
    <w:rsid w:val="00E24B2C"/>
    <w:rsid w:val="00E2576C"/>
    <w:rsid w:val="00E25E94"/>
    <w:rsid w:val="00E26729"/>
    <w:rsid w:val="00E26B32"/>
    <w:rsid w:val="00E26D9D"/>
    <w:rsid w:val="00E26DDB"/>
    <w:rsid w:val="00E270C9"/>
    <w:rsid w:val="00E2769B"/>
    <w:rsid w:val="00E27A63"/>
    <w:rsid w:val="00E310E3"/>
    <w:rsid w:val="00E3191A"/>
    <w:rsid w:val="00E31CD4"/>
    <w:rsid w:val="00E31E60"/>
    <w:rsid w:val="00E325EA"/>
    <w:rsid w:val="00E33861"/>
    <w:rsid w:val="00E33ADB"/>
    <w:rsid w:val="00E33E08"/>
    <w:rsid w:val="00E33FE0"/>
    <w:rsid w:val="00E34A8C"/>
    <w:rsid w:val="00E34C5C"/>
    <w:rsid w:val="00E3507C"/>
    <w:rsid w:val="00E35324"/>
    <w:rsid w:val="00E35A83"/>
    <w:rsid w:val="00E35B6F"/>
    <w:rsid w:val="00E36BA3"/>
    <w:rsid w:val="00E36E79"/>
    <w:rsid w:val="00E3728F"/>
    <w:rsid w:val="00E40186"/>
    <w:rsid w:val="00E40327"/>
    <w:rsid w:val="00E407B6"/>
    <w:rsid w:val="00E40D5C"/>
    <w:rsid w:val="00E41079"/>
    <w:rsid w:val="00E41E83"/>
    <w:rsid w:val="00E41EF1"/>
    <w:rsid w:val="00E4214E"/>
    <w:rsid w:val="00E42942"/>
    <w:rsid w:val="00E42D6E"/>
    <w:rsid w:val="00E433D0"/>
    <w:rsid w:val="00E43467"/>
    <w:rsid w:val="00E434DC"/>
    <w:rsid w:val="00E43E8F"/>
    <w:rsid w:val="00E440E8"/>
    <w:rsid w:val="00E44354"/>
    <w:rsid w:val="00E4492B"/>
    <w:rsid w:val="00E460E8"/>
    <w:rsid w:val="00E47ADE"/>
    <w:rsid w:val="00E47ECD"/>
    <w:rsid w:val="00E51F18"/>
    <w:rsid w:val="00E51FEA"/>
    <w:rsid w:val="00E52C78"/>
    <w:rsid w:val="00E52D52"/>
    <w:rsid w:val="00E52E46"/>
    <w:rsid w:val="00E53048"/>
    <w:rsid w:val="00E53600"/>
    <w:rsid w:val="00E54000"/>
    <w:rsid w:val="00E5426F"/>
    <w:rsid w:val="00E543D9"/>
    <w:rsid w:val="00E544E7"/>
    <w:rsid w:val="00E54A03"/>
    <w:rsid w:val="00E54AC3"/>
    <w:rsid w:val="00E55786"/>
    <w:rsid w:val="00E56452"/>
    <w:rsid w:val="00E5701F"/>
    <w:rsid w:val="00E57520"/>
    <w:rsid w:val="00E575F6"/>
    <w:rsid w:val="00E57C75"/>
    <w:rsid w:val="00E60494"/>
    <w:rsid w:val="00E60709"/>
    <w:rsid w:val="00E60D61"/>
    <w:rsid w:val="00E61887"/>
    <w:rsid w:val="00E61BF7"/>
    <w:rsid w:val="00E61F3D"/>
    <w:rsid w:val="00E621C2"/>
    <w:rsid w:val="00E62E89"/>
    <w:rsid w:val="00E632FE"/>
    <w:rsid w:val="00E637E8"/>
    <w:rsid w:val="00E63C39"/>
    <w:rsid w:val="00E63DD2"/>
    <w:rsid w:val="00E642E6"/>
    <w:rsid w:val="00E64BEA"/>
    <w:rsid w:val="00E65589"/>
    <w:rsid w:val="00E65A0A"/>
    <w:rsid w:val="00E65D95"/>
    <w:rsid w:val="00E6605C"/>
    <w:rsid w:val="00E66D2D"/>
    <w:rsid w:val="00E671CB"/>
    <w:rsid w:val="00E6729B"/>
    <w:rsid w:val="00E674BF"/>
    <w:rsid w:val="00E67D6F"/>
    <w:rsid w:val="00E70380"/>
    <w:rsid w:val="00E7062E"/>
    <w:rsid w:val="00E71066"/>
    <w:rsid w:val="00E71A66"/>
    <w:rsid w:val="00E71BDF"/>
    <w:rsid w:val="00E71D62"/>
    <w:rsid w:val="00E72E8A"/>
    <w:rsid w:val="00E733BB"/>
    <w:rsid w:val="00E739E4"/>
    <w:rsid w:val="00E74161"/>
    <w:rsid w:val="00E756BD"/>
    <w:rsid w:val="00E757E3"/>
    <w:rsid w:val="00E75A54"/>
    <w:rsid w:val="00E75CCB"/>
    <w:rsid w:val="00E75DA5"/>
    <w:rsid w:val="00E773F7"/>
    <w:rsid w:val="00E774F4"/>
    <w:rsid w:val="00E779E7"/>
    <w:rsid w:val="00E8073C"/>
    <w:rsid w:val="00E8245B"/>
    <w:rsid w:val="00E82BA9"/>
    <w:rsid w:val="00E82C21"/>
    <w:rsid w:val="00E82F59"/>
    <w:rsid w:val="00E82F83"/>
    <w:rsid w:val="00E8352A"/>
    <w:rsid w:val="00E83796"/>
    <w:rsid w:val="00E83CA7"/>
    <w:rsid w:val="00E84479"/>
    <w:rsid w:val="00E84785"/>
    <w:rsid w:val="00E849B4"/>
    <w:rsid w:val="00E860E8"/>
    <w:rsid w:val="00E87818"/>
    <w:rsid w:val="00E87864"/>
    <w:rsid w:val="00E901EF"/>
    <w:rsid w:val="00E904F1"/>
    <w:rsid w:val="00E9066A"/>
    <w:rsid w:val="00E90783"/>
    <w:rsid w:val="00E9135F"/>
    <w:rsid w:val="00E9165B"/>
    <w:rsid w:val="00E91D77"/>
    <w:rsid w:val="00E91FC6"/>
    <w:rsid w:val="00E9201E"/>
    <w:rsid w:val="00E9213D"/>
    <w:rsid w:val="00E92192"/>
    <w:rsid w:val="00E9268F"/>
    <w:rsid w:val="00E93DA2"/>
    <w:rsid w:val="00E93E85"/>
    <w:rsid w:val="00E94397"/>
    <w:rsid w:val="00E948B8"/>
    <w:rsid w:val="00E94B70"/>
    <w:rsid w:val="00E953C1"/>
    <w:rsid w:val="00E959DB"/>
    <w:rsid w:val="00E95A71"/>
    <w:rsid w:val="00E95C82"/>
    <w:rsid w:val="00E96011"/>
    <w:rsid w:val="00E975BD"/>
    <w:rsid w:val="00E97B69"/>
    <w:rsid w:val="00EA030C"/>
    <w:rsid w:val="00EA050A"/>
    <w:rsid w:val="00EA0B26"/>
    <w:rsid w:val="00EA0B79"/>
    <w:rsid w:val="00EA0BEB"/>
    <w:rsid w:val="00EA1BEC"/>
    <w:rsid w:val="00EA2B81"/>
    <w:rsid w:val="00EA3013"/>
    <w:rsid w:val="00EA441F"/>
    <w:rsid w:val="00EA4833"/>
    <w:rsid w:val="00EA4868"/>
    <w:rsid w:val="00EA4CB7"/>
    <w:rsid w:val="00EA4E88"/>
    <w:rsid w:val="00EA51D9"/>
    <w:rsid w:val="00EA5761"/>
    <w:rsid w:val="00EA6724"/>
    <w:rsid w:val="00EA67AA"/>
    <w:rsid w:val="00EA6F94"/>
    <w:rsid w:val="00EA7D64"/>
    <w:rsid w:val="00EB03DA"/>
    <w:rsid w:val="00EB0D7E"/>
    <w:rsid w:val="00EB141F"/>
    <w:rsid w:val="00EB27E9"/>
    <w:rsid w:val="00EB2B7D"/>
    <w:rsid w:val="00EB363A"/>
    <w:rsid w:val="00EB3B54"/>
    <w:rsid w:val="00EB3D5A"/>
    <w:rsid w:val="00EB4D08"/>
    <w:rsid w:val="00EB527B"/>
    <w:rsid w:val="00EB57FB"/>
    <w:rsid w:val="00EB5C0B"/>
    <w:rsid w:val="00EB5E49"/>
    <w:rsid w:val="00EB5F6C"/>
    <w:rsid w:val="00EB5F9E"/>
    <w:rsid w:val="00EB5FC9"/>
    <w:rsid w:val="00EB6068"/>
    <w:rsid w:val="00EB6546"/>
    <w:rsid w:val="00EB6FF0"/>
    <w:rsid w:val="00EB7014"/>
    <w:rsid w:val="00EB70E3"/>
    <w:rsid w:val="00EC08CB"/>
    <w:rsid w:val="00EC0D55"/>
    <w:rsid w:val="00EC13C5"/>
    <w:rsid w:val="00EC1CA3"/>
    <w:rsid w:val="00EC1CD7"/>
    <w:rsid w:val="00EC2DC3"/>
    <w:rsid w:val="00EC362E"/>
    <w:rsid w:val="00EC3920"/>
    <w:rsid w:val="00EC41A4"/>
    <w:rsid w:val="00EC4A0F"/>
    <w:rsid w:val="00EC52B9"/>
    <w:rsid w:val="00EC5873"/>
    <w:rsid w:val="00EC5AD4"/>
    <w:rsid w:val="00EC5CDE"/>
    <w:rsid w:val="00EC5E2F"/>
    <w:rsid w:val="00EC61EC"/>
    <w:rsid w:val="00EC62C4"/>
    <w:rsid w:val="00EC6DA0"/>
    <w:rsid w:val="00EC70F6"/>
    <w:rsid w:val="00EC74AA"/>
    <w:rsid w:val="00EC751B"/>
    <w:rsid w:val="00ED0374"/>
    <w:rsid w:val="00ED1457"/>
    <w:rsid w:val="00ED202D"/>
    <w:rsid w:val="00ED2CA6"/>
    <w:rsid w:val="00ED2FA8"/>
    <w:rsid w:val="00ED3077"/>
    <w:rsid w:val="00ED382B"/>
    <w:rsid w:val="00ED383F"/>
    <w:rsid w:val="00ED487E"/>
    <w:rsid w:val="00ED4BAF"/>
    <w:rsid w:val="00ED5217"/>
    <w:rsid w:val="00ED64F1"/>
    <w:rsid w:val="00ED656C"/>
    <w:rsid w:val="00ED7001"/>
    <w:rsid w:val="00ED7577"/>
    <w:rsid w:val="00EE05FF"/>
    <w:rsid w:val="00EE08BB"/>
    <w:rsid w:val="00EE0D2E"/>
    <w:rsid w:val="00EE134C"/>
    <w:rsid w:val="00EE138E"/>
    <w:rsid w:val="00EE13BC"/>
    <w:rsid w:val="00EE33A1"/>
    <w:rsid w:val="00EE357F"/>
    <w:rsid w:val="00EE3B30"/>
    <w:rsid w:val="00EE44C7"/>
    <w:rsid w:val="00EE4564"/>
    <w:rsid w:val="00EE509E"/>
    <w:rsid w:val="00EE5140"/>
    <w:rsid w:val="00EE5CB7"/>
    <w:rsid w:val="00EE5ED5"/>
    <w:rsid w:val="00EE5F0C"/>
    <w:rsid w:val="00EE7968"/>
    <w:rsid w:val="00EE7A0D"/>
    <w:rsid w:val="00EE7B98"/>
    <w:rsid w:val="00EF057B"/>
    <w:rsid w:val="00EF0D91"/>
    <w:rsid w:val="00EF19B4"/>
    <w:rsid w:val="00EF256C"/>
    <w:rsid w:val="00EF2757"/>
    <w:rsid w:val="00EF295D"/>
    <w:rsid w:val="00EF2B19"/>
    <w:rsid w:val="00EF3056"/>
    <w:rsid w:val="00EF35EC"/>
    <w:rsid w:val="00EF4286"/>
    <w:rsid w:val="00EF4329"/>
    <w:rsid w:val="00EF461E"/>
    <w:rsid w:val="00EF4D2C"/>
    <w:rsid w:val="00EF6497"/>
    <w:rsid w:val="00EF6596"/>
    <w:rsid w:val="00EF6844"/>
    <w:rsid w:val="00EF7091"/>
    <w:rsid w:val="00F0002A"/>
    <w:rsid w:val="00F004CE"/>
    <w:rsid w:val="00F0083D"/>
    <w:rsid w:val="00F010AB"/>
    <w:rsid w:val="00F012E9"/>
    <w:rsid w:val="00F01970"/>
    <w:rsid w:val="00F01A4F"/>
    <w:rsid w:val="00F01AD9"/>
    <w:rsid w:val="00F01EDE"/>
    <w:rsid w:val="00F02122"/>
    <w:rsid w:val="00F0222C"/>
    <w:rsid w:val="00F023EF"/>
    <w:rsid w:val="00F024AD"/>
    <w:rsid w:val="00F02897"/>
    <w:rsid w:val="00F0371C"/>
    <w:rsid w:val="00F0406D"/>
    <w:rsid w:val="00F0448A"/>
    <w:rsid w:val="00F05480"/>
    <w:rsid w:val="00F05A2A"/>
    <w:rsid w:val="00F06EA6"/>
    <w:rsid w:val="00F07648"/>
    <w:rsid w:val="00F07FDD"/>
    <w:rsid w:val="00F10D2B"/>
    <w:rsid w:val="00F11313"/>
    <w:rsid w:val="00F11C16"/>
    <w:rsid w:val="00F11F56"/>
    <w:rsid w:val="00F12312"/>
    <w:rsid w:val="00F12EDA"/>
    <w:rsid w:val="00F13560"/>
    <w:rsid w:val="00F140E4"/>
    <w:rsid w:val="00F14795"/>
    <w:rsid w:val="00F14A9E"/>
    <w:rsid w:val="00F14AD8"/>
    <w:rsid w:val="00F15234"/>
    <w:rsid w:val="00F15531"/>
    <w:rsid w:val="00F16CBE"/>
    <w:rsid w:val="00F17071"/>
    <w:rsid w:val="00F175B5"/>
    <w:rsid w:val="00F177C7"/>
    <w:rsid w:val="00F17A0C"/>
    <w:rsid w:val="00F17CE1"/>
    <w:rsid w:val="00F20D9B"/>
    <w:rsid w:val="00F2115C"/>
    <w:rsid w:val="00F2130A"/>
    <w:rsid w:val="00F21E2D"/>
    <w:rsid w:val="00F225C4"/>
    <w:rsid w:val="00F22ABA"/>
    <w:rsid w:val="00F23AB7"/>
    <w:rsid w:val="00F24471"/>
    <w:rsid w:val="00F2531B"/>
    <w:rsid w:val="00F253CE"/>
    <w:rsid w:val="00F259F0"/>
    <w:rsid w:val="00F25F39"/>
    <w:rsid w:val="00F26441"/>
    <w:rsid w:val="00F26764"/>
    <w:rsid w:val="00F269E7"/>
    <w:rsid w:val="00F27699"/>
    <w:rsid w:val="00F27C9D"/>
    <w:rsid w:val="00F3044D"/>
    <w:rsid w:val="00F30685"/>
    <w:rsid w:val="00F3078E"/>
    <w:rsid w:val="00F31748"/>
    <w:rsid w:val="00F317C1"/>
    <w:rsid w:val="00F31BA0"/>
    <w:rsid w:val="00F322F7"/>
    <w:rsid w:val="00F3231E"/>
    <w:rsid w:val="00F3260A"/>
    <w:rsid w:val="00F326B7"/>
    <w:rsid w:val="00F32DC3"/>
    <w:rsid w:val="00F32E1D"/>
    <w:rsid w:val="00F335B2"/>
    <w:rsid w:val="00F33D2D"/>
    <w:rsid w:val="00F3472F"/>
    <w:rsid w:val="00F349C9"/>
    <w:rsid w:val="00F355CF"/>
    <w:rsid w:val="00F35864"/>
    <w:rsid w:val="00F36B12"/>
    <w:rsid w:val="00F37692"/>
    <w:rsid w:val="00F37A62"/>
    <w:rsid w:val="00F37AEB"/>
    <w:rsid w:val="00F37EF7"/>
    <w:rsid w:val="00F407AF"/>
    <w:rsid w:val="00F40B58"/>
    <w:rsid w:val="00F41397"/>
    <w:rsid w:val="00F4150F"/>
    <w:rsid w:val="00F41C89"/>
    <w:rsid w:val="00F41F5D"/>
    <w:rsid w:val="00F41FEC"/>
    <w:rsid w:val="00F42738"/>
    <w:rsid w:val="00F42BEA"/>
    <w:rsid w:val="00F4364C"/>
    <w:rsid w:val="00F43698"/>
    <w:rsid w:val="00F440CF"/>
    <w:rsid w:val="00F45525"/>
    <w:rsid w:val="00F45F65"/>
    <w:rsid w:val="00F47716"/>
    <w:rsid w:val="00F47A42"/>
    <w:rsid w:val="00F47C64"/>
    <w:rsid w:val="00F504CA"/>
    <w:rsid w:val="00F50535"/>
    <w:rsid w:val="00F5068A"/>
    <w:rsid w:val="00F50E73"/>
    <w:rsid w:val="00F51C44"/>
    <w:rsid w:val="00F51EA1"/>
    <w:rsid w:val="00F5208A"/>
    <w:rsid w:val="00F52EC7"/>
    <w:rsid w:val="00F5338B"/>
    <w:rsid w:val="00F53BFC"/>
    <w:rsid w:val="00F53F3D"/>
    <w:rsid w:val="00F54DEB"/>
    <w:rsid w:val="00F5577C"/>
    <w:rsid w:val="00F561B1"/>
    <w:rsid w:val="00F56754"/>
    <w:rsid w:val="00F56D4A"/>
    <w:rsid w:val="00F573E8"/>
    <w:rsid w:val="00F57BD7"/>
    <w:rsid w:val="00F57F3D"/>
    <w:rsid w:val="00F6011F"/>
    <w:rsid w:val="00F60F14"/>
    <w:rsid w:val="00F60F9F"/>
    <w:rsid w:val="00F618D4"/>
    <w:rsid w:val="00F6259B"/>
    <w:rsid w:val="00F6268B"/>
    <w:rsid w:val="00F629FB"/>
    <w:rsid w:val="00F62D0C"/>
    <w:rsid w:val="00F62DD4"/>
    <w:rsid w:val="00F62E78"/>
    <w:rsid w:val="00F635D9"/>
    <w:rsid w:val="00F63C61"/>
    <w:rsid w:val="00F63E43"/>
    <w:rsid w:val="00F63EC5"/>
    <w:rsid w:val="00F64F08"/>
    <w:rsid w:val="00F6501C"/>
    <w:rsid w:val="00F65353"/>
    <w:rsid w:val="00F6563C"/>
    <w:rsid w:val="00F66B33"/>
    <w:rsid w:val="00F676EB"/>
    <w:rsid w:val="00F70055"/>
    <w:rsid w:val="00F706B2"/>
    <w:rsid w:val="00F71150"/>
    <w:rsid w:val="00F712D8"/>
    <w:rsid w:val="00F717C3"/>
    <w:rsid w:val="00F71D46"/>
    <w:rsid w:val="00F72BB8"/>
    <w:rsid w:val="00F734F5"/>
    <w:rsid w:val="00F73B5B"/>
    <w:rsid w:val="00F73CD5"/>
    <w:rsid w:val="00F74249"/>
    <w:rsid w:val="00F744ED"/>
    <w:rsid w:val="00F74BF5"/>
    <w:rsid w:val="00F74E78"/>
    <w:rsid w:val="00F7501F"/>
    <w:rsid w:val="00F753B6"/>
    <w:rsid w:val="00F758F9"/>
    <w:rsid w:val="00F75AE8"/>
    <w:rsid w:val="00F76543"/>
    <w:rsid w:val="00F76827"/>
    <w:rsid w:val="00F77287"/>
    <w:rsid w:val="00F77B15"/>
    <w:rsid w:val="00F77DDD"/>
    <w:rsid w:val="00F77F1C"/>
    <w:rsid w:val="00F80F3D"/>
    <w:rsid w:val="00F816BC"/>
    <w:rsid w:val="00F81B4A"/>
    <w:rsid w:val="00F81E3D"/>
    <w:rsid w:val="00F83157"/>
    <w:rsid w:val="00F835EB"/>
    <w:rsid w:val="00F84151"/>
    <w:rsid w:val="00F85192"/>
    <w:rsid w:val="00F85962"/>
    <w:rsid w:val="00F87137"/>
    <w:rsid w:val="00F875BB"/>
    <w:rsid w:val="00F878BD"/>
    <w:rsid w:val="00F901F8"/>
    <w:rsid w:val="00F902F3"/>
    <w:rsid w:val="00F90EA5"/>
    <w:rsid w:val="00F91F5A"/>
    <w:rsid w:val="00F9297D"/>
    <w:rsid w:val="00F9347C"/>
    <w:rsid w:val="00F938AB"/>
    <w:rsid w:val="00F94B99"/>
    <w:rsid w:val="00F954D4"/>
    <w:rsid w:val="00F96439"/>
    <w:rsid w:val="00F966B1"/>
    <w:rsid w:val="00F96AF0"/>
    <w:rsid w:val="00F96B15"/>
    <w:rsid w:val="00F96DF2"/>
    <w:rsid w:val="00F97655"/>
    <w:rsid w:val="00F97CB1"/>
    <w:rsid w:val="00F97D37"/>
    <w:rsid w:val="00F97D48"/>
    <w:rsid w:val="00FA0311"/>
    <w:rsid w:val="00FA1489"/>
    <w:rsid w:val="00FA1591"/>
    <w:rsid w:val="00FA18CF"/>
    <w:rsid w:val="00FA19B7"/>
    <w:rsid w:val="00FA32B5"/>
    <w:rsid w:val="00FA3370"/>
    <w:rsid w:val="00FA3907"/>
    <w:rsid w:val="00FA39E1"/>
    <w:rsid w:val="00FA3AF2"/>
    <w:rsid w:val="00FA40F0"/>
    <w:rsid w:val="00FA4387"/>
    <w:rsid w:val="00FA4421"/>
    <w:rsid w:val="00FA474E"/>
    <w:rsid w:val="00FA4CFF"/>
    <w:rsid w:val="00FA4D32"/>
    <w:rsid w:val="00FA4ED1"/>
    <w:rsid w:val="00FA55B0"/>
    <w:rsid w:val="00FA5D76"/>
    <w:rsid w:val="00FA5F82"/>
    <w:rsid w:val="00FA6028"/>
    <w:rsid w:val="00FA64B7"/>
    <w:rsid w:val="00FA65B0"/>
    <w:rsid w:val="00FA69C3"/>
    <w:rsid w:val="00FA6C5D"/>
    <w:rsid w:val="00FA720D"/>
    <w:rsid w:val="00FA7439"/>
    <w:rsid w:val="00FA7560"/>
    <w:rsid w:val="00FA7C05"/>
    <w:rsid w:val="00FB009F"/>
    <w:rsid w:val="00FB0C17"/>
    <w:rsid w:val="00FB0EF7"/>
    <w:rsid w:val="00FB1055"/>
    <w:rsid w:val="00FB23D6"/>
    <w:rsid w:val="00FB2933"/>
    <w:rsid w:val="00FB29DB"/>
    <w:rsid w:val="00FB3604"/>
    <w:rsid w:val="00FB396D"/>
    <w:rsid w:val="00FB3F7C"/>
    <w:rsid w:val="00FB43D5"/>
    <w:rsid w:val="00FB4541"/>
    <w:rsid w:val="00FB4A28"/>
    <w:rsid w:val="00FB57FA"/>
    <w:rsid w:val="00FB6C41"/>
    <w:rsid w:val="00FB6C7F"/>
    <w:rsid w:val="00FB7135"/>
    <w:rsid w:val="00FB7992"/>
    <w:rsid w:val="00FB7EE6"/>
    <w:rsid w:val="00FB7FDD"/>
    <w:rsid w:val="00FC1755"/>
    <w:rsid w:val="00FC2C9A"/>
    <w:rsid w:val="00FC2E6C"/>
    <w:rsid w:val="00FC3042"/>
    <w:rsid w:val="00FC44F5"/>
    <w:rsid w:val="00FC47E1"/>
    <w:rsid w:val="00FC4FF8"/>
    <w:rsid w:val="00FC51CB"/>
    <w:rsid w:val="00FC5E9B"/>
    <w:rsid w:val="00FC6392"/>
    <w:rsid w:val="00FC7706"/>
    <w:rsid w:val="00FD0380"/>
    <w:rsid w:val="00FD0561"/>
    <w:rsid w:val="00FD1494"/>
    <w:rsid w:val="00FD188F"/>
    <w:rsid w:val="00FD2328"/>
    <w:rsid w:val="00FD4613"/>
    <w:rsid w:val="00FD5014"/>
    <w:rsid w:val="00FD50F0"/>
    <w:rsid w:val="00FD51C8"/>
    <w:rsid w:val="00FD52AC"/>
    <w:rsid w:val="00FD5A4F"/>
    <w:rsid w:val="00FD60A7"/>
    <w:rsid w:val="00FD63BB"/>
    <w:rsid w:val="00FD640F"/>
    <w:rsid w:val="00FD66BB"/>
    <w:rsid w:val="00FD67FB"/>
    <w:rsid w:val="00FD6B05"/>
    <w:rsid w:val="00FD6B4C"/>
    <w:rsid w:val="00FD6E8B"/>
    <w:rsid w:val="00FD7069"/>
    <w:rsid w:val="00FD713B"/>
    <w:rsid w:val="00FD753B"/>
    <w:rsid w:val="00FD7614"/>
    <w:rsid w:val="00FD7C71"/>
    <w:rsid w:val="00FE032E"/>
    <w:rsid w:val="00FE0553"/>
    <w:rsid w:val="00FE0A28"/>
    <w:rsid w:val="00FE1041"/>
    <w:rsid w:val="00FE1FF9"/>
    <w:rsid w:val="00FE2571"/>
    <w:rsid w:val="00FE25D0"/>
    <w:rsid w:val="00FE2DE0"/>
    <w:rsid w:val="00FE3136"/>
    <w:rsid w:val="00FE35BC"/>
    <w:rsid w:val="00FE377C"/>
    <w:rsid w:val="00FE391B"/>
    <w:rsid w:val="00FE456F"/>
    <w:rsid w:val="00FE4F38"/>
    <w:rsid w:val="00FE54E5"/>
    <w:rsid w:val="00FE5FCE"/>
    <w:rsid w:val="00FE653F"/>
    <w:rsid w:val="00FE6734"/>
    <w:rsid w:val="00FE6CB3"/>
    <w:rsid w:val="00FF038B"/>
    <w:rsid w:val="00FF03C8"/>
    <w:rsid w:val="00FF0EC8"/>
    <w:rsid w:val="00FF13BA"/>
    <w:rsid w:val="00FF2301"/>
    <w:rsid w:val="00FF25A7"/>
    <w:rsid w:val="00FF2689"/>
    <w:rsid w:val="00FF2957"/>
    <w:rsid w:val="00FF2A2C"/>
    <w:rsid w:val="00FF2B0A"/>
    <w:rsid w:val="00FF2CC3"/>
    <w:rsid w:val="00FF3390"/>
    <w:rsid w:val="00FF3ABF"/>
    <w:rsid w:val="00FF411C"/>
    <w:rsid w:val="00FF4E99"/>
    <w:rsid w:val="00FF5F7A"/>
    <w:rsid w:val="00FF62CA"/>
    <w:rsid w:val="00FF6602"/>
    <w:rsid w:val="00FF6825"/>
    <w:rsid w:val="00FF68F2"/>
    <w:rsid w:val="00FF6AE8"/>
    <w:rsid w:val="00FF7618"/>
    <w:rsid w:val="00FF7671"/>
    <w:rsid w:val="01000C83"/>
    <w:rsid w:val="011DF596"/>
    <w:rsid w:val="013A03AD"/>
    <w:rsid w:val="013BA20F"/>
    <w:rsid w:val="01462DBB"/>
    <w:rsid w:val="0146686A"/>
    <w:rsid w:val="0148AEFA"/>
    <w:rsid w:val="015619EC"/>
    <w:rsid w:val="01766133"/>
    <w:rsid w:val="01771557"/>
    <w:rsid w:val="0178C73D"/>
    <w:rsid w:val="017A43F6"/>
    <w:rsid w:val="018E2C78"/>
    <w:rsid w:val="018FFAF0"/>
    <w:rsid w:val="01AB2671"/>
    <w:rsid w:val="01B2C56B"/>
    <w:rsid w:val="01C4CA8B"/>
    <w:rsid w:val="01D343C3"/>
    <w:rsid w:val="01DACDFD"/>
    <w:rsid w:val="01E77BE3"/>
    <w:rsid w:val="0225CC23"/>
    <w:rsid w:val="024115D4"/>
    <w:rsid w:val="024C471D"/>
    <w:rsid w:val="024E2A7A"/>
    <w:rsid w:val="024E6E34"/>
    <w:rsid w:val="025E9D12"/>
    <w:rsid w:val="0269B0CB"/>
    <w:rsid w:val="027D8E74"/>
    <w:rsid w:val="02A2E92C"/>
    <w:rsid w:val="02B03819"/>
    <w:rsid w:val="02C45FC0"/>
    <w:rsid w:val="02D35150"/>
    <w:rsid w:val="02DAF3A8"/>
    <w:rsid w:val="02DF63E2"/>
    <w:rsid w:val="02EDAA5C"/>
    <w:rsid w:val="02EFD56B"/>
    <w:rsid w:val="031C6D4B"/>
    <w:rsid w:val="032727F0"/>
    <w:rsid w:val="0334E094"/>
    <w:rsid w:val="033B3137"/>
    <w:rsid w:val="034367F5"/>
    <w:rsid w:val="03437680"/>
    <w:rsid w:val="03541ADA"/>
    <w:rsid w:val="03871632"/>
    <w:rsid w:val="038976F6"/>
    <w:rsid w:val="03AD5728"/>
    <w:rsid w:val="03AEF80F"/>
    <w:rsid w:val="03B09372"/>
    <w:rsid w:val="03B0E8B4"/>
    <w:rsid w:val="03C2F32A"/>
    <w:rsid w:val="03DA54AA"/>
    <w:rsid w:val="03E7D6A6"/>
    <w:rsid w:val="03EF82AB"/>
    <w:rsid w:val="03F3EE34"/>
    <w:rsid w:val="03F4529B"/>
    <w:rsid w:val="045D7190"/>
    <w:rsid w:val="046B3F3A"/>
    <w:rsid w:val="046CBBF3"/>
    <w:rsid w:val="04905C9E"/>
    <w:rsid w:val="04935FC5"/>
    <w:rsid w:val="04BA80D4"/>
    <w:rsid w:val="04C1D12B"/>
    <w:rsid w:val="04C2362E"/>
    <w:rsid w:val="04DFC361"/>
    <w:rsid w:val="04EDFE48"/>
    <w:rsid w:val="04EEB481"/>
    <w:rsid w:val="04F789FD"/>
    <w:rsid w:val="05251D35"/>
    <w:rsid w:val="0543CC17"/>
    <w:rsid w:val="054FBC4F"/>
    <w:rsid w:val="055162CD"/>
    <w:rsid w:val="05642C31"/>
    <w:rsid w:val="056E0784"/>
    <w:rsid w:val="056E43CB"/>
    <w:rsid w:val="057D83C0"/>
    <w:rsid w:val="05866AEE"/>
    <w:rsid w:val="05969D5A"/>
    <w:rsid w:val="059AC5C8"/>
    <w:rsid w:val="059D2D31"/>
    <w:rsid w:val="05A17FEF"/>
    <w:rsid w:val="05AE755D"/>
    <w:rsid w:val="05CB0156"/>
    <w:rsid w:val="05E8D1E6"/>
    <w:rsid w:val="05FFC6F5"/>
    <w:rsid w:val="0654BC63"/>
    <w:rsid w:val="066DCDE2"/>
    <w:rsid w:val="0689A76B"/>
    <w:rsid w:val="06A84C67"/>
    <w:rsid w:val="06C6B0D4"/>
    <w:rsid w:val="06DFC253"/>
    <w:rsid w:val="06E326EA"/>
    <w:rsid w:val="06E4C8C6"/>
    <w:rsid w:val="06EBA743"/>
    <w:rsid w:val="0708B37C"/>
    <w:rsid w:val="0718026C"/>
    <w:rsid w:val="071DA09D"/>
    <w:rsid w:val="0757CD2E"/>
    <w:rsid w:val="07595ED6"/>
    <w:rsid w:val="075DDCC7"/>
    <w:rsid w:val="0766FA17"/>
    <w:rsid w:val="076B2AFC"/>
    <w:rsid w:val="07749CAC"/>
    <w:rsid w:val="079048FF"/>
    <w:rsid w:val="07941DFD"/>
    <w:rsid w:val="07957787"/>
    <w:rsid w:val="07A8CDCE"/>
    <w:rsid w:val="07B62F04"/>
    <w:rsid w:val="07F2AAA4"/>
    <w:rsid w:val="07FB6261"/>
    <w:rsid w:val="08037332"/>
    <w:rsid w:val="0806298C"/>
    <w:rsid w:val="0809B363"/>
    <w:rsid w:val="08171A5E"/>
    <w:rsid w:val="081B9208"/>
    <w:rsid w:val="081D7DEC"/>
    <w:rsid w:val="08210AD0"/>
    <w:rsid w:val="083292EA"/>
    <w:rsid w:val="0832D9F8"/>
    <w:rsid w:val="084EC677"/>
    <w:rsid w:val="0868F61C"/>
    <w:rsid w:val="0869C065"/>
    <w:rsid w:val="0879D130"/>
    <w:rsid w:val="08809927"/>
    <w:rsid w:val="089A5724"/>
    <w:rsid w:val="08A8426D"/>
    <w:rsid w:val="08A96CE1"/>
    <w:rsid w:val="08B9104D"/>
    <w:rsid w:val="08C4921F"/>
    <w:rsid w:val="08C5BF3A"/>
    <w:rsid w:val="08E7B44E"/>
    <w:rsid w:val="08F67B62"/>
    <w:rsid w:val="0900622E"/>
    <w:rsid w:val="090CFCE3"/>
    <w:rsid w:val="091AE94E"/>
    <w:rsid w:val="09372879"/>
    <w:rsid w:val="093E33DD"/>
    <w:rsid w:val="094292D4"/>
    <w:rsid w:val="0945E031"/>
    <w:rsid w:val="09632143"/>
    <w:rsid w:val="096391C7"/>
    <w:rsid w:val="09657A7B"/>
    <w:rsid w:val="09B79B02"/>
    <w:rsid w:val="09C12D6D"/>
    <w:rsid w:val="09C3733C"/>
    <w:rsid w:val="09D91E1E"/>
    <w:rsid w:val="09DC4BB6"/>
    <w:rsid w:val="09FE190C"/>
    <w:rsid w:val="0A0D6259"/>
    <w:rsid w:val="0A1C6F7D"/>
    <w:rsid w:val="0A3567AD"/>
    <w:rsid w:val="0A3D646B"/>
    <w:rsid w:val="0A5B35AC"/>
    <w:rsid w:val="0A5B4232"/>
    <w:rsid w:val="0A79F016"/>
    <w:rsid w:val="0A9C1B5C"/>
    <w:rsid w:val="0AAD1140"/>
    <w:rsid w:val="0AB33A47"/>
    <w:rsid w:val="0ADE6335"/>
    <w:rsid w:val="0B0C7695"/>
    <w:rsid w:val="0B102C7B"/>
    <w:rsid w:val="0B220AFA"/>
    <w:rsid w:val="0B26CB58"/>
    <w:rsid w:val="0B38D1E0"/>
    <w:rsid w:val="0B3DCA4E"/>
    <w:rsid w:val="0B4BD171"/>
    <w:rsid w:val="0B535955"/>
    <w:rsid w:val="0B56087F"/>
    <w:rsid w:val="0B652997"/>
    <w:rsid w:val="0B6F30DC"/>
    <w:rsid w:val="0B724AF8"/>
    <w:rsid w:val="0B7DE31F"/>
    <w:rsid w:val="0BB61895"/>
    <w:rsid w:val="0BC4F565"/>
    <w:rsid w:val="0BCBF23E"/>
    <w:rsid w:val="0BE5FCF8"/>
    <w:rsid w:val="0BE989DC"/>
    <w:rsid w:val="0C0CFBA9"/>
    <w:rsid w:val="0C1580A7"/>
    <w:rsid w:val="0C21D10F"/>
    <w:rsid w:val="0C29F7C8"/>
    <w:rsid w:val="0C2BFD5B"/>
    <w:rsid w:val="0C35C786"/>
    <w:rsid w:val="0C3D2154"/>
    <w:rsid w:val="0C8199A8"/>
    <w:rsid w:val="0C8A8A03"/>
    <w:rsid w:val="0C9839ED"/>
    <w:rsid w:val="0C9B7730"/>
    <w:rsid w:val="0CA7FD20"/>
    <w:rsid w:val="0CB58597"/>
    <w:rsid w:val="0CCF9E5E"/>
    <w:rsid w:val="0CE77B47"/>
    <w:rsid w:val="0CF0325B"/>
    <w:rsid w:val="0CFF74B4"/>
    <w:rsid w:val="0D28E688"/>
    <w:rsid w:val="0D46A444"/>
    <w:rsid w:val="0D4B3D38"/>
    <w:rsid w:val="0D587F31"/>
    <w:rsid w:val="0D6CF489"/>
    <w:rsid w:val="0D6DF689"/>
    <w:rsid w:val="0D7D6DB2"/>
    <w:rsid w:val="0D8B2656"/>
    <w:rsid w:val="0DBCEF6D"/>
    <w:rsid w:val="0DF8ECDD"/>
    <w:rsid w:val="0DFDBCBE"/>
    <w:rsid w:val="0E0EE374"/>
    <w:rsid w:val="0E1535AD"/>
    <w:rsid w:val="0E20683A"/>
    <w:rsid w:val="0E20FF99"/>
    <w:rsid w:val="0E2EC3E3"/>
    <w:rsid w:val="0E3C7002"/>
    <w:rsid w:val="0E481F26"/>
    <w:rsid w:val="0E4DC510"/>
    <w:rsid w:val="0E5DC2D4"/>
    <w:rsid w:val="0E69A7C6"/>
    <w:rsid w:val="0E75915B"/>
    <w:rsid w:val="0E81D404"/>
    <w:rsid w:val="0E8C6723"/>
    <w:rsid w:val="0E9E0705"/>
    <w:rsid w:val="0EC1522B"/>
    <w:rsid w:val="0EFB1D88"/>
    <w:rsid w:val="0F0353C2"/>
    <w:rsid w:val="0F378F1C"/>
    <w:rsid w:val="0F697B8C"/>
    <w:rsid w:val="0F968297"/>
    <w:rsid w:val="0FB1D458"/>
    <w:rsid w:val="0FB93A6A"/>
    <w:rsid w:val="0FC0A971"/>
    <w:rsid w:val="0FCE4A12"/>
    <w:rsid w:val="0FF2A8AA"/>
    <w:rsid w:val="1043CA58"/>
    <w:rsid w:val="1047E135"/>
    <w:rsid w:val="1054F5DB"/>
    <w:rsid w:val="106F800D"/>
    <w:rsid w:val="10828DB9"/>
    <w:rsid w:val="10897799"/>
    <w:rsid w:val="108DB975"/>
    <w:rsid w:val="10975290"/>
    <w:rsid w:val="10976F8C"/>
    <w:rsid w:val="1097868E"/>
    <w:rsid w:val="10BBFEE0"/>
    <w:rsid w:val="10BD1BE2"/>
    <w:rsid w:val="10C32E63"/>
    <w:rsid w:val="10D7CE11"/>
    <w:rsid w:val="10DC497F"/>
    <w:rsid w:val="10DCF7D5"/>
    <w:rsid w:val="10E2709D"/>
    <w:rsid w:val="10EFADF3"/>
    <w:rsid w:val="10FFFBBA"/>
    <w:rsid w:val="1119EB5B"/>
    <w:rsid w:val="111CF696"/>
    <w:rsid w:val="1120F639"/>
    <w:rsid w:val="1122ACC7"/>
    <w:rsid w:val="112E3D27"/>
    <w:rsid w:val="114AD959"/>
    <w:rsid w:val="114EEC46"/>
    <w:rsid w:val="11550ACB"/>
    <w:rsid w:val="1158BEE2"/>
    <w:rsid w:val="1167A3B6"/>
    <w:rsid w:val="1168953D"/>
    <w:rsid w:val="116E3328"/>
    <w:rsid w:val="1173E65F"/>
    <w:rsid w:val="117C4DB9"/>
    <w:rsid w:val="117FA6BF"/>
    <w:rsid w:val="11B33F1D"/>
    <w:rsid w:val="11B4AE6E"/>
    <w:rsid w:val="11BD3FD9"/>
    <w:rsid w:val="11D10120"/>
    <w:rsid w:val="11D67D66"/>
    <w:rsid w:val="11DE5F32"/>
    <w:rsid w:val="11E094D9"/>
    <w:rsid w:val="11F828A4"/>
    <w:rsid w:val="120853A5"/>
    <w:rsid w:val="121A1567"/>
    <w:rsid w:val="123002B0"/>
    <w:rsid w:val="12446B30"/>
    <w:rsid w:val="12462430"/>
    <w:rsid w:val="1248CDBE"/>
    <w:rsid w:val="124EAB5A"/>
    <w:rsid w:val="1254441F"/>
    <w:rsid w:val="12551940"/>
    <w:rsid w:val="1260369B"/>
    <w:rsid w:val="126C77CB"/>
    <w:rsid w:val="126DD83A"/>
    <w:rsid w:val="1284D909"/>
    <w:rsid w:val="12981335"/>
    <w:rsid w:val="129D49D6"/>
    <w:rsid w:val="12A1CAA4"/>
    <w:rsid w:val="12B69BE8"/>
    <w:rsid w:val="12D3F892"/>
    <w:rsid w:val="12F6CD7A"/>
    <w:rsid w:val="1323281C"/>
    <w:rsid w:val="132AC133"/>
    <w:rsid w:val="13514918"/>
    <w:rsid w:val="13611A64"/>
    <w:rsid w:val="13A23F7F"/>
    <w:rsid w:val="13B540BE"/>
    <w:rsid w:val="13B625FF"/>
    <w:rsid w:val="13BA061B"/>
    <w:rsid w:val="13BA38EC"/>
    <w:rsid w:val="13C55A37"/>
    <w:rsid w:val="13E9C312"/>
    <w:rsid w:val="1408D85D"/>
    <w:rsid w:val="140FEE32"/>
    <w:rsid w:val="1414011F"/>
    <w:rsid w:val="141D62DC"/>
    <w:rsid w:val="14439D51"/>
    <w:rsid w:val="146FF67E"/>
    <w:rsid w:val="147228C1"/>
    <w:rsid w:val="148892D8"/>
    <w:rsid w:val="148F6958"/>
    <w:rsid w:val="14954E9F"/>
    <w:rsid w:val="149DE664"/>
    <w:rsid w:val="149EEFCF"/>
    <w:rsid w:val="14A1671B"/>
    <w:rsid w:val="14BD3D7D"/>
    <w:rsid w:val="14D536EA"/>
    <w:rsid w:val="14DD325C"/>
    <w:rsid w:val="14F3A53E"/>
    <w:rsid w:val="14FAD51D"/>
    <w:rsid w:val="1521E71B"/>
    <w:rsid w:val="152D0118"/>
    <w:rsid w:val="1538368B"/>
    <w:rsid w:val="153C656B"/>
    <w:rsid w:val="153E15A8"/>
    <w:rsid w:val="154E76F8"/>
    <w:rsid w:val="156256CE"/>
    <w:rsid w:val="15633BCF"/>
    <w:rsid w:val="15651D3B"/>
    <w:rsid w:val="156962ED"/>
    <w:rsid w:val="157D75EE"/>
    <w:rsid w:val="1590E7A7"/>
    <w:rsid w:val="15A21733"/>
    <w:rsid w:val="15C22EED"/>
    <w:rsid w:val="15DB575E"/>
    <w:rsid w:val="15EBF043"/>
    <w:rsid w:val="160BE0B5"/>
    <w:rsid w:val="161058BC"/>
    <w:rsid w:val="161C6678"/>
    <w:rsid w:val="161DCADD"/>
    <w:rsid w:val="16359179"/>
    <w:rsid w:val="163BA0BE"/>
    <w:rsid w:val="164838A9"/>
    <w:rsid w:val="164F5AEB"/>
    <w:rsid w:val="1652747F"/>
    <w:rsid w:val="167E2E88"/>
    <w:rsid w:val="16924F04"/>
    <w:rsid w:val="16964EA7"/>
    <w:rsid w:val="16AC7E18"/>
    <w:rsid w:val="16D3E8CA"/>
    <w:rsid w:val="16F01468"/>
    <w:rsid w:val="16FA79A4"/>
    <w:rsid w:val="16FD9DFA"/>
    <w:rsid w:val="17554B5E"/>
    <w:rsid w:val="175B006D"/>
    <w:rsid w:val="17813C15"/>
    <w:rsid w:val="178375FB"/>
    <w:rsid w:val="178401E0"/>
    <w:rsid w:val="1785DBDC"/>
    <w:rsid w:val="1797BC0D"/>
    <w:rsid w:val="17AFE84B"/>
    <w:rsid w:val="17B45B91"/>
    <w:rsid w:val="17B49A12"/>
    <w:rsid w:val="17B52E42"/>
    <w:rsid w:val="17B95DFC"/>
    <w:rsid w:val="17CE8875"/>
    <w:rsid w:val="17DC2B06"/>
    <w:rsid w:val="17E3E2A6"/>
    <w:rsid w:val="17EF016C"/>
    <w:rsid w:val="17F63D5C"/>
    <w:rsid w:val="18067937"/>
    <w:rsid w:val="18184696"/>
    <w:rsid w:val="182406D0"/>
    <w:rsid w:val="1828D995"/>
    <w:rsid w:val="18407CE6"/>
    <w:rsid w:val="185846A9"/>
    <w:rsid w:val="185BB76F"/>
    <w:rsid w:val="187A50EB"/>
    <w:rsid w:val="188C169F"/>
    <w:rsid w:val="18921409"/>
    <w:rsid w:val="1896E578"/>
    <w:rsid w:val="18A6684E"/>
    <w:rsid w:val="18AAE973"/>
    <w:rsid w:val="18B5E234"/>
    <w:rsid w:val="18BDECDE"/>
    <w:rsid w:val="18BF90AB"/>
    <w:rsid w:val="18C620EC"/>
    <w:rsid w:val="18CD69B9"/>
    <w:rsid w:val="18E08353"/>
    <w:rsid w:val="18E7DCDE"/>
    <w:rsid w:val="18E95E26"/>
    <w:rsid w:val="190D4D82"/>
    <w:rsid w:val="19101E07"/>
    <w:rsid w:val="1916F7FC"/>
    <w:rsid w:val="19218875"/>
    <w:rsid w:val="192B0E33"/>
    <w:rsid w:val="19706795"/>
    <w:rsid w:val="198F80D2"/>
    <w:rsid w:val="19965A39"/>
    <w:rsid w:val="19A16232"/>
    <w:rsid w:val="19A38B7C"/>
    <w:rsid w:val="19C1E84F"/>
    <w:rsid w:val="19CE507C"/>
    <w:rsid w:val="19D56948"/>
    <w:rsid w:val="19E45678"/>
    <w:rsid w:val="19F0553D"/>
    <w:rsid w:val="1A0FA3BD"/>
    <w:rsid w:val="1A176E5F"/>
    <w:rsid w:val="1A4FAED1"/>
    <w:rsid w:val="1A5C6E84"/>
    <w:rsid w:val="1A68EF4B"/>
    <w:rsid w:val="1A7BA3E1"/>
    <w:rsid w:val="1A805E76"/>
    <w:rsid w:val="1AC54F66"/>
    <w:rsid w:val="1AF0328C"/>
    <w:rsid w:val="1AFBED11"/>
    <w:rsid w:val="1B4B3704"/>
    <w:rsid w:val="1B603B19"/>
    <w:rsid w:val="1B60F6BB"/>
    <w:rsid w:val="1B633071"/>
    <w:rsid w:val="1B733C58"/>
    <w:rsid w:val="1B7419CF"/>
    <w:rsid w:val="1B77C56E"/>
    <w:rsid w:val="1B8B0725"/>
    <w:rsid w:val="1BFF90FD"/>
    <w:rsid w:val="1C13138C"/>
    <w:rsid w:val="1C31AF9C"/>
    <w:rsid w:val="1C5B6F12"/>
    <w:rsid w:val="1C62AEF5"/>
    <w:rsid w:val="1CD19C88"/>
    <w:rsid w:val="1CDB1ECB"/>
    <w:rsid w:val="1CDFA7E1"/>
    <w:rsid w:val="1CE26798"/>
    <w:rsid w:val="1CE9803D"/>
    <w:rsid w:val="1CFB67A8"/>
    <w:rsid w:val="1D07DCFF"/>
    <w:rsid w:val="1D21E5BF"/>
    <w:rsid w:val="1D23D1A3"/>
    <w:rsid w:val="1D397014"/>
    <w:rsid w:val="1D535552"/>
    <w:rsid w:val="1D62EA93"/>
    <w:rsid w:val="1D70B801"/>
    <w:rsid w:val="1D71DDE4"/>
    <w:rsid w:val="1D79D971"/>
    <w:rsid w:val="1DAD8CB0"/>
    <w:rsid w:val="1DB2AA04"/>
    <w:rsid w:val="1DB33618"/>
    <w:rsid w:val="1DC66885"/>
    <w:rsid w:val="1DDFAAAD"/>
    <w:rsid w:val="1DE0339A"/>
    <w:rsid w:val="1DE7111E"/>
    <w:rsid w:val="1E24E0DA"/>
    <w:rsid w:val="1E26FF7C"/>
    <w:rsid w:val="1E277F90"/>
    <w:rsid w:val="1E2C3392"/>
    <w:rsid w:val="1E2F751E"/>
    <w:rsid w:val="1E3CDA47"/>
    <w:rsid w:val="1E3F3543"/>
    <w:rsid w:val="1E5D7E4F"/>
    <w:rsid w:val="1E61792F"/>
    <w:rsid w:val="1E691913"/>
    <w:rsid w:val="1E71581D"/>
    <w:rsid w:val="1E83F961"/>
    <w:rsid w:val="1E842C32"/>
    <w:rsid w:val="1E9C8B18"/>
    <w:rsid w:val="1EA9C690"/>
    <w:rsid w:val="1ED16B78"/>
    <w:rsid w:val="1ED54A30"/>
    <w:rsid w:val="1EDDCC45"/>
    <w:rsid w:val="1F0D1574"/>
    <w:rsid w:val="1F10C0B8"/>
    <w:rsid w:val="1F17E517"/>
    <w:rsid w:val="1F1C3087"/>
    <w:rsid w:val="1F25A313"/>
    <w:rsid w:val="1F358800"/>
    <w:rsid w:val="1F38AC7D"/>
    <w:rsid w:val="1F57B474"/>
    <w:rsid w:val="1F618963"/>
    <w:rsid w:val="1F775996"/>
    <w:rsid w:val="1F876394"/>
    <w:rsid w:val="1F91AF0E"/>
    <w:rsid w:val="1F93BD74"/>
    <w:rsid w:val="1FAE0836"/>
    <w:rsid w:val="1FB4C6E2"/>
    <w:rsid w:val="1FB4CFE8"/>
    <w:rsid w:val="1FB98191"/>
    <w:rsid w:val="1FCF5E34"/>
    <w:rsid w:val="1FD3733C"/>
    <w:rsid w:val="1FE13678"/>
    <w:rsid w:val="1FED85A7"/>
    <w:rsid w:val="1FF264E6"/>
    <w:rsid w:val="1FFA2EA8"/>
    <w:rsid w:val="1FFEF405"/>
    <w:rsid w:val="2002C3F8"/>
    <w:rsid w:val="20172043"/>
    <w:rsid w:val="2036327C"/>
    <w:rsid w:val="20446B8E"/>
    <w:rsid w:val="20808842"/>
    <w:rsid w:val="20DA399A"/>
    <w:rsid w:val="20EB22CE"/>
    <w:rsid w:val="20F326EF"/>
    <w:rsid w:val="21025E38"/>
    <w:rsid w:val="21097704"/>
    <w:rsid w:val="213B4DE5"/>
    <w:rsid w:val="214E2CF6"/>
    <w:rsid w:val="215455D3"/>
    <w:rsid w:val="216EEB3C"/>
    <w:rsid w:val="217E77D5"/>
    <w:rsid w:val="21A829B9"/>
    <w:rsid w:val="21BC80F9"/>
    <w:rsid w:val="21C10109"/>
    <w:rsid w:val="21D58E2F"/>
    <w:rsid w:val="21D84F64"/>
    <w:rsid w:val="21ECC685"/>
    <w:rsid w:val="21F2641F"/>
    <w:rsid w:val="2204CD6E"/>
    <w:rsid w:val="220D1233"/>
    <w:rsid w:val="223D89DF"/>
    <w:rsid w:val="2249C6CF"/>
    <w:rsid w:val="224D4A94"/>
    <w:rsid w:val="22513DCA"/>
    <w:rsid w:val="22549AAD"/>
    <w:rsid w:val="2268FADD"/>
    <w:rsid w:val="227F33BE"/>
    <w:rsid w:val="228C129B"/>
    <w:rsid w:val="228F39C9"/>
    <w:rsid w:val="229A42EA"/>
    <w:rsid w:val="22C58597"/>
    <w:rsid w:val="22F7C440"/>
    <w:rsid w:val="230AB2D1"/>
    <w:rsid w:val="231D885D"/>
    <w:rsid w:val="232B075E"/>
    <w:rsid w:val="2368A66A"/>
    <w:rsid w:val="237AF43E"/>
    <w:rsid w:val="237F2BB4"/>
    <w:rsid w:val="239A3948"/>
    <w:rsid w:val="23A9B584"/>
    <w:rsid w:val="23D3F445"/>
    <w:rsid w:val="23E30235"/>
    <w:rsid w:val="23FE4BE6"/>
    <w:rsid w:val="240D5AD4"/>
    <w:rsid w:val="240DBDA6"/>
    <w:rsid w:val="24143C2F"/>
    <w:rsid w:val="24358766"/>
    <w:rsid w:val="2444F6E0"/>
    <w:rsid w:val="2465E97F"/>
    <w:rsid w:val="24699A8F"/>
    <w:rsid w:val="2472EEA7"/>
    <w:rsid w:val="247ED473"/>
    <w:rsid w:val="24991A65"/>
    <w:rsid w:val="249B4EBD"/>
    <w:rsid w:val="249F6713"/>
    <w:rsid w:val="24E210F7"/>
    <w:rsid w:val="24E9BCAC"/>
    <w:rsid w:val="24EBE5E6"/>
    <w:rsid w:val="24F9F4E1"/>
    <w:rsid w:val="250A0256"/>
    <w:rsid w:val="2516E092"/>
    <w:rsid w:val="25182835"/>
    <w:rsid w:val="251D16A1"/>
    <w:rsid w:val="253A6C64"/>
    <w:rsid w:val="253FC70D"/>
    <w:rsid w:val="254AD6F3"/>
    <w:rsid w:val="255ED676"/>
    <w:rsid w:val="25A04081"/>
    <w:rsid w:val="25ADAABD"/>
    <w:rsid w:val="25B5DEF2"/>
    <w:rsid w:val="25BC0D8F"/>
    <w:rsid w:val="25FF2637"/>
    <w:rsid w:val="2609913B"/>
    <w:rsid w:val="262F1C09"/>
    <w:rsid w:val="263179E9"/>
    <w:rsid w:val="264D3C94"/>
    <w:rsid w:val="265F41B4"/>
    <w:rsid w:val="26792541"/>
    <w:rsid w:val="26853389"/>
    <w:rsid w:val="26931977"/>
    <w:rsid w:val="26A1107A"/>
    <w:rsid w:val="26B4C00F"/>
    <w:rsid w:val="26BF0559"/>
    <w:rsid w:val="26C5BCCA"/>
    <w:rsid w:val="26C68618"/>
    <w:rsid w:val="26DEB256"/>
    <w:rsid w:val="26DFEACF"/>
    <w:rsid w:val="27061DE7"/>
    <w:rsid w:val="2711D43C"/>
    <w:rsid w:val="27216243"/>
    <w:rsid w:val="272BDF7F"/>
    <w:rsid w:val="2739ECAD"/>
    <w:rsid w:val="276DE116"/>
    <w:rsid w:val="277EC9D1"/>
    <w:rsid w:val="278B0288"/>
    <w:rsid w:val="2797D641"/>
    <w:rsid w:val="27BD5541"/>
    <w:rsid w:val="27C9FFB8"/>
    <w:rsid w:val="27CDCB9A"/>
    <w:rsid w:val="27DA7019"/>
    <w:rsid w:val="27DE44EA"/>
    <w:rsid w:val="27DFED83"/>
    <w:rsid w:val="27E81D1C"/>
    <w:rsid w:val="27F3C874"/>
    <w:rsid w:val="28522824"/>
    <w:rsid w:val="2859568B"/>
    <w:rsid w:val="286376DE"/>
    <w:rsid w:val="286CED8D"/>
    <w:rsid w:val="288371A8"/>
    <w:rsid w:val="28852BC8"/>
    <w:rsid w:val="28929696"/>
    <w:rsid w:val="28A29194"/>
    <w:rsid w:val="28C1D68B"/>
    <w:rsid w:val="28C9C411"/>
    <w:rsid w:val="28CA3525"/>
    <w:rsid w:val="28CD96D8"/>
    <w:rsid w:val="28D2088E"/>
    <w:rsid w:val="28D410A8"/>
    <w:rsid w:val="28ECDBCF"/>
    <w:rsid w:val="28F79849"/>
    <w:rsid w:val="29084619"/>
    <w:rsid w:val="291AEB98"/>
    <w:rsid w:val="291D175D"/>
    <w:rsid w:val="291D893C"/>
    <w:rsid w:val="29210367"/>
    <w:rsid w:val="29341207"/>
    <w:rsid w:val="2939670F"/>
    <w:rsid w:val="2967067A"/>
    <w:rsid w:val="29685389"/>
    <w:rsid w:val="297F740E"/>
    <w:rsid w:val="29852705"/>
    <w:rsid w:val="29892E4B"/>
    <w:rsid w:val="2996FBB5"/>
    <w:rsid w:val="299C59B0"/>
    <w:rsid w:val="29CACCC8"/>
    <w:rsid w:val="29FCC614"/>
    <w:rsid w:val="29FDC233"/>
    <w:rsid w:val="2A044DF8"/>
    <w:rsid w:val="2A0C7475"/>
    <w:rsid w:val="2A31915D"/>
    <w:rsid w:val="2A31D85A"/>
    <w:rsid w:val="2A3DFE5D"/>
    <w:rsid w:val="2A49D1C7"/>
    <w:rsid w:val="2A57445B"/>
    <w:rsid w:val="2A6C29C0"/>
    <w:rsid w:val="2A77CE8F"/>
    <w:rsid w:val="2AAF6F20"/>
    <w:rsid w:val="2AB22A23"/>
    <w:rsid w:val="2AB556B8"/>
    <w:rsid w:val="2AC6B2B3"/>
    <w:rsid w:val="2AC72E38"/>
    <w:rsid w:val="2AD3F846"/>
    <w:rsid w:val="2ADE3A9F"/>
    <w:rsid w:val="2AE07B2F"/>
    <w:rsid w:val="2AE6CAD4"/>
    <w:rsid w:val="2AEC64AB"/>
    <w:rsid w:val="2B00F995"/>
    <w:rsid w:val="2B207AE6"/>
    <w:rsid w:val="2B2802CA"/>
    <w:rsid w:val="2B2F693B"/>
    <w:rsid w:val="2B3BB25F"/>
    <w:rsid w:val="2B425A17"/>
    <w:rsid w:val="2B5DE9F1"/>
    <w:rsid w:val="2B62B454"/>
    <w:rsid w:val="2B6DA80F"/>
    <w:rsid w:val="2B6F93F3"/>
    <w:rsid w:val="2B7320D7"/>
    <w:rsid w:val="2BA4BA00"/>
    <w:rsid w:val="2BB2401F"/>
    <w:rsid w:val="2BB462C2"/>
    <w:rsid w:val="2BBC4780"/>
    <w:rsid w:val="2BC77E76"/>
    <w:rsid w:val="2BD7C007"/>
    <w:rsid w:val="2BDCB91A"/>
    <w:rsid w:val="2BDFCF51"/>
    <w:rsid w:val="2BE9865C"/>
    <w:rsid w:val="2BFA5874"/>
    <w:rsid w:val="2C2365A1"/>
    <w:rsid w:val="2C619EAE"/>
    <w:rsid w:val="2C723C4F"/>
    <w:rsid w:val="2C88D8DE"/>
    <w:rsid w:val="2C90EDA2"/>
    <w:rsid w:val="2C9E9AF6"/>
    <w:rsid w:val="2CA00C91"/>
    <w:rsid w:val="2CA0D24B"/>
    <w:rsid w:val="2CAE6817"/>
    <w:rsid w:val="2CBD9E7D"/>
    <w:rsid w:val="2CE06E64"/>
    <w:rsid w:val="2CE4BFC6"/>
    <w:rsid w:val="2D08C546"/>
    <w:rsid w:val="2D0AD198"/>
    <w:rsid w:val="2D0C6683"/>
    <w:rsid w:val="2D0D3818"/>
    <w:rsid w:val="2D27FDA2"/>
    <w:rsid w:val="2D46D09D"/>
    <w:rsid w:val="2D4F26DF"/>
    <w:rsid w:val="2D563D42"/>
    <w:rsid w:val="2D5F7860"/>
    <w:rsid w:val="2D6E8584"/>
    <w:rsid w:val="2D9300F1"/>
    <w:rsid w:val="2D98C445"/>
    <w:rsid w:val="2DA43C7E"/>
    <w:rsid w:val="2DB8C50E"/>
    <w:rsid w:val="2DB94093"/>
    <w:rsid w:val="2DD03F11"/>
    <w:rsid w:val="2DDA4935"/>
    <w:rsid w:val="2E00A890"/>
    <w:rsid w:val="2E0DA72C"/>
    <w:rsid w:val="2E15C9BA"/>
    <w:rsid w:val="2E1C762C"/>
    <w:rsid w:val="2E2B6334"/>
    <w:rsid w:val="2E3947F7"/>
    <w:rsid w:val="2E3BC4AC"/>
    <w:rsid w:val="2E413673"/>
    <w:rsid w:val="2E441E36"/>
    <w:rsid w:val="2E4F1CEB"/>
    <w:rsid w:val="2E799FBB"/>
    <w:rsid w:val="2EBEB244"/>
    <w:rsid w:val="2F160D9C"/>
    <w:rsid w:val="2F1FDD38"/>
    <w:rsid w:val="2F286FF0"/>
    <w:rsid w:val="2F375C87"/>
    <w:rsid w:val="2F3A992C"/>
    <w:rsid w:val="2F4B3FB2"/>
    <w:rsid w:val="2F7A257F"/>
    <w:rsid w:val="2F7E1362"/>
    <w:rsid w:val="2F872297"/>
    <w:rsid w:val="2F9995E7"/>
    <w:rsid w:val="2F9A3043"/>
    <w:rsid w:val="2F9CF2CA"/>
    <w:rsid w:val="2FA3594A"/>
    <w:rsid w:val="2FA35EC6"/>
    <w:rsid w:val="2FB07381"/>
    <w:rsid w:val="2FCCE41C"/>
    <w:rsid w:val="2FFA1327"/>
    <w:rsid w:val="2FFEAA5B"/>
    <w:rsid w:val="30079B9E"/>
    <w:rsid w:val="30180F26"/>
    <w:rsid w:val="3033C38C"/>
    <w:rsid w:val="303C86A6"/>
    <w:rsid w:val="30509230"/>
    <w:rsid w:val="305BD3C9"/>
    <w:rsid w:val="30675EC0"/>
    <w:rsid w:val="307FC79C"/>
    <w:rsid w:val="308561CB"/>
    <w:rsid w:val="308CAF43"/>
    <w:rsid w:val="30964ED9"/>
    <w:rsid w:val="30B84ED0"/>
    <w:rsid w:val="30C415EE"/>
    <w:rsid w:val="30C80A1A"/>
    <w:rsid w:val="30D30F66"/>
    <w:rsid w:val="30E1BAAF"/>
    <w:rsid w:val="30FF53C8"/>
    <w:rsid w:val="310E8560"/>
    <w:rsid w:val="311CCBDA"/>
    <w:rsid w:val="311E5E97"/>
    <w:rsid w:val="3131D2BF"/>
    <w:rsid w:val="31384952"/>
    <w:rsid w:val="314B02E4"/>
    <w:rsid w:val="3154F4EE"/>
    <w:rsid w:val="3157B9A1"/>
    <w:rsid w:val="3161C2C9"/>
    <w:rsid w:val="316CEE5B"/>
    <w:rsid w:val="317DDF83"/>
    <w:rsid w:val="31822541"/>
    <w:rsid w:val="31852730"/>
    <w:rsid w:val="319781B7"/>
    <w:rsid w:val="319FFB22"/>
    <w:rsid w:val="31A85D55"/>
    <w:rsid w:val="31BBBDCD"/>
    <w:rsid w:val="31E7BF30"/>
    <w:rsid w:val="31FD94E0"/>
    <w:rsid w:val="320411E2"/>
    <w:rsid w:val="3206E222"/>
    <w:rsid w:val="321342C9"/>
    <w:rsid w:val="321FB695"/>
    <w:rsid w:val="32286C47"/>
    <w:rsid w:val="3236ED12"/>
    <w:rsid w:val="3242C23D"/>
    <w:rsid w:val="32585F21"/>
    <w:rsid w:val="325F38AF"/>
    <w:rsid w:val="3262CF86"/>
    <w:rsid w:val="3273E7B1"/>
    <w:rsid w:val="328149B6"/>
    <w:rsid w:val="3298BFD6"/>
    <w:rsid w:val="329CF06E"/>
    <w:rsid w:val="32BAF9DB"/>
    <w:rsid w:val="32C98F11"/>
    <w:rsid w:val="32D419B3"/>
    <w:rsid w:val="32E08886"/>
    <w:rsid w:val="331E2710"/>
    <w:rsid w:val="331E53F5"/>
    <w:rsid w:val="33251046"/>
    <w:rsid w:val="332B7E40"/>
    <w:rsid w:val="332E2B4C"/>
    <w:rsid w:val="336571D6"/>
    <w:rsid w:val="3367E82C"/>
    <w:rsid w:val="337A9DBE"/>
    <w:rsid w:val="3380909C"/>
    <w:rsid w:val="33995E05"/>
    <w:rsid w:val="339FE243"/>
    <w:rsid w:val="33B886DF"/>
    <w:rsid w:val="33C19614"/>
    <w:rsid w:val="33EC2FF0"/>
    <w:rsid w:val="33F254AE"/>
    <w:rsid w:val="33F6A85A"/>
    <w:rsid w:val="3415446A"/>
    <w:rsid w:val="34313D7A"/>
    <w:rsid w:val="344EF053"/>
    <w:rsid w:val="345ADD90"/>
    <w:rsid w:val="345ECDE5"/>
    <w:rsid w:val="34623817"/>
    <w:rsid w:val="3473300E"/>
    <w:rsid w:val="3473C5A0"/>
    <w:rsid w:val="348C2C8D"/>
    <w:rsid w:val="3498FEE4"/>
    <w:rsid w:val="349CEF60"/>
    <w:rsid w:val="34B4F351"/>
    <w:rsid w:val="34E78A2F"/>
    <w:rsid w:val="35356D67"/>
    <w:rsid w:val="354A3EAB"/>
    <w:rsid w:val="355A0B67"/>
    <w:rsid w:val="356FC10B"/>
    <w:rsid w:val="357AECCE"/>
    <w:rsid w:val="3589D449"/>
    <w:rsid w:val="3590855A"/>
    <w:rsid w:val="35A05993"/>
    <w:rsid w:val="35B293B0"/>
    <w:rsid w:val="35CAA5EC"/>
    <w:rsid w:val="35E65882"/>
    <w:rsid w:val="3603EC92"/>
    <w:rsid w:val="362103A9"/>
    <w:rsid w:val="36341D95"/>
    <w:rsid w:val="363655C1"/>
    <w:rsid w:val="3654C1AA"/>
    <w:rsid w:val="368D1D0D"/>
    <w:rsid w:val="369DEA74"/>
    <w:rsid w:val="36B49689"/>
    <w:rsid w:val="36E1F7CC"/>
    <w:rsid w:val="36F4E0B8"/>
    <w:rsid w:val="370C1C22"/>
    <w:rsid w:val="370C4EF3"/>
    <w:rsid w:val="3724158F"/>
    <w:rsid w:val="372F2AF5"/>
    <w:rsid w:val="373C0EFC"/>
    <w:rsid w:val="373F3EE4"/>
    <w:rsid w:val="37426912"/>
    <w:rsid w:val="37501814"/>
    <w:rsid w:val="3750E040"/>
    <w:rsid w:val="3750E17B"/>
    <w:rsid w:val="37610676"/>
    <w:rsid w:val="3768D9AD"/>
    <w:rsid w:val="376F4E94"/>
    <w:rsid w:val="3772111B"/>
    <w:rsid w:val="37A39399"/>
    <w:rsid w:val="37A42756"/>
    <w:rsid w:val="37A5CA44"/>
    <w:rsid w:val="37BF2766"/>
    <w:rsid w:val="37C5E209"/>
    <w:rsid w:val="37D1810D"/>
    <w:rsid w:val="37D54818"/>
    <w:rsid w:val="37EF0A07"/>
    <w:rsid w:val="37F6DE92"/>
    <w:rsid w:val="3809BC40"/>
    <w:rsid w:val="380F8655"/>
    <w:rsid w:val="38117239"/>
    <w:rsid w:val="381961A8"/>
    <w:rsid w:val="381E127B"/>
    <w:rsid w:val="3820460F"/>
    <w:rsid w:val="38228794"/>
    <w:rsid w:val="382C1FB6"/>
    <w:rsid w:val="382E8C21"/>
    <w:rsid w:val="384951B2"/>
    <w:rsid w:val="38779ACA"/>
    <w:rsid w:val="38885051"/>
    <w:rsid w:val="388AEE8E"/>
    <w:rsid w:val="38A0B289"/>
    <w:rsid w:val="38C01C0F"/>
    <w:rsid w:val="38F42D3A"/>
    <w:rsid w:val="3901822A"/>
    <w:rsid w:val="39093919"/>
    <w:rsid w:val="3912BDB7"/>
    <w:rsid w:val="391A0954"/>
    <w:rsid w:val="391B70CD"/>
    <w:rsid w:val="39274647"/>
    <w:rsid w:val="392D6D65"/>
    <w:rsid w:val="393C23E5"/>
    <w:rsid w:val="393D5FA9"/>
    <w:rsid w:val="393E39E8"/>
    <w:rsid w:val="3991E5A5"/>
    <w:rsid w:val="3994D7A2"/>
    <w:rsid w:val="399FA769"/>
    <w:rsid w:val="39A79B0A"/>
    <w:rsid w:val="39B29F6F"/>
    <w:rsid w:val="39B55772"/>
    <w:rsid w:val="39B59A78"/>
    <w:rsid w:val="39B96A5F"/>
    <w:rsid w:val="39D1969D"/>
    <w:rsid w:val="39D5E075"/>
    <w:rsid w:val="39EDCC14"/>
    <w:rsid w:val="39F5FB6A"/>
    <w:rsid w:val="39F7702C"/>
    <w:rsid w:val="39FFAB36"/>
    <w:rsid w:val="3A07D516"/>
    <w:rsid w:val="3A21F879"/>
    <w:rsid w:val="3A2C9388"/>
    <w:rsid w:val="3A802737"/>
    <w:rsid w:val="3A862B34"/>
    <w:rsid w:val="3ABE78EF"/>
    <w:rsid w:val="3AD58C02"/>
    <w:rsid w:val="3AD617E7"/>
    <w:rsid w:val="3AFE9BE7"/>
    <w:rsid w:val="3B074449"/>
    <w:rsid w:val="3B0E995C"/>
    <w:rsid w:val="3B4065DC"/>
    <w:rsid w:val="3B42AF83"/>
    <w:rsid w:val="3B689460"/>
    <w:rsid w:val="3B761CD7"/>
    <w:rsid w:val="3B7CF760"/>
    <w:rsid w:val="3B81A014"/>
    <w:rsid w:val="3B934143"/>
    <w:rsid w:val="3BBF9CDC"/>
    <w:rsid w:val="3BC69703"/>
    <w:rsid w:val="3BE1E0B4"/>
    <w:rsid w:val="3BEE1FF4"/>
    <w:rsid w:val="3BFD7683"/>
    <w:rsid w:val="3C02CF3B"/>
    <w:rsid w:val="3C0ABCC1"/>
    <w:rsid w:val="3C1CA5A8"/>
    <w:rsid w:val="3C72D110"/>
    <w:rsid w:val="3CAACE64"/>
    <w:rsid w:val="3CAFEECB"/>
    <w:rsid w:val="3CBAF346"/>
    <w:rsid w:val="3CBE7DF9"/>
    <w:rsid w:val="3CC27D9C"/>
    <w:rsid w:val="3CC2A65E"/>
    <w:rsid w:val="3CC66B7F"/>
    <w:rsid w:val="3CC7F2D0"/>
    <w:rsid w:val="3CE9A8B9"/>
    <w:rsid w:val="3CF00491"/>
    <w:rsid w:val="3CF9905F"/>
    <w:rsid w:val="3CFD616A"/>
    <w:rsid w:val="3D195E3E"/>
    <w:rsid w:val="3D307341"/>
    <w:rsid w:val="3D3EA206"/>
    <w:rsid w:val="3D7CF13D"/>
    <w:rsid w:val="3D876233"/>
    <w:rsid w:val="3DA6FAA2"/>
    <w:rsid w:val="3DC5DDFE"/>
    <w:rsid w:val="3DC6AD89"/>
    <w:rsid w:val="3DD3AE35"/>
    <w:rsid w:val="3DE2FCF6"/>
    <w:rsid w:val="3DEB581A"/>
    <w:rsid w:val="3DEFCAEF"/>
    <w:rsid w:val="3DF6A0A3"/>
    <w:rsid w:val="3E4714CA"/>
    <w:rsid w:val="3E52885A"/>
    <w:rsid w:val="3E56DD7D"/>
    <w:rsid w:val="3E615AB9"/>
    <w:rsid w:val="3E626A35"/>
    <w:rsid w:val="3E9854DD"/>
    <w:rsid w:val="3E9C5480"/>
    <w:rsid w:val="3E9D1A3A"/>
    <w:rsid w:val="3EBD5A41"/>
    <w:rsid w:val="3EC00022"/>
    <w:rsid w:val="3EC9DB75"/>
    <w:rsid w:val="3ECA17BC"/>
    <w:rsid w:val="3ED3F30F"/>
    <w:rsid w:val="3EE6B11D"/>
    <w:rsid w:val="3EF699B9"/>
    <w:rsid w:val="3F02703B"/>
    <w:rsid w:val="3F04F711"/>
    <w:rsid w:val="3F2242BB"/>
    <w:rsid w:val="3F30174D"/>
    <w:rsid w:val="3F4324F9"/>
    <w:rsid w:val="3F5975F6"/>
    <w:rsid w:val="3F5B9AE6"/>
    <w:rsid w:val="3F950E88"/>
    <w:rsid w:val="3F9F3E9F"/>
    <w:rsid w:val="3FA2A068"/>
    <w:rsid w:val="3FAD8519"/>
    <w:rsid w:val="3FB7B820"/>
    <w:rsid w:val="3FB8E8D4"/>
    <w:rsid w:val="3FD07747"/>
    <w:rsid w:val="3FFC3884"/>
    <w:rsid w:val="400E0BE2"/>
    <w:rsid w:val="40189D78"/>
    <w:rsid w:val="40323E70"/>
    <w:rsid w:val="403B9644"/>
    <w:rsid w:val="4073D65D"/>
    <w:rsid w:val="4086620E"/>
    <w:rsid w:val="408B861B"/>
    <w:rsid w:val="409F2943"/>
    <w:rsid w:val="40A3B259"/>
    <w:rsid w:val="40A56B59"/>
    <w:rsid w:val="40A60E30"/>
    <w:rsid w:val="40BB2942"/>
    <w:rsid w:val="40CE5890"/>
    <w:rsid w:val="40D0709D"/>
    <w:rsid w:val="40D6C7D2"/>
    <w:rsid w:val="40F7536E"/>
    <w:rsid w:val="40F889A5"/>
    <w:rsid w:val="41072112"/>
    <w:rsid w:val="410946E5"/>
    <w:rsid w:val="4131C0B4"/>
    <w:rsid w:val="41573652"/>
    <w:rsid w:val="41658EA4"/>
    <w:rsid w:val="4176F6E1"/>
    <w:rsid w:val="41875BFD"/>
    <w:rsid w:val="418EADE9"/>
    <w:rsid w:val="418EF04E"/>
    <w:rsid w:val="41914B4A"/>
    <w:rsid w:val="419A3CB2"/>
    <w:rsid w:val="41B4597F"/>
    <w:rsid w:val="41B764BA"/>
    <w:rsid w:val="41BF05EC"/>
    <w:rsid w:val="41E7DE86"/>
    <w:rsid w:val="4221932B"/>
    <w:rsid w:val="422A7D99"/>
    <w:rsid w:val="42300A6C"/>
    <w:rsid w:val="424DD2AA"/>
    <w:rsid w:val="427210BF"/>
    <w:rsid w:val="4275D7FE"/>
    <w:rsid w:val="4276BD3F"/>
    <w:rsid w:val="427EA8F8"/>
    <w:rsid w:val="4288B04E"/>
    <w:rsid w:val="428B8B05"/>
    <w:rsid w:val="42A9CA7B"/>
    <w:rsid w:val="42B544C8"/>
    <w:rsid w:val="42C9D53F"/>
    <w:rsid w:val="42D1BEE6"/>
    <w:rsid w:val="42D52545"/>
    <w:rsid w:val="42DA830F"/>
    <w:rsid w:val="43048E33"/>
    <w:rsid w:val="4309DC81"/>
    <w:rsid w:val="432E5E91"/>
    <w:rsid w:val="433043E8"/>
    <w:rsid w:val="43310D36"/>
    <w:rsid w:val="4332720F"/>
    <w:rsid w:val="4368C732"/>
    <w:rsid w:val="4369364A"/>
    <w:rsid w:val="439D0D5A"/>
    <w:rsid w:val="439E15BF"/>
    <w:rsid w:val="43A2822F"/>
    <w:rsid w:val="43AE2D39"/>
    <w:rsid w:val="43B43C7E"/>
    <w:rsid w:val="43C3641F"/>
    <w:rsid w:val="43C958AA"/>
    <w:rsid w:val="43CCD9D0"/>
    <w:rsid w:val="43CFF0EA"/>
    <w:rsid w:val="43DFD0A4"/>
    <w:rsid w:val="43E20449"/>
    <w:rsid w:val="440565F6"/>
    <w:rsid w:val="44088868"/>
    <w:rsid w:val="440DE120"/>
    <w:rsid w:val="440F0E38"/>
    <w:rsid w:val="4421B0C5"/>
    <w:rsid w:val="44275B66"/>
    <w:rsid w:val="443112D2"/>
    <w:rsid w:val="44340B3F"/>
    <w:rsid w:val="446A4865"/>
    <w:rsid w:val="4494A5D1"/>
    <w:rsid w:val="4499F551"/>
    <w:rsid w:val="449AE7E7"/>
    <w:rsid w:val="44AF2D46"/>
    <w:rsid w:val="44B7D499"/>
    <w:rsid w:val="44BA6938"/>
    <w:rsid w:val="44C822D2"/>
    <w:rsid w:val="44F19962"/>
    <w:rsid w:val="44F1DA03"/>
    <w:rsid w:val="44F550BB"/>
    <w:rsid w:val="44FF6027"/>
    <w:rsid w:val="4506664C"/>
    <w:rsid w:val="450F6F35"/>
    <w:rsid w:val="4520AA0C"/>
    <w:rsid w:val="4524FCD6"/>
    <w:rsid w:val="4552E644"/>
    <w:rsid w:val="4568CF9A"/>
    <w:rsid w:val="45CB194D"/>
    <w:rsid w:val="45D8FBBD"/>
    <w:rsid w:val="45DAC40B"/>
    <w:rsid w:val="45DED6F9"/>
    <w:rsid w:val="4602D4F2"/>
    <w:rsid w:val="4603D111"/>
    <w:rsid w:val="46051887"/>
    <w:rsid w:val="4615E29E"/>
    <w:rsid w:val="461CDCC5"/>
    <w:rsid w:val="46230698"/>
    <w:rsid w:val="46270548"/>
    <w:rsid w:val="46434F38"/>
    <w:rsid w:val="46449920"/>
    <w:rsid w:val="46464490"/>
    <w:rsid w:val="4669E671"/>
    <w:rsid w:val="46734212"/>
    <w:rsid w:val="468D8927"/>
    <w:rsid w:val="468DBEEF"/>
    <w:rsid w:val="4696572C"/>
    <w:rsid w:val="46CEF738"/>
    <w:rsid w:val="4701C27C"/>
    <w:rsid w:val="4706A7EC"/>
    <w:rsid w:val="4712613F"/>
    <w:rsid w:val="47256B30"/>
    <w:rsid w:val="472EBFFE"/>
    <w:rsid w:val="473CD4C9"/>
    <w:rsid w:val="473FC849"/>
    <w:rsid w:val="4746869A"/>
    <w:rsid w:val="474868F5"/>
    <w:rsid w:val="47562C05"/>
    <w:rsid w:val="4776AC45"/>
    <w:rsid w:val="4790B0FF"/>
    <w:rsid w:val="479558DC"/>
    <w:rsid w:val="47B7FF86"/>
    <w:rsid w:val="47CC88C9"/>
    <w:rsid w:val="47CDE4C2"/>
    <w:rsid w:val="47DE564B"/>
    <w:rsid w:val="47E83B14"/>
    <w:rsid w:val="480193A2"/>
    <w:rsid w:val="481D261C"/>
    <w:rsid w:val="4829747F"/>
    <w:rsid w:val="4831227B"/>
    <w:rsid w:val="4834ECB8"/>
    <w:rsid w:val="48367409"/>
    <w:rsid w:val="4848B3C4"/>
    <w:rsid w:val="48536BF2"/>
    <w:rsid w:val="485F27B3"/>
    <w:rsid w:val="48621D0B"/>
    <w:rsid w:val="488B07A0"/>
    <w:rsid w:val="4891DD14"/>
    <w:rsid w:val="48A30996"/>
    <w:rsid w:val="48C54F7D"/>
    <w:rsid w:val="48D14EF5"/>
    <w:rsid w:val="48DAEB0A"/>
    <w:rsid w:val="48E15243"/>
    <w:rsid w:val="48EE97F4"/>
    <w:rsid w:val="48F29A42"/>
    <w:rsid w:val="48F4DCB5"/>
    <w:rsid w:val="48FACC89"/>
    <w:rsid w:val="49083EA8"/>
    <w:rsid w:val="491B9821"/>
    <w:rsid w:val="497A5882"/>
    <w:rsid w:val="4981EDCE"/>
    <w:rsid w:val="4991D66A"/>
    <w:rsid w:val="499B4D0F"/>
    <w:rsid w:val="49CB53FE"/>
    <w:rsid w:val="49E4498A"/>
    <w:rsid w:val="49EFAAB7"/>
    <w:rsid w:val="49F846E8"/>
    <w:rsid w:val="49FFE5EA"/>
    <w:rsid w:val="4A016E73"/>
    <w:rsid w:val="4A131FD6"/>
    <w:rsid w:val="4A18541E"/>
    <w:rsid w:val="4A296E73"/>
    <w:rsid w:val="4A3A7B50"/>
    <w:rsid w:val="4A688BCF"/>
    <w:rsid w:val="4A78CA87"/>
    <w:rsid w:val="4A964B01"/>
    <w:rsid w:val="4A9B9301"/>
    <w:rsid w:val="4AAA11E1"/>
    <w:rsid w:val="4AAAC077"/>
    <w:rsid w:val="4ABFF71D"/>
    <w:rsid w:val="4AD68FEB"/>
    <w:rsid w:val="4AE8C604"/>
    <w:rsid w:val="4B0FF67A"/>
    <w:rsid w:val="4B10825F"/>
    <w:rsid w:val="4B45DE7B"/>
    <w:rsid w:val="4B5A9FD8"/>
    <w:rsid w:val="4B635C19"/>
    <w:rsid w:val="4B642592"/>
    <w:rsid w:val="4B69BEAD"/>
    <w:rsid w:val="4B83EF6F"/>
    <w:rsid w:val="4B925D4E"/>
    <w:rsid w:val="4BAA177D"/>
    <w:rsid w:val="4BB761D8"/>
    <w:rsid w:val="4BCF5B45"/>
    <w:rsid w:val="4BEC2C71"/>
    <w:rsid w:val="4BF56A87"/>
    <w:rsid w:val="4C295FD2"/>
    <w:rsid w:val="4C2A6946"/>
    <w:rsid w:val="4C506C4F"/>
    <w:rsid w:val="4C52A16B"/>
    <w:rsid w:val="4C6F2D64"/>
    <w:rsid w:val="4C6FA2CF"/>
    <w:rsid w:val="4C73B2BD"/>
    <w:rsid w:val="4C740029"/>
    <w:rsid w:val="4C75E0DE"/>
    <w:rsid w:val="4C9E544C"/>
    <w:rsid w:val="4CA36A16"/>
    <w:rsid w:val="4CB066CF"/>
    <w:rsid w:val="4CBB08EF"/>
    <w:rsid w:val="4CE177F7"/>
    <w:rsid w:val="4CE5B59C"/>
    <w:rsid w:val="4CFB3B6B"/>
    <w:rsid w:val="4CFE8B78"/>
    <w:rsid w:val="4D0158BD"/>
    <w:rsid w:val="4D11F9F0"/>
    <w:rsid w:val="4D25768E"/>
    <w:rsid w:val="4D29B053"/>
    <w:rsid w:val="4D3A04CC"/>
    <w:rsid w:val="4D5BE90D"/>
    <w:rsid w:val="4D7198D4"/>
    <w:rsid w:val="4D7A1605"/>
    <w:rsid w:val="4D7BD99D"/>
    <w:rsid w:val="4D83EE61"/>
    <w:rsid w:val="4D89889F"/>
    <w:rsid w:val="4D9F9714"/>
    <w:rsid w:val="4DBBA58D"/>
    <w:rsid w:val="4DBEFD83"/>
    <w:rsid w:val="4DC1CCAB"/>
    <w:rsid w:val="4DEDC376"/>
    <w:rsid w:val="4E184BB4"/>
    <w:rsid w:val="4E19443F"/>
    <w:rsid w:val="4E384A0B"/>
    <w:rsid w:val="4E66726A"/>
    <w:rsid w:val="4E7AC06E"/>
    <w:rsid w:val="4E8CF1C3"/>
    <w:rsid w:val="4E8FE570"/>
    <w:rsid w:val="4E974B82"/>
    <w:rsid w:val="4EC1A9FA"/>
    <w:rsid w:val="4ED1E8B2"/>
    <w:rsid w:val="4EE3BC10"/>
    <w:rsid w:val="4F05FEED"/>
    <w:rsid w:val="4F0DEC73"/>
    <w:rsid w:val="4F34750E"/>
    <w:rsid w:val="4F3E8332"/>
    <w:rsid w:val="4F44B3C6"/>
    <w:rsid w:val="4F78A77F"/>
    <w:rsid w:val="4F8F60E6"/>
    <w:rsid w:val="4F96055E"/>
    <w:rsid w:val="4F9AA770"/>
    <w:rsid w:val="4F9BA38F"/>
    <w:rsid w:val="4FAC507F"/>
    <w:rsid w:val="4FBDAB9B"/>
    <w:rsid w:val="4FBF155C"/>
    <w:rsid w:val="4FC4FD62"/>
    <w:rsid w:val="4FD6F5FD"/>
    <w:rsid w:val="4FEE22F5"/>
    <w:rsid w:val="4FF13061"/>
    <w:rsid w:val="50128D74"/>
    <w:rsid w:val="505221DC"/>
    <w:rsid w:val="505478A2"/>
    <w:rsid w:val="50572167"/>
    <w:rsid w:val="50591AB4"/>
    <w:rsid w:val="506DEBF8"/>
    <w:rsid w:val="506E8267"/>
    <w:rsid w:val="508226BF"/>
    <w:rsid w:val="5082615A"/>
    <w:rsid w:val="5098E6A4"/>
    <w:rsid w:val="50D63E4B"/>
    <w:rsid w:val="50DF49EC"/>
    <w:rsid w:val="50DFD5D1"/>
    <w:rsid w:val="50E5AC93"/>
    <w:rsid w:val="50E656FF"/>
    <w:rsid w:val="50F65285"/>
    <w:rsid w:val="51110233"/>
    <w:rsid w:val="5123F2D1"/>
    <w:rsid w:val="51527E63"/>
    <w:rsid w:val="5157C023"/>
    <w:rsid w:val="515F2597"/>
    <w:rsid w:val="516D7044"/>
    <w:rsid w:val="5173919D"/>
    <w:rsid w:val="518BEEBB"/>
    <w:rsid w:val="5190D77C"/>
    <w:rsid w:val="51CEEC44"/>
    <w:rsid w:val="51D72AA4"/>
    <w:rsid w:val="51DB71F9"/>
    <w:rsid w:val="51DD564F"/>
    <w:rsid w:val="51F78563"/>
    <w:rsid w:val="5240EB37"/>
    <w:rsid w:val="5246E5EA"/>
    <w:rsid w:val="52471902"/>
    <w:rsid w:val="52814C00"/>
    <w:rsid w:val="5289B9DB"/>
    <w:rsid w:val="528AC957"/>
    <w:rsid w:val="5290220F"/>
    <w:rsid w:val="52A99B5F"/>
    <w:rsid w:val="52C90AB3"/>
    <w:rsid w:val="52CF9869"/>
    <w:rsid w:val="52D02969"/>
    <w:rsid w:val="52D4578E"/>
    <w:rsid w:val="52F22E2A"/>
    <w:rsid w:val="52FCF41A"/>
    <w:rsid w:val="530A2797"/>
    <w:rsid w:val="5319C04C"/>
    <w:rsid w:val="53313D39"/>
    <w:rsid w:val="53387E15"/>
    <w:rsid w:val="533C65FB"/>
    <w:rsid w:val="533DBD64"/>
    <w:rsid w:val="534A2E36"/>
    <w:rsid w:val="5359B1A5"/>
    <w:rsid w:val="53635693"/>
    <w:rsid w:val="53A3D393"/>
    <w:rsid w:val="53A675CE"/>
    <w:rsid w:val="53CB3E45"/>
    <w:rsid w:val="53DAFBDD"/>
    <w:rsid w:val="53DD6C1F"/>
    <w:rsid w:val="53E864E0"/>
    <w:rsid w:val="53FEB6FF"/>
    <w:rsid w:val="542561EF"/>
    <w:rsid w:val="542699B8"/>
    <w:rsid w:val="544423A8"/>
    <w:rsid w:val="5457C99B"/>
    <w:rsid w:val="546B8FDA"/>
    <w:rsid w:val="546EE1E1"/>
    <w:rsid w:val="54898C75"/>
    <w:rsid w:val="548D9C10"/>
    <w:rsid w:val="54AA9AE7"/>
    <w:rsid w:val="54D7CC9C"/>
    <w:rsid w:val="54F32941"/>
    <w:rsid w:val="5503C880"/>
    <w:rsid w:val="550E0E6F"/>
    <w:rsid w:val="5517C7DD"/>
    <w:rsid w:val="5519BD69"/>
    <w:rsid w:val="552E676C"/>
    <w:rsid w:val="552F8ACC"/>
    <w:rsid w:val="5541E9FB"/>
    <w:rsid w:val="554CE2E3"/>
    <w:rsid w:val="55659167"/>
    <w:rsid w:val="556C6150"/>
    <w:rsid w:val="5571CC9C"/>
    <w:rsid w:val="557A824E"/>
    <w:rsid w:val="559F4996"/>
    <w:rsid w:val="55B14EB6"/>
    <w:rsid w:val="55D35FBD"/>
    <w:rsid w:val="55D6C454"/>
    <w:rsid w:val="55D73FD9"/>
    <w:rsid w:val="55DA3531"/>
    <w:rsid w:val="560DA79A"/>
    <w:rsid w:val="5616198C"/>
    <w:rsid w:val="562D3274"/>
    <w:rsid w:val="567D9447"/>
    <w:rsid w:val="5680AF08"/>
    <w:rsid w:val="5684471D"/>
    <w:rsid w:val="568E9F1A"/>
    <w:rsid w:val="56A83B03"/>
    <w:rsid w:val="56ADAC8A"/>
    <w:rsid w:val="56C158D1"/>
    <w:rsid w:val="56CA45EB"/>
    <w:rsid w:val="57075E69"/>
    <w:rsid w:val="57129C9F"/>
    <w:rsid w:val="5713AC1B"/>
    <w:rsid w:val="5714A83A"/>
    <w:rsid w:val="571A8A25"/>
    <w:rsid w:val="5729C254"/>
    <w:rsid w:val="573B7E9E"/>
    <w:rsid w:val="57409F05"/>
    <w:rsid w:val="575AA5CC"/>
    <w:rsid w:val="57602AEE"/>
    <w:rsid w:val="57692C98"/>
    <w:rsid w:val="576C529F"/>
    <w:rsid w:val="5773389A"/>
    <w:rsid w:val="578A42A7"/>
    <w:rsid w:val="57A0361C"/>
    <w:rsid w:val="57AD38CD"/>
    <w:rsid w:val="57B0E3EC"/>
    <w:rsid w:val="57B52653"/>
    <w:rsid w:val="57E75FCE"/>
    <w:rsid w:val="57EC1A93"/>
    <w:rsid w:val="57FB2012"/>
    <w:rsid w:val="580BEF38"/>
    <w:rsid w:val="581D9F59"/>
    <w:rsid w:val="582E9BA2"/>
    <w:rsid w:val="58311182"/>
    <w:rsid w:val="58311E21"/>
    <w:rsid w:val="5836C7B6"/>
    <w:rsid w:val="584E47B2"/>
    <w:rsid w:val="585E48AF"/>
    <w:rsid w:val="5863DEF7"/>
    <w:rsid w:val="587F95E8"/>
    <w:rsid w:val="58915BF1"/>
    <w:rsid w:val="5894C074"/>
    <w:rsid w:val="5899A588"/>
    <w:rsid w:val="589D4586"/>
    <w:rsid w:val="58A93F33"/>
    <w:rsid w:val="58AE6D00"/>
    <w:rsid w:val="58B7E754"/>
    <w:rsid w:val="58C57218"/>
    <w:rsid w:val="58CD3A71"/>
    <w:rsid w:val="58EC9648"/>
    <w:rsid w:val="590A6907"/>
    <w:rsid w:val="592C47AA"/>
    <w:rsid w:val="59362518"/>
    <w:rsid w:val="594E3275"/>
    <w:rsid w:val="595C44AF"/>
    <w:rsid w:val="5972C163"/>
    <w:rsid w:val="59764B76"/>
    <w:rsid w:val="5987C578"/>
    <w:rsid w:val="599AC6B7"/>
    <w:rsid w:val="599F2BFC"/>
    <w:rsid w:val="59A7BF99"/>
    <w:rsid w:val="59CE802B"/>
    <w:rsid w:val="59CFB1BF"/>
    <w:rsid w:val="59D0A3A7"/>
    <w:rsid w:val="59DFDBC5"/>
    <w:rsid w:val="59F4F857"/>
    <w:rsid w:val="5A0DD33A"/>
    <w:rsid w:val="5A1F412F"/>
    <w:rsid w:val="5A31FF30"/>
    <w:rsid w:val="5A33625C"/>
    <w:rsid w:val="5A3DB5DB"/>
    <w:rsid w:val="5A4824A0"/>
    <w:rsid w:val="5A4A3309"/>
    <w:rsid w:val="5A5FAEE2"/>
    <w:rsid w:val="5A6A1A7A"/>
    <w:rsid w:val="5AA2F647"/>
    <w:rsid w:val="5AC42722"/>
    <w:rsid w:val="5AECC715"/>
    <w:rsid w:val="5AED5B98"/>
    <w:rsid w:val="5AFAF4AF"/>
    <w:rsid w:val="5AFCDD94"/>
    <w:rsid w:val="5B0A24C8"/>
    <w:rsid w:val="5B120394"/>
    <w:rsid w:val="5B1A4D55"/>
    <w:rsid w:val="5B1C3655"/>
    <w:rsid w:val="5B4BD28D"/>
    <w:rsid w:val="5B5602C7"/>
    <w:rsid w:val="5B56FA83"/>
    <w:rsid w:val="5B749D9B"/>
    <w:rsid w:val="5B7B1282"/>
    <w:rsid w:val="5B7CCD2A"/>
    <w:rsid w:val="5B869675"/>
    <w:rsid w:val="5C0A1AFA"/>
    <w:rsid w:val="5C14A7A0"/>
    <w:rsid w:val="5C312538"/>
    <w:rsid w:val="5C31AB9D"/>
    <w:rsid w:val="5C4EF906"/>
    <w:rsid w:val="5C560617"/>
    <w:rsid w:val="5C5D76BE"/>
    <w:rsid w:val="5C69B6A1"/>
    <w:rsid w:val="5C7B0F2B"/>
    <w:rsid w:val="5C929AD3"/>
    <w:rsid w:val="5CAEC4DF"/>
    <w:rsid w:val="5CC4173A"/>
    <w:rsid w:val="5CD791C2"/>
    <w:rsid w:val="5CD8B522"/>
    <w:rsid w:val="5CE81EF9"/>
    <w:rsid w:val="5D034A2C"/>
    <w:rsid w:val="5D076D79"/>
    <w:rsid w:val="5D0B8066"/>
    <w:rsid w:val="5D119EEB"/>
    <w:rsid w:val="5D31B9E1"/>
    <w:rsid w:val="5D419A85"/>
    <w:rsid w:val="5D444FA4"/>
    <w:rsid w:val="5D4D7322"/>
    <w:rsid w:val="5D504484"/>
    <w:rsid w:val="5D673378"/>
    <w:rsid w:val="5D724C15"/>
    <w:rsid w:val="5D80375E"/>
    <w:rsid w:val="5DA3AE43"/>
    <w:rsid w:val="5DBD812A"/>
    <w:rsid w:val="5DE98385"/>
    <w:rsid w:val="5DF698F2"/>
    <w:rsid w:val="5E26E406"/>
    <w:rsid w:val="5E29E896"/>
    <w:rsid w:val="5E2C10F0"/>
    <w:rsid w:val="5E333269"/>
    <w:rsid w:val="5E3DFB3C"/>
    <w:rsid w:val="5E47B9D7"/>
    <w:rsid w:val="5E5D8A0A"/>
    <w:rsid w:val="5E68E59D"/>
    <w:rsid w:val="5E896BC5"/>
    <w:rsid w:val="5E8EBF2C"/>
    <w:rsid w:val="5EAD6F4C"/>
    <w:rsid w:val="5EBBE9BA"/>
    <w:rsid w:val="5EBEFC0C"/>
    <w:rsid w:val="5ED28FC0"/>
    <w:rsid w:val="5EDFCD6F"/>
    <w:rsid w:val="5EE1445D"/>
    <w:rsid w:val="5EF3064C"/>
    <w:rsid w:val="5EFC582C"/>
    <w:rsid w:val="5F29D48E"/>
    <w:rsid w:val="5F3FDD80"/>
    <w:rsid w:val="5F606858"/>
    <w:rsid w:val="5F64FABD"/>
    <w:rsid w:val="5F68C5FA"/>
    <w:rsid w:val="5F7B938B"/>
    <w:rsid w:val="5F881F5D"/>
    <w:rsid w:val="5FB311F7"/>
    <w:rsid w:val="5FCF6771"/>
    <w:rsid w:val="5FD2A706"/>
    <w:rsid w:val="5FE7FA2E"/>
    <w:rsid w:val="5FF808E6"/>
    <w:rsid w:val="5FFF424B"/>
    <w:rsid w:val="6001DB33"/>
    <w:rsid w:val="601493A3"/>
    <w:rsid w:val="6026C3DC"/>
    <w:rsid w:val="603D9182"/>
    <w:rsid w:val="603E76C3"/>
    <w:rsid w:val="60493FAD"/>
    <w:rsid w:val="60799556"/>
    <w:rsid w:val="60828871"/>
    <w:rsid w:val="6090B80D"/>
    <w:rsid w:val="60A84BD8"/>
    <w:rsid w:val="60AD8CFF"/>
    <w:rsid w:val="60C144B5"/>
    <w:rsid w:val="60C50C28"/>
    <w:rsid w:val="60D3DA09"/>
    <w:rsid w:val="60DBF98F"/>
    <w:rsid w:val="60E89D1E"/>
    <w:rsid w:val="61056F05"/>
    <w:rsid w:val="610A7578"/>
    <w:rsid w:val="610A9990"/>
    <w:rsid w:val="610DF166"/>
    <w:rsid w:val="611FCFEF"/>
    <w:rsid w:val="6120D854"/>
    <w:rsid w:val="612DD5D9"/>
    <w:rsid w:val="6152C1BE"/>
    <w:rsid w:val="61992AD1"/>
    <w:rsid w:val="61ADD7DC"/>
    <w:rsid w:val="61C78E79"/>
    <w:rsid w:val="61EA6AE4"/>
    <w:rsid w:val="61EEF3FA"/>
    <w:rsid w:val="62046727"/>
    <w:rsid w:val="62121629"/>
    <w:rsid w:val="621BF17C"/>
    <w:rsid w:val="621C2DC3"/>
    <w:rsid w:val="623A617C"/>
    <w:rsid w:val="6248AFC0"/>
    <w:rsid w:val="624B5C1F"/>
    <w:rsid w:val="62683111"/>
    <w:rsid w:val="6279C302"/>
    <w:rsid w:val="627C518D"/>
    <w:rsid w:val="6290530E"/>
    <w:rsid w:val="629150C3"/>
    <w:rsid w:val="62ADB0ED"/>
    <w:rsid w:val="62AF203E"/>
    <w:rsid w:val="62D15FBA"/>
    <w:rsid w:val="62F1D4BA"/>
    <w:rsid w:val="62F21EEF"/>
    <w:rsid w:val="62FF9B20"/>
    <w:rsid w:val="6302A65B"/>
    <w:rsid w:val="63056DFE"/>
    <w:rsid w:val="6307D15A"/>
    <w:rsid w:val="630A93E1"/>
    <w:rsid w:val="631BB7DA"/>
    <w:rsid w:val="6326B0C2"/>
    <w:rsid w:val="632CA80F"/>
    <w:rsid w:val="63467876"/>
    <w:rsid w:val="636021E9"/>
    <w:rsid w:val="63730870"/>
    <w:rsid w:val="63858CEF"/>
    <w:rsid w:val="639110E2"/>
    <w:rsid w:val="6395BF04"/>
    <w:rsid w:val="639A5AB5"/>
    <w:rsid w:val="63AFA23E"/>
    <w:rsid w:val="63EE828B"/>
    <w:rsid w:val="63F2500E"/>
    <w:rsid w:val="63F5C860"/>
    <w:rsid w:val="63F604A7"/>
    <w:rsid w:val="640B3B8D"/>
    <w:rsid w:val="640DFE14"/>
    <w:rsid w:val="6414E40F"/>
    <w:rsid w:val="643215CE"/>
    <w:rsid w:val="643AC8C5"/>
    <w:rsid w:val="6456D612"/>
    <w:rsid w:val="6469BCDC"/>
    <w:rsid w:val="6483D6BB"/>
    <w:rsid w:val="6495B49D"/>
    <w:rsid w:val="64AD2E80"/>
    <w:rsid w:val="64D60D6D"/>
    <w:rsid w:val="64E1429C"/>
    <w:rsid w:val="64E1A83E"/>
    <w:rsid w:val="64E36151"/>
    <w:rsid w:val="652AD97F"/>
    <w:rsid w:val="652DEBA7"/>
    <w:rsid w:val="6548411C"/>
    <w:rsid w:val="655A436C"/>
    <w:rsid w:val="65632D11"/>
    <w:rsid w:val="657564B0"/>
    <w:rsid w:val="65840578"/>
    <w:rsid w:val="658A52EC"/>
    <w:rsid w:val="65A0D876"/>
    <w:rsid w:val="65A4655A"/>
    <w:rsid w:val="65AF6AB2"/>
    <w:rsid w:val="65B8A021"/>
    <w:rsid w:val="65DD24EB"/>
    <w:rsid w:val="65FBE082"/>
    <w:rsid w:val="6605B571"/>
    <w:rsid w:val="661B52AC"/>
    <w:rsid w:val="662FE5D4"/>
    <w:rsid w:val="664BA87F"/>
    <w:rsid w:val="665DEDA0"/>
    <w:rsid w:val="66715D34"/>
    <w:rsid w:val="6683233D"/>
    <w:rsid w:val="66870FAB"/>
    <w:rsid w:val="6697F2C2"/>
    <w:rsid w:val="669E5AB6"/>
    <w:rsid w:val="66A00C3B"/>
    <w:rsid w:val="66AE65A2"/>
    <w:rsid w:val="66B1F0B0"/>
    <w:rsid w:val="66B4687C"/>
    <w:rsid w:val="66B8E22B"/>
    <w:rsid w:val="66BA53C6"/>
    <w:rsid w:val="66BB4C51"/>
    <w:rsid w:val="66CCBA39"/>
    <w:rsid w:val="66DC7562"/>
    <w:rsid w:val="66E4F2CE"/>
    <w:rsid w:val="66EB4E63"/>
    <w:rsid w:val="66EF2361"/>
    <w:rsid w:val="671EEFD7"/>
    <w:rsid w:val="674B3B13"/>
    <w:rsid w:val="675BCF37"/>
    <w:rsid w:val="675C3C4D"/>
    <w:rsid w:val="67860DF8"/>
    <w:rsid w:val="67A64DFF"/>
    <w:rsid w:val="67B5085E"/>
    <w:rsid w:val="67CB4A1D"/>
    <w:rsid w:val="67DA12D7"/>
    <w:rsid w:val="67E0247D"/>
    <w:rsid w:val="67E6BBD8"/>
    <w:rsid w:val="6801434D"/>
    <w:rsid w:val="681B740F"/>
    <w:rsid w:val="684316BB"/>
    <w:rsid w:val="68545192"/>
    <w:rsid w:val="685F8CFE"/>
    <w:rsid w:val="6865DE52"/>
    <w:rsid w:val="6873D9BA"/>
    <w:rsid w:val="68772935"/>
    <w:rsid w:val="6891FB0C"/>
    <w:rsid w:val="6893B41F"/>
    <w:rsid w:val="68B01BBE"/>
    <w:rsid w:val="68C23023"/>
    <w:rsid w:val="68C52547"/>
    <w:rsid w:val="690A169B"/>
    <w:rsid w:val="69115A08"/>
    <w:rsid w:val="69170CAF"/>
    <w:rsid w:val="691DA1FD"/>
    <w:rsid w:val="691F7C9D"/>
    <w:rsid w:val="69303EA9"/>
    <w:rsid w:val="693AFB23"/>
    <w:rsid w:val="6944CD10"/>
    <w:rsid w:val="6957266B"/>
    <w:rsid w:val="695CFFBD"/>
    <w:rsid w:val="696299FB"/>
    <w:rsid w:val="69985A97"/>
    <w:rsid w:val="69AD5EAC"/>
    <w:rsid w:val="69AD917D"/>
    <w:rsid w:val="69B5E2AE"/>
    <w:rsid w:val="69C55819"/>
    <w:rsid w:val="69CB7F5E"/>
    <w:rsid w:val="69D26C67"/>
    <w:rsid w:val="6A1FF9E6"/>
    <w:rsid w:val="6A3343A5"/>
    <w:rsid w:val="6A38F2D5"/>
    <w:rsid w:val="6A42E716"/>
    <w:rsid w:val="6A4DE192"/>
    <w:rsid w:val="6A4FF0C7"/>
    <w:rsid w:val="6A6593F4"/>
    <w:rsid w:val="6A75AD43"/>
    <w:rsid w:val="6A7C8582"/>
    <w:rsid w:val="6ACD6240"/>
    <w:rsid w:val="6ACE8F47"/>
    <w:rsid w:val="6ACFDB18"/>
    <w:rsid w:val="6AE9C282"/>
    <w:rsid w:val="6AF53493"/>
    <w:rsid w:val="6AFE919A"/>
    <w:rsid w:val="6B071E76"/>
    <w:rsid w:val="6B2FBDFC"/>
    <w:rsid w:val="6B382556"/>
    <w:rsid w:val="6B52F233"/>
    <w:rsid w:val="6B674E9D"/>
    <w:rsid w:val="6B6BFD5D"/>
    <w:rsid w:val="6B6E3343"/>
    <w:rsid w:val="6B8702BF"/>
    <w:rsid w:val="6B9011F4"/>
    <w:rsid w:val="6BAAF84D"/>
    <w:rsid w:val="6BB13DBA"/>
    <w:rsid w:val="6BBB0CA0"/>
    <w:rsid w:val="6BC4CF5B"/>
    <w:rsid w:val="6BE002C6"/>
    <w:rsid w:val="6C0AA4CC"/>
    <w:rsid w:val="6C0FB458"/>
    <w:rsid w:val="6C2EA70A"/>
    <w:rsid w:val="6C44B049"/>
    <w:rsid w:val="6C4938C6"/>
    <w:rsid w:val="6C56BA4E"/>
    <w:rsid w:val="6C6FD480"/>
    <w:rsid w:val="6C72A656"/>
    <w:rsid w:val="6C81C7AF"/>
    <w:rsid w:val="6C88359D"/>
    <w:rsid w:val="6C88675F"/>
    <w:rsid w:val="6C8F7515"/>
    <w:rsid w:val="6CA29875"/>
    <w:rsid w:val="6CB6277A"/>
    <w:rsid w:val="6CC5A4A8"/>
    <w:rsid w:val="6CD45784"/>
    <w:rsid w:val="6CE653DA"/>
    <w:rsid w:val="6CF30E9B"/>
    <w:rsid w:val="6CFB6A14"/>
    <w:rsid w:val="6CFC2E92"/>
    <w:rsid w:val="6D07AC0A"/>
    <w:rsid w:val="6D1303D2"/>
    <w:rsid w:val="6D27C2B5"/>
    <w:rsid w:val="6D2F7F21"/>
    <w:rsid w:val="6D2FA0FB"/>
    <w:rsid w:val="6D453C88"/>
    <w:rsid w:val="6D4A5CEF"/>
    <w:rsid w:val="6D8EB49C"/>
    <w:rsid w:val="6DACB68D"/>
    <w:rsid w:val="6DC4AFFA"/>
    <w:rsid w:val="6DDC271F"/>
    <w:rsid w:val="6E03C0FD"/>
    <w:rsid w:val="6E092652"/>
    <w:rsid w:val="6E28A5F2"/>
    <w:rsid w:val="6E4C62AF"/>
    <w:rsid w:val="6E5D51CF"/>
    <w:rsid w:val="6E62CB37"/>
    <w:rsid w:val="6EA077AB"/>
    <w:rsid w:val="6EA6129C"/>
    <w:rsid w:val="6EBE3A5E"/>
    <w:rsid w:val="6EC81A2D"/>
    <w:rsid w:val="6ED21521"/>
    <w:rsid w:val="6EF1045C"/>
    <w:rsid w:val="6EF212C3"/>
    <w:rsid w:val="6F1426F1"/>
    <w:rsid w:val="6F374C17"/>
    <w:rsid w:val="6F3D0126"/>
    <w:rsid w:val="6F3D33F7"/>
    <w:rsid w:val="6F4D4A76"/>
    <w:rsid w:val="6F531782"/>
    <w:rsid w:val="6F578E79"/>
    <w:rsid w:val="6F6485E0"/>
    <w:rsid w:val="6F6E4CFC"/>
    <w:rsid w:val="6FA5AF15"/>
    <w:rsid w:val="6FAA39C3"/>
    <w:rsid w:val="6FD29A35"/>
    <w:rsid w:val="6FD96FA9"/>
    <w:rsid w:val="6FE52BB7"/>
    <w:rsid w:val="6FEF4917"/>
    <w:rsid w:val="6FF5801D"/>
    <w:rsid w:val="70027CD6"/>
    <w:rsid w:val="70132D05"/>
    <w:rsid w:val="70AC87DC"/>
    <w:rsid w:val="70B3FFCE"/>
    <w:rsid w:val="70B6C255"/>
    <w:rsid w:val="70D968FF"/>
    <w:rsid w:val="71384A10"/>
    <w:rsid w:val="71466F73"/>
    <w:rsid w:val="715393AA"/>
    <w:rsid w:val="71565631"/>
    <w:rsid w:val="71617D76"/>
    <w:rsid w:val="7163D82A"/>
    <w:rsid w:val="716B2775"/>
    <w:rsid w:val="71886425"/>
    <w:rsid w:val="718E53E7"/>
    <w:rsid w:val="71B8F12B"/>
    <w:rsid w:val="71BADD5E"/>
    <w:rsid w:val="71DF07CA"/>
    <w:rsid w:val="71FC5483"/>
    <w:rsid w:val="7213C001"/>
    <w:rsid w:val="72305899"/>
    <w:rsid w:val="724D75E3"/>
    <w:rsid w:val="72588ED0"/>
    <w:rsid w:val="7283FB5F"/>
    <w:rsid w:val="72B9CAAD"/>
    <w:rsid w:val="72BCE46C"/>
    <w:rsid w:val="72C8E8DD"/>
    <w:rsid w:val="72D1F6EB"/>
    <w:rsid w:val="72D5CE6E"/>
    <w:rsid w:val="72E348A0"/>
    <w:rsid w:val="72E79278"/>
    <w:rsid w:val="72F48F31"/>
    <w:rsid w:val="72FC8DC7"/>
    <w:rsid w:val="72FD44E3"/>
    <w:rsid w:val="730231FD"/>
    <w:rsid w:val="732A482D"/>
    <w:rsid w:val="732C3443"/>
    <w:rsid w:val="732C3F32"/>
    <w:rsid w:val="7334D2CF"/>
    <w:rsid w:val="73371310"/>
    <w:rsid w:val="7344389F"/>
    <w:rsid w:val="73513CE5"/>
    <w:rsid w:val="7391AB81"/>
    <w:rsid w:val="73A8639C"/>
    <w:rsid w:val="73C4A20C"/>
    <w:rsid w:val="73CA6723"/>
    <w:rsid w:val="73CB7B5A"/>
    <w:rsid w:val="73D54765"/>
    <w:rsid w:val="73FF8ECB"/>
    <w:rsid w:val="740056DC"/>
    <w:rsid w:val="7436AF13"/>
    <w:rsid w:val="74372CFF"/>
    <w:rsid w:val="7463183A"/>
    <w:rsid w:val="74798C55"/>
    <w:rsid w:val="747C726D"/>
    <w:rsid w:val="7490A4C8"/>
    <w:rsid w:val="74A16893"/>
    <w:rsid w:val="74C1D12A"/>
    <w:rsid w:val="74D11A25"/>
    <w:rsid w:val="74D6C38D"/>
    <w:rsid w:val="74EE66DE"/>
    <w:rsid w:val="75021673"/>
    <w:rsid w:val="7504793D"/>
    <w:rsid w:val="75056554"/>
    <w:rsid w:val="75161114"/>
    <w:rsid w:val="7536A96B"/>
    <w:rsid w:val="75405A86"/>
    <w:rsid w:val="75421386"/>
    <w:rsid w:val="75499B6A"/>
    <w:rsid w:val="754BFCF7"/>
    <w:rsid w:val="754F6876"/>
    <w:rsid w:val="757671AB"/>
    <w:rsid w:val="7577C927"/>
    <w:rsid w:val="758E9259"/>
    <w:rsid w:val="75AC29B1"/>
    <w:rsid w:val="75B37E6D"/>
    <w:rsid w:val="75B4A739"/>
    <w:rsid w:val="75F618CE"/>
    <w:rsid w:val="761C19B2"/>
    <w:rsid w:val="761E518D"/>
    <w:rsid w:val="762135FC"/>
    <w:rsid w:val="762B008C"/>
    <w:rsid w:val="7636FCFD"/>
    <w:rsid w:val="76374385"/>
    <w:rsid w:val="7641D3F7"/>
    <w:rsid w:val="7658F79A"/>
    <w:rsid w:val="766E978B"/>
    <w:rsid w:val="76878DD7"/>
    <w:rsid w:val="768E7C02"/>
    <w:rsid w:val="7690A000"/>
    <w:rsid w:val="7697989F"/>
    <w:rsid w:val="76DDBD5C"/>
    <w:rsid w:val="76DF0744"/>
    <w:rsid w:val="76E280B7"/>
    <w:rsid w:val="771CB2A9"/>
    <w:rsid w:val="7752A725"/>
    <w:rsid w:val="7753F291"/>
    <w:rsid w:val="775C7FA8"/>
    <w:rsid w:val="775E3526"/>
    <w:rsid w:val="776E3649"/>
    <w:rsid w:val="77739711"/>
    <w:rsid w:val="778CA553"/>
    <w:rsid w:val="77981DB3"/>
    <w:rsid w:val="77B8AE80"/>
    <w:rsid w:val="77E7DFD1"/>
    <w:rsid w:val="77FADA0F"/>
    <w:rsid w:val="780843F2"/>
    <w:rsid w:val="7808574F"/>
    <w:rsid w:val="780E2511"/>
    <w:rsid w:val="7829230E"/>
    <w:rsid w:val="7842850E"/>
    <w:rsid w:val="78651CA4"/>
    <w:rsid w:val="7887492C"/>
    <w:rsid w:val="788ADC67"/>
    <w:rsid w:val="78C7A027"/>
    <w:rsid w:val="78CC9855"/>
    <w:rsid w:val="78D6A2DE"/>
    <w:rsid w:val="78DCE475"/>
    <w:rsid w:val="78DF9994"/>
    <w:rsid w:val="78F17C43"/>
    <w:rsid w:val="78F271E4"/>
    <w:rsid w:val="79051CC4"/>
    <w:rsid w:val="79302560"/>
    <w:rsid w:val="79306EAC"/>
    <w:rsid w:val="7936568C"/>
    <w:rsid w:val="793B5684"/>
    <w:rsid w:val="796A83D1"/>
    <w:rsid w:val="797FA045"/>
    <w:rsid w:val="7983E89C"/>
    <w:rsid w:val="798D91D9"/>
    <w:rsid w:val="799ACECC"/>
    <w:rsid w:val="79A41453"/>
    <w:rsid w:val="79AA95CB"/>
    <w:rsid w:val="79CD3149"/>
    <w:rsid w:val="79D1FF55"/>
    <w:rsid w:val="79D24663"/>
    <w:rsid w:val="79D64F22"/>
    <w:rsid w:val="79DC2C0A"/>
    <w:rsid w:val="79E7C924"/>
    <w:rsid w:val="79FFC291"/>
    <w:rsid w:val="7A099DE4"/>
    <w:rsid w:val="7A0FCE78"/>
    <w:rsid w:val="7A4486AF"/>
    <w:rsid w:val="7A4743C3"/>
    <w:rsid w:val="7A68963E"/>
    <w:rsid w:val="7A737AC6"/>
    <w:rsid w:val="7A8D94A5"/>
    <w:rsid w:val="7A8FF285"/>
    <w:rsid w:val="7AA616FF"/>
    <w:rsid w:val="7AA78650"/>
    <w:rsid w:val="7AB6929A"/>
    <w:rsid w:val="7AC2D5C9"/>
    <w:rsid w:val="7ACAF075"/>
    <w:rsid w:val="7AD2CAD2"/>
    <w:rsid w:val="7AD54D6D"/>
    <w:rsid w:val="7AEB0086"/>
    <w:rsid w:val="7AF04F42"/>
    <w:rsid w:val="7B19F49D"/>
    <w:rsid w:val="7B1B2631"/>
    <w:rsid w:val="7B8975A9"/>
    <w:rsid w:val="7B9CBD66"/>
    <w:rsid w:val="7BBB9064"/>
    <w:rsid w:val="7BD29130"/>
    <w:rsid w:val="7BE371F8"/>
    <w:rsid w:val="7BEE6AB9"/>
    <w:rsid w:val="7C011A7F"/>
    <w:rsid w:val="7C181109"/>
    <w:rsid w:val="7C2277E6"/>
    <w:rsid w:val="7C6ED1FA"/>
    <w:rsid w:val="7C8C17D9"/>
    <w:rsid w:val="7C8C1FA3"/>
    <w:rsid w:val="7CDBB515"/>
    <w:rsid w:val="7CF4DD72"/>
    <w:rsid w:val="7CFBB03F"/>
    <w:rsid w:val="7CFE5620"/>
    <w:rsid w:val="7CFF338E"/>
    <w:rsid w:val="7D0B556B"/>
    <w:rsid w:val="7D111FEB"/>
    <w:rsid w:val="7D11814A"/>
    <w:rsid w:val="7D1F3810"/>
    <w:rsid w:val="7D28ADC1"/>
    <w:rsid w:val="7D3DD83A"/>
    <w:rsid w:val="7D4D8903"/>
    <w:rsid w:val="7D5FE941"/>
    <w:rsid w:val="7D777E88"/>
    <w:rsid w:val="7D7E8551"/>
    <w:rsid w:val="7D821BFE"/>
    <w:rsid w:val="7D9DC78B"/>
    <w:rsid w:val="7DAAAD3F"/>
    <w:rsid w:val="7DBAF731"/>
    <w:rsid w:val="7DBD48DC"/>
    <w:rsid w:val="7DC77BE3"/>
    <w:rsid w:val="7DCE83B3"/>
    <w:rsid w:val="7DDF7550"/>
    <w:rsid w:val="7DE03B0A"/>
    <w:rsid w:val="7DE69520"/>
    <w:rsid w:val="7DEFB1B2"/>
    <w:rsid w:val="7E3FA091"/>
    <w:rsid w:val="7E5C3ACF"/>
    <w:rsid w:val="7E66ECAB"/>
    <w:rsid w:val="7E86B4E1"/>
    <w:rsid w:val="7EACF04C"/>
    <w:rsid w:val="7EB01E22"/>
    <w:rsid w:val="7EC7F0BE"/>
    <w:rsid w:val="7ED2AD6F"/>
    <w:rsid w:val="7ED9B6E0"/>
    <w:rsid w:val="7F0A452D"/>
    <w:rsid w:val="7F2E78A0"/>
    <w:rsid w:val="7F39FC93"/>
    <w:rsid w:val="7F4278FB"/>
    <w:rsid w:val="7F56EE2E"/>
    <w:rsid w:val="7F5C5BD8"/>
    <w:rsid w:val="7F711681"/>
    <w:rsid w:val="7F736F8F"/>
    <w:rsid w:val="7F899D9F"/>
    <w:rsid w:val="7F8A006C"/>
    <w:rsid w:val="7F8D511A"/>
    <w:rsid w:val="7FA98A92"/>
    <w:rsid w:val="7FAC5F85"/>
    <w:rsid w:val="7FE0CC8F"/>
    <w:rsid w:val="7FF1244D"/>
    <w:rsid w:val="7FF7615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00951D"/>
  <w15:docId w15:val="{A55BD8C5-CDF3-4AC6-B10E-69EC40ABE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AU" w:eastAsia="en-AU" w:bidi="ar-SA"/>
      </w:rPr>
    </w:rPrDefault>
    <w:pPrDefault>
      <w:pPr>
        <w:spacing w:before="160" w:after="160" w:line="280" w:lineRule="atLeast"/>
      </w:pPr>
    </w:pPrDefault>
  </w:docDefaults>
  <w:latentStyles w:defLockedState="0" w:defUIPriority="1"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uiPriority="99" w:unhideWhenUsed="1"/>
    <w:lsdException w:name="index 2"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lsdException w:name="toc 5" w:semiHidden="1"/>
    <w:lsdException w:name="toc 6" w:semiHidden="1"/>
    <w:lsdException w:name="toc 7" w:semiHidden="1" w:unhideWhenUsed="1"/>
    <w:lsdException w:name="toc 8" w:semiHidden="1" w:unhideWhenUsed="1"/>
    <w:lsdException w:name="toc 9" w:semiHidden="1" w:unhideWhenUsed="1"/>
    <w:lsdException w:name="Normal Indent" w:semiHidden="1" w:qFormat="1"/>
    <w:lsdException w:name="footnote text" w:semiHidden="1" w:uiPriority="8" w:unhideWhenUsed="1"/>
    <w:lsdException w:name="annotation text" w:semiHidden="1" w:unhideWhenUsed="1"/>
    <w:lsdException w:name="header" w:uiPriority="99" w:unhideWhenUsed="1"/>
    <w:lsdException w:name="footer" w:uiPriority="99" w:unhideWhenUsed="1"/>
    <w:lsdException w:name="index heading" w:uiPriority="99" w:unhideWhenUsed="1"/>
    <w:lsdException w:name="caption" w:uiPriority="35" w:unhideWhenUsed="1"/>
    <w:lsdException w:name="table of figures" w:semiHidden="1" w:uiPriority="2"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uiPriority="49" w:unhideWhenUsed="1"/>
    <w:lsdException w:name="endnote reference" w:semiHidden="1" w:unhideWhenUsed="1"/>
    <w:lsdException w:name="endnote text" w:semiHidden="1" w:unhideWhenUsed="1"/>
    <w:lsdException w:name="table of authorities" w:semiHidden="1" w:uiPriority="2" w:unhideWhenUsed="1"/>
    <w:lsdException w:name="macro" w:semiHidden="1" w:unhideWhenUsed="1"/>
    <w:lsdException w:name="toa heading" w:semiHidden="1" w:uiPriority="99"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lsdException w:name="FollowedHyperlink" w:semiHidden="1" w:unhideWhenUsed="1"/>
    <w:lsdException w:name="Strong" w:semiHidden="1" w:qFormat="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lsdException w:name="No Spacing" w:semiHidden="1"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lsdException w:name="Subtle Reference" w:semiHidden="1" w:qFormat="1"/>
    <w:lsdException w:name="Intense Reference" w:semiHidden="1"/>
    <w:lsdException w:name="Book Title" w:semiHidden="1"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rsid w:val="00876171"/>
  </w:style>
  <w:style w:type="paragraph" w:styleId="Heading1">
    <w:name w:val="heading 1"/>
    <w:basedOn w:val="Normal"/>
    <w:next w:val="SCVbody"/>
    <w:link w:val="Heading1Char"/>
    <w:qFormat/>
    <w:rsid w:val="00C15DBE"/>
    <w:pPr>
      <w:keepNext/>
      <w:keepLines/>
      <w:suppressAutoHyphens/>
      <w:spacing w:before="320" w:line="240" w:lineRule="auto"/>
      <w:outlineLvl w:val="0"/>
    </w:pPr>
    <w:rPr>
      <w:rFonts w:asciiTheme="majorHAnsi" w:eastAsiaTheme="majorEastAsia" w:hAnsiTheme="majorHAnsi" w:cstheme="majorBidi"/>
      <w:b/>
      <w:bCs/>
      <w:color w:val="007586" w:themeColor="text2"/>
      <w:sz w:val="32"/>
      <w:szCs w:val="32"/>
    </w:rPr>
  </w:style>
  <w:style w:type="paragraph" w:styleId="Heading2">
    <w:name w:val="heading 2"/>
    <w:basedOn w:val="Normal"/>
    <w:next w:val="SCVbody"/>
    <w:link w:val="Heading2Char"/>
    <w:qFormat/>
    <w:rsid w:val="00385D03"/>
    <w:pPr>
      <w:keepNext/>
      <w:keepLines/>
      <w:spacing w:before="280" w:after="80" w:line="240" w:lineRule="auto"/>
      <w:outlineLvl w:val="1"/>
    </w:pPr>
    <w:rPr>
      <w:rFonts w:asciiTheme="majorHAnsi" w:eastAsiaTheme="majorEastAsia" w:hAnsiTheme="majorHAnsi" w:cstheme="majorBidi"/>
      <w:b/>
      <w:bCs/>
      <w:sz w:val="26"/>
      <w:szCs w:val="26"/>
    </w:rPr>
  </w:style>
  <w:style w:type="paragraph" w:styleId="Heading3">
    <w:name w:val="heading 3"/>
    <w:basedOn w:val="Normal"/>
    <w:next w:val="SCVbody"/>
    <w:link w:val="Heading3Char"/>
    <w:qFormat/>
    <w:rsid w:val="00385D03"/>
    <w:pPr>
      <w:keepNext/>
      <w:keepLines/>
      <w:spacing w:before="240" w:after="80" w:line="240" w:lineRule="auto"/>
      <w:outlineLvl w:val="2"/>
    </w:pPr>
    <w:rPr>
      <w:rFonts w:asciiTheme="majorHAnsi" w:eastAsiaTheme="majorEastAsia" w:hAnsiTheme="majorHAnsi" w:cstheme="majorBidi"/>
      <w:b/>
      <w:bCs/>
      <w:color w:val="007586" w:themeColor="text2"/>
      <w:sz w:val="24"/>
      <w:szCs w:val="22"/>
    </w:rPr>
  </w:style>
  <w:style w:type="paragraph" w:styleId="Heading4">
    <w:name w:val="heading 4"/>
    <w:basedOn w:val="Normal"/>
    <w:next w:val="SCVbody"/>
    <w:link w:val="Heading4Char"/>
    <w:qFormat/>
    <w:rsid w:val="00515958"/>
    <w:pPr>
      <w:keepNext/>
      <w:keepLines/>
      <w:spacing w:before="320" w:after="70" w:line="240" w:lineRule="auto"/>
      <w:outlineLvl w:val="3"/>
    </w:pPr>
    <w:rPr>
      <w:rFonts w:asciiTheme="majorHAnsi" w:eastAsiaTheme="majorEastAsia" w:hAnsiTheme="majorHAnsi" w:cstheme="majorBidi"/>
      <w:b/>
      <w:bCs/>
      <w:iCs/>
      <w:color w:val="000000" w:themeColor="text1"/>
    </w:rPr>
  </w:style>
  <w:style w:type="paragraph" w:styleId="Heading5">
    <w:name w:val="heading 5"/>
    <w:basedOn w:val="Normal"/>
    <w:next w:val="SCVbody"/>
    <w:link w:val="Heading5Char"/>
    <w:uiPriority w:val="1"/>
    <w:semiHidden/>
    <w:qFormat/>
    <w:rsid w:val="00B15592"/>
    <w:pPr>
      <w:keepNext/>
      <w:keepLines/>
      <w:spacing w:before="280" w:after="80" w:line="264" w:lineRule="auto"/>
      <w:outlineLvl w:val="4"/>
    </w:pPr>
    <w:rPr>
      <w:rFonts w:asciiTheme="majorHAnsi" w:eastAsiaTheme="majorEastAsia" w:hAnsiTheme="majorHAnsi" w:cstheme="majorBidi"/>
      <w:color w:val="141A1F"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
    <w:name w:val="Light Shading"/>
    <w:basedOn w:val="TableNormal"/>
    <w:uiPriority w:val="60"/>
    <w:semiHidden/>
    <w:rsid w:val="0082194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39"/>
    <w:rsid w:val="00350441"/>
    <w:pPr>
      <w:spacing w:before="0" w:after="0" w:line="240" w:lineRule="auto"/>
    </w:pPr>
    <w:rPr>
      <w:rFonts w:eastAsiaTheme="minorHAnsi"/>
      <w:sz w:val="22"/>
      <w:szCs w:val="22"/>
      <w:lang w:eastAsia="en-US"/>
    </w:rPr>
    <w:tblPr>
      <w:tblBorders>
        <w:top w:val="single" w:sz="2" w:space="0" w:color="80808B"/>
        <w:bottom w:val="single" w:sz="2" w:space="0" w:color="80808B"/>
        <w:insideH w:val="single" w:sz="2" w:space="0" w:color="80808B"/>
      </w:tblBorders>
    </w:tblPr>
    <w:tblStylePr w:type="firstRow">
      <w:tblPr/>
      <w:tcPr>
        <w:tcBorders>
          <w:top w:val="nil"/>
          <w:left w:val="nil"/>
          <w:bottom w:val="single" w:sz="24" w:space="0" w:color="CCCCD0"/>
          <w:right w:val="nil"/>
          <w:insideH w:val="nil"/>
          <w:insideV w:val="nil"/>
          <w:tl2br w:val="nil"/>
          <w:tr2bl w:val="nil"/>
        </w:tcBorders>
        <w:shd w:val="clear" w:color="auto" w:fill="EDF5F7" w:themeFill="background2"/>
      </w:tcPr>
    </w:tblStylePr>
  </w:style>
  <w:style w:type="table" w:styleId="LightList-Accent4">
    <w:name w:val="Light List Accent 4"/>
    <w:basedOn w:val="TableNormal"/>
    <w:uiPriority w:val="61"/>
    <w:semiHidden/>
    <w:rsid w:val="009A674F"/>
    <w:pPr>
      <w:spacing w:after="0" w:line="240" w:lineRule="auto"/>
    </w:pPr>
    <w:tblPr>
      <w:tblStyleRowBandSize w:val="1"/>
      <w:tblStyleColBandSize w:val="1"/>
      <w:tblBorders>
        <w:top w:val="single" w:sz="8" w:space="0" w:color="004C97" w:themeColor="accent4"/>
        <w:left w:val="single" w:sz="8" w:space="0" w:color="004C97" w:themeColor="accent4"/>
        <w:bottom w:val="single" w:sz="8" w:space="0" w:color="004C97" w:themeColor="accent4"/>
        <w:right w:val="single" w:sz="8" w:space="0" w:color="004C97" w:themeColor="accent4"/>
      </w:tblBorders>
    </w:tblPr>
    <w:tblStylePr w:type="firstRow">
      <w:pPr>
        <w:spacing w:before="0" w:after="0" w:line="240" w:lineRule="auto"/>
      </w:pPr>
      <w:rPr>
        <w:b/>
        <w:bCs/>
        <w:color w:val="FFFFFF" w:themeColor="background1"/>
      </w:rPr>
      <w:tblPr/>
      <w:tcPr>
        <w:shd w:val="clear" w:color="auto" w:fill="004C97" w:themeFill="accent4"/>
      </w:tcPr>
    </w:tblStylePr>
    <w:tblStylePr w:type="lastRow">
      <w:pPr>
        <w:spacing w:before="0" w:after="0" w:line="240" w:lineRule="auto"/>
      </w:pPr>
      <w:rPr>
        <w:b/>
        <w:bCs/>
      </w:rPr>
      <w:tblPr/>
      <w:tcPr>
        <w:tcBorders>
          <w:top w:val="double" w:sz="6" w:space="0" w:color="004C97" w:themeColor="accent4"/>
          <w:left w:val="single" w:sz="8" w:space="0" w:color="004C97" w:themeColor="accent4"/>
          <w:bottom w:val="single" w:sz="8" w:space="0" w:color="004C97" w:themeColor="accent4"/>
          <w:right w:val="single" w:sz="8" w:space="0" w:color="004C97" w:themeColor="accent4"/>
        </w:tcBorders>
      </w:tcPr>
    </w:tblStylePr>
    <w:tblStylePr w:type="firstCol">
      <w:rPr>
        <w:b/>
        <w:bCs/>
      </w:rPr>
    </w:tblStylePr>
    <w:tblStylePr w:type="lastCol">
      <w:rPr>
        <w:b/>
        <w:bCs/>
      </w:rPr>
    </w:tblStylePr>
    <w:tblStylePr w:type="band1Vert">
      <w:tblPr/>
      <w:tcPr>
        <w:tcBorders>
          <w:top w:val="single" w:sz="8" w:space="0" w:color="004C97" w:themeColor="accent4"/>
          <w:left w:val="single" w:sz="8" w:space="0" w:color="004C97" w:themeColor="accent4"/>
          <w:bottom w:val="single" w:sz="8" w:space="0" w:color="004C97" w:themeColor="accent4"/>
          <w:right w:val="single" w:sz="8" w:space="0" w:color="004C97" w:themeColor="accent4"/>
        </w:tcBorders>
      </w:tcPr>
    </w:tblStylePr>
    <w:tblStylePr w:type="band1Horz">
      <w:tblPr/>
      <w:tcPr>
        <w:tcBorders>
          <w:top w:val="single" w:sz="8" w:space="0" w:color="004C97" w:themeColor="accent4"/>
          <w:left w:val="single" w:sz="8" w:space="0" w:color="004C97" w:themeColor="accent4"/>
          <w:bottom w:val="single" w:sz="8" w:space="0" w:color="004C97" w:themeColor="accent4"/>
          <w:right w:val="single" w:sz="8" w:space="0" w:color="004C97" w:themeColor="accent4"/>
        </w:tcBorders>
      </w:tcPr>
    </w:tblStylePr>
  </w:style>
  <w:style w:type="table" w:styleId="LightList-Accent1">
    <w:name w:val="Light List Accent 1"/>
    <w:basedOn w:val="TableNormal"/>
    <w:uiPriority w:val="61"/>
    <w:semiHidden/>
    <w:rsid w:val="009A674F"/>
    <w:pPr>
      <w:spacing w:after="0" w:line="240" w:lineRule="auto"/>
    </w:pPr>
    <w:tblPr>
      <w:tblStyleRowBandSize w:val="1"/>
      <w:tblStyleColBandSize w:val="1"/>
      <w:tblBorders>
        <w:top w:val="single" w:sz="8" w:space="0" w:color="1B242A" w:themeColor="accent1"/>
        <w:left w:val="single" w:sz="8" w:space="0" w:color="1B242A" w:themeColor="accent1"/>
        <w:bottom w:val="single" w:sz="8" w:space="0" w:color="1B242A" w:themeColor="accent1"/>
        <w:right w:val="single" w:sz="8" w:space="0" w:color="1B242A" w:themeColor="accent1"/>
      </w:tblBorders>
    </w:tblPr>
    <w:tblStylePr w:type="firstRow">
      <w:pPr>
        <w:spacing w:before="0" w:after="0" w:line="240" w:lineRule="auto"/>
      </w:pPr>
      <w:rPr>
        <w:b/>
        <w:bCs/>
        <w:color w:val="FFFFFF" w:themeColor="background1"/>
      </w:rPr>
      <w:tblPr/>
      <w:tcPr>
        <w:shd w:val="clear" w:color="auto" w:fill="1B242A" w:themeFill="accent1"/>
      </w:tcPr>
    </w:tblStylePr>
    <w:tblStylePr w:type="lastRow">
      <w:pPr>
        <w:spacing w:before="0" w:after="0" w:line="240" w:lineRule="auto"/>
      </w:pPr>
      <w:rPr>
        <w:b/>
        <w:bCs/>
      </w:rPr>
      <w:tblPr/>
      <w:tcPr>
        <w:tcBorders>
          <w:top w:val="double" w:sz="6" w:space="0" w:color="1B242A" w:themeColor="accent1"/>
          <w:left w:val="single" w:sz="8" w:space="0" w:color="1B242A" w:themeColor="accent1"/>
          <w:bottom w:val="single" w:sz="8" w:space="0" w:color="1B242A" w:themeColor="accent1"/>
          <w:right w:val="single" w:sz="8" w:space="0" w:color="1B242A" w:themeColor="accent1"/>
        </w:tcBorders>
      </w:tcPr>
    </w:tblStylePr>
    <w:tblStylePr w:type="firstCol">
      <w:rPr>
        <w:b/>
        <w:bCs/>
      </w:rPr>
    </w:tblStylePr>
    <w:tblStylePr w:type="lastCol">
      <w:rPr>
        <w:b/>
        <w:bCs/>
      </w:rPr>
    </w:tblStylePr>
    <w:tblStylePr w:type="band1Vert">
      <w:tblPr/>
      <w:tcPr>
        <w:tcBorders>
          <w:top w:val="single" w:sz="8" w:space="0" w:color="1B242A" w:themeColor="accent1"/>
          <w:left w:val="single" w:sz="8" w:space="0" w:color="1B242A" w:themeColor="accent1"/>
          <w:bottom w:val="single" w:sz="8" w:space="0" w:color="1B242A" w:themeColor="accent1"/>
          <w:right w:val="single" w:sz="8" w:space="0" w:color="1B242A" w:themeColor="accent1"/>
        </w:tcBorders>
      </w:tcPr>
    </w:tblStylePr>
    <w:tblStylePr w:type="band1Horz">
      <w:tblPr/>
      <w:tcPr>
        <w:tcBorders>
          <w:top w:val="single" w:sz="8" w:space="0" w:color="1B242A" w:themeColor="accent1"/>
          <w:left w:val="single" w:sz="8" w:space="0" w:color="1B242A" w:themeColor="accent1"/>
          <w:bottom w:val="single" w:sz="8" w:space="0" w:color="1B242A" w:themeColor="accent1"/>
          <w:right w:val="single" w:sz="8" w:space="0" w:color="1B242A" w:themeColor="accent1"/>
        </w:tcBorders>
      </w:tcPr>
    </w:tblStylePr>
  </w:style>
  <w:style w:type="paragraph" w:styleId="TOC1">
    <w:name w:val="toc 1"/>
    <w:basedOn w:val="Normal"/>
    <w:next w:val="Normal"/>
    <w:uiPriority w:val="39"/>
    <w:rsid w:val="00994B72"/>
    <w:pPr>
      <w:keepNext/>
      <w:keepLines/>
      <w:pBdr>
        <w:bottom w:val="single" w:sz="2" w:space="1" w:color="000016"/>
        <w:between w:val="single" w:sz="2" w:space="1" w:color="000000" w:themeColor="text1"/>
      </w:pBdr>
      <w:tabs>
        <w:tab w:val="right" w:pos="10206"/>
      </w:tabs>
      <w:spacing w:before="120" w:after="0"/>
      <w:ind w:right="57"/>
    </w:pPr>
    <w:rPr>
      <w:b/>
      <w:noProof/>
      <w:lang w:eastAsia="en-US"/>
    </w:rPr>
  </w:style>
  <w:style w:type="paragraph" w:styleId="TOC2">
    <w:name w:val="toc 2"/>
    <w:basedOn w:val="Normal"/>
    <w:next w:val="Normal"/>
    <w:uiPriority w:val="39"/>
    <w:rsid w:val="00994B72"/>
    <w:pPr>
      <w:keepLines/>
      <w:pBdr>
        <w:bottom w:val="single" w:sz="2" w:space="1" w:color="000000" w:themeColor="text1"/>
        <w:between w:val="single" w:sz="2" w:space="1" w:color="000000" w:themeColor="text1"/>
      </w:pBdr>
      <w:tabs>
        <w:tab w:val="left" w:pos="340"/>
        <w:tab w:val="right" w:pos="10206"/>
      </w:tabs>
      <w:spacing w:before="40" w:after="0" w:line="240" w:lineRule="auto"/>
      <w:ind w:right="57"/>
    </w:pPr>
    <w:rPr>
      <w:b/>
      <w:noProof/>
      <w:color w:val="007586" w:themeColor="text2"/>
    </w:rPr>
  </w:style>
  <w:style w:type="paragraph" w:styleId="TOC3">
    <w:name w:val="toc 3"/>
    <w:basedOn w:val="TOC2"/>
    <w:next w:val="Normal"/>
    <w:uiPriority w:val="39"/>
    <w:rsid w:val="00E739E4"/>
    <w:pPr>
      <w:spacing w:before="0" w:line="280" w:lineRule="atLeast"/>
    </w:pPr>
    <w:rPr>
      <w:b w:val="0"/>
      <w:bCs/>
      <w:color w:val="000000" w:themeColor="text1"/>
    </w:rPr>
  </w:style>
  <w:style w:type="paragraph" w:styleId="Index1">
    <w:name w:val="index 1"/>
    <w:basedOn w:val="Normal"/>
    <w:next w:val="Normal"/>
    <w:uiPriority w:val="1"/>
    <w:semiHidden/>
    <w:rsid w:val="00DA3AAD"/>
    <w:pPr>
      <w:spacing w:after="60" w:line="240" w:lineRule="auto"/>
    </w:pPr>
    <w:rPr>
      <w:sz w:val="16"/>
    </w:rPr>
  </w:style>
  <w:style w:type="paragraph" w:styleId="Index2">
    <w:name w:val="index 2"/>
    <w:basedOn w:val="Normal"/>
    <w:next w:val="Normal"/>
    <w:uiPriority w:val="1"/>
    <w:semiHidden/>
    <w:rsid w:val="00014B55"/>
    <w:pPr>
      <w:spacing w:after="0" w:line="240" w:lineRule="auto"/>
      <w:ind w:left="216"/>
    </w:pPr>
    <w:rPr>
      <w:sz w:val="16"/>
      <w:szCs w:val="16"/>
    </w:rPr>
  </w:style>
  <w:style w:type="character" w:styleId="Hyperlink">
    <w:name w:val="Hyperlink"/>
    <w:basedOn w:val="DefaultParagraphFont"/>
    <w:uiPriority w:val="99"/>
    <w:rsid w:val="00AD1351"/>
    <w:rPr>
      <w:color w:val="004C97"/>
      <w:u w:val="single"/>
    </w:rPr>
  </w:style>
  <w:style w:type="character" w:customStyle="1" w:styleId="Heading1Char">
    <w:name w:val="Heading 1 Char"/>
    <w:basedOn w:val="DefaultParagraphFont"/>
    <w:link w:val="Heading1"/>
    <w:rsid w:val="00C15DBE"/>
    <w:rPr>
      <w:rFonts w:asciiTheme="majorHAnsi" w:eastAsiaTheme="majorEastAsia" w:hAnsiTheme="majorHAnsi" w:cstheme="majorBidi"/>
      <w:b/>
      <w:bCs/>
      <w:color w:val="007586" w:themeColor="text2"/>
      <w:sz w:val="32"/>
      <w:szCs w:val="32"/>
    </w:rPr>
  </w:style>
  <w:style w:type="character" w:customStyle="1" w:styleId="Heading2Char">
    <w:name w:val="Heading 2 Char"/>
    <w:basedOn w:val="DefaultParagraphFont"/>
    <w:link w:val="Heading2"/>
    <w:rsid w:val="00385D03"/>
    <w:rPr>
      <w:rFonts w:asciiTheme="majorHAnsi" w:eastAsiaTheme="majorEastAsia" w:hAnsiTheme="majorHAnsi" w:cstheme="majorBidi"/>
      <w:b/>
      <w:bCs/>
      <w:sz w:val="26"/>
      <w:szCs w:val="26"/>
    </w:rPr>
  </w:style>
  <w:style w:type="paragraph" w:customStyle="1" w:styleId="SCVbullet1">
    <w:name w:val="SCV bullet 1"/>
    <w:basedOn w:val="SCVbody"/>
    <w:uiPriority w:val="9"/>
    <w:qFormat/>
    <w:rsid w:val="00316FC9"/>
    <w:pPr>
      <w:numPr>
        <w:numId w:val="4"/>
      </w:numPr>
      <w:spacing w:before="60" w:after="60"/>
    </w:pPr>
  </w:style>
  <w:style w:type="paragraph" w:customStyle="1" w:styleId="SCVbullet2">
    <w:name w:val="SCV bullet 2"/>
    <w:basedOn w:val="SCVbullet1"/>
    <w:uiPriority w:val="9"/>
    <w:qFormat/>
    <w:rsid w:val="00316FC9"/>
    <w:pPr>
      <w:numPr>
        <w:ilvl w:val="1"/>
      </w:numPr>
    </w:pPr>
  </w:style>
  <w:style w:type="paragraph" w:styleId="Quote">
    <w:name w:val="Quote"/>
    <w:basedOn w:val="Normal"/>
    <w:next w:val="Normal"/>
    <w:link w:val="QuoteChar"/>
    <w:uiPriority w:val="1"/>
    <w:semiHidden/>
    <w:qFormat/>
    <w:rsid w:val="00A05EBC"/>
    <w:pPr>
      <w:ind w:left="567" w:right="567"/>
      <w:jc w:val="center"/>
    </w:pPr>
    <w:rPr>
      <w:i/>
      <w:iCs/>
      <w:color w:val="000000" w:themeColor="text1"/>
    </w:rPr>
  </w:style>
  <w:style w:type="paragraph" w:customStyle="1" w:styleId="SCVbody">
    <w:name w:val="SCV body"/>
    <w:basedOn w:val="Normal"/>
    <w:link w:val="SCVbodyChar"/>
    <w:qFormat/>
    <w:rsid w:val="000D1042"/>
  </w:style>
  <w:style w:type="paragraph" w:customStyle="1" w:styleId="SCVfigurecaption">
    <w:name w:val="SCV figure caption"/>
    <w:basedOn w:val="SCVtablecaption"/>
    <w:uiPriority w:val="14"/>
    <w:qFormat/>
    <w:rsid w:val="00B15592"/>
    <w:pPr>
      <w:spacing w:before="300"/>
    </w:pPr>
  </w:style>
  <w:style w:type="paragraph" w:customStyle="1" w:styleId="SCVbodyafterheading">
    <w:name w:val="SCV body after heading"/>
    <w:basedOn w:val="SCVbody"/>
    <w:qFormat/>
    <w:rsid w:val="00CC6087"/>
    <w:pPr>
      <w:spacing w:before="0"/>
    </w:pPr>
  </w:style>
  <w:style w:type="character" w:customStyle="1" w:styleId="Heading3Char">
    <w:name w:val="Heading 3 Char"/>
    <w:basedOn w:val="DefaultParagraphFont"/>
    <w:link w:val="Heading3"/>
    <w:rsid w:val="00385D03"/>
    <w:rPr>
      <w:rFonts w:asciiTheme="majorHAnsi" w:eastAsiaTheme="majorEastAsia" w:hAnsiTheme="majorHAnsi" w:cstheme="majorBidi"/>
      <w:b/>
      <w:bCs/>
      <w:color w:val="007586" w:themeColor="text2"/>
      <w:sz w:val="24"/>
      <w:szCs w:val="22"/>
    </w:rPr>
  </w:style>
  <w:style w:type="numbering" w:customStyle="1" w:styleId="ZZBullets">
    <w:name w:val="ZZ Bullets"/>
    <w:basedOn w:val="NoList"/>
    <w:uiPriority w:val="99"/>
    <w:rsid w:val="00E739E4"/>
    <w:pPr>
      <w:numPr>
        <w:numId w:val="4"/>
      </w:numPr>
    </w:pPr>
  </w:style>
  <w:style w:type="character" w:customStyle="1" w:styleId="Heading4Char">
    <w:name w:val="Heading 4 Char"/>
    <w:basedOn w:val="DefaultParagraphFont"/>
    <w:link w:val="Heading4"/>
    <w:rsid w:val="00515958"/>
    <w:rPr>
      <w:rFonts w:asciiTheme="majorHAnsi" w:eastAsiaTheme="majorEastAsia" w:hAnsiTheme="majorHAnsi" w:cstheme="majorBidi"/>
      <w:b/>
      <w:bCs/>
      <w:iCs/>
      <w:color w:val="000000" w:themeColor="text1"/>
    </w:rPr>
  </w:style>
  <w:style w:type="paragraph" w:customStyle="1" w:styleId="SCVfactsheettitle">
    <w:name w:val="SCV factsheet title"/>
    <w:uiPriority w:val="29"/>
    <w:rsid w:val="00521CA5"/>
    <w:pPr>
      <w:keepLines/>
      <w:suppressAutoHyphens/>
      <w:spacing w:line="216" w:lineRule="auto"/>
    </w:pPr>
    <w:rPr>
      <w:rFonts w:asciiTheme="majorHAnsi" w:eastAsia="Times New Roman" w:hAnsiTheme="majorHAnsi" w:cstheme="majorHAnsi"/>
      <w:b/>
      <w:color w:val="007586" w:themeColor="text2"/>
      <w:spacing w:val="-2"/>
      <w:sz w:val="48"/>
      <w:szCs w:val="48"/>
    </w:rPr>
  </w:style>
  <w:style w:type="paragraph" w:customStyle="1" w:styleId="SCVtablefigurenote">
    <w:name w:val="SCV table/figure note"/>
    <w:basedOn w:val="Normal"/>
    <w:uiPriority w:val="29"/>
    <w:rsid w:val="002D6F3C"/>
    <w:pPr>
      <w:spacing w:before="80" w:after="80" w:line="264" w:lineRule="auto"/>
    </w:pPr>
    <w:rPr>
      <w:sz w:val="17"/>
      <w:szCs w:val="17"/>
    </w:rPr>
  </w:style>
  <w:style w:type="paragraph" w:customStyle="1" w:styleId="Spacer">
    <w:name w:val="Spacer"/>
    <w:basedOn w:val="Normal"/>
    <w:uiPriority w:val="1"/>
    <w:semiHidden/>
    <w:qFormat/>
    <w:rsid w:val="00165E66"/>
    <w:pPr>
      <w:spacing w:before="0" w:after="0" w:line="120" w:lineRule="atLeast"/>
    </w:pPr>
    <w:rPr>
      <w:rFonts w:eastAsia="Times New Roman" w:cs="Calibri"/>
      <w:sz w:val="10"/>
      <w:szCs w:val="22"/>
    </w:rPr>
  </w:style>
  <w:style w:type="paragraph" w:styleId="Subtitle">
    <w:name w:val="Subtitle"/>
    <w:next w:val="Normal"/>
    <w:link w:val="SubtitleChar"/>
    <w:uiPriority w:val="99"/>
    <w:semiHidden/>
    <w:rsid w:val="00A46288"/>
    <w:pPr>
      <w:framePr w:hSpace="181" w:wrap="around" w:vAnchor="page" w:hAnchor="margin" w:y="11965"/>
      <w:spacing w:before="0" w:after="0" w:line="240" w:lineRule="auto"/>
      <w:suppressOverlap/>
    </w:pPr>
    <w:rPr>
      <w:rFonts w:asciiTheme="majorHAnsi" w:eastAsia="Times New Roman" w:hAnsiTheme="majorHAnsi" w:cstheme="majorHAnsi"/>
      <w:color w:val="000000" w:themeColor="text1"/>
      <w:spacing w:val="-2"/>
      <w:sz w:val="50"/>
      <w:szCs w:val="24"/>
    </w:rPr>
  </w:style>
  <w:style w:type="character" w:customStyle="1" w:styleId="SubtitleChar">
    <w:name w:val="Subtitle Char"/>
    <w:basedOn w:val="DefaultParagraphFont"/>
    <w:link w:val="Subtitle"/>
    <w:uiPriority w:val="99"/>
    <w:semiHidden/>
    <w:rsid w:val="00345B45"/>
    <w:rPr>
      <w:rFonts w:asciiTheme="majorHAnsi" w:eastAsia="Times New Roman" w:hAnsiTheme="majorHAnsi" w:cstheme="majorHAnsi"/>
      <w:color w:val="000000" w:themeColor="text1"/>
      <w:spacing w:val="-2"/>
      <w:sz w:val="50"/>
      <w:szCs w:val="24"/>
    </w:rPr>
  </w:style>
  <w:style w:type="paragraph" w:styleId="TOC4">
    <w:name w:val="toc 4"/>
    <w:basedOn w:val="Normal"/>
    <w:next w:val="Normal"/>
    <w:autoRedefine/>
    <w:uiPriority w:val="99"/>
    <w:rsid w:val="00ED64F1"/>
    <w:pPr>
      <w:spacing w:after="100"/>
      <w:ind w:left="600"/>
    </w:pPr>
  </w:style>
  <w:style w:type="paragraph" w:styleId="Title">
    <w:name w:val="Title"/>
    <w:next w:val="Subtitle"/>
    <w:link w:val="TitleChar"/>
    <w:uiPriority w:val="99"/>
    <w:semiHidden/>
    <w:rsid w:val="004B64B1"/>
    <w:pPr>
      <w:framePr w:hSpace="181" w:wrap="around" w:vAnchor="page" w:hAnchor="page" w:x="455" w:y="12021"/>
      <w:spacing w:before="0" w:after="40" w:line="240" w:lineRule="auto"/>
      <w:ind w:right="284"/>
      <w:contextualSpacing/>
      <w:suppressOverlap/>
    </w:pPr>
    <w:rPr>
      <w:rFonts w:asciiTheme="majorHAnsi" w:eastAsia="Times New Roman" w:hAnsiTheme="majorHAnsi" w:cstheme="majorHAnsi"/>
      <w:b/>
      <w:color w:val="007586" w:themeColor="text2"/>
      <w:spacing w:val="-2"/>
      <w:sz w:val="76"/>
      <w:szCs w:val="22"/>
    </w:rPr>
  </w:style>
  <w:style w:type="character" w:customStyle="1" w:styleId="TitleChar">
    <w:name w:val="Title Char"/>
    <w:basedOn w:val="DefaultParagraphFont"/>
    <w:link w:val="Title"/>
    <w:uiPriority w:val="99"/>
    <w:semiHidden/>
    <w:rsid w:val="00345B45"/>
    <w:rPr>
      <w:rFonts w:asciiTheme="majorHAnsi" w:eastAsia="Times New Roman" w:hAnsiTheme="majorHAnsi" w:cstheme="majorHAnsi"/>
      <w:b/>
      <w:color w:val="007586" w:themeColor="text2"/>
      <w:spacing w:val="-2"/>
      <w:sz w:val="76"/>
      <w:szCs w:val="22"/>
    </w:rPr>
  </w:style>
  <w:style w:type="paragraph" w:styleId="BalloonText">
    <w:name w:val="Balloon Text"/>
    <w:basedOn w:val="Normal"/>
    <w:link w:val="BalloonTextChar"/>
    <w:uiPriority w:val="1"/>
    <w:semiHidden/>
    <w:rsid w:val="002320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1"/>
    <w:semiHidden/>
    <w:rsid w:val="00A05EBC"/>
    <w:rPr>
      <w:rFonts w:ascii="Tahoma" w:hAnsi="Tahoma" w:cs="Tahoma"/>
      <w:sz w:val="16"/>
      <w:szCs w:val="16"/>
    </w:rPr>
  </w:style>
  <w:style w:type="character" w:customStyle="1" w:styleId="QuoteChar">
    <w:name w:val="Quote Char"/>
    <w:basedOn w:val="DefaultParagraphFont"/>
    <w:link w:val="Quote"/>
    <w:uiPriority w:val="1"/>
    <w:semiHidden/>
    <w:rsid w:val="00345B45"/>
    <w:rPr>
      <w:i/>
      <w:iCs/>
      <w:color w:val="000000" w:themeColor="text1"/>
    </w:rPr>
  </w:style>
  <w:style w:type="paragraph" w:styleId="IndexHeading">
    <w:name w:val="index heading"/>
    <w:basedOn w:val="Normal"/>
    <w:next w:val="Index1"/>
    <w:uiPriority w:val="1"/>
    <w:semiHidden/>
    <w:rsid w:val="00014B55"/>
    <w:rPr>
      <w:rFonts w:asciiTheme="majorHAnsi" w:eastAsiaTheme="majorEastAsia" w:hAnsiTheme="majorHAnsi" w:cstheme="majorBidi"/>
      <w:b/>
      <w:bCs/>
    </w:rPr>
  </w:style>
  <w:style w:type="paragraph" w:styleId="Header">
    <w:name w:val="header"/>
    <w:basedOn w:val="Normal"/>
    <w:link w:val="HeaderChar"/>
    <w:uiPriority w:val="99"/>
    <w:rsid w:val="00AA4288"/>
    <w:pPr>
      <w:tabs>
        <w:tab w:val="center" w:pos="4513"/>
        <w:tab w:val="right" w:pos="9026"/>
      </w:tabs>
      <w:spacing w:before="0" w:line="240" w:lineRule="auto"/>
    </w:pPr>
  </w:style>
  <w:style w:type="character" w:customStyle="1" w:styleId="HeaderChar">
    <w:name w:val="Header Char"/>
    <w:basedOn w:val="DefaultParagraphFont"/>
    <w:link w:val="Header"/>
    <w:uiPriority w:val="99"/>
    <w:rsid w:val="00AA4288"/>
  </w:style>
  <w:style w:type="paragraph" w:styleId="Footer">
    <w:name w:val="footer"/>
    <w:basedOn w:val="Normal"/>
    <w:link w:val="FooterChar"/>
    <w:uiPriority w:val="99"/>
    <w:rsid w:val="0026028E"/>
    <w:pPr>
      <w:tabs>
        <w:tab w:val="left" w:pos="1304"/>
      </w:tabs>
      <w:spacing w:before="0" w:after="0" w:line="156" w:lineRule="exact"/>
    </w:pPr>
    <w:rPr>
      <w:noProof/>
      <w:sz w:val="13"/>
      <w:szCs w:val="18"/>
    </w:rPr>
  </w:style>
  <w:style w:type="character" w:customStyle="1" w:styleId="FooterChar">
    <w:name w:val="Footer Char"/>
    <w:basedOn w:val="DefaultParagraphFont"/>
    <w:link w:val="Footer"/>
    <w:uiPriority w:val="99"/>
    <w:rsid w:val="00A05EBC"/>
    <w:rPr>
      <w:noProof/>
      <w:sz w:val="13"/>
      <w:szCs w:val="18"/>
    </w:rPr>
  </w:style>
  <w:style w:type="character" w:styleId="PageNumber">
    <w:name w:val="page number"/>
    <w:uiPriority w:val="1"/>
    <w:semiHidden/>
    <w:rsid w:val="00BB59E0"/>
    <w:rPr>
      <w:rFonts w:asciiTheme="minorHAnsi" w:hAnsiTheme="minorHAnsi"/>
      <w:b w:val="0"/>
      <w:color w:val="000000" w:themeColor="text1"/>
    </w:rPr>
  </w:style>
  <w:style w:type="paragraph" w:styleId="TOCHeading">
    <w:name w:val="TOC Heading"/>
    <w:basedOn w:val="Heading1"/>
    <w:next w:val="Normal"/>
    <w:uiPriority w:val="39"/>
    <w:qFormat/>
    <w:rsid w:val="005C12A8"/>
    <w:pPr>
      <w:outlineLvl w:val="9"/>
    </w:pPr>
    <w:rPr>
      <w:spacing w:val="2"/>
    </w:rPr>
  </w:style>
  <w:style w:type="paragraph" w:customStyle="1" w:styleId="NormalTight">
    <w:name w:val="Normal Tight"/>
    <w:uiPriority w:val="1"/>
    <w:semiHidden/>
    <w:rsid w:val="008D0281"/>
    <w:pPr>
      <w:spacing w:after="0" w:line="240" w:lineRule="auto"/>
      <w:ind w:right="2366"/>
    </w:pPr>
    <w:rPr>
      <w:rFonts w:eastAsia="Times New Roman" w:cs="Calibri"/>
      <w:sz w:val="18"/>
      <w:szCs w:val="19"/>
      <w:lang w:eastAsia="en-US"/>
    </w:rPr>
  </w:style>
  <w:style w:type="paragraph" w:styleId="BodyText">
    <w:name w:val="Body Text"/>
    <w:basedOn w:val="Normal"/>
    <w:link w:val="BodyTextChar"/>
    <w:uiPriority w:val="1"/>
    <w:semiHidden/>
    <w:rsid w:val="00750CBE"/>
    <w:pPr>
      <w:spacing w:before="100" w:line="240" w:lineRule="auto"/>
      <w:ind w:left="794"/>
    </w:pPr>
    <w:rPr>
      <w:rFonts w:ascii="Calibri" w:eastAsia="Times New Roman" w:hAnsi="Calibri" w:cs="Calibri"/>
      <w:sz w:val="22"/>
      <w:szCs w:val="22"/>
    </w:rPr>
  </w:style>
  <w:style w:type="character" w:customStyle="1" w:styleId="BodyTextChar">
    <w:name w:val="Body Text Char"/>
    <w:basedOn w:val="DefaultParagraphFont"/>
    <w:link w:val="BodyText"/>
    <w:uiPriority w:val="1"/>
    <w:semiHidden/>
    <w:rsid w:val="00A05EBC"/>
    <w:rPr>
      <w:rFonts w:ascii="Calibri" w:eastAsia="Times New Roman" w:hAnsi="Calibri" w:cs="Calibri"/>
      <w:sz w:val="22"/>
      <w:szCs w:val="22"/>
    </w:rPr>
  </w:style>
  <w:style w:type="paragraph" w:customStyle="1" w:styleId="Insidecoverspacer">
    <w:name w:val="Inside cover spacer"/>
    <w:basedOn w:val="NormalTight"/>
    <w:uiPriority w:val="1"/>
    <w:semiHidden/>
    <w:qFormat/>
    <w:rsid w:val="00E26B32"/>
    <w:pPr>
      <w:spacing w:before="5800"/>
      <w:ind w:right="1382"/>
    </w:pPr>
  </w:style>
  <w:style w:type="table" w:styleId="ColorfulGrid">
    <w:name w:val="Colorful Grid"/>
    <w:basedOn w:val="TableNormal"/>
    <w:uiPriority w:val="73"/>
    <w:semiHidden/>
    <w:rsid w:val="00294A5A"/>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294A5A"/>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9D4DC" w:themeFill="accent1" w:themeFillTint="33"/>
    </w:tcPr>
    <w:tblStylePr w:type="firstRow">
      <w:rPr>
        <w:b/>
        <w:bCs/>
      </w:rPr>
      <w:tblPr/>
      <w:tcPr>
        <w:shd w:val="clear" w:color="auto" w:fill="93AABA" w:themeFill="accent1" w:themeFillTint="66"/>
      </w:tcPr>
    </w:tblStylePr>
    <w:tblStylePr w:type="lastRow">
      <w:rPr>
        <w:b/>
        <w:bCs/>
        <w:color w:val="000000" w:themeColor="text1"/>
      </w:rPr>
      <w:tblPr/>
      <w:tcPr>
        <w:shd w:val="clear" w:color="auto" w:fill="93AABA" w:themeFill="accent1" w:themeFillTint="66"/>
      </w:tcPr>
    </w:tblStylePr>
    <w:tblStylePr w:type="firstCol">
      <w:rPr>
        <w:color w:val="FFFFFF" w:themeColor="background1"/>
      </w:rPr>
      <w:tblPr/>
      <w:tcPr>
        <w:shd w:val="clear" w:color="auto" w:fill="141A1F" w:themeFill="accent1" w:themeFillShade="BF"/>
      </w:tcPr>
    </w:tblStylePr>
    <w:tblStylePr w:type="lastCol">
      <w:rPr>
        <w:color w:val="FFFFFF" w:themeColor="background1"/>
      </w:rPr>
      <w:tblPr/>
      <w:tcPr>
        <w:shd w:val="clear" w:color="auto" w:fill="141A1F" w:themeFill="accent1" w:themeFillShade="BF"/>
      </w:tcPr>
    </w:tblStylePr>
    <w:tblStylePr w:type="band1Vert">
      <w:tblPr/>
      <w:tcPr>
        <w:shd w:val="clear" w:color="auto" w:fill="7995A9" w:themeFill="accent1" w:themeFillTint="7F"/>
      </w:tcPr>
    </w:tblStylePr>
    <w:tblStylePr w:type="band1Horz">
      <w:tblPr/>
      <w:tcPr>
        <w:shd w:val="clear" w:color="auto" w:fill="7995A9" w:themeFill="accent1" w:themeFillTint="7F"/>
      </w:tcPr>
    </w:tblStylePr>
  </w:style>
  <w:style w:type="paragraph" w:customStyle="1" w:styleId="SCVfactsheetsubtitle">
    <w:name w:val="SCV factsheet subtitle"/>
    <w:uiPriority w:val="29"/>
    <w:rsid w:val="00521CA5"/>
    <w:pPr>
      <w:keepLines/>
      <w:spacing w:before="0" w:line="240" w:lineRule="auto"/>
    </w:pPr>
    <w:rPr>
      <w:rFonts w:asciiTheme="majorHAnsi" w:eastAsia="Times New Roman" w:hAnsiTheme="majorHAnsi" w:cstheme="majorHAnsi"/>
      <w:color w:val="000000" w:themeColor="text1"/>
      <w:sz w:val="36"/>
      <w:szCs w:val="36"/>
    </w:rPr>
  </w:style>
  <w:style w:type="paragraph" w:customStyle="1" w:styleId="SCVfooterempty">
    <w:name w:val="SCV footer empty"/>
    <w:basedOn w:val="SCVfooter"/>
    <w:uiPriority w:val="98"/>
    <w:rsid w:val="006B337A"/>
    <w:pPr>
      <w:pBdr>
        <w:top w:val="none" w:sz="0" w:space="0" w:color="auto"/>
      </w:pBdr>
    </w:pPr>
    <w:rPr>
      <w:noProof w:val="0"/>
    </w:rPr>
  </w:style>
  <w:style w:type="paragraph" w:styleId="ListParagraph">
    <w:name w:val="List Paragraph"/>
    <w:basedOn w:val="Normal"/>
    <w:uiPriority w:val="34"/>
    <w:semiHidden/>
    <w:qFormat/>
    <w:rsid w:val="004231B5"/>
    <w:pPr>
      <w:ind w:left="720"/>
      <w:contextualSpacing/>
    </w:pPr>
  </w:style>
  <w:style w:type="paragraph" w:styleId="FootnoteText">
    <w:name w:val="footnote text"/>
    <w:basedOn w:val="Normal"/>
    <w:link w:val="FootnoteTextChar"/>
    <w:uiPriority w:val="8"/>
    <w:rsid w:val="00B15592"/>
    <w:pPr>
      <w:spacing w:before="0" w:after="60" w:line="288" w:lineRule="auto"/>
    </w:pPr>
    <w:rPr>
      <w:sz w:val="17"/>
      <w:szCs w:val="17"/>
    </w:rPr>
  </w:style>
  <w:style w:type="character" w:customStyle="1" w:styleId="FootnoteTextChar">
    <w:name w:val="Footnote Text Char"/>
    <w:basedOn w:val="DefaultParagraphFont"/>
    <w:link w:val="FootnoteText"/>
    <w:uiPriority w:val="8"/>
    <w:rsid w:val="00B15592"/>
    <w:rPr>
      <w:sz w:val="17"/>
      <w:szCs w:val="17"/>
    </w:rPr>
  </w:style>
  <w:style w:type="character" w:styleId="FootnoteReference">
    <w:name w:val="footnote reference"/>
    <w:basedOn w:val="DefaultParagraphFont"/>
    <w:uiPriority w:val="8"/>
    <w:rsid w:val="00726D2F"/>
    <w:rPr>
      <w:vertAlign w:val="superscript"/>
    </w:rPr>
  </w:style>
  <w:style w:type="table" w:styleId="ColorfulGrid-Accent2">
    <w:name w:val="Colorful Grid Accent 2"/>
    <w:basedOn w:val="TableNormal"/>
    <w:uiPriority w:val="73"/>
    <w:semiHidden/>
    <w:rsid w:val="00294A5A"/>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3F5FF" w:themeFill="accent2" w:themeFillTint="33"/>
    </w:tcPr>
    <w:tblStylePr w:type="firstRow">
      <w:rPr>
        <w:b/>
        <w:bCs/>
      </w:rPr>
      <w:tblPr/>
      <w:tcPr>
        <w:shd w:val="clear" w:color="auto" w:fill="68EBFF" w:themeFill="accent2" w:themeFillTint="66"/>
      </w:tcPr>
    </w:tblStylePr>
    <w:tblStylePr w:type="lastRow">
      <w:rPr>
        <w:b/>
        <w:bCs/>
        <w:color w:val="000000" w:themeColor="text1"/>
      </w:rPr>
      <w:tblPr/>
      <w:tcPr>
        <w:shd w:val="clear" w:color="auto" w:fill="68EBFF" w:themeFill="accent2" w:themeFillTint="66"/>
      </w:tcPr>
    </w:tblStylePr>
    <w:tblStylePr w:type="firstCol">
      <w:rPr>
        <w:color w:val="FFFFFF" w:themeColor="background1"/>
      </w:rPr>
      <w:tblPr/>
      <w:tcPr>
        <w:shd w:val="clear" w:color="auto" w:fill="005764" w:themeFill="accent2" w:themeFillShade="BF"/>
      </w:tcPr>
    </w:tblStylePr>
    <w:tblStylePr w:type="lastCol">
      <w:rPr>
        <w:color w:val="FFFFFF" w:themeColor="background1"/>
      </w:rPr>
      <w:tblPr/>
      <w:tcPr>
        <w:shd w:val="clear" w:color="auto" w:fill="005764" w:themeFill="accent2" w:themeFillShade="BF"/>
      </w:tcPr>
    </w:tblStylePr>
    <w:tblStylePr w:type="band1Vert">
      <w:tblPr/>
      <w:tcPr>
        <w:shd w:val="clear" w:color="auto" w:fill="43E6FF" w:themeFill="accent2" w:themeFillTint="7F"/>
      </w:tcPr>
    </w:tblStylePr>
    <w:tblStylePr w:type="band1Horz">
      <w:tblPr/>
      <w:tcPr>
        <w:shd w:val="clear" w:color="auto" w:fill="43E6FF" w:themeFill="accent2" w:themeFillTint="7F"/>
      </w:tcPr>
    </w:tblStylePr>
  </w:style>
  <w:style w:type="table" w:styleId="ColorfulGrid-Accent3">
    <w:name w:val="Colorful Grid Accent 3"/>
    <w:basedOn w:val="TableNormal"/>
    <w:uiPriority w:val="73"/>
    <w:semiHidden/>
    <w:rsid w:val="00294A5A"/>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F0FB" w:themeFill="accent3" w:themeFillTint="33"/>
    </w:tcPr>
    <w:tblStylePr w:type="firstRow">
      <w:rPr>
        <w:b/>
        <w:bCs/>
      </w:rPr>
      <w:tblPr/>
      <w:tcPr>
        <w:shd w:val="clear" w:color="auto" w:fill="BDE2F7" w:themeFill="accent3" w:themeFillTint="66"/>
      </w:tcPr>
    </w:tblStylePr>
    <w:tblStylePr w:type="lastRow">
      <w:rPr>
        <w:b/>
        <w:bCs/>
        <w:color w:val="000000" w:themeColor="text1"/>
      </w:rPr>
      <w:tblPr/>
      <w:tcPr>
        <w:shd w:val="clear" w:color="auto" w:fill="BDE2F7" w:themeFill="accent3" w:themeFillTint="66"/>
      </w:tcPr>
    </w:tblStylePr>
    <w:tblStylePr w:type="firstCol">
      <w:rPr>
        <w:color w:val="FFFFFF" w:themeColor="background1"/>
      </w:rPr>
      <w:tblPr/>
      <w:tcPr>
        <w:shd w:val="clear" w:color="auto" w:fill="1A97D9" w:themeFill="accent3" w:themeFillShade="BF"/>
      </w:tcPr>
    </w:tblStylePr>
    <w:tblStylePr w:type="lastCol">
      <w:rPr>
        <w:color w:val="FFFFFF" w:themeColor="background1"/>
      </w:rPr>
      <w:tblPr/>
      <w:tcPr>
        <w:shd w:val="clear" w:color="auto" w:fill="1A97D9" w:themeFill="accent3" w:themeFillShade="BF"/>
      </w:tcPr>
    </w:tblStylePr>
    <w:tblStylePr w:type="band1Vert">
      <w:tblPr/>
      <w:tcPr>
        <w:shd w:val="clear" w:color="auto" w:fill="ACDCF5" w:themeFill="accent3" w:themeFillTint="7F"/>
      </w:tcPr>
    </w:tblStylePr>
    <w:tblStylePr w:type="band1Horz">
      <w:tblPr/>
      <w:tcPr>
        <w:shd w:val="clear" w:color="auto" w:fill="ACDCF5" w:themeFill="accent3" w:themeFillTint="7F"/>
      </w:tcPr>
    </w:tblStylePr>
  </w:style>
  <w:style w:type="paragraph" w:styleId="Caption">
    <w:name w:val="caption"/>
    <w:basedOn w:val="Normal"/>
    <w:next w:val="Normal"/>
    <w:uiPriority w:val="1"/>
    <w:semiHidden/>
    <w:rsid w:val="00A92D94"/>
    <w:pPr>
      <w:spacing w:before="280" w:after="210" w:line="260" w:lineRule="atLeast"/>
    </w:pPr>
    <w:rPr>
      <w:b/>
      <w:bCs/>
      <w:color w:val="007586" w:themeColor="text2"/>
      <w:szCs w:val="18"/>
    </w:rPr>
  </w:style>
  <w:style w:type="paragraph" w:customStyle="1" w:styleId="SCVtablecaption">
    <w:name w:val="SCV table caption"/>
    <w:next w:val="SCVbody"/>
    <w:uiPriority w:val="20"/>
    <w:qFormat/>
    <w:rsid w:val="00FD7069"/>
    <w:pPr>
      <w:keepNext/>
      <w:tabs>
        <w:tab w:val="left" w:pos="1080"/>
      </w:tabs>
      <w:spacing w:before="280" w:after="120" w:line="264" w:lineRule="auto"/>
    </w:pPr>
    <w:rPr>
      <w:b/>
      <w:bCs/>
      <w:color w:val="007586" w:themeColor="text2"/>
      <w:spacing w:val="2"/>
      <w:szCs w:val="18"/>
    </w:rPr>
  </w:style>
  <w:style w:type="character" w:styleId="PlaceholderText">
    <w:name w:val="Placeholder Text"/>
    <w:basedOn w:val="DefaultParagraphFont"/>
    <w:uiPriority w:val="1"/>
    <w:semiHidden/>
    <w:rsid w:val="00966115"/>
    <w:rPr>
      <w:color w:val="808080"/>
    </w:rPr>
  </w:style>
  <w:style w:type="paragraph" w:customStyle="1" w:styleId="SCVfooter">
    <w:name w:val="SCV footer"/>
    <w:basedOn w:val="Footer"/>
    <w:uiPriority w:val="99"/>
    <w:rsid w:val="009905FA"/>
    <w:pPr>
      <w:pBdr>
        <w:top w:val="single" w:sz="8" w:space="6" w:color="CCCCD0"/>
      </w:pBdr>
      <w:spacing w:line="240" w:lineRule="auto"/>
    </w:pPr>
    <w:rPr>
      <w:sz w:val="18"/>
    </w:rPr>
  </w:style>
  <w:style w:type="paragraph" w:customStyle="1" w:styleId="SCVintroductorytext">
    <w:name w:val="SCV introductory text"/>
    <w:basedOn w:val="Normal"/>
    <w:uiPriority w:val="1"/>
    <w:qFormat/>
    <w:rsid w:val="00876171"/>
    <w:pPr>
      <w:spacing w:before="400" w:after="240"/>
    </w:pPr>
    <w:rPr>
      <w:b/>
      <w:color w:val="007586" w:themeColor="text2"/>
    </w:rPr>
  </w:style>
  <w:style w:type="paragraph" w:styleId="NoSpacing">
    <w:name w:val="No Spacing"/>
    <w:uiPriority w:val="1"/>
    <w:semiHidden/>
    <w:qFormat/>
    <w:rsid w:val="00294A5A"/>
    <w:pPr>
      <w:spacing w:before="0" w:after="0" w:line="240" w:lineRule="auto"/>
    </w:pPr>
  </w:style>
  <w:style w:type="table" w:styleId="ColorfulGrid-Accent4">
    <w:name w:val="Colorful Grid Accent 4"/>
    <w:basedOn w:val="TableNormal"/>
    <w:uiPriority w:val="73"/>
    <w:semiHidden/>
    <w:rsid w:val="00294A5A"/>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7DBFF" w:themeFill="accent4" w:themeFillTint="33"/>
    </w:tcPr>
    <w:tblStylePr w:type="firstRow">
      <w:rPr>
        <w:b/>
        <w:bCs/>
      </w:rPr>
      <w:tblPr/>
      <w:tcPr>
        <w:shd w:val="clear" w:color="auto" w:fill="6FB7FF" w:themeFill="accent4" w:themeFillTint="66"/>
      </w:tcPr>
    </w:tblStylePr>
    <w:tblStylePr w:type="lastRow">
      <w:rPr>
        <w:b/>
        <w:bCs/>
        <w:color w:val="000000" w:themeColor="text1"/>
      </w:rPr>
      <w:tblPr/>
      <w:tcPr>
        <w:shd w:val="clear" w:color="auto" w:fill="6FB7FF" w:themeFill="accent4" w:themeFillTint="66"/>
      </w:tcPr>
    </w:tblStylePr>
    <w:tblStylePr w:type="firstCol">
      <w:rPr>
        <w:color w:val="FFFFFF" w:themeColor="background1"/>
      </w:rPr>
      <w:tblPr/>
      <w:tcPr>
        <w:shd w:val="clear" w:color="auto" w:fill="003871" w:themeFill="accent4" w:themeFillShade="BF"/>
      </w:tcPr>
    </w:tblStylePr>
    <w:tblStylePr w:type="lastCol">
      <w:rPr>
        <w:color w:val="FFFFFF" w:themeColor="background1"/>
      </w:rPr>
      <w:tblPr/>
      <w:tcPr>
        <w:shd w:val="clear" w:color="auto" w:fill="003871" w:themeFill="accent4" w:themeFillShade="BF"/>
      </w:tcPr>
    </w:tblStylePr>
    <w:tblStylePr w:type="band1Vert">
      <w:tblPr/>
      <w:tcPr>
        <w:shd w:val="clear" w:color="auto" w:fill="4CA5FF" w:themeFill="accent4" w:themeFillTint="7F"/>
      </w:tcPr>
    </w:tblStylePr>
    <w:tblStylePr w:type="band1Horz">
      <w:tblPr/>
      <w:tcPr>
        <w:shd w:val="clear" w:color="auto" w:fill="4CA5FF" w:themeFill="accent4" w:themeFillTint="7F"/>
      </w:tcPr>
    </w:tblStylePr>
  </w:style>
  <w:style w:type="table" w:styleId="ColorfulGrid-Accent5">
    <w:name w:val="Colorful Grid Accent 5"/>
    <w:basedOn w:val="TableNormal"/>
    <w:uiPriority w:val="73"/>
    <w:semiHidden/>
    <w:rsid w:val="00294A5A"/>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EDF" w:themeFill="accent5" w:themeFillTint="33"/>
    </w:tcPr>
    <w:tblStylePr w:type="firstRow">
      <w:rPr>
        <w:b/>
        <w:bCs/>
      </w:rPr>
      <w:tblPr/>
      <w:tcPr>
        <w:shd w:val="clear" w:color="auto" w:fill="BDDDC0" w:themeFill="accent5" w:themeFillTint="66"/>
      </w:tcPr>
    </w:tblStylePr>
    <w:tblStylePr w:type="lastRow">
      <w:rPr>
        <w:b/>
        <w:bCs/>
        <w:color w:val="000000" w:themeColor="text1"/>
      </w:rPr>
      <w:tblPr/>
      <w:tcPr>
        <w:shd w:val="clear" w:color="auto" w:fill="BDDDC0" w:themeFill="accent5" w:themeFillTint="66"/>
      </w:tcPr>
    </w:tblStylePr>
    <w:tblStylePr w:type="firstCol">
      <w:rPr>
        <w:color w:val="FFFFFF" w:themeColor="background1"/>
      </w:rPr>
      <w:tblPr/>
      <w:tcPr>
        <w:shd w:val="clear" w:color="auto" w:fill="428049" w:themeFill="accent5" w:themeFillShade="BF"/>
      </w:tcPr>
    </w:tblStylePr>
    <w:tblStylePr w:type="lastCol">
      <w:rPr>
        <w:color w:val="FFFFFF" w:themeColor="background1"/>
      </w:rPr>
      <w:tblPr/>
      <w:tcPr>
        <w:shd w:val="clear" w:color="auto" w:fill="428049" w:themeFill="accent5" w:themeFillShade="BF"/>
      </w:tcPr>
    </w:tblStylePr>
    <w:tblStylePr w:type="band1Vert">
      <w:tblPr/>
      <w:tcPr>
        <w:shd w:val="clear" w:color="auto" w:fill="ACD4B1" w:themeFill="accent5" w:themeFillTint="7F"/>
      </w:tcPr>
    </w:tblStylePr>
    <w:tblStylePr w:type="band1Horz">
      <w:tblPr/>
      <w:tcPr>
        <w:shd w:val="clear" w:color="auto" w:fill="ACD4B1" w:themeFill="accent5" w:themeFillTint="7F"/>
      </w:tcPr>
    </w:tblStylePr>
  </w:style>
  <w:style w:type="table" w:styleId="ColorfulGrid-Accent6">
    <w:name w:val="Colorful Grid Accent 6"/>
    <w:basedOn w:val="TableNormal"/>
    <w:uiPriority w:val="73"/>
    <w:semiHidden/>
    <w:rsid w:val="00294A5A"/>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0D8" w:themeFill="accent6" w:themeFillTint="33"/>
    </w:tcPr>
    <w:tblStylePr w:type="firstRow">
      <w:rPr>
        <w:b/>
        <w:bCs/>
      </w:rPr>
      <w:tblPr/>
      <w:tcPr>
        <w:shd w:val="clear" w:color="auto" w:fill="F5C1B1" w:themeFill="accent6" w:themeFillTint="66"/>
      </w:tcPr>
    </w:tblStylePr>
    <w:tblStylePr w:type="lastRow">
      <w:rPr>
        <w:b/>
        <w:bCs/>
        <w:color w:val="000000" w:themeColor="text1"/>
      </w:rPr>
      <w:tblPr/>
      <w:tcPr>
        <w:shd w:val="clear" w:color="auto" w:fill="F5C1B1" w:themeFill="accent6" w:themeFillTint="66"/>
      </w:tcPr>
    </w:tblStylePr>
    <w:tblStylePr w:type="firstCol">
      <w:rPr>
        <w:color w:val="FFFFFF" w:themeColor="background1"/>
      </w:rPr>
      <w:tblPr/>
      <w:tcPr>
        <w:shd w:val="clear" w:color="auto" w:fill="C04018" w:themeFill="accent6" w:themeFillShade="BF"/>
      </w:tcPr>
    </w:tblStylePr>
    <w:tblStylePr w:type="lastCol">
      <w:rPr>
        <w:color w:val="FFFFFF" w:themeColor="background1"/>
      </w:rPr>
      <w:tblPr/>
      <w:tcPr>
        <w:shd w:val="clear" w:color="auto" w:fill="C04018" w:themeFill="accent6" w:themeFillShade="BF"/>
      </w:tcPr>
    </w:tblStylePr>
    <w:tblStylePr w:type="band1Vert">
      <w:tblPr/>
      <w:tcPr>
        <w:shd w:val="clear" w:color="auto" w:fill="F2B19D" w:themeFill="accent6" w:themeFillTint="7F"/>
      </w:tcPr>
    </w:tblStylePr>
    <w:tblStylePr w:type="band1Horz">
      <w:tblPr/>
      <w:tcPr>
        <w:shd w:val="clear" w:color="auto" w:fill="F2B19D" w:themeFill="accent6" w:themeFillTint="7F"/>
      </w:tcPr>
    </w:tblStylePr>
  </w:style>
  <w:style w:type="table" w:styleId="ColorfulList">
    <w:name w:val="Colorful List"/>
    <w:basedOn w:val="TableNormal"/>
    <w:uiPriority w:val="72"/>
    <w:semiHidden/>
    <w:rsid w:val="00294A5A"/>
    <w:pPr>
      <w:spacing w:before="0"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5D6B" w:themeFill="accent2" w:themeFillShade="CC"/>
      </w:tcPr>
    </w:tblStylePr>
    <w:tblStylePr w:type="lastRow">
      <w:rPr>
        <w:b/>
        <w:bCs/>
        <w:color w:val="005D6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294A5A"/>
    <w:pPr>
      <w:spacing w:before="0" w:after="0" w:line="240" w:lineRule="auto"/>
    </w:pPr>
    <w:rPr>
      <w:color w:val="000000" w:themeColor="text1"/>
    </w:rPr>
    <w:tblPr>
      <w:tblStyleRowBandSize w:val="1"/>
      <w:tblStyleColBandSize w:val="1"/>
    </w:tblPr>
    <w:tcPr>
      <w:shd w:val="clear" w:color="auto" w:fill="E4EAEE" w:themeFill="accent1" w:themeFillTint="19"/>
    </w:tcPr>
    <w:tblStylePr w:type="firstRow">
      <w:rPr>
        <w:b/>
        <w:bCs/>
        <w:color w:val="FFFFFF" w:themeColor="background1"/>
      </w:rPr>
      <w:tblPr/>
      <w:tcPr>
        <w:tcBorders>
          <w:bottom w:val="single" w:sz="12" w:space="0" w:color="FFFFFF" w:themeColor="background1"/>
        </w:tcBorders>
        <w:shd w:val="clear" w:color="auto" w:fill="005D6B" w:themeFill="accent2" w:themeFillShade="CC"/>
      </w:tcPr>
    </w:tblStylePr>
    <w:tblStylePr w:type="lastRow">
      <w:rPr>
        <w:b/>
        <w:bCs/>
        <w:color w:val="005D6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CCAD4" w:themeFill="accent1" w:themeFillTint="3F"/>
      </w:tcPr>
    </w:tblStylePr>
    <w:tblStylePr w:type="band1Horz">
      <w:tblPr/>
      <w:tcPr>
        <w:shd w:val="clear" w:color="auto" w:fill="C9D4DC" w:themeFill="accent1" w:themeFillTint="33"/>
      </w:tcPr>
    </w:tblStylePr>
  </w:style>
  <w:style w:type="table" w:styleId="ColorfulList-Accent2">
    <w:name w:val="Colorful List Accent 2"/>
    <w:basedOn w:val="TableNormal"/>
    <w:uiPriority w:val="72"/>
    <w:semiHidden/>
    <w:rsid w:val="00294A5A"/>
    <w:pPr>
      <w:spacing w:before="0" w:after="0" w:line="240" w:lineRule="auto"/>
    </w:pPr>
    <w:rPr>
      <w:color w:val="000000" w:themeColor="text1"/>
    </w:rPr>
    <w:tblPr>
      <w:tblStyleRowBandSize w:val="1"/>
      <w:tblStyleColBandSize w:val="1"/>
    </w:tblPr>
    <w:tcPr>
      <w:shd w:val="clear" w:color="auto" w:fill="DAFAFF" w:themeFill="accent2" w:themeFillTint="19"/>
    </w:tcPr>
    <w:tblStylePr w:type="firstRow">
      <w:rPr>
        <w:b/>
        <w:bCs/>
        <w:color w:val="FFFFFF" w:themeColor="background1"/>
      </w:rPr>
      <w:tblPr/>
      <w:tcPr>
        <w:tcBorders>
          <w:bottom w:val="single" w:sz="12" w:space="0" w:color="FFFFFF" w:themeColor="background1"/>
        </w:tcBorders>
        <w:shd w:val="clear" w:color="auto" w:fill="005D6B" w:themeFill="accent2" w:themeFillShade="CC"/>
      </w:tcPr>
    </w:tblStylePr>
    <w:tblStylePr w:type="lastRow">
      <w:rPr>
        <w:b/>
        <w:bCs/>
        <w:color w:val="005D6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2F2FF" w:themeFill="accent2" w:themeFillTint="3F"/>
      </w:tcPr>
    </w:tblStylePr>
    <w:tblStylePr w:type="band1Horz">
      <w:tblPr/>
      <w:tcPr>
        <w:shd w:val="clear" w:color="auto" w:fill="B3F5FF" w:themeFill="accent2" w:themeFillTint="33"/>
      </w:tcPr>
    </w:tblStylePr>
  </w:style>
  <w:style w:type="table" w:styleId="ColorfulList-Accent3">
    <w:name w:val="Colorful List Accent 3"/>
    <w:basedOn w:val="TableNormal"/>
    <w:uiPriority w:val="72"/>
    <w:semiHidden/>
    <w:rsid w:val="00294A5A"/>
    <w:pPr>
      <w:spacing w:before="0" w:after="0" w:line="240" w:lineRule="auto"/>
    </w:pPr>
    <w:rPr>
      <w:color w:val="000000" w:themeColor="text1"/>
    </w:rPr>
    <w:tblPr>
      <w:tblStyleRowBandSize w:val="1"/>
      <w:tblStyleColBandSize w:val="1"/>
    </w:tblPr>
    <w:tcPr>
      <w:shd w:val="clear" w:color="auto" w:fill="EEF8FD" w:themeFill="accent3" w:themeFillTint="19"/>
    </w:tcPr>
    <w:tblStylePr w:type="firstRow">
      <w:rPr>
        <w:b/>
        <w:bCs/>
        <w:color w:val="FFFFFF" w:themeColor="background1"/>
      </w:rPr>
      <w:tblPr/>
      <w:tcPr>
        <w:tcBorders>
          <w:bottom w:val="single" w:sz="12" w:space="0" w:color="FFFFFF" w:themeColor="background1"/>
        </w:tcBorders>
        <w:shd w:val="clear" w:color="auto" w:fill="003C78" w:themeFill="accent4" w:themeFillShade="CC"/>
      </w:tcPr>
    </w:tblStylePr>
    <w:tblStylePr w:type="lastRow">
      <w:rPr>
        <w:b/>
        <w:bCs/>
        <w:color w:val="003C78"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DFA" w:themeFill="accent3" w:themeFillTint="3F"/>
      </w:tcPr>
    </w:tblStylePr>
    <w:tblStylePr w:type="band1Horz">
      <w:tblPr/>
      <w:tcPr>
        <w:shd w:val="clear" w:color="auto" w:fill="DEF0FB" w:themeFill="accent3" w:themeFillTint="33"/>
      </w:tcPr>
    </w:tblStylePr>
  </w:style>
  <w:style w:type="table" w:styleId="ColorfulList-Accent4">
    <w:name w:val="Colorful List Accent 4"/>
    <w:basedOn w:val="TableNormal"/>
    <w:uiPriority w:val="72"/>
    <w:semiHidden/>
    <w:rsid w:val="00294A5A"/>
    <w:pPr>
      <w:spacing w:before="0" w:after="0" w:line="240" w:lineRule="auto"/>
    </w:pPr>
    <w:rPr>
      <w:color w:val="000000" w:themeColor="text1"/>
    </w:rPr>
    <w:tblPr>
      <w:tblStyleRowBandSize w:val="1"/>
      <w:tblStyleColBandSize w:val="1"/>
    </w:tblPr>
    <w:tcPr>
      <w:shd w:val="clear" w:color="auto" w:fill="DBEDFF" w:themeFill="accent4" w:themeFillTint="19"/>
    </w:tcPr>
    <w:tblStylePr w:type="firstRow">
      <w:rPr>
        <w:b/>
        <w:bCs/>
        <w:color w:val="FFFFFF" w:themeColor="background1"/>
      </w:rPr>
      <w:tblPr/>
      <w:tcPr>
        <w:tcBorders>
          <w:bottom w:val="single" w:sz="12" w:space="0" w:color="FFFFFF" w:themeColor="background1"/>
        </w:tcBorders>
        <w:shd w:val="clear" w:color="auto" w:fill="20A0E4" w:themeFill="accent3" w:themeFillShade="CC"/>
      </w:tcPr>
    </w:tblStylePr>
    <w:tblStylePr w:type="lastRow">
      <w:rPr>
        <w:b/>
        <w:bCs/>
        <w:color w:val="20A0E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4" w:themeFillTint="3F"/>
      </w:tcPr>
    </w:tblStylePr>
    <w:tblStylePr w:type="band1Horz">
      <w:tblPr/>
      <w:tcPr>
        <w:shd w:val="clear" w:color="auto" w:fill="B7DBFF" w:themeFill="accent4" w:themeFillTint="33"/>
      </w:tcPr>
    </w:tblStylePr>
  </w:style>
  <w:style w:type="table" w:styleId="ColorfulList-Accent5">
    <w:name w:val="Colorful List Accent 5"/>
    <w:basedOn w:val="TableNormal"/>
    <w:uiPriority w:val="72"/>
    <w:semiHidden/>
    <w:rsid w:val="00294A5A"/>
    <w:pPr>
      <w:spacing w:before="0" w:after="0" w:line="240" w:lineRule="auto"/>
    </w:pPr>
    <w:rPr>
      <w:color w:val="000000" w:themeColor="text1"/>
    </w:rPr>
    <w:tblPr>
      <w:tblStyleRowBandSize w:val="1"/>
      <w:tblStyleColBandSize w:val="1"/>
    </w:tblPr>
    <w:tcPr>
      <w:shd w:val="clear" w:color="auto" w:fill="EEF6EF" w:themeFill="accent5" w:themeFillTint="19"/>
    </w:tcPr>
    <w:tblStylePr w:type="firstRow">
      <w:rPr>
        <w:b/>
        <w:bCs/>
        <w:color w:val="FFFFFF" w:themeColor="background1"/>
      </w:rPr>
      <w:tblPr/>
      <w:tcPr>
        <w:tcBorders>
          <w:bottom w:val="single" w:sz="12" w:space="0" w:color="FFFFFF" w:themeColor="background1"/>
        </w:tcBorders>
        <w:shd w:val="clear" w:color="auto" w:fill="CD441A" w:themeFill="accent6" w:themeFillShade="CC"/>
      </w:tcPr>
    </w:tblStylePr>
    <w:tblStylePr w:type="lastRow">
      <w:rPr>
        <w:b/>
        <w:bCs/>
        <w:color w:val="CD441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AD8" w:themeFill="accent5" w:themeFillTint="3F"/>
      </w:tcPr>
    </w:tblStylePr>
    <w:tblStylePr w:type="band1Horz">
      <w:tblPr/>
      <w:tcPr>
        <w:shd w:val="clear" w:color="auto" w:fill="DEEEDF" w:themeFill="accent5" w:themeFillTint="33"/>
      </w:tcPr>
    </w:tblStylePr>
  </w:style>
  <w:style w:type="table" w:styleId="ColorfulList-Accent6">
    <w:name w:val="Colorful List Accent 6"/>
    <w:basedOn w:val="TableNormal"/>
    <w:uiPriority w:val="72"/>
    <w:semiHidden/>
    <w:rsid w:val="00294A5A"/>
    <w:pPr>
      <w:spacing w:before="0" w:after="0" w:line="240" w:lineRule="auto"/>
    </w:pPr>
    <w:rPr>
      <w:color w:val="000000" w:themeColor="text1"/>
    </w:rPr>
    <w:tblPr>
      <w:tblStyleRowBandSize w:val="1"/>
      <w:tblStyleColBandSize w:val="1"/>
    </w:tblPr>
    <w:tcPr>
      <w:shd w:val="clear" w:color="auto" w:fill="FCEFEB" w:themeFill="accent6" w:themeFillTint="19"/>
    </w:tcPr>
    <w:tblStylePr w:type="firstRow">
      <w:rPr>
        <w:b/>
        <w:bCs/>
        <w:color w:val="FFFFFF" w:themeColor="background1"/>
      </w:rPr>
      <w:tblPr/>
      <w:tcPr>
        <w:tcBorders>
          <w:bottom w:val="single" w:sz="12" w:space="0" w:color="FFFFFF" w:themeColor="background1"/>
        </w:tcBorders>
        <w:shd w:val="clear" w:color="auto" w:fill="46894E" w:themeFill="accent5" w:themeFillShade="CC"/>
      </w:tcPr>
    </w:tblStylePr>
    <w:tblStylePr w:type="lastRow">
      <w:rPr>
        <w:b/>
        <w:bCs/>
        <w:color w:val="46894E"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D8CE" w:themeFill="accent6" w:themeFillTint="3F"/>
      </w:tcPr>
    </w:tblStylePr>
    <w:tblStylePr w:type="band1Horz">
      <w:tblPr/>
      <w:tcPr>
        <w:shd w:val="clear" w:color="auto" w:fill="FAE0D8" w:themeFill="accent6" w:themeFillTint="33"/>
      </w:tcPr>
    </w:tblStylePr>
  </w:style>
  <w:style w:type="table" w:styleId="ColorfulShading">
    <w:name w:val="Colorful Shading"/>
    <w:basedOn w:val="TableNormal"/>
    <w:uiPriority w:val="71"/>
    <w:semiHidden/>
    <w:rsid w:val="00294A5A"/>
    <w:pPr>
      <w:spacing w:before="0" w:after="0" w:line="240" w:lineRule="auto"/>
    </w:pPr>
    <w:rPr>
      <w:color w:val="000000" w:themeColor="text1"/>
    </w:rPr>
    <w:tblPr>
      <w:tblStyleRowBandSize w:val="1"/>
      <w:tblStyleColBandSize w:val="1"/>
      <w:tblBorders>
        <w:top w:val="single" w:sz="24" w:space="0" w:color="00758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758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294A5A"/>
    <w:pPr>
      <w:spacing w:before="0" w:after="0" w:line="240" w:lineRule="auto"/>
    </w:pPr>
    <w:rPr>
      <w:color w:val="000000" w:themeColor="text1"/>
    </w:rPr>
    <w:tblPr>
      <w:tblStyleRowBandSize w:val="1"/>
      <w:tblStyleColBandSize w:val="1"/>
      <w:tblBorders>
        <w:top w:val="single" w:sz="24" w:space="0" w:color="007586" w:themeColor="accent2"/>
        <w:left w:val="single" w:sz="4" w:space="0" w:color="1B242A" w:themeColor="accent1"/>
        <w:bottom w:val="single" w:sz="4" w:space="0" w:color="1B242A" w:themeColor="accent1"/>
        <w:right w:val="single" w:sz="4" w:space="0" w:color="1B242A" w:themeColor="accent1"/>
        <w:insideH w:val="single" w:sz="4" w:space="0" w:color="FFFFFF" w:themeColor="background1"/>
        <w:insideV w:val="single" w:sz="4" w:space="0" w:color="FFFFFF" w:themeColor="background1"/>
      </w:tblBorders>
    </w:tblPr>
    <w:tcPr>
      <w:shd w:val="clear" w:color="auto" w:fill="E4EAEE" w:themeFill="accent1" w:themeFillTint="19"/>
    </w:tcPr>
    <w:tblStylePr w:type="firstRow">
      <w:rPr>
        <w:b/>
        <w:bCs/>
      </w:rPr>
      <w:tblPr/>
      <w:tcPr>
        <w:tcBorders>
          <w:top w:val="nil"/>
          <w:left w:val="nil"/>
          <w:bottom w:val="single" w:sz="24" w:space="0" w:color="00758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01519" w:themeFill="accent1" w:themeFillShade="99"/>
      </w:tcPr>
    </w:tblStylePr>
    <w:tblStylePr w:type="firstCol">
      <w:rPr>
        <w:color w:val="FFFFFF" w:themeColor="background1"/>
      </w:rPr>
      <w:tblPr/>
      <w:tcPr>
        <w:tcBorders>
          <w:top w:val="nil"/>
          <w:left w:val="nil"/>
          <w:bottom w:val="nil"/>
          <w:right w:val="nil"/>
          <w:insideH w:val="single" w:sz="4" w:space="0" w:color="101519" w:themeColor="accent1" w:themeShade="99"/>
          <w:insideV w:val="nil"/>
        </w:tcBorders>
        <w:shd w:val="clear" w:color="auto" w:fill="101519"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01519" w:themeFill="accent1" w:themeFillShade="99"/>
      </w:tcPr>
    </w:tblStylePr>
    <w:tblStylePr w:type="band1Vert">
      <w:tblPr/>
      <w:tcPr>
        <w:shd w:val="clear" w:color="auto" w:fill="93AABA" w:themeFill="accent1" w:themeFillTint="66"/>
      </w:tcPr>
    </w:tblStylePr>
    <w:tblStylePr w:type="band1Horz">
      <w:tblPr/>
      <w:tcPr>
        <w:shd w:val="clear" w:color="auto" w:fill="7995A9"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294A5A"/>
    <w:pPr>
      <w:spacing w:before="0" w:after="0" w:line="240" w:lineRule="auto"/>
    </w:pPr>
    <w:rPr>
      <w:color w:val="000000" w:themeColor="text1"/>
    </w:rPr>
    <w:tblPr>
      <w:tblStyleRowBandSize w:val="1"/>
      <w:tblStyleColBandSize w:val="1"/>
      <w:tblBorders>
        <w:top w:val="single" w:sz="24" w:space="0" w:color="007586" w:themeColor="accent2"/>
        <w:left w:val="single" w:sz="4" w:space="0" w:color="007586" w:themeColor="accent2"/>
        <w:bottom w:val="single" w:sz="4" w:space="0" w:color="007586" w:themeColor="accent2"/>
        <w:right w:val="single" w:sz="4" w:space="0" w:color="007586" w:themeColor="accent2"/>
        <w:insideH w:val="single" w:sz="4" w:space="0" w:color="FFFFFF" w:themeColor="background1"/>
        <w:insideV w:val="single" w:sz="4" w:space="0" w:color="FFFFFF" w:themeColor="background1"/>
      </w:tblBorders>
    </w:tblPr>
    <w:tcPr>
      <w:shd w:val="clear" w:color="auto" w:fill="DAFAFF" w:themeFill="accent2" w:themeFillTint="19"/>
    </w:tcPr>
    <w:tblStylePr w:type="firstRow">
      <w:rPr>
        <w:b/>
        <w:bCs/>
      </w:rPr>
      <w:tblPr/>
      <w:tcPr>
        <w:tcBorders>
          <w:top w:val="nil"/>
          <w:left w:val="nil"/>
          <w:bottom w:val="single" w:sz="24" w:space="0" w:color="00758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550" w:themeFill="accent2" w:themeFillShade="99"/>
      </w:tcPr>
    </w:tblStylePr>
    <w:tblStylePr w:type="firstCol">
      <w:rPr>
        <w:color w:val="FFFFFF" w:themeColor="background1"/>
      </w:rPr>
      <w:tblPr/>
      <w:tcPr>
        <w:tcBorders>
          <w:top w:val="nil"/>
          <w:left w:val="nil"/>
          <w:bottom w:val="nil"/>
          <w:right w:val="nil"/>
          <w:insideH w:val="single" w:sz="4" w:space="0" w:color="004550" w:themeColor="accent2" w:themeShade="99"/>
          <w:insideV w:val="nil"/>
        </w:tcBorders>
        <w:shd w:val="clear" w:color="auto" w:fill="00455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4550" w:themeFill="accent2" w:themeFillShade="99"/>
      </w:tcPr>
    </w:tblStylePr>
    <w:tblStylePr w:type="band1Vert">
      <w:tblPr/>
      <w:tcPr>
        <w:shd w:val="clear" w:color="auto" w:fill="68EBFF" w:themeFill="accent2" w:themeFillTint="66"/>
      </w:tcPr>
    </w:tblStylePr>
    <w:tblStylePr w:type="band1Horz">
      <w:tblPr/>
      <w:tcPr>
        <w:shd w:val="clear" w:color="auto" w:fill="43E6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294A5A"/>
    <w:pPr>
      <w:spacing w:before="0" w:after="0" w:line="240" w:lineRule="auto"/>
    </w:pPr>
    <w:rPr>
      <w:color w:val="000000" w:themeColor="text1"/>
    </w:rPr>
    <w:tblPr>
      <w:tblStyleRowBandSize w:val="1"/>
      <w:tblStyleColBandSize w:val="1"/>
      <w:tblBorders>
        <w:top w:val="single" w:sz="24" w:space="0" w:color="004C97" w:themeColor="accent4"/>
        <w:left w:val="single" w:sz="4" w:space="0" w:color="5AB9EB" w:themeColor="accent3"/>
        <w:bottom w:val="single" w:sz="4" w:space="0" w:color="5AB9EB" w:themeColor="accent3"/>
        <w:right w:val="single" w:sz="4" w:space="0" w:color="5AB9EB" w:themeColor="accent3"/>
        <w:insideH w:val="single" w:sz="4" w:space="0" w:color="FFFFFF" w:themeColor="background1"/>
        <w:insideV w:val="single" w:sz="4" w:space="0" w:color="FFFFFF" w:themeColor="background1"/>
      </w:tblBorders>
    </w:tblPr>
    <w:tcPr>
      <w:shd w:val="clear" w:color="auto" w:fill="EEF8FD" w:themeFill="accent3" w:themeFillTint="19"/>
    </w:tcPr>
    <w:tblStylePr w:type="firstRow">
      <w:rPr>
        <w:b/>
        <w:bCs/>
      </w:rPr>
      <w:tblPr/>
      <w:tcPr>
        <w:tcBorders>
          <w:top w:val="nil"/>
          <w:left w:val="nil"/>
          <w:bottom w:val="single" w:sz="24" w:space="0" w:color="004C9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579AD" w:themeFill="accent3" w:themeFillShade="99"/>
      </w:tcPr>
    </w:tblStylePr>
    <w:tblStylePr w:type="firstCol">
      <w:rPr>
        <w:color w:val="FFFFFF" w:themeColor="background1"/>
      </w:rPr>
      <w:tblPr/>
      <w:tcPr>
        <w:tcBorders>
          <w:top w:val="nil"/>
          <w:left w:val="nil"/>
          <w:bottom w:val="nil"/>
          <w:right w:val="nil"/>
          <w:insideH w:val="single" w:sz="4" w:space="0" w:color="1579AD" w:themeColor="accent3" w:themeShade="99"/>
          <w:insideV w:val="nil"/>
        </w:tcBorders>
        <w:shd w:val="clear" w:color="auto" w:fill="1579A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579AD" w:themeFill="accent3" w:themeFillShade="99"/>
      </w:tcPr>
    </w:tblStylePr>
    <w:tblStylePr w:type="band1Vert">
      <w:tblPr/>
      <w:tcPr>
        <w:shd w:val="clear" w:color="auto" w:fill="BDE2F7" w:themeFill="accent3" w:themeFillTint="66"/>
      </w:tcPr>
    </w:tblStylePr>
    <w:tblStylePr w:type="band1Horz">
      <w:tblPr/>
      <w:tcPr>
        <w:shd w:val="clear" w:color="auto" w:fill="ACDCF5" w:themeFill="accent3" w:themeFillTint="7F"/>
      </w:tcPr>
    </w:tblStylePr>
  </w:style>
  <w:style w:type="table" w:styleId="ColorfulShading-Accent4">
    <w:name w:val="Colorful Shading Accent 4"/>
    <w:basedOn w:val="TableNormal"/>
    <w:uiPriority w:val="71"/>
    <w:semiHidden/>
    <w:rsid w:val="00294A5A"/>
    <w:pPr>
      <w:spacing w:before="0" w:after="0" w:line="240" w:lineRule="auto"/>
    </w:pPr>
    <w:rPr>
      <w:color w:val="000000" w:themeColor="text1"/>
    </w:rPr>
    <w:tblPr>
      <w:tblStyleRowBandSize w:val="1"/>
      <w:tblStyleColBandSize w:val="1"/>
      <w:tblBorders>
        <w:top w:val="single" w:sz="24" w:space="0" w:color="5AB9EB" w:themeColor="accent3"/>
        <w:left w:val="single" w:sz="4" w:space="0" w:color="004C97" w:themeColor="accent4"/>
        <w:bottom w:val="single" w:sz="4" w:space="0" w:color="004C97" w:themeColor="accent4"/>
        <w:right w:val="single" w:sz="4" w:space="0" w:color="004C97" w:themeColor="accent4"/>
        <w:insideH w:val="single" w:sz="4" w:space="0" w:color="FFFFFF" w:themeColor="background1"/>
        <w:insideV w:val="single" w:sz="4" w:space="0" w:color="FFFFFF" w:themeColor="background1"/>
      </w:tblBorders>
    </w:tblPr>
    <w:tcPr>
      <w:shd w:val="clear" w:color="auto" w:fill="DBEDFF" w:themeFill="accent4" w:themeFillTint="19"/>
    </w:tcPr>
    <w:tblStylePr w:type="firstRow">
      <w:rPr>
        <w:b/>
        <w:bCs/>
      </w:rPr>
      <w:tblPr/>
      <w:tcPr>
        <w:tcBorders>
          <w:top w:val="nil"/>
          <w:left w:val="nil"/>
          <w:bottom w:val="single" w:sz="24" w:space="0" w:color="5AB9EB"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4" w:themeFillShade="99"/>
      </w:tcPr>
    </w:tblStylePr>
    <w:tblStylePr w:type="firstCol">
      <w:rPr>
        <w:color w:val="FFFFFF" w:themeColor="background1"/>
      </w:rPr>
      <w:tblPr/>
      <w:tcPr>
        <w:tcBorders>
          <w:top w:val="nil"/>
          <w:left w:val="nil"/>
          <w:bottom w:val="nil"/>
          <w:right w:val="nil"/>
          <w:insideH w:val="single" w:sz="4" w:space="0" w:color="002D5A" w:themeColor="accent4" w:themeShade="99"/>
          <w:insideV w:val="nil"/>
        </w:tcBorders>
        <w:shd w:val="clear" w:color="auto" w:fill="002D5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4" w:themeFillShade="99"/>
      </w:tcPr>
    </w:tblStylePr>
    <w:tblStylePr w:type="band1Vert">
      <w:tblPr/>
      <w:tcPr>
        <w:shd w:val="clear" w:color="auto" w:fill="6FB7FF" w:themeFill="accent4" w:themeFillTint="66"/>
      </w:tcPr>
    </w:tblStylePr>
    <w:tblStylePr w:type="band1Horz">
      <w:tblPr/>
      <w:tcPr>
        <w:shd w:val="clear" w:color="auto" w:fill="4CA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294A5A"/>
    <w:pPr>
      <w:spacing w:before="0" w:after="0" w:line="240" w:lineRule="auto"/>
    </w:pPr>
    <w:rPr>
      <w:color w:val="000000" w:themeColor="text1"/>
    </w:rPr>
    <w:tblPr>
      <w:tblStyleRowBandSize w:val="1"/>
      <w:tblStyleColBandSize w:val="1"/>
      <w:tblBorders>
        <w:top w:val="single" w:sz="24" w:space="0" w:color="E6643C" w:themeColor="accent6"/>
        <w:left w:val="single" w:sz="4" w:space="0" w:color="5AAA64" w:themeColor="accent5"/>
        <w:bottom w:val="single" w:sz="4" w:space="0" w:color="5AAA64" w:themeColor="accent5"/>
        <w:right w:val="single" w:sz="4" w:space="0" w:color="5AAA64" w:themeColor="accent5"/>
        <w:insideH w:val="single" w:sz="4" w:space="0" w:color="FFFFFF" w:themeColor="background1"/>
        <w:insideV w:val="single" w:sz="4" w:space="0" w:color="FFFFFF" w:themeColor="background1"/>
      </w:tblBorders>
    </w:tblPr>
    <w:tcPr>
      <w:shd w:val="clear" w:color="auto" w:fill="EEF6EF" w:themeFill="accent5" w:themeFillTint="19"/>
    </w:tcPr>
    <w:tblStylePr w:type="firstRow">
      <w:rPr>
        <w:b/>
        <w:bCs/>
      </w:rPr>
      <w:tblPr/>
      <w:tcPr>
        <w:tcBorders>
          <w:top w:val="nil"/>
          <w:left w:val="nil"/>
          <w:bottom w:val="single" w:sz="24" w:space="0" w:color="E6643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663B" w:themeFill="accent5" w:themeFillShade="99"/>
      </w:tcPr>
    </w:tblStylePr>
    <w:tblStylePr w:type="firstCol">
      <w:rPr>
        <w:color w:val="FFFFFF" w:themeColor="background1"/>
      </w:rPr>
      <w:tblPr/>
      <w:tcPr>
        <w:tcBorders>
          <w:top w:val="nil"/>
          <w:left w:val="nil"/>
          <w:bottom w:val="nil"/>
          <w:right w:val="nil"/>
          <w:insideH w:val="single" w:sz="4" w:space="0" w:color="35663B" w:themeColor="accent5" w:themeShade="99"/>
          <w:insideV w:val="nil"/>
        </w:tcBorders>
        <w:shd w:val="clear" w:color="auto" w:fill="35663B"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5663B" w:themeFill="accent5" w:themeFillShade="99"/>
      </w:tcPr>
    </w:tblStylePr>
    <w:tblStylePr w:type="band1Vert">
      <w:tblPr/>
      <w:tcPr>
        <w:shd w:val="clear" w:color="auto" w:fill="BDDDC0" w:themeFill="accent5" w:themeFillTint="66"/>
      </w:tcPr>
    </w:tblStylePr>
    <w:tblStylePr w:type="band1Horz">
      <w:tblPr/>
      <w:tcPr>
        <w:shd w:val="clear" w:color="auto" w:fill="ACD4B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294A5A"/>
    <w:pPr>
      <w:spacing w:before="0" w:after="0" w:line="240" w:lineRule="auto"/>
    </w:pPr>
    <w:rPr>
      <w:color w:val="000000" w:themeColor="text1"/>
    </w:rPr>
    <w:tblPr>
      <w:tblStyleRowBandSize w:val="1"/>
      <w:tblStyleColBandSize w:val="1"/>
      <w:tblBorders>
        <w:top w:val="single" w:sz="24" w:space="0" w:color="5AAA64" w:themeColor="accent5"/>
        <w:left w:val="single" w:sz="4" w:space="0" w:color="E6643C" w:themeColor="accent6"/>
        <w:bottom w:val="single" w:sz="4" w:space="0" w:color="E6643C" w:themeColor="accent6"/>
        <w:right w:val="single" w:sz="4" w:space="0" w:color="E6643C" w:themeColor="accent6"/>
        <w:insideH w:val="single" w:sz="4" w:space="0" w:color="FFFFFF" w:themeColor="background1"/>
        <w:insideV w:val="single" w:sz="4" w:space="0" w:color="FFFFFF" w:themeColor="background1"/>
      </w:tblBorders>
    </w:tblPr>
    <w:tcPr>
      <w:shd w:val="clear" w:color="auto" w:fill="FCEFEB" w:themeFill="accent6" w:themeFillTint="19"/>
    </w:tcPr>
    <w:tblStylePr w:type="firstRow">
      <w:rPr>
        <w:b/>
        <w:bCs/>
      </w:rPr>
      <w:tblPr/>
      <w:tcPr>
        <w:tcBorders>
          <w:top w:val="nil"/>
          <w:left w:val="nil"/>
          <w:bottom w:val="single" w:sz="24" w:space="0" w:color="5AAA6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A3313" w:themeFill="accent6" w:themeFillShade="99"/>
      </w:tcPr>
    </w:tblStylePr>
    <w:tblStylePr w:type="firstCol">
      <w:rPr>
        <w:color w:val="FFFFFF" w:themeColor="background1"/>
      </w:rPr>
      <w:tblPr/>
      <w:tcPr>
        <w:tcBorders>
          <w:top w:val="nil"/>
          <w:left w:val="nil"/>
          <w:bottom w:val="nil"/>
          <w:right w:val="nil"/>
          <w:insideH w:val="single" w:sz="4" w:space="0" w:color="9A3313" w:themeColor="accent6" w:themeShade="99"/>
          <w:insideV w:val="nil"/>
        </w:tcBorders>
        <w:shd w:val="clear" w:color="auto" w:fill="9A3313"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A3313" w:themeFill="accent6" w:themeFillShade="99"/>
      </w:tcPr>
    </w:tblStylePr>
    <w:tblStylePr w:type="band1Vert">
      <w:tblPr/>
      <w:tcPr>
        <w:shd w:val="clear" w:color="auto" w:fill="F5C1B1" w:themeFill="accent6" w:themeFillTint="66"/>
      </w:tcPr>
    </w:tblStylePr>
    <w:tblStylePr w:type="band1Horz">
      <w:tblPr/>
      <w:tcPr>
        <w:shd w:val="clear" w:color="auto" w:fill="F2B19D"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rsid w:val="00294A5A"/>
    <w:pPr>
      <w:spacing w:before="0"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294A5A"/>
    <w:pPr>
      <w:spacing w:before="0" w:after="0" w:line="240" w:lineRule="auto"/>
    </w:pPr>
    <w:rPr>
      <w:color w:val="FFFFFF" w:themeColor="background1"/>
    </w:rPr>
    <w:tblPr>
      <w:tblStyleRowBandSize w:val="1"/>
      <w:tblStyleColBandSize w:val="1"/>
    </w:tblPr>
    <w:tcPr>
      <w:shd w:val="clear" w:color="auto" w:fill="1B242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11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41A1F"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41A1F" w:themeFill="accent1" w:themeFillShade="BF"/>
      </w:tcPr>
    </w:tblStylePr>
    <w:tblStylePr w:type="band1Vert">
      <w:tblPr/>
      <w:tcPr>
        <w:tcBorders>
          <w:top w:val="nil"/>
          <w:left w:val="nil"/>
          <w:bottom w:val="nil"/>
          <w:right w:val="nil"/>
          <w:insideH w:val="nil"/>
          <w:insideV w:val="nil"/>
        </w:tcBorders>
        <w:shd w:val="clear" w:color="auto" w:fill="141A1F" w:themeFill="accent1" w:themeFillShade="BF"/>
      </w:tcPr>
    </w:tblStylePr>
    <w:tblStylePr w:type="band1Horz">
      <w:tblPr/>
      <w:tcPr>
        <w:tcBorders>
          <w:top w:val="nil"/>
          <w:left w:val="nil"/>
          <w:bottom w:val="nil"/>
          <w:right w:val="nil"/>
          <w:insideH w:val="nil"/>
          <w:insideV w:val="nil"/>
        </w:tcBorders>
        <w:shd w:val="clear" w:color="auto" w:fill="141A1F" w:themeFill="accent1" w:themeFillShade="BF"/>
      </w:tcPr>
    </w:tblStylePr>
  </w:style>
  <w:style w:type="table" w:styleId="DarkList-Accent2">
    <w:name w:val="Dark List Accent 2"/>
    <w:basedOn w:val="TableNormal"/>
    <w:uiPriority w:val="70"/>
    <w:semiHidden/>
    <w:rsid w:val="00294A5A"/>
    <w:pPr>
      <w:spacing w:before="0" w:after="0" w:line="240" w:lineRule="auto"/>
    </w:pPr>
    <w:rPr>
      <w:color w:val="FFFFFF" w:themeColor="background1"/>
    </w:rPr>
    <w:tblPr>
      <w:tblStyleRowBandSize w:val="1"/>
      <w:tblStyleColBandSize w:val="1"/>
    </w:tblPr>
    <w:tcPr>
      <w:shd w:val="clear" w:color="auto" w:fill="00758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A42"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576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5764" w:themeFill="accent2" w:themeFillShade="BF"/>
      </w:tcPr>
    </w:tblStylePr>
    <w:tblStylePr w:type="band1Vert">
      <w:tblPr/>
      <w:tcPr>
        <w:tcBorders>
          <w:top w:val="nil"/>
          <w:left w:val="nil"/>
          <w:bottom w:val="nil"/>
          <w:right w:val="nil"/>
          <w:insideH w:val="nil"/>
          <w:insideV w:val="nil"/>
        </w:tcBorders>
        <w:shd w:val="clear" w:color="auto" w:fill="005764" w:themeFill="accent2" w:themeFillShade="BF"/>
      </w:tcPr>
    </w:tblStylePr>
    <w:tblStylePr w:type="band1Horz">
      <w:tblPr/>
      <w:tcPr>
        <w:tcBorders>
          <w:top w:val="nil"/>
          <w:left w:val="nil"/>
          <w:bottom w:val="nil"/>
          <w:right w:val="nil"/>
          <w:insideH w:val="nil"/>
          <w:insideV w:val="nil"/>
        </w:tcBorders>
        <w:shd w:val="clear" w:color="auto" w:fill="005764" w:themeFill="accent2" w:themeFillShade="BF"/>
      </w:tcPr>
    </w:tblStylePr>
  </w:style>
  <w:style w:type="table" w:styleId="DarkList-Accent3">
    <w:name w:val="Dark List Accent 3"/>
    <w:basedOn w:val="TableNormal"/>
    <w:uiPriority w:val="70"/>
    <w:semiHidden/>
    <w:rsid w:val="00294A5A"/>
    <w:pPr>
      <w:spacing w:before="0" w:after="0" w:line="240" w:lineRule="auto"/>
    </w:pPr>
    <w:rPr>
      <w:color w:val="FFFFFF" w:themeColor="background1"/>
    </w:rPr>
    <w:tblPr>
      <w:tblStyleRowBandSize w:val="1"/>
      <w:tblStyleColBandSize w:val="1"/>
    </w:tblPr>
    <w:tcPr>
      <w:shd w:val="clear" w:color="auto" w:fill="5AB9EB"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1649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A97D9"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A97D9" w:themeFill="accent3" w:themeFillShade="BF"/>
      </w:tcPr>
    </w:tblStylePr>
    <w:tblStylePr w:type="band1Vert">
      <w:tblPr/>
      <w:tcPr>
        <w:tcBorders>
          <w:top w:val="nil"/>
          <w:left w:val="nil"/>
          <w:bottom w:val="nil"/>
          <w:right w:val="nil"/>
          <w:insideH w:val="nil"/>
          <w:insideV w:val="nil"/>
        </w:tcBorders>
        <w:shd w:val="clear" w:color="auto" w:fill="1A97D9" w:themeFill="accent3" w:themeFillShade="BF"/>
      </w:tcPr>
    </w:tblStylePr>
    <w:tblStylePr w:type="band1Horz">
      <w:tblPr/>
      <w:tcPr>
        <w:tcBorders>
          <w:top w:val="nil"/>
          <w:left w:val="nil"/>
          <w:bottom w:val="nil"/>
          <w:right w:val="nil"/>
          <w:insideH w:val="nil"/>
          <w:insideV w:val="nil"/>
        </w:tcBorders>
        <w:shd w:val="clear" w:color="auto" w:fill="1A97D9" w:themeFill="accent3" w:themeFillShade="BF"/>
      </w:tcPr>
    </w:tblStylePr>
  </w:style>
  <w:style w:type="table" w:styleId="DarkList-Accent4">
    <w:name w:val="Dark List Accent 4"/>
    <w:basedOn w:val="TableNormal"/>
    <w:uiPriority w:val="70"/>
    <w:semiHidden/>
    <w:rsid w:val="00294A5A"/>
    <w:pPr>
      <w:spacing w:before="0" w:after="0" w:line="240" w:lineRule="auto"/>
    </w:pPr>
    <w:rPr>
      <w:color w:val="FFFFFF" w:themeColor="background1"/>
    </w:rPr>
    <w:tblPr>
      <w:tblStyleRowBandSize w:val="1"/>
      <w:tblStyleColBandSize w:val="1"/>
    </w:tblPr>
    <w:tcPr>
      <w:shd w:val="clear" w:color="auto" w:fill="004C9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4" w:themeFillShade="BF"/>
      </w:tcPr>
    </w:tblStylePr>
    <w:tblStylePr w:type="band1Vert">
      <w:tblPr/>
      <w:tcPr>
        <w:tcBorders>
          <w:top w:val="nil"/>
          <w:left w:val="nil"/>
          <w:bottom w:val="nil"/>
          <w:right w:val="nil"/>
          <w:insideH w:val="nil"/>
          <w:insideV w:val="nil"/>
        </w:tcBorders>
        <w:shd w:val="clear" w:color="auto" w:fill="003871" w:themeFill="accent4" w:themeFillShade="BF"/>
      </w:tcPr>
    </w:tblStylePr>
    <w:tblStylePr w:type="band1Horz">
      <w:tblPr/>
      <w:tcPr>
        <w:tcBorders>
          <w:top w:val="nil"/>
          <w:left w:val="nil"/>
          <w:bottom w:val="nil"/>
          <w:right w:val="nil"/>
          <w:insideH w:val="nil"/>
          <w:insideV w:val="nil"/>
        </w:tcBorders>
        <w:shd w:val="clear" w:color="auto" w:fill="003871" w:themeFill="accent4" w:themeFillShade="BF"/>
      </w:tcPr>
    </w:tblStylePr>
  </w:style>
  <w:style w:type="table" w:styleId="DarkList-Accent5">
    <w:name w:val="Dark List Accent 5"/>
    <w:basedOn w:val="TableNormal"/>
    <w:uiPriority w:val="70"/>
    <w:semiHidden/>
    <w:rsid w:val="00294A5A"/>
    <w:pPr>
      <w:spacing w:before="0" w:after="0" w:line="240" w:lineRule="auto"/>
    </w:pPr>
    <w:rPr>
      <w:color w:val="FFFFFF" w:themeColor="background1"/>
    </w:rPr>
    <w:tblPr>
      <w:tblStyleRowBandSize w:val="1"/>
      <w:tblStyleColBandSize w:val="1"/>
    </w:tblPr>
    <w:tcPr>
      <w:shd w:val="clear" w:color="auto" w:fill="5AAA6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C553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28049"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28049" w:themeFill="accent5" w:themeFillShade="BF"/>
      </w:tcPr>
    </w:tblStylePr>
    <w:tblStylePr w:type="band1Vert">
      <w:tblPr/>
      <w:tcPr>
        <w:tcBorders>
          <w:top w:val="nil"/>
          <w:left w:val="nil"/>
          <w:bottom w:val="nil"/>
          <w:right w:val="nil"/>
          <w:insideH w:val="nil"/>
          <w:insideV w:val="nil"/>
        </w:tcBorders>
        <w:shd w:val="clear" w:color="auto" w:fill="428049" w:themeFill="accent5" w:themeFillShade="BF"/>
      </w:tcPr>
    </w:tblStylePr>
    <w:tblStylePr w:type="band1Horz">
      <w:tblPr/>
      <w:tcPr>
        <w:tcBorders>
          <w:top w:val="nil"/>
          <w:left w:val="nil"/>
          <w:bottom w:val="nil"/>
          <w:right w:val="nil"/>
          <w:insideH w:val="nil"/>
          <w:insideV w:val="nil"/>
        </w:tcBorders>
        <w:shd w:val="clear" w:color="auto" w:fill="428049" w:themeFill="accent5" w:themeFillShade="BF"/>
      </w:tcPr>
    </w:tblStylePr>
  </w:style>
  <w:style w:type="table" w:styleId="DarkList-Accent6">
    <w:name w:val="Dark List Accent 6"/>
    <w:basedOn w:val="TableNormal"/>
    <w:uiPriority w:val="70"/>
    <w:semiHidden/>
    <w:rsid w:val="00294A5A"/>
    <w:pPr>
      <w:spacing w:before="0" w:after="0" w:line="240" w:lineRule="auto"/>
    </w:pPr>
    <w:rPr>
      <w:color w:val="FFFFFF" w:themeColor="background1"/>
    </w:rPr>
    <w:tblPr>
      <w:tblStyleRowBandSize w:val="1"/>
      <w:tblStyleColBandSize w:val="1"/>
    </w:tblPr>
    <w:tcPr>
      <w:shd w:val="clear" w:color="auto" w:fill="E6643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2A1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C04018"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C04018" w:themeFill="accent6" w:themeFillShade="BF"/>
      </w:tcPr>
    </w:tblStylePr>
    <w:tblStylePr w:type="band1Vert">
      <w:tblPr/>
      <w:tcPr>
        <w:tcBorders>
          <w:top w:val="nil"/>
          <w:left w:val="nil"/>
          <w:bottom w:val="nil"/>
          <w:right w:val="nil"/>
          <w:insideH w:val="nil"/>
          <w:insideV w:val="nil"/>
        </w:tcBorders>
        <w:shd w:val="clear" w:color="auto" w:fill="C04018" w:themeFill="accent6" w:themeFillShade="BF"/>
      </w:tcPr>
    </w:tblStylePr>
    <w:tblStylePr w:type="band1Horz">
      <w:tblPr/>
      <w:tcPr>
        <w:tcBorders>
          <w:top w:val="nil"/>
          <w:left w:val="nil"/>
          <w:bottom w:val="nil"/>
          <w:right w:val="nil"/>
          <w:insideH w:val="nil"/>
          <w:insideV w:val="nil"/>
        </w:tcBorders>
        <w:shd w:val="clear" w:color="auto" w:fill="C04018" w:themeFill="accent6" w:themeFillShade="BF"/>
      </w:tcPr>
    </w:tblStylePr>
  </w:style>
  <w:style w:type="table" w:styleId="GridTable1Light">
    <w:name w:val="Grid Table 1 Light"/>
    <w:basedOn w:val="TableNormal"/>
    <w:uiPriority w:val="46"/>
    <w:semiHidden/>
    <w:rsid w:val="00294A5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294A5A"/>
    <w:pPr>
      <w:spacing w:after="0" w:line="240" w:lineRule="auto"/>
    </w:pPr>
    <w:tblPr>
      <w:tblStyleRowBandSize w:val="1"/>
      <w:tblStyleColBandSize w:val="1"/>
      <w:tblBorders>
        <w:top w:val="single" w:sz="4" w:space="0" w:color="93AABA" w:themeColor="accent1" w:themeTint="66"/>
        <w:left w:val="single" w:sz="4" w:space="0" w:color="93AABA" w:themeColor="accent1" w:themeTint="66"/>
        <w:bottom w:val="single" w:sz="4" w:space="0" w:color="93AABA" w:themeColor="accent1" w:themeTint="66"/>
        <w:right w:val="single" w:sz="4" w:space="0" w:color="93AABA" w:themeColor="accent1" w:themeTint="66"/>
        <w:insideH w:val="single" w:sz="4" w:space="0" w:color="93AABA" w:themeColor="accent1" w:themeTint="66"/>
        <w:insideV w:val="single" w:sz="4" w:space="0" w:color="93AABA" w:themeColor="accent1" w:themeTint="66"/>
      </w:tblBorders>
    </w:tblPr>
    <w:tblStylePr w:type="firstRow">
      <w:rPr>
        <w:b/>
        <w:bCs/>
      </w:rPr>
      <w:tblPr/>
      <w:tcPr>
        <w:tcBorders>
          <w:bottom w:val="single" w:sz="12" w:space="0" w:color="607F95" w:themeColor="accent1" w:themeTint="99"/>
        </w:tcBorders>
      </w:tcPr>
    </w:tblStylePr>
    <w:tblStylePr w:type="lastRow">
      <w:rPr>
        <w:b/>
        <w:bCs/>
      </w:rPr>
      <w:tblPr/>
      <w:tcPr>
        <w:tcBorders>
          <w:top w:val="double" w:sz="2" w:space="0" w:color="607F9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294A5A"/>
    <w:pPr>
      <w:spacing w:after="0" w:line="240" w:lineRule="auto"/>
    </w:pPr>
    <w:tblPr>
      <w:tblStyleRowBandSize w:val="1"/>
      <w:tblStyleColBandSize w:val="1"/>
      <w:tblBorders>
        <w:top w:val="single" w:sz="4" w:space="0" w:color="68EBFF" w:themeColor="accent2" w:themeTint="66"/>
        <w:left w:val="single" w:sz="4" w:space="0" w:color="68EBFF" w:themeColor="accent2" w:themeTint="66"/>
        <w:bottom w:val="single" w:sz="4" w:space="0" w:color="68EBFF" w:themeColor="accent2" w:themeTint="66"/>
        <w:right w:val="single" w:sz="4" w:space="0" w:color="68EBFF" w:themeColor="accent2" w:themeTint="66"/>
        <w:insideH w:val="single" w:sz="4" w:space="0" w:color="68EBFF" w:themeColor="accent2" w:themeTint="66"/>
        <w:insideV w:val="single" w:sz="4" w:space="0" w:color="68EBFF" w:themeColor="accent2" w:themeTint="66"/>
      </w:tblBorders>
    </w:tblPr>
    <w:tblStylePr w:type="firstRow">
      <w:rPr>
        <w:b/>
        <w:bCs/>
      </w:rPr>
      <w:tblPr/>
      <w:tcPr>
        <w:tcBorders>
          <w:bottom w:val="single" w:sz="12" w:space="0" w:color="1DE1FF" w:themeColor="accent2" w:themeTint="99"/>
        </w:tcBorders>
      </w:tcPr>
    </w:tblStylePr>
    <w:tblStylePr w:type="lastRow">
      <w:rPr>
        <w:b/>
        <w:bCs/>
      </w:rPr>
      <w:tblPr/>
      <w:tcPr>
        <w:tcBorders>
          <w:top w:val="double" w:sz="2" w:space="0" w:color="1DE1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294A5A"/>
    <w:pPr>
      <w:spacing w:after="0" w:line="240" w:lineRule="auto"/>
    </w:pPr>
    <w:tblPr>
      <w:tblStyleRowBandSize w:val="1"/>
      <w:tblStyleColBandSize w:val="1"/>
      <w:tblBorders>
        <w:top w:val="single" w:sz="4" w:space="0" w:color="BDE2F7" w:themeColor="accent3" w:themeTint="66"/>
        <w:left w:val="single" w:sz="4" w:space="0" w:color="BDE2F7" w:themeColor="accent3" w:themeTint="66"/>
        <w:bottom w:val="single" w:sz="4" w:space="0" w:color="BDE2F7" w:themeColor="accent3" w:themeTint="66"/>
        <w:right w:val="single" w:sz="4" w:space="0" w:color="BDE2F7" w:themeColor="accent3" w:themeTint="66"/>
        <w:insideH w:val="single" w:sz="4" w:space="0" w:color="BDE2F7" w:themeColor="accent3" w:themeTint="66"/>
        <w:insideV w:val="single" w:sz="4" w:space="0" w:color="BDE2F7" w:themeColor="accent3" w:themeTint="66"/>
      </w:tblBorders>
    </w:tblPr>
    <w:tblStylePr w:type="firstRow">
      <w:rPr>
        <w:b/>
        <w:bCs/>
      </w:rPr>
      <w:tblPr/>
      <w:tcPr>
        <w:tcBorders>
          <w:bottom w:val="single" w:sz="12" w:space="0" w:color="9CD4F3" w:themeColor="accent3" w:themeTint="99"/>
        </w:tcBorders>
      </w:tcPr>
    </w:tblStylePr>
    <w:tblStylePr w:type="lastRow">
      <w:rPr>
        <w:b/>
        <w:bCs/>
      </w:rPr>
      <w:tblPr/>
      <w:tcPr>
        <w:tcBorders>
          <w:top w:val="double" w:sz="2" w:space="0" w:color="9CD4F3"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294A5A"/>
    <w:pPr>
      <w:spacing w:after="0" w:line="240" w:lineRule="auto"/>
    </w:pPr>
    <w:tblPr>
      <w:tblStyleRowBandSize w:val="1"/>
      <w:tblStyleColBandSize w:val="1"/>
      <w:tblBorders>
        <w:top w:val="single" w:sz="4" w:space="0" w:color="6FB7FF" w:themeColor="accent4" w:themeTint="66"/>
        <w:left w:val="single" w:sz="4" w:space="0" w:color="6FB7FF" w:themeColor="accent4" w:themeTint="66"/>
        <w:bottom w:val="single" w:sz="4" w:space="0" w:color="6FB7FF" w:themeColor="accent4" w:themeTint="66"/>
        <w:right w:val="single" w:sz="4" w:space="0" w:color="6FB7FF" w:themeColor="accent4" w:themeTint="66"/>
        <w:insideH w:val="single" w:sz="4" w:space="0" w:color="6FB7FF" w:themeColor="accent4" w:themeTint="66"/>
        <w:insideV w:val="single" w:sz="4" w:space="0" w:color="6FB7FF" w:themeColor="accent4" w:themeTint="66"/>
      </w:tblBorders>
    </w:tblPr>
    <w:tblStylePr w:type="firstRow">
      <w:rPr>
        <w:b/>
        <w:bCs/>
      </w:rPr>
      <w:tblPr/>
      <w:tcPr>
        <w:tcBorders>
          <w:bottom w:val="single" w:sz="12" w:space="0" w:color="2793FF" w:themeColor="accent4" w:themeTint="99"/>
        </w:tcBorders>
      </w:tcPr>
    </w:tblStylePr>
    <w:tblStylePr w:type="lastRow">
      <w:rPr>
        <w:b/>
        <w:bCs/>
      </w:rPr>
      <w:tblPr/>
      <w:tcPr>
        <w:tcBorders>
          <w:top w:val="double" w:sz="2" w:space="0" w:color="2793F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294A5A"/>
    <w:pPr>
      <w:spacing w:after="0" w:line="240" w:lineRule="auto"/>
    </w:pPr>
    <w:tblPr>
      <w:tblStyleRowBandSize w:val="1"/>
      <w:tblStyleColBandSize w:val="1"/>
      <w:tblBorders>
        <w:top w:val="single" w:sz="4" w:space="0" w:color="BDDDC0" w:themeColor="accent5" w:themeTint="66"/>
        <w:left w:val="single" w:sz="4" w:space="0" w:color="BDDDC0" w:themeColor="accent5" w:themeTint="66"/>
        <w:bottom w:val="single" w:sz="4" w:space="0" w:color="BDDDC0" w:themeColor="accent5" w:themeTint="66"/>
        <w:right w:val="single" w:sz="4" w:space="0" w:color="BDDDC0" w:themeColor="accent5" w:themeTint="66"/>
        <w:insideH w:val="single" w:sz="4" w:space="0" w:color="BDDDC0" w:themeColor="accent5" w:themeTint="66"/>
        <w:insideV w:val="single" w:sz="4" w:space="0" w:color="BDDDC0" w:themeColor="accent5" w:themeTint="66"/>
      </w:tblBorders>
    </w:tblPr>
    <w:tblStylePr w:type="firstRow">
      <w:rPr>
        <w:b/>
        <w:bCs/>
      </w:rPr>
      <w:tblPr/>
      <w:tcPr>
        <w:tcBorders>
          <w:bottom w:val="single" w:sz="12" w:space="0" w:color="9CCCA1" w:themeColor="accent5" w:themeTint="99"/>
        </w:tcBorders>
      </w:tcPr>
    </w:tblStylePr>
    <w:tblStylePr w:type="lastRow">
      <w:rPr>
        <w:b/>
        <w:bCs/>
      </w:rPr>
      <w:tblPr/>
      <w:tcPr>
        <w:tcBorders>
          <w:top w:val="double" w:sz="2" w:space="0" w:color="9CCCA1"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294A5A"/>
    <w:pPr>
      <w:spacing w:after="0" w:line="240" w:lineRule="auto"/>
    </w:pPr>
    <w:tblPr>
      <w:tblStyleRowBandSize w:val="1"/>
      <w:tblStyleColBandSize w:val="1"/>
      <w:tblBorders>
        <w:top w:val="single" w:sz="4" w:space="0" w:color="F5C1B1" w:themeColor="accent6" w:themeTint="66"/>
        <w:left w:val="single" w:sz="4" w:space="0" w:color="F5C1B1" w:themeColor="accent6" w:themeTint="66"/>
        <w:bottom w:val="single" w:sz="4" w:space="0" w:color="F5C1B1" w:themeColor="accent6" w:themeTint="66"/>
        <w:right w:val="single" w:sz="4" w:space="0" w:color="F5C1B1" w:themeColor="accent6" w:themeTint="66"/>
        <w:insideH w:val="single" w:sz="4" w:space="0" w:color="F5C1B1" w:themeColor="accent6" w:themeTint="66"/>
        <w:insideV w:val="single" w:sz="4" w:space="0" w:color="F5C1B1" w:themeColor="accent6" w:themeTint="66"/>
      </w:tblBorders>
    </w:tblPr>
    <w:tblStylePr w:type="firstRow">
      <w:rPr>
        <w:b/>
        <w:bCs/>
      </w:rPr>
      <w:tblPr/>
      <w:tcPr>
        <w:tcBorders>
          <w:bottom w:val="single" w:sz="12" w:space="0" w:color="F0A28A" w:themeColor="accent6" w:themeTint="99"/>
        </w:tcBorders>
      </w:tcPr>
    </w:tblStylePr>
    <w:tblStylePr w:type="lastRow">
      <w:rPr>
        <w:b/>
        <w:bCs/>
      </w:rPr>
      <w:tblPr/>
      <w:tcPr>
        <w:tcBorders>
          <w:top w:val="double" w:sz="2" w:space="0" w:color="F0A28A"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294A5A"/>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294A5A"/>
    <w:pPr>
      <w:spacing w:after="0" w:line="240" w:lineRule="auto"/>
    </w:pPr>
    <w:tblPr>
      <w:tblStyleRowBandSize w:val="1"/>
      <w:tblStyleColBandSize w:val="1"/>
      <w:tblBorders>
        <w:top w:val="single" w:sz="2" w:space="0" w:color="607F95" w:themeColor="accent1" w:themeTint="99"/>
        <w:bottom w:val="single" w:sz="2" w:space="0" w:color="607F95" w:themeColor="accent1" w:themeTint="99"/>
        <w:insideH w:val="single" w:sz="2" w:space="0" w:color="607F95" w:themeColor="accent1" w:themeTint="99"/>
        <w:insideV w:val="single" w:sz="2" w:space="0" w:color="607F95" w:themeColor="accent1" w:themeTint="99"/>
      </w:tblBorders>
    </w:tblPr>
    <w:tblStylePr w:type="firstRow">
      <w:rPr>
        <w:b/>
        <w:bCs/>
      </w:rPr>
      <w:tblPr/>
      <w:tcPr>
        <w:tcBorders>
          <w:top w:val="nil"/>
          <w:bottom w:val="single" w:sz="12" w:space="0" w:color="607F95" w:themeColor="accent1" w:themeTint="99"/>
          <w:insideH w:val="nil"/>
          <w:insideV w:val="nil"/>
        </w:tcBorders>
        <w:shd w:val="clear" w:color="auto" w:fill="FFFFFF" w:themeFill="background1"/>
      </w:tcPr>
    </w:tblStylePr>
    <w:tblStylePr w:type="lastRow">
      <w:rPr>
        <w:b/>
        <w:bCs/>
      </w:rPr>
      <w:tblPr/>
      <w:tcPr>
        <w:tcBorders>
          <w:top w:val="double" w:sz="2" w:space="0" w:color="607F9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9D4DC" w:themeFill="accent1" w:themeFillTint="33"/>
      </w:tcPr>
    </w:tblStylePr>
    <w:tblStylePr w:type="band1Horz">
      <w:tblPr/>
      <w:tcPr>
        <w:shd w:val="clear" w:color="auto" w:fill="C9D4DC" w:themeFill="accent1" w:themeFillTint="33"/>
      </w:tcPr>
    </w:tblStylePr>
  </w:style>
  <w:style w:type="table" w:styleId="GridTable2-Accent2">
    <w:name w:val="Grid Table 2 Accent 2"/>
    <w:basedOn w:val="TableNormal"/>
    <w:uiPriority w:val="47"/>
    <w:semiHidden/>
    <w:rsid w:val="00294A5A"/>
    <w:pPr>
      <w:spacing w:after="0" w:line="240" w:lineRule="auto"/>
    </w:pPr>
    <w:tblPr>
      <w:tblStyleRowBandSize w:val="1"/>
      <w:tblStyleColBandSize w:val="1"/>
      <w:tblBorders>
        <w:top w:val="single" w:sz="2" w:space="0" w:color="1DE1FF" w:themeColor="accent2" w:themeTint="99"/>
        <w:bottom w:val="single" w:sz="2" w:space="0" w:color="1DE1FF" w:themeColor="accent2" w:themeTint="99"/>
        <w:insideH w:val="single" w:sz="2" w:space="0" w:color="1DE1FF" w:themeColor="accent2" w:themeTint="99"/>
        <w:insideV w:val="single" w:sz="2" w:space="0" w:color="1DE1FF" w:themeColor="accent2" w:themeTint="99"/>
      </w:tblBorders>
    </w:tblPr>
    <w:tblStylePr w:type="firstRow">
      <w:rPr>
        <w:b/>
        <w:bCs/>
      </w:rPr>
      <w:tblPr/>
      <w:tcPr>
        <w:tcBorders>
          <w:top w:val="nil"/>
          <w:bottom w:val="single" w:sz="12" w:space="0" w:color="1DE1FF" w:themeColor="accent2" w:themeTint="99"/>
          <w:insideH w:val="nil"/>
          <w:insideV w:val="nil"/>
        </w:tcBorders>
        <w:shd w:val="clear" w:color="auto" w:fill="FFFFFF" w:themeFill="background1"/>
      </w:tcPr>
    </w:tblStylePr>
    <w:tblStylePr w:type="lastRow">
      <w:rPr>
        <w:b/>
        <w:bCs/>
      </w:rPr>
      <w:tblPr/>
      <w:tcPr>
        <w:tcBorders>
          <w:top w:val="double" w:sz="2" w:space="0" w:color="1DE1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3F5FF" w:themeFill="accent2" w:themeFillTint="33"/>
      </w:tcPr>
    </w:tblStylePr>
    <w:tblStylePr w:type="band1Horz">
      <w:tblPr/>
      <w:tcPr>
        <w:shd w:val="clear" w:color="auto" w:fill="B3F5FF" w:themeFill="accent2" w:themeFillTint="33"/>
      </w:tcPr>
    </w:tblStylePr>
  </w:style>
  <w:style w:type="table" w:styleId="GridTable2-Accent3">
    <w:name w:val="Grid Table 2 Accent 3"/>
    <w:basedOn w:val="TableNormal"/>
    <w:uiPriority w:val="47"/>
    <w:semiHidden/>
    <w:rsid w:val="00294A5A"/>
    <w:pPr>
      <w:spacing w:after="0" w:line="240" w:lineRule="auto"/>
    </w:pPr>
    <w:tblPr>
      <w:tblStyleRowBandSize w:val="1"/>
      <w:tblStyleColBandSize w:val="1"/>
      <w:tblBorders>
        <w:top w:val="single" w:sz="2" w:space="0" w:color="9CD4F3" w:themeColor="accent3" w:themeTint="99"/>
        <w:bottom w:val="single" w:sz="2" w:space="0" w:color="9CD4F3" w:themeColor="accent3" w:themeTint="99"/>
        <w:insideH w:val="single" w:sz="2" w:space="0" w:color="9CD4F3" w:themeColor="accent3" w:themeTint="99"/>
        <w:insideV w:val="single" w:sz="2" w:space="0" w:color="9CD4F3" w:themeColor="accent3" w:themeTint="99"/>
      </w:tblBorders>
    </w:tblPr>
    <w:tblStylePr w:type="firstRow">
      <w:rPr>
        <w:b/>
        <w:bCs/>
      </w:rPr>
      <w:tblPr/>
      <w:tcPr>
        <w:tcBorders>
          <w:top w:val="nil"/>
          <w:bottom w:val="single" w:sz="12" w:space="0" w:color="9CD4F3" w:themeColor="accent3" w:themeTint="99"/>
          <w:insideH w:val="nil"/>
          <w:insideV w:val="nil"/>
        </w:tcBorders>
        <w:shd w:val="clear" w:color="auto" w:fill="FFFFFF" w:themeFill="background1"/>
      </w:tcPr>
    </w:tblStylePr>
    <w:tblStylePr w:type="lastRow">
      <w:rPr>
        <w:b/>
        <w:bCs/>
      </w:rPr>
      <w:tblPr/>
      <w:tcPr>
        <w:tcBorders>
          <w:top w:val="double" w:sz="2" w:space="0" w:color="9CD4F3"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F0FB" w:themeFill="accent3" w:themeFillTint="33"/>
      </w:tcPr>
    </w:tblStylePr>
    <w:tblStylePr w:type="band1Horz">
      <w:tblPr/>
      <w:tcPr>
        <w:shd w:val="clear" w:color="auto" w:fill="DEF0FB" w:themeFill="accent3" w:themeFillTint="33"/>
      </w:tcPr>
    </w:tblStylePr>
  </w:style>
  <w:style w:type="table" w:styleId="GridTable2-Accent4">
    <w:name w:val="Grid Table 2 Accent 4"/>
    <w:basedOn w:val="TableNormal"/>
    <w:uiPriority w:val="47"/>
    <w:semiHidden/>
    <w:rsid w:val="00294A5A"/>
    <w:pPr>
      <w:spacing w:after="0" w:line="240" w:lineRule="auto"/>
    </w:pPr>
    <w:tblPr>
      <w:tblStyleRowBandSize w:val="1"/>
      <w:tblStyleColBandSize w:val="1"/>
      <w:tblBorders>
        <w:top w:val="single" w:sz="2" w:space="0" w:color="2793FF" w:themeColor="accent4" w:themeTint="99"/>
        <w:bottom w:val="single" w:sz="2" w:space="0" w:color="2793FF" w:themeColor="accent4" w:themeTint="99"/>
        <w:insideH w:val="single" w:sz="2" w:space="0" w:color="2793FF" w:themeColor="accent4" w:themeTint="99"/>
        <w:insideV w:val="single" w:sz="2" w:space="0" w:color="2793FF" w:themeColor="accent4" w:themeTint="99"/>
      </w:tblBorders>
    </w:tblPr>
    <w:tblStylePr w:type="firstRow">
      <w:rPr>
        <w:b/>
        <w:bCs/>
      </w:rPr>
      <w:tblPr/>
      <w:tcPr>
        <w:tcBorders>
          <w:top w:val="nil"/>
          <w:bottom w:val="single" w:sz="12" w:space="0" w:color="2793FF" w:themeColor="accent4" w:themeTint="99"/>
          <w:insideH w:val="nil"/>
          <w:insideV w:val="nil"/>
        </w:tcBorders>
        <w:shd w:val="clear" w:color="auto" w:fill="FFFFFF" w:themeFill="background1"/>
      </w:tcPr>
    </w:tblStylePr>
    <w:tblStylePr w:type="lastRow">
      <w:rPr>
        <w:b/>
        <w:bCs/>
      </w:rPr>
      <w:tblPr/>
      <w:tcPr>
        <w:tcBorders>
          <w:top w:val="double" w:sz="2" w:space="0" w:color="2793F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4" w:themeFillTint="33"/>
      </w:tcPr>
    </w:tblStylePr>
    <w:tblStylePr w:type="band1Horz">
      <w:tblPr/>
      <w:tcPr>
        <w:shd w:val="clear" w:color="auto" w:fill="B7DBFF" w:themeFill="accent4" w:themeFillTint="33"/>
      </w:tcPr>
    </w:tblStylePr>
  </w:style>
  <w:style w:type="table" w:styleId="GridTable2-Accent5">
    <w:name w:val="Grid Table 2 Accent 5"/>
    <w:basedOn w:val="TableNormal"/>
    <w:uiPriority w:val="47"/>
    <w:semiHidden/>
    <w:rsid w:val="00294A5A"/>
    <w:pPr>
      <w:spacing w:after="0" w:line="240" w:lineRule="auto"/>
    </w:pPr>
    <w:tblPr>
      <w:tblStyleRowBandSize w:val="1"/>
      <w:tblStyleColBandSize w:val="1"/>
      <w:tblBorders>
        <w:top w:val="single" w:sz="2" w:space="0" w:color="9CCCA1" w:themeColor="accent5" w:themeTint="99"/>
        <w:bottom w:val="single" w:sz="2" w:space="0" w:color="9CCCA1" w:themeColor="accent5" w:themeTint="99"/>
        <w:insideH w:val="single" w:sz="2" w:space="0" w:color="9CCCA1" w:themeColor="accent5" w:themeTint="99"/>
        <w:insideV w:val="single" w:sz="2" w:space="0" w:color="9CCCA1" w:themeColor="accent5" w:themeTint="99"/>
      </w:tblBorders>
    </w:tblPr>
    <w:tblStylePr w:type="firstRow">
      <w:rPr>
        <w:b/>
        <w:bCs/>
      </w:rPr>
      <w:tblPr/>
      <w:tcPr>
        <w:tcBorders>
          <w:top w:val="nil"/>
          <w:bottom w:val="single" w:sz="12" w:space="0" w:color="9CCCA1" w:themeColor="accent5" w:themeTint="99"/>
          <w:insideH w:val="nil"/>
          <w:insideV w:val="nil"/>
        </w:tcBorders>
        <w:shd w:val="clear" w:color="auto" w:fill="FFFFFF" w:themeFill="background1"/>
      </w:tcPr>
    </w:tblStylePr>
    <w:tblStylePr w:type="lastRow">
      <w:rPr>
        <w:b/>
        <w:bCs/>
      </w:rPr>
      <w:tblPr/>
      <w:tcPr>
        <w:tcBorders>
          <w:top w:val="double" w:sz="2" w:space="0" w:color="9CCCA1"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EDF" w:themeFill="accent5" w:themeFillTint="33"/>
      </w:tcPr>
    </w:tblStylePr>
    <w:tblStylePr w:type="band1Horz">
      <w:tblPr/>
      <w:tcPr>
        <w:shd w:val="clear" w:color="auto" w:fill="DEEEDF" w:themeFill="accent5" w:themeFillTint="33"/>
      </w:tcPr>
    </w:tblStylePr>
  </w:style>
  <w:style w:type="table" w:styleId="GridTable2-Accent6">
    <w:name w:val="Grid Table 2 Accent 6"/>
    <w:basedOn w:val="TableNormal"/>
    <w:uiPriority w:val="47"/>
    <w:semiHidden/>
    <w:rsid w:val="00294A5A"/>
    <w:pPr>
      <w:spacing w:after="0" w:line="240" w:lineRule="auto"/>
    </w:pPr>
    <w:tblPr>
      <w:tblStyleRowBandSize w:val="1"/>
      <w:tblStyleColBandSize w:val="1"/>
      <w:tblBorders>
        <w:top w:val="single" w:sz="2" w:space="0" w:color="F0A28A" w:themeColor="accent6" w:themeTint="99"/>
        <w:bottom w:val="single" w:sz="2" w:space="0" w:color="F0A28A" w:themeColor="accent6" w:themeTint="99"/>
        <w:insideH w:val="single" w:sz="2" w:space="0" w:color="F0A28A" w:themeColor="accent6" w:themeTint="99"/>
        <w:insideV w:val="single" w:sz="2" w:space="0" w:color="F0A28A" w:themeColor="accent6" w:themeTint="99"/>
      </w:tblBorders>
    </w:tblPr>
    <w:tblStylePr w:type="firstRow">
      <w:rPr>
        <w:b/>
        <w:bCs/>
      </w:rPr>
      <w:tblPr/>
      <w:tcPr>
        <w:tcBorders>
          <w:top w:val="nil"/>
          <w:bottom w:val="single" w:sz="12" w:space="0" w:color="F0A28A" w:themeColor="accent6" w:themeTint="99"/>
          <w:insideH w:val="nil"/>
          <w:insideV w:val="nil"/>
        </w:tcBorders>
        <w:shd w:val="clear" w:color="auto" w:fill="FFFFFF" w:themeFill="background1"/>
      </w:tcPr>
    </w:tblStylePr>
    <w:tblStylePr w:type="lastRow">
      <w:rPr>
        <w:b/>
        <w:bCs/>
      </w:rPr>
      <w:tblPr/>
      <w:tcPr>
        <w:tcBorders>
          <w:top w:val="double" w:sz="2" w:space="0" w:color="F0A28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0D8" w:themeFill="accent6" w:themeFillTint="33"/>
      </w:tcPr>
    </w:tblStylePr>
    <w:tblStylePr w:type="band1Horz">
      <w:tblPr/>
      <w:tcPr>
        <w:shd w:val="clear" w:color="auto" w:fill="FAE0D8" w:themeFill="accent6" w:themeFillTint="33"/>
      </w:tcPr>
    </w:tblStylePr>
  </w:style>
  <w:style w:type="table" w:styleId="GridTable3">
    <w:name w:val="Grid Table 3"/>
    <w:basedOn w:val="TableNormal"/>
    <w:uiPriority w:val="48"/>
    <w:semiHidden/>
    <w:rsid w:val="00294A5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294A5A"/>
    <w:pPr>
      <w:spacing w:after="0" w:line="240" w:lineRule="auto"/>
    </w:pPr>
    <w:tblPr>
      <w:tblStyleRowBandSize w:val="1"/>
      <w:tblStyleColBandSize w:val="1"/>
      <w:tblBorders>
        <w:top w:val="single" w:sz="4" w:space="0" w:color="607F95" w:themeColor="accent1" w:themeTint="99"/>
        <w:left w:val="single" w:sz="4" w:space="0" w:color="607F95" w:themeColor="accent1" w:themeTint="99"/>
        <w:bottom w:val="single" w:sz="4" w:space="0" w:color="607F95" w:themeColor="accent1" w:themeTint="99"/>
        <w:right w:val="single" w:sz="4" w:space="0" w:color="607F95" w:themeColor="accent1" w:themeTint="99"/>
        <w:insideH w:val="single" w:sz="4" w:space="0" w:color="607F95" w:themeColor="accent1" w:themeTint="99"/>
        <w:insideV w:val="single" w:sz="4" w:space="0" w:color="607F9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9D4DC" w:themeFill="accent1" w:themeFillTint="33"/>
      </w:tcPr>
    </w:tblStylePr>
    <w:tblStylePr w:type="band1Horz">
      <w:tblPr/>
      <w:tcPr>
        <w:shd w:val="clear" w:color="auto" w:fill="C9D4DC" w:themeFill="accent1" w:themeFillTint="33"/>
      </w:tcPr>
    </w:tblStylePr>
    <w:tblStylePr w:type="neCell">
      <w:tblPr/>
      <w:tcPr>
        <w:tcBorders>
          <w:bottom w:val="single" w:sz="4" w:space="0" w:color="607F95" w:themeColor="accent1" w:themeTint="99"/>
        </w:tcBorders>
      </w:tcPr>
    </w:tblStylePr>
    <w:tblStylePr w:type="nwCell">
      <w:tblPr/>
      <w:tcPr>
        <w:tcBorders>
          <w:bottom w:val="single" w:sz="4" w:space="0" w:color="607F95" w:themeColor="accent1" w:themeTint="99"/>
        </w:tcBorders>
      </w:tcPr>
    </w:tblStylePr>
    <w:tblStylePr w:type="seCell">
      <w:tblPr/>
      <w:tcPr>
        <w:tcBorders>
          <w:top w:val="single" w:sz="4" w:space="0" w:color="607F95" w:themeColor="accent1" w:themeTint="99"/>
        </w:tcBorders>
      </w:tcPr>
    </w:tblStylePr>
    <w:tblStylePr w:type="swCell">
      <w:tblPr/>
      <w:tcPr>
        <w:tcBorders>
          <w:top w:val="single" w:sz="4" w:space="0" w:color="607F95" w:themeColor="accent1" w:themeTint="99"/>
        </w:tcBorders>
      </w:tcPr>
    </w:tblStylePr>
  </w:style>
  <w:style w:type="table" w:styleId="GridTable3-Accent2">
    <w:name w:val="Grid Table 3 Accent 2"/>
    <w:basedOn w:val="TableNormal"/>
    <w:uiPriority w:val="48"/>
    <w:semiHidden/>
    <w:rsid w:val="00294A5A"/>
    <w:pPr>
      <w:spacing w:after="0" w:line="240" w:lineRule="auto"/>
    </w:pPr>
    <w:tblPr>
      <w:tblStyleRowBandSize w:val="1"/>
      <w:tblStyleColBandSize w:val="1"/>
      <w:tblBorders>
        <w:top w:val="single" w:sz="4" w:space="0" w:color="1DE1FF" w:themeColor="accent2" w:themeTint="99"/>
        <w:left w:val="single" w:sz="4" w:space="0" w:color="1DE1FF" w:themeColor="accent2" w:themeTint="99"/>
        <w:bottom w:val="single" w:sz="4" w:space="0" w:color="1DE1FF" w:themeColor="accent2" w:themeTint="99"/>
        <w:right w:val="single" w:sz="4" w:space="0" w:color="1DE1FF" w:themeColor="accent2" w:themeTint="99"/>
        <w:insideH w:val="single" w:sz="4" w:space="0" w:color="1DE1FF" w:themeColor="accent2" w:themeTint="99"/>
        <w:insideV w:val="single" w:sz="4" w:space="0" w:color="1DE1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3F5FF" w:themeFill="accent2" w:themeFillTint="33"/>
      </w:tcPr>
    </w:tblStylePr>
    <w:tblStylePr w:type="band1Horz">
      <w:tblPr/>
      <w:tcPr>
        <w:shd w:val="clear" w:color="auto" w:fill="B3F5FF" w:themeFill="accent2" w:themeFillTint="33"/>
      </w:tcPr>
    </w:tblStylePr>
    <w:tblStylePr w:type="neCell">
      <w:tblPr/>
      <w:tcPr>
        <w:tcBorders>
          <w:bottom w:val="single" w:sz="4" w:space="0" w:color="1DE1FF" w:themeColor="accent2" w:themeTint="99"/>
        </w:tcBorders>
      </w:tcPr>
    </w:tblStylePr>
    <w:tblStylePr w:type="nwCell">
      <w:tblPr/>
      <w:tcPr>
        <w:tcBorders>
          <w:bottom w:val="single" w:sz="4" w:space="0" w:color="1DE1FF" w:themeColor="accent2" w:themeTint="99"/>
        </w:tcBorders>
      </w:tcPr>
    </w:tblStylePr>
    <w:tblStylePr w:type="seCell">
      <w:tblPr/>
      <w:tcPr>
        <w:tcBorders>
          <w:top w:val="single" w:sz="4" w:space="0" w:color="1DE1FF" w:themeColor="accent2" w:themeTint="99"/>
        </w:tcBorders>
      </w:tcPr>
    </w:tblStylePr>
    <w:tblStylePr w:type="swCell">
      <w:tblPr/>
      <w:tcPr>
        <w:tcBorders>
          <w:top w:val="single" w:sz="4" w:space="0" w:color="1DE1FF" w:themeColor="accent2" w:themeTint="99"/>
        </w:tcBorders>
      </w:tcPr>
    </w:tblStylePr>
  </w:style>
  <w:style w:type="table" w:styleId="GridTable3-Accent3">
    <w:name w:val="Grid Table 3 Accent 3"/>
    <w:basedOn w:val="TableNormal"/>
    <w:uiPriority w:val="48"/>
    <w:semiHidden/>
    <w:rsid w:val="00294A5A"/>
    <w:pPr>
      <w:spacing w:after="0" w:line="240" w:lineRule="auto"/>
    </w:pPr>
    <w:tblPr>
      <w:tblStyleRowBandSize w:val="1"/>
      <w:tblStyleColBandSize w:val="1"/>
      <w:tblBorders>
        <w:top w:val="single" w:sz="4" w:space="0" w:color="9CD4F3" w:themeColor="accent3" w:themeTint="99"/>
        <w:left w:val="single" w:sz="4" w:space="0" w:color="9CD4F3" w:themeColor="accent3" w:themeTint="99"/>
        <w:bottom w:val="single" w:sz="4" w:space="0" w:color="9CD4F3" w:themeColor="accent3" w:themeTint="99"/>
        <w:right w:val="single" w:sz="4" w:space="0" w:color="9CD4F3" w:themeColor="accent3" w:themeTint="99"/>
        <w:insideH w:val="single" w:sz="4" w:space="0" w:color="9CD4F3" w:themeColor="accent3" w:themeTint="99"/>
        <w:insideV w:val="single" w:sz="4" w:space="0" w:color="9CD4F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F0FB" w:themeFill="accent3" w:themeFillTint="33"/>
      </w:tcPr>
    </w:tblStylePr>
    <w:tblStylePr w:type="band1Horz">
      <w:tblPr/>
      <w:tcPr>
        <w:shd w:val="clear" w:color="auto" w:fill="DEF0FB" w:themeFill="accent3" w:themeFillTint="33"/>
      </w:tcPr>
    </w:tblStylePr>
    <w:tblStylePr w:type="neCell">
      <w:tblPr/>
      <w:tcPr>
        <w:tcBorders>
          <w:bottom w:val="single" w:sz="4" w:space="0" w:color="9CD4F3" w:themeColor="accent3" w:themeTint="99"/>
        </w:tcBorders>
      </w:tcPr>
    </w:tblStylePr>
    <w:tblStylePr w:type="nwCell">
      <w:tblPr/>
      <w:tcPr>
        <w:tcBorders>
          <w:bottom w:val="single" w:sz="4" w:space="0" w:color="9CD4F3" w:themeColor="accent3" w:themeTint="99"/>
        </w:tcBorders>
      </w:tcPr>
    </w:tblStylePr>
    <w:tblStylePr w:type="seCell">
      <w:tblPr/>
      <w:tcPr>
        <w:tcBorders>
          <w:top w:val="single" w:sz="4" w:space="0" w:color="9CD4F3" w:themeColor="accent3" w:themeTint="99"/>
        </w:tcBorders>
      </w:tcPr>
    </w:tblStylePr>
    <w:tblStylePr w:type="swCell">
      <w:tblPr/>
      <w:tcPr>
        <w:tcBorders>
          <w:top w:val="single" w:sz="4" w:space="0" w:color="9CD4F3" w:themeColor="accent3" w:themeTint="99"/>
        </w:tcBorders>
      </w:tcPr>
    </w:tblStylePr>
  </w:style>
  <w:style w:type="table" w:styleId="GridTable3-Accent4">
    <w:name w:val="Grid Table 3 Accent 4"/>
    <w:basedOn w:val="TableNormal"/>
    <w:uiPriority w:val="48"/>
    <w:semiHidden/>
    <w:rsid w:val="00294A5A"/>
    <w:pPr>
      <w:spacing w:after="0" w:line="240" w:lineRule="auto"/>
    </w:pPr>
    <w:tblPr>
      <w:tblStyleRowBandSize w:val="1"/>
      <w:tblStyleColBandSize w:val="1"/>
      <w:tblBorders>
        <w:top w:val="single" w:sz="4" w:space="0" w:color="2793FF" w:themeColor="accent4" w:themeTint="99"/>
        <w:left w:val="single" w:sz="4" w:space="0" w:color="2793FF" w:themeColor="accent4" w:themeTint="99"/>
        <w:bottom w:val="single" w:sz="4" w:space="0" w:color="2793FF" w:themeColor="accent4" w:themeTint="99"/>
        <w:right w:val="single" w:sz="4" w:space="0" w:color="2793FF" w:themeColor="accent4" w:themeTint="99"/>
        <w:insideH w:val="single" w:sz="4" w:space="0" w:color="2793FF" w:themeColor="accent4" w:themeTint="99"/>
        <w:insideV w:val="single" w:sz="4" w:space="0" w:color="2793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4" w:themeFillTint="33"/>
      </w:tcPr>
    </w:tblStylePr>
    <w:tblStylePr w:type="band1Horz">
      <w:tblPr/>
      <w:tcPr>
        <w:shd w:val="clear" w:color="auto" w:fill="B7DBFF" w:themeFill="accent4" w:themeFillTint="33"/>
      </w:tcPr>
    </w:tblStylePr>
    <w:tblStylePr w:type="neCell">
      <w:tblPr/>
      <w:tcPr>
        <w:tcBorders>
          <w:bottom w:val="single" w:sz="4" w:space="0" w:color="2793FF" w:themeColor="accent4" w:themeTint="99"/>
        </w:tcBorders>
      </w:tcPr>
    </w:tblStylePr>
    <w:tblStylePr w:type="nwCell">
      <w:tblPr/>
      <w:tcPr>
        <w:tcBorders>
          <w:bottom w:val="single" w:sz="4" w:space="0" w:color="2793FF" w:themeColor="accent4" w:themeTint="99"/>
        </w:tcBorders>
      </w:tcPr>
    </w:tblStylePr>
    <w:tblStylePr w:type="seCell">
      <w:tblPr/>
      <w:tcPr>
        <w:tcBorders>
          <w:top w:val="single" w:sz="4" w:space="0" w:color="2793FF" w:themeColor="accent4" w:themeTint="99"/>
        </w:tcBorders>
      </w:tcPr>
    </w:tblStylePr>
    <w:tblStylePr w:type="swCell">
      <w:tblPr/>
      <w:tcPr>
        <w:tcBorders>
          <w:top w:val="single" w:sz="4" w:space="0" w:color="2793FF" w:themeColor="accent4" w:themeTint="99"/>
        </w:tcBorders>
      </w:tcPr>
    </w:tblStylePr>
  </w:style>
  <w:style w:type="table" w:styleId="GridTable3-Accent5">
    <w:name w:val="Grid Table 3 Accent 5"/>
    <w:basedOn w:val="TableNormal"/>
    <w:uiPriority w:val="48"/>
    <w:semiHidden/>
    <w:rsid w:val="00294A5A"/>
    <w:pPr>
      <w:spacing w:after="0" w:line="240" w:lineRule="auto"/>
    </w:pPr>
    <w:tblPr>
      <w:tblStyleRowBandSize w:val="1"/>
      <w:tblStyleColBandSize w:val="1"/>
      <w:tblBorders>
        <w:top w:val="single" w:sz="4" w:space="0" w:color="9CCCA1" w:themeColor="accent5" w:themeTint="99"/>
        <w:left w:val="single" w:sz="4" w:space="0" w:color="9CCCA1" w:themeColor="accent5" w:themeTint="99"/>
        <w:bottom w:val="single" w:sz="4" w:space="0" w:color="9CCCA1" w:themeColor="accent5" w:themeTint="99"/>
        <w:right w:val="single" w:sz="4" w:space="0" w:color="9CCCA1" w:themeColor="accent5" w:themeTint="99"/>
        <w:insideH w:val="single" w:sz="4" w:space="0" w:color="9CCCA1" w:themeColor="accent5" w:themeTint="99"/>
        <w:insideV w:val="single" w:sz="4" w:space="0" w:color="9CCCA1"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EDF" w:themeFill="accent5" w:themeFillTint="33"/>
      </w:tcPr>
    </w:tblStylePr>
    <w:tblStylePr w:type="band1Horz">
      <w:tblPr/>
      <w:tcPr>
        <w:shd w:val="clear" w:color="auto" w:fill="DEEEDF" w:themeFill="accent5" w:themeFillTint="33"/>
      </w:tcPr>
    </w:tblStylePr>
    <w:tblStylePr w:type="neCell">
      <w:tblPr/>
      <w:tcPr>
        <w:tcBorders>
          <w:bottom w:val="single" w:sz="4" w:space="0" w:color="9CCCA1" w:themeColor="accent5" w:themeTint="99"/>
        </w:tcBorders>
      </w:tcPr>
    </w:tblStylePr>
    <w:tblStylePr w:type="nwCell">
      <w:tblPr/>
      <w:tcPr>
        <w:tcBorders>
          <w:bottom w:val="single" w:sz="4" w:space="0" w:color="9CCCA1" w:themeColor="accent5" w:themeTint="99"/>
        </w:tcBorders>
      </w:tcPr>
    </w:tblStylePr>
    <w:tblStylePr w:type="seCell">
      <w:tblPr/>
      <w:tcPr>
        <w:tcBorders>
          <w:top w:val="single" w:sz="4" w:space="0" w:color="9CCCA1" w:themeColor="accent5" w:themeTint="99"/>
        </w:tcBorders>
      </w:tcPr>
    </w:tblStylePr>
    <w:tblStylePr w:type="swCell">
      <w:tblPr/>
      <w:tcPr>
        <w:tcBorders>
          <w:top w:val="single" w:sz="4" w:space="0" w:color="9CCCA1" w:themeColor="accent5" w:themeTint="99"/>
        </w:tcBorders>
      </w:tcPr>
    </w:tblStylePr>
  </w:style>
  <w:style w:type="table" w:styleId="GridTable3-Accent6">
    <w:name w:val="Grid Table 3 Accent 6"/>
    <w:basedOn w:val="TableNormal"/>
    <w:uiPriority w:val="48"/>
    <w:semiHidden/>
    <w:rsid w:val="00294A5A"/>
    <w:pPr>
      <w:spacing w:after="0" w:line="240" w:lineRule="auto"/>
    </w:pPr>
    <w:tblPr>
      <w:tblStyleRowBandSize w:val="1"/>
      <w:tblStyleColBandSize w:val="1"/>
      <w:tblBorders>
        <w:top w:val="single" w:sz="4" w:space="0" w:color="F0A28A" w:themeColor="accent6" w:themeTint="99"/>
        <w:left w:val="single" w:sz="4" w:space="0" w:color="F0A28A" w:themeColor="accent6" w:themeTint="99"/>
        <w:bottom w:val="single" w:sz="4" w:space="0" w:color="F0A28A" w:themeColor="accent6" w:themeTint="99"/>
        <w:right w:val="single" w:sz="4" w:space="0" w:color="F0A28A" w:themeColor="accent6" w:themeTint="99"/>
        <w:insideH w:val="single" w:sz="4" w:space="0" w:color="F0A28A" w:themeColor="accent6" w:themeTint="99"/>
        <w:insideV w:val="single" w:sz="4" w:space="0" w:color="F0A28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0D8" w:themeFill="accent6" w:themeFillTint="33"/>
      </w:tcPr>
    </w:tblStylePr>
    <w:tblStylePr w:type="band1Horz">
      <w:tblPr/>
      <w:tcPr>
        <w:shd w:val="clear" w:color="auto" w:fill="FAE0D8" w:themeFill="accent6" w:themeFillTint="33"/>
      </w:tcPr>
    </w:tblStylePr>
    <w:tblStylePr w:type="neCell">
      <w:tblPr/>
      <w:tcPr>
        <w:tcBorders>
          <w:bottom w:val="single" w:sz="4" w:space="0" w:color="F0A28A" w:themeColor="accent6" w:themeTint="99"/>
        </w:tcBorders>
      </w:tcPr>
    </w:tblStylePr>
    <w:tblStylePr w:type="nwCell">
      <w:tblPr/>
      <w:tcPr>
        <w:tcBorders>
          <w:bottom w:val="single" w:sz="4" w:space="0" w:color="F0A28A" w:themeColor="accent6" w:themeTint="99"/>
        </w:tcBorders>
      </w:tcPr>
    </w:tblStylePr>
    <w:tblStylePr w:type="seCell">
      <w:tblPr/>
      <w:tcPr>
        <w:tcBorders>
          <w:top w:val="single" w:sz="4" w:space="0" w:color="F0A28A" w:themeColor="accent6" w:themeTint="99"/>
        </w:tcBorders>
      </w:tcPr>
    </w:tblStylePr>
    <w:tblStylePr w:type="swCell">
      <w:tblPr/>
      <w:tcPr>
        <w:tcBorders>
          <w:top w:val="single" w:sz="4" w:space="0" w:color="F0A28A" w:themeColor="accent6" w:themeTint="99"/>
        </w:tcBorders>
      </w:tcPr>
    </w:tblStylePr>
  </w:style>
  <w:style w:type="table" w:styleId="GridTable4">
    <w:name w:val="Grid Table 4"/>
    <w:basedOn w:val="TableNormal"/>
    <w:uiPriority w:val="49"/>
    <w:semiHidden/>
    <w:rsid w:val="00294A5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294A5A"/>
    <w:pPr>
      <w:spacing w:after="0" w:line="240" w:lineRule="auto"/>
    </w:pPr>
    <w:tblPr>
      <w:tblStyleRowBandSize w:val="1"/>
      <w:tblStyleColBandSize w:val="1"/>
      <w:tblBorders>
        <w:top w:val="single" w:sz="4" w:space="0" w:color="607F95" w:themeColor="accent1" w:themeTint="99"/>
        <w:left w:val="single" w:sz="4" w:space="0" w:color="607F95" w:themeColor="accent1" w:themeTint="99"/>
        <w:bottom w:val="single" w:sz="4" w:space="0" w:color="607F95" w:themeColor="accent1" w:themeTint="99"/>
        <w:right w:val="single" w:sz="4" w:space="0" w:color="607F95" w:themeColor="accent1" w:themeTint="99"/>
        <w:insideH w:val="single" w:sz="4" w:space="0" w:color="607F95" w:themeColor="accent1" w:themeTint="99"/>
        <w:insideV w:val="single" w:sz="4" w:space="0" w:color="607F95" w:themeColor="accent1" w:themeTint="99"/>
      </w:tblBorders>
    </w:tblPr>
    <w:tblStylePr w:type="firstRow">
      <w:rPr>
        <w:b/>
        <w:bCs/>
        <w:color w:val="FFFFFF" w:themeColor="background1"/>
      </w:rPr>
      <w:tblPr/>
      <w:tcPr>
        <w:tcBorders>
          <w:top w:val="single" w:sz="4" w:space="0" w:color="1B242A" w:themeColor="accent1"/>
          <w:left w:val="single" w:sz="4" w:space="0" w:color="1B242A" w:themeColor="accent1"/>
          <w:bottom w:val="single" w:sz="4" w:space="0" w:color="1B242A" w:themeColor="accent1"/>
          <w:right w:val="single" w:sz="4" w:space="0" w:color="1B242A" w:themeColor="accent1"/>
          <w:insideH w:val="nil"/>
          <w:insideV w:val="nil"/>
        </w:tcBorders>
        <w:shd w:val="clear" w:color="auto" w:fill="1B242A" w:themeFill="accent1"/>
      </w:tcPr>
    </w:tblStylePr>
    <w:tblStylePr w:type="lastRow">
      <w:rPr>
        <w:b/>
        <w:bCs/>
      </w:rPr>
      <w:tblPr/>
      <w:tcPr>
        <w:tcBorders>
          <w:top w:val="double" w:sz="4" w:space="0" w:color="1B242A" w:themeColor="accent1"/>
        </w:tcBorders>
      </w:tcPr>
    </w:tblStylePr>
    <w:tblStylePr w:type="firstCol">
      <w:rPr>
        <w:b/>
        <w:bCs/>
      </w:rPr>
    </w:tblStylePr>
    <w:tblStylePr w:type="lastCol">
      <w:rPr>
        <w:b/>
        <w:bCs/>
      </w:rPr>
    </w:tblStylePr>
    <w:tblStylePr w:type="band1Vert">
      <w:tblPr/>
      <w:tcPr>
        <w:shd w:val="clear" w:color="auto" w:fill="C9D4DC" w:themeFill="accent1" w:themeFillTint="33"/>
      </w:tcPr>
    </w:tblStylePr>
    <w:tblStylePr w:type="band1Horz">
      <w:tblPr/>
      <w:tcPr>
        <w:shd w:val="clear" w:color="auto" w:fill="C9D4DC" w:themeFill="accent1" w:themeFillTint="33"/>
      </w:tcPr>
    </w:tblStylePr>
  </w:style>
  <w:style w:type="table" w:styleId="GridTable4-Accent2">
    <w:name w:val="Grid Table 4 Accent 2"/>
    <w:basedOn w:val="TableNormal"/>
    <w:uiPriority w:val="49"/>
    <w:semiHidden/>
    <w:rsid w:val="00294A5A"/>
    <w:pPr>
      <w:spacing w:after="0" w:line="240" w:lineRule="auto"/>
    </w:pPr>
    <w:tblPr>
      <w:tblStyleRowBandSize w:val="1"/>
      <w:tblStyleColBandSize w:val="1"/>
      <w:tblBorders>
        <w:top w:val="single" w:sz="4" w:space="0" w:color="1DE1FF" w:themeColor="accent2" w:themeTint="99"/>
        <w:left w:val="single" w:sz="4" w:space="0" w:color="1DE1FF" w:themeColor="accent2" w:themeTint="99"/>
        <w:bottom w:val="single" w:sz="4" w:space="0" w:color="1DE1FF" w:themeColor="accent2" w:themeTint="99"/>
        <w:right w:val="single" w:sz="4" w:space="0" w:color="1DE1FF" w:themeColor="accent2" w:themeTint="99"/>
        <w:insideH w:val="single" w:sz="4" w:space="0" w:color="1DE1FF" w:themeColor="accent2" w:themeTint="99"/>
        <w:insideV w:val="single" w:sz="4" w:space="0" w:color="1DE1FF" w:themeColor="accent2" w:themeTint="99"/>
      </w:tblBorders>
    </w:tblPr>
    <w:tblStylePr w:type="firstRow">
      <w:rPr>
        <w:b/>
        <w:bCs/>
        <w:color w:val="FFFFFF" w:themeColor="background1"/>
      </w:rPr>
      <w:tblPr/>
      <w:tcPr>
        <w:tcBorders>
          <w:top w:val="single" w:sz="4" w:space="0" w:color="007586" w:themeColor="accent2"/>
          <w:left w:val="single" w:sz="4" w:space="0" w:color="007586" w:themeColor="accent2"/>
          <w:bottom w:val="single" w:sz="4" w:space="0" w:color="007586" w:themeColor="accent2"/>
          <w:right w:val="single" w:sz="4" w:space="0" w:color="007586" w:themeColor="accent2"/>
          <w:insideH w:val="nil"/>
          <w:insideV w:val="nil"/>
        </w:tcBorders>
        <w:shd w:val="clear" w:color="auto" w:fill="007586" w:themeFill="accent2"/>
      </w:tcPr>
    </w:tblStylePr>
    <w:tblStylePr w:type="lastRow">
      <w:rPr>
        <w:b/>
        <w:bCs/>
      </w:rPr>
      <w:tblPr/>
      <w:tcPr>
        <w:tcBorders>
          <w:top w:val="double" w:sz="4" w:space="0" w:color="007586" w:themeColor="accent2"/>
        </w:tcBorders>
      </w:tcPr>
    </w:tblStylePr>
    <w:tblStylePr w:type="firstCol">
      <w:rPr>
        <w:b/>
        <w:bCs/>
      </w:rPr>
    </w:tblStylePr>
    <w:tblStylePr w:type="lastCol">
      <w:rPr>
        <w:b/>
        <w:bCs/>
      </w:rPr>
    </w:tblStylePr>
    <w:tblStylePr w:type="band1Vert">
      <w:tblPr/>
      <w:tcPr>
        <w:shd w:val="clear" w:color="auto" w:fill="B3F5FF" w:themeFill="accent2" w:themeFillTint="33"/>
      </w:tcPr>
    </w:tblStylePr>
    <w:tblStylePr w:type="band1Horz">
      <w:tblPr/>
      <w:tcPr>
        <w:shd w:val="clear" w:color="auto" w:fill="B3F5FF" w:themeFill="accent2" w:themeFillTint="33"/>
      </w:tcPr>
    </w:tblStylePr>
  </w:style>
  <w:style w:type="table" w:styleId="GridTable4-Accent3">
    <w:name w:val="Grid Table 4 Accent 3"/>
    <w:basedOn w:val="TableNormal"/>
    <w:uiPriority w:val="49"/>
    <w:semiHidden/>
    <w:rsid w:val="00294A5A"/>
    <w:pPr>
      <w:spacing w:after="0" w:line="240" w:lineRule="auto"/>
    </w:pPr>
    <w:tblPr>
      <w:tblStyleRowBandSize w:val="1"/>
      <w:tblStyleColBandSize w:val="1"/>
      <w:tblBorders>
        <w:top w:val="single" w:sz="4" w:space="0" w:color="9CD4F3" w:themeColor="accent3" w:themeTint="99"/>
        <w:left w:val="single" w:sz="4" w:space="0" w:color="9CD4F3" w:themeColor="accent3" w:themeTint="99"/>
        <w:bottom w:val="single" w:sz="4" w:space="0" w:color="9CD4F3" w:themeColor="accent3" w:themeTint="99"/>
        <w:right w:val="single" w:sz="4" w:space="0" w:color="9CD4F3" w:themeColor="accent3" w:themeTint="99"/>
        <w:insideH w:val="single" w:sz="4" w:space="0" w:color="9CD4F3" w:themeColor="accent3" w:themeTint="99"/>
        <w:insideV w:val="single" w:sz="4" w:space="0" w:color="9CD4F3" w:themeColor="accent3" w:themeTint="99"/>
      </w:tblBorders>
    </w:tblPr>
    <w:tblStylePr w:type="firstRow">
      <w:rPr>
        <w:b/>
        <w:bCs/>
        <w:color w:val="FFFFFF" w:themeColor="background1"/>
      </w:rPr>
      <w:tblPr/>
      <w:tcPr>
        <w:tcBorders>
          <w:top w:val="single" w:sz="4" w:space="0" w:color="5AB9EB" w:themeColor="accent3"/>
          <w:left w:val="single" w:sz="4" w:space="0" w:color="5AB9EB" w:themeColor="accent3"/>
          <w:bottom w:val="single" w:sz="4" w:space="0" w:color="5AB9EB" w:themeColor="accent3"/>
          <w:right w:val="single" w:sz="4" w:space="0" w:color="5AB9EB" w:themeColor="accent3"/>
          <w:insideH w:val="nil"/>
          <w:insideV w:val="nil"/>
        </w:tcBorders>
        <w:shd w:val="clear" w:color="auto" w:fill="5AB9EB" w:themeFill="accent3"/>
      </w:tcPr>
    </w:tblStylePr>
    <w:tblStylePr w:type="lastRow">
      <w:rPr>
        <w:b/>
        <w:bCs/>
      </w:rPr>
      <w:tblPr/>
      <w:tcPr>
        <w:tcBorders>
          <w:top w:val="double" w:sz="4" w:space="0" w:color="5AB9EB" w:themeColor="accent3"/>
        </w:tcBorders>
      </w:tcPr>
    </w:tblStylePr>
    <w:tblStylePr w:type="firstCol">
      <w:rPr>
        <w:b/>
        <w:bCs/>
      </w:rPr>
    </w:tblStylePr>
    <w:tblStylePr w:type="lastCol">
      <w:rPr>
        <w:b/>
        <w:bCs/>
      </w:rPr>
    </w:tblStylePr>
    <w:tblStylePr w:type="band1Vert">
      <w:tblPr/>
      <w:tcPr>
        <w:shd w:val="clear" w:color="auto" w:fill="DEF0FB" w:themeFill="accent3" w:themeFillTint="33"/>
      </w:tcPr>
    </w:tblStylePr>
    <w:tblStylePr w:type="band1Horz">
      <w:tblPr/>
      <w:tcPr>
        <w:shd w:val="clear" w:color="auto" w:fill="DEF0FB" w:themeFill="accent3" w:themeFillTint="33"/>
      </w:tcPr>
    </w:tblStylePr>
  </w:style>
  <w:style w:type="table" w:styleId="GridTable4-Accent4">
    <w:name w:val="Grid Table 4 Accent 4"/>
    <w:basedOn w:val="TableNormal"/>
    <w:uiPriority w:val="49"/>
    <w:semiHidden/>
    <w:rsid w:val="00294A5A"/>
    <w:pPr>
      <w:spacing w:after="0" w:line="240" w:lineRule="auto"/>
    </w:pPr>
    <w:tblPr>
      <w:tblStyleRowBandSize w:val="1"/>
      <w:tblStyleColBandSize w:val="1"/>
      <w:tblBorders>
        <w:top w:val="single" w:sz="4" w:space="0" w:color="2793FF" w:themeColor="accent4" w:themeTint="99"/>
        <w:left w:val="single" w:sz="4" w:space="0" w:color="2793FF" w:themeColor="accent4" w:themeTint="99"/>
        <w:bottom w:val="single" w:sz="4" w:space="0" w:color="2793FF" w:themeColor="accent4" w:themeTint="99"/>
        <w:right w:val="single" w:sz="4" w:space="0" w:color="2793FF" w:themeColor="accent4" w:themeTint="99"/>
        <w:insideH w:val="single" w:sz="4" w:space="0" w:color="2793FF" w:themeColor="accent4" w:themeTint="99"/>
        <w:insideV w:val="single" w:sz="4" w:space="0" w:color="2793FF" w:themeColor="accent4" w:themeTint="99"/>
      </w:tblBorders>
    </w:tblPr>
    <w:tblStylePr w:type="firstRow">
      <w:rPr>
        <w:b/>
        <w:bCs/>
        <w:color w:val="FFFFFF" w:themeColor="background1"/>
      </w:rPr>
      <w:tblPr/>
      <w:tcPr>
        <w:tcBorders>
          <w:top w:val="single" w:sz="4" w:space="0" w:color="004C97" w:themeColor="accent4"/>
          <w:left w:val="single" w:sz="4" w:space="0" w:color="004C97" w:themeColor="accent4"/>
          <w:bottom w:val="single" w:sz="4" w:space="0" w:color="004C97" w:themeColor="accent4"/>
          <w:right w:val="single" w:sz="4" w:space="0" w:color="004C97" w:themeColor="accent4"/>
          <w:insideH w:val="nil"/>
          <w:insideV w:val="nil"/>
        </w:tcBorders>
        <w:shd w:val="clear" w:color="auto" w:fill="004C97" w:themeFill="accent4"/>
      </w:tcPr>
    </w:tblStylePr>
    <w:tblStylePr w:type="lastRow">
      <w:rPr>
        <w:b/>
        <w:bCs/>
      </w:rPr>
      <w:tblPr/>
      <w:tcPr>
        <w:tcBorders>
          <w:top w:val="double" w:sz="4" w:space="0" w:color="004C97" w:themeColor="accent4"/>
        </w:tcBorders>
      </w:tcPr>
    </w:tblStylePr>
    <w:tblStylePr w:type="firstCol">
      <w:rPr>
        <w:b/>
        <w:bCs/>
      </w:rPr>
    </w:tblStylePr>
    <w:tblStylePr w:type="lastCol">
      <w:rPr>
        <w:b/>
        <w:bCs/>
      </w:rPr>
    </w:tblStylePr>
    <w:tblStylePr w:type="band1Vert">
      <w:tblPr/>
      <w:tcPr>
        <w:shd w:val="clear" w:color="auto" w:fill="B7DBFF" w:themeFill="accent4" w:themeFillTint="33"/>
      </w:tcPr>
    </w:tblStylePr>
    <w:tblStylePr w:type="band1Horz">
      <w:tblPr/>
      <w:tcPr>
        <w:shd w:val="clear" w:color="auto" w:fill="B7DBFF" w:themeFill="accent4" w:themeFillTint="33"/>
      </w:tcPr>
    </w:tblStylePr>
  </w:style>
  <w:style w:type="table" w:styleId="GridTable4-Accent5">
    <w:name w:val="Grid Table 4 Accent 5"/>
    <w:basedOn w:val="TableNormal"/>
    <w:uiPriority w:val="49"/>
    <w:semiHidden/>
    <w:rsid w:val="00294A5A"/>
    <w:pPr>
      <w:spacing w:after="0" w:line="240" w:lineRule="auto"/>
    </w:pPr>
    <w:tblPr>
      <w:tblStyleRowBandSize w:val="1"/>
      <w:tblStyleColBandSize w:val="1"/>
      <w:tblBorders>
        <w:top w:val="single" w:sz="4" w:space="0" w:color="9CCCA1" w:themeColor="accent5" w:themeTint="99"/>
        <w:left w:val="single" w:sz="4" w:space="0" w:color="9CCCA1" w:themeColor="accent5" w:themeTint="99"/>
        <w:bottom w:val="single" w:sz="4" w:space="0" w:color="9CCCA1" w:themeColor="accent5" w:themeTint="99"/>
        <w:right w:val="single" w:sz="4" w:space="0" w:color="9CCCA1" w:themeColor="accent5" w:themeTint="99"/>
        <w:insideH w:val="single" w:sz="4" w:space="0" w:color="9CCCA1" w:themeColor="accent5" w:themeTint="99"/>
        <w:insideV w:val="single" w:sz="4" w:space="0" w:color="9CCCA1" w:themeColor="accent5" w:themeTint="99"/>
      </w:tblBorders>
    </w:tblPr>
    <w:tblStylePr w:type="firstRow">
      <w:rPr>
        <w:b/>
        <w:bCs/>
        <w:color w:val="FFFFFF" w:themeColor="background1"/>
      </w:rPr>
      <w:tblPr/>
      <w:tcPr>
        <w:tcBorders>
          <w:top w:val="single" w:sz="4" w:space="0" w:color="5AAA64" w:themeColor="accent5"/>
          <w:left w:val="single" w:sz="4" w:space="0" w:color="5AAA64" w:themeColor="accent5"/>
          <w:bottom w:val="single" w:sz="4" w:space="0" w:color="5AAA64" w:themeColor="accent5"/>
          <w:right w:val="single" w:sz="4" w:space="0" w:color="5AAA64" w:themeColor="accent5"/>
          <w:insideH w:val="nil"/>
          <w:insideV w:val="nil"/>
        </w:tcBorders>
        <w:shd w:val="clear" w:color="auto" w:fill="5AAA64" w:themeFill="accent5"/>
      </w:tcPr>
    </w:tblStylePr>
    <w:tblStylePr w:type="lastRow">
      <w:rPr>
        <w:b/>
        <w:bCs/>
      </w:rPr>
      <w:tblPr/>
      <w:tcPr>
        <w:tcBorders>
          <w:top w:val="double" w:sz="4" w:space="0" w:color="5AAA64" w:themeColor="accent5"/>
        </w:tcBorders>
      </w:tcPr>
    </w:tblStylePr>
    <w:tblStylePr w:type="firstCol">
      <w:rPr>
        <w:b/>
        <w:bCs/>
      </w:rPr>
    </w:tblStylePr>
    <w:tblStylePr w:type="lastCol">
      <w:rPr>
        <w:b/>
        <w:bCs/>
      </w:rPr>
    </w:tblStylePr>
    <w:tblStylePr w:type="band1Vert">
      <w:tblPr/>
      <w:tcPr>
        <w:shd w:val="clear" w:color="auto" w:fill="DEEEDF" w:themeFill="accent5" w:themeFillTint="33"/>
      </w:tcPr>
    </w:tblStylePr>
    <w:tblStylePr w:type="band1Horz">
      <w:tblPr/>
      <w:tcPr>
        <w:shd w:val="clear" w:color="auto" w:fill="DEEEDF" w:themeFill="accent5" w:themeFillTint="33"/>
      </w:tcPr>
    </w:tblStylePr>
  </w:style>
  <w:style w:type="table" w:styleId="GridTable4-Accent6">
    <w:name w:val="Grid Table 4 Accent 6"/>
    <w:basedOn w:val="TableNormal"/>
    <w:uiPriority w:val="49"/>
    <w:semiHidden/>
    <w:rsid w:val="00294A5A"/>
    <w:pPr>
      <w:spacing w:after="0" w:line="240" w:lineRule="auto"/>
    </w:pPr>
    <w:tblPr>
      <w:tblStyleRowBandSize w:val="1"/>
      <w:tblStyleColBandSize w:val="1"/>
      <w:tblBorders>
        <w:top w:val="single" w:sz="4" w:space="0" w:color="F0A28A" w:themeColor="accent6" w:themeTint="99"/>
        <w:left w:val="single" w:sz="4" w:space="0" w:color="F0A28A" w:themeColor="accent6" w:themeTint="99"/>
        <w:bottom w:val="single" w:sz="4" w:space="0" w:color="F0A28A" w:themeColor="accent6" w:themeTint="99"/>
        <w:right w:val="single" w:sz="4" w:space="0" w:color="F0A28A" w:themeColor="accent6" w:themeTint="99"/>
        <w:insideH w:val="single" w:sz="4" w:space="0" w:color="F0A28A" w:themeColor="accent6" w:themeTint="99"/>
        <w:insideV w:val="single" w:sz="4" w:space="0" w:color="F0A28A" w:themeColor="accent6" w:themeTint="99"/>
      </w:tblBorders>
    </w:tblPr>
    <w:tblStylePr w:type="firstRow">
      <w:rPr>
        <w:b/>
        <w:bCs/>
        <w:color w:val="FFFFFF" w:themeColor="background1"/>
      </w:rPr>
      <w:tblPr/>
      <w:tcPr>
        <w:tcBorders>
          <w:top w:val="single" w:sz="4" w:space="0" w:color="E6643C" w:themeColor="accent6"/>
          <w:left w:val="single" w:sz="4" w:space="0" w:color="E6643C" w:themeColor="accent6"/>
          <w:bottom w:val="single" w:sz="4" w:space="0" w:color="E6643C" w:themeColor="accent6"/>
          <w:right w:val="single" w:sz="4" w:space="0" w:color="E6643C" w:themeColor="accent6"/>
          <w:insideH w:val="nil"/>
          <w:insideV w:val="nil"/>
        </w:tcBorders>
        <w:shd w:val="clear" w:color="auto" w:fill="E6643C" w:themeFill="accent6"/>
      </w:tcPr>
    </w:tblStylePr>
    <w:tblStylePr w:type="lastRow">
      <w:rPr>
        <w:b/>
        <w:bCs/>
      </w:rPr>
      <w:tblPr/>
      <w:tcPr>
        <w:tcBorders>
          <w:top w:val="double" w:sz="4" w:space="0" w:color="E6643C" w:themeColor="accent6"/>
        </w:tcBorders>
      </w:tcPr>
    </w:tblStylePr>
    <w:tblStylePr w:type="firstCol">
      <w:rPr>
        <w:b/>
        <w:bCs/>
      </w:rPr>
    </w:tblStylePr>
    <w:tblStylePr w:type="lastCol">
      <w:rPr>
        <w:b/>
        <w:bCs/>
      </w:rPr>
    </w:tblStylePr>
    <w:tblStylePr w:type="band1Vert">
      <w:tblPr/>
      <w:tcPr>
        <w:shd w:val="clear" w:color="auto" w:fill="FAE0D8" w:themeFill="accent6" w:themeFillTint="33"/>
      </w:tcPr>
    </w:tblStylePr>
    <w:tblStylePr w:type="band1Horz">
      <w:tblPr/>
      <w:tcPr>
        <w:shd w:val="clear" w:color="auto" w:fill="FAE0D8" w:themeFill="accent6" w:themeFillTint="33"/>
      </w:tcPr>
    </w:tblStylePr>
  </w:style>
  <w:style w:type="table" w:styleId="GridTable5Dark">
    <w:name w:val="Grid Table 5 Dark"/>
    <w:basedOn w:val="TableNormal"/>
    <w:uiPriority w:val="50"/>
    <w:semiHidden/>
    <w:rsid w:val="00294A5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294A5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9D4D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B242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B242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B242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B242A" w:themeFill="accent1"/>
      </w:tcPr>
    </w:tblStylePr>
    <w:tblStylePr w:type="band1Vert">
      <w:tblPr/>
      <w:tcPr>
        <w:shd w:val="clear" w:color="auto" w:fill="93AABA" w:themeFill="accent1" w:themeFillTint="66"/>
      </w:tcPr>
    </w:tblStylePr>
    <w:tblStylePr w:type="band1Horz">
      <w:tblPr/>
      <w:tcPr>
        <w:shd w:val="clear" w:color="auto" w:fill="93AABA" w:themeFill="accent1" w:themeFillTint="66"/>
      </w:tcPr>
    </w:tblStylePr>
  </w:style>
  <w:style w:type="table" w:styleId="GridTable5Dark-Accent2">
    <w:name w:val="Grid Table 5 Dark Accent 2"/>
    <w:basedOn w:val="TableNormal"/>
    <w:uiPriority w:val="50"/>
    <w:semiHidden/>
    <w:rsid w:val="00294A5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3F5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58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58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58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586" w:themeFill="accent2"/>
      </w:tcPr>
    </w:tblStylePr>
    <w:tblStylePr w:type="band1Vert">
      <w:tblPr/>
      <w:tcPr>
        <w:shd w:val="clear" w:color="auto" w:fill="68EBFF" w:themeFill="accent2" w:themeFillTint="66"/>
      </w:tcPr>
    </w:tblStylePr>
    <w:tblStylePr w:type="band1Horz">
      <w:tblPr/>
      <w:tcPr>
        <w:shd w:val="clear" w:color="auto" w:fill="68EBFF" w:themeFill="accent2" w:themeFillTint="66"/>
      </w:tcPr>
    </w:tblStylePr>
  </w:style>
  <w:style w:type="table" w:styleId="GridTable5Dark-Accent3">
    <w:name w:val="Grid Table 5 Dark Accent 3"/>
    <w:basedOn w:val="TableNormal"/>
    <w:uiPriority w:val="50"/>
    <w:semiHidden/>
    <w:rsid w:val="00294A5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F0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AB9EB"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AB9EB"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AB9EB"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AB9EB" w:themeFill="accent3"/>
      </w:tcPr>
    </w:tblStylePr>
    <w:tblStylePr w:type="band1Vert">
      <w:tblPr/>
      <w:tcPr>
        <w:shd w:val="clear" w:color="auto" w:fill="BDE2F7" w:themeFill="accent3" w:themeFillTint="66"/>
      </w:tcPr>
    </w:tblStylePr>
    <w:tblStylePr w:type="band1Horz">
      <w:tblPr/>
      <w:tcPr>
        <w:shd w:val="clear" w:color="auto" w:fill="BDE2F7" w:themeFill="accent3" w:themeFillTint="66"/>
      </w:tcPr>
    </w:tblStylePr>
  </w:style>
  <w:style w:type="table" w:styleId="GridTable5Dark-Accent4">
    <w:name w:val="Grid Table 5 Dark Accent 4"/>
    <w:basedOn w:val="TableNormal"/>
    <w:uiPriority w:val="50"/>
    <w:semiHidden/>
    <w:rsid w:val="00294A5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4"/>
      </w:tcPr>
    </w:tblStylePr>
    <w:tblStylePr w:type="band1Vert">
      <w:tblPr/>
      <w:tcPr>
        <w:shd w:val="clear" w:color="auto" w:fill="6FB7FF" w:themeFill="accent4" w:themeFillTint="66"/>
      </w:tcPr>
    </w:tblStylePr>
    <w:tblStylePr w:type="band1Horz">
      <w:tblPr/>
      <w:tcPr>
        <w:shd w:val="clear" w:color="auto" w:fill="6FB7FF" w:themeFill="accent4" w:themeFillTint="66"/>
      </w:tcPr>
    </w:tblStylePr>
  </w:style>
  <w:style w:type="table" w:styleId="GridTable5Dark-Accent5">
    <w:name w:val="Grid Table 5 Dark Accent 5"/>
    <w:basedOn w:val="TableNormal"/>
    <w:uiPriority w:val="50"/>
    <w:semiHidden/>
    <w:rsid w:val="00294A5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ED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AAA6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AAA6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AAA6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AAA64" w:themeFill="accent5"/>
      </w:tcPr>
    </w:tblStylePr>
    <w:tblStylePr w:type="band1Vert">
      <w:tblPr/>
      <w:tcPr>
        <w:shd w:val="clear" w:color="auto" w:fill="BDDDC0" w:themeFill="accent5" w:themeFillTint="66"/>
      </w:tcPr>
    </w:tblStylePr>
    <w:tblStylePr w:type="band1Horz">
      <w:tblPr/>
      <w:tcPr>
        <w:shd w:val="clear" w:color="auto" w:fill="BDDDC0" w:themeFill="accent5" w:themeFillTint="66"/>
      </w:tcPr>
    </w:tblStylePr>
  </w:style>
  <w:style w:type="table" w:styleId="GridTable5Dark-Accent6">
    <w:name w:val="Grid Table 5 Dark Accent 6"/>
    <w:basedOn w:val="TableNormal"/>
    <w:uiPriority w:val="50"/>
    <w:semiHidden/>
    <w:rsid w:val="00294A5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0D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6643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6643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6643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6643C" w:themeFill="accent6"/>
      </w:tcPr>
    </w:tblStylePr>
    <w:tblStylePr w:type="band1Vert">
      <w:tblPr/>
      <w:tcPr>
        <w:shd w:val="clear" w:color="auto" w:fill="F5C1B1" w:themeFill="accent6" w:themeFillTint="66"/>
      </w:tcPr>
    </w:tblStylePr>
    <w:tblStylePr w:type="band1Horz">
      <w:tblPr/>
      <w:tcPr>
        <w:shd w:val="clear" w:color="auto" w:fill="F5C1B1" w:themeFill="accent6" w:themeFillTint="66"/>
      </w:tcPr>
    </w:tblStylePr>
  </w:style>
  <w:style w:type="table" w:styleId="GridTable6Colorful">
    <w:name w:val="Grid Table 6 Colorful"/>
    <w:basedOn w:val="TableNormal"/>
    <w:uiPriority w:val="51"/>
    <w:semiHidden/>
    <w:rsid w:val="00294A5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294A5A"/>
    <w:pPr>
      <w:spacing w:after="0" w:line="240" w:lineRule="auto"/>
    </w:pPr>
    <w:rPr>
      <w:color w:val="141A1F" w:themeColor="accent1" w:themeShade="BF"/>
    </w:rPr>
    <w:tblPr>
      <w:tblStyleRowBandSize w:val="1"/>
      <w:tblStyleColBandSize w:val="1"/>
      <w:tblBorders>
        <w:top w:val="single" w:sz="4" w:space="0" w:color="607F95" w:themeColor="accent1" w:themeTint="99"/>
        <w:left w:val="single" w:sz="4" w:space="0" w:color="607F95" w:themeColor="accent1" w:themeTint="99"/>
        <w:bottom w:val="single" w:sz="4" w:space="0" w:color="607F95" w:themeColor="accent1" w:themeTint="99"/>
        <w:right w:val="single" w:sz="4" w:space="0" w:color="607F95" w:themeColor="accent1" w:themeTint="99"/>
        <w:insideH w:val="single" w:sz="4" w:space="0" w:color="607F95" w:themeColor="accent1" w:themeTint="99"/>
        <w:insideV w:val="single" w:sz="4" w:space="0" w:color="607F95" w:themeColor="accent1" w:themeTint="99"/>
      </w:tblBorders>
    </w:tblPr>
    <w:tblStylePr w:type="firstRow">
      <w:rPr>
        <w:b/>
        <w:bCs/>
      </w:rPr>
      <w:tblPr/>
      <w:tcPr>
        <w:tcBorders>
          <w:bottom w:val="single" w:sz="12" w:space="0" w:color="607F95" w:themeColor="accent1" w:themeTint="99"/>
        </w:tcBorders>
      </w:tcPr>
    </w:tblStylePr>
    <w:tblStylePr w:type="lastRow">
      <w:rPr>
        <w:b/>
        <w:bCs/>
      </w:rPr>
      <w:tblPr/>
      <w:tcPr>
        <w:tcBorders>
          <w:top w:val="double" w:sz="4" w:space="0" w:color="607F95" w:themeColor="accent1" w:themeTint="99"/>
        </w:tcBorders>
      </w:tcPr>
    </w:tblStylePr>
    <w:tblStylePr w:type="firstCol">
      <w:rPr>
        <w:b/>
        <w:bCs/>
      </w:rPr>
    </w:tblStylePr>
    <w:tblStylePr w:type="lastCol">
      <w:rPr>
        <w:b/>
        <w:bCs/>
      </w:rPr>
    </w:tblStylePr>
    <w:tblStylePr w:type="band1Vert">
      <w:tblPr/>
      <w:tcPr>
        <w:shd w:val="clear" w:color="auto" w:fill="C9D4DC" w:themeFill="accent1" w:themeFillTint="33"/>
      </w:tcPr>
    </w:tblStylePr>
    <w:tblStylePr w:type="band1Horz">
      <w:tblPr/>
      <w:tcPr>
        <w:shd w:val="clear" w:color="auto" w:fill="C9D4DC" w:themeFill="accent1" w:themeFillTint="33"/>
      </w:tcPr>
    </w:tblStylePr>
  </w:style>
  <w:style w:type="table" w:styleId="GridTable6Colorful-Accent2">
    <w:name w:val="Grid Table 6 Colorful Accent 2"/>
    <w:basedOn w:val="TableNormal"/>
    <w:uiPriority w:val="51"/>
    <w:semiHidden/>
    <w:rsid w:val="00294A5A"/>
    <w:pPr>
      <w:spacing w:after="0" w:line="240" w:lineRule="auto"/>
    </w:pPr>
    <w:rPr>
      <w:color w:val="005764" w:themeColor="accent2" w:themeShade="BF"/>
    </w:rPr>
    <w:tblPr>
      <w:tblStyleRowBandSize w:val="1"/>
      <w:tblStyleColBandSize w:val="1"/>
      <w:tblBorders>
        <w:top w:val="single" w:sz="4" w:space="0" w:color="1DE1FF" w:themeColor="accent2" w:themeTint="99"/>
        <w:left w:val="single" w:sz="4" w:space="0" w:color="1DE1FF" w:themeColor="accent2" w:themeTint="99"/>
        <w:bottom w:val="single" w:sz="4" w:space="0" w:color="1DE1FF" w:themeColor="accent2" w:themeTint="99"/>
        <w:right w:val="single" w:sz="4" w:space="0" w:color="1DE1FF" w:themeColor="accent2" w:themeTint="99"/>
        <w:insideH w:val="single" w:sz="4" w:space="0" w:color="1DE1FF" w:themeColor="accent2" w:themeTint="99"/>
        <w:insideV w:val="single" w:sz="4" w:space="0" w:color="1DE1FF" w:themeColor="accent2" w:themeTint="99"/>
      </w:tblBorders>
    </w:tblPr>
    <w:tblStylePr w:type="firstRow">
      <w:rPr>
        <w:b/>
        <w:bCs/>
      </w:rPr>
      <w:tblPr/>
      <w:tcPr>
        <w:tcBorders>
          <w:bottom w:val="single" w:sz="12" w:space="0" w:color="1DE1FF" w:themeColor="accent2" w:themeTint="99"/>
        </w:tcBorders>
      </w:tcPr>
    </w:tblStylePr>
    <w:tblStylePr w:type="lastRow">
      <w:rPr>
        <w:b/>
        <w:bCs/>
      </w:rPr>
      <w:tblPr/>
      <w:tcPr>
        <w:tcBorders>
          <w:top w:val="double" w:sz="4" w:space="0" w:color="1DE1FF" w:themeColor="accent2" w:themeTint="99"/>
        </w:tcBorders>
      </w:tcPr>
    </w:tblStylePr>
    <w:tblStylePr w:type="firstCol">
      <w:rPr>
        <w:b/>
        <w:bCs/>
      </w:rPr>
    </w:tblStylePr>
    <w:tblStylePr w:type="lastCol">
      <w:rPr>
        <w:b/>
        <w:bCs/>
      </w:rPr>
    </w:tblStylePr>
    <w:tblStylePr w:type="band1Vert">
      <w:tblPr/>
      <w:tcPr>
        <w:shd w:val="clear" w:color="auto" w:fill="B3F5FF" w:themeFill="accent2" w:themeFillTint="33"/>
      </w:tcPr>
    </w:tblStylePr>
    <w:tblStylePr w:type="band1Horz">
      <w:tblPr/>
      <w:tcPr>
        <w:shd w:val="clear" w:color="auto" w:fill="B3F5FF" w:themeFill="accent2" w:themeFillTint="33"/>
      </w:tcPr>
    </w:tblStylePr>
  </w:style>
  <w:style w:type="table" w:styleId="GridTable6Colorful-Accent3">
    <w:name w:val="Grid Table 6 Colorful Accent 3"/>
    <w:basedOn w:val="TableNormal"/>
    <w:uiPriority w:val="51"/>
    <w:semiHidden/>
    <w:rsid w:val="00294A5A"/>
    <w:pPr>
      <w:spacing w:after="0" w:line="240" w:lineRule="auto"/>
    </w:pPr>
    <w:rPr>
      <w:color w:val="1A97D9" w:themeColor="accent3" w:themeShade="BF"/>
    </w:rPr>
    <w:tblPr>
      <w:tblStyleRowBandSize w:val="1"/>
      <w:tblStyleColBandSize w:val="1"/>
      <w:tblBorders>
        <w:top w:val="single" w:sz="4" w:space="0" w:color="9CD4F3" w:themeColor="accent3" w:themeTint="99"/>
        <w:left w:val="single" w:sz="4" w:space="0" w:color="9CD4F3" w:themeColor="accent3" w:themeTint="99"/>
        <w:bottom w:val="single" w:sz="4" w:space="0" w:color="9CD4F3" w:themeColor="accent3" w:themeTint="99"/>
        <w:right w:val="single" w:sz="4" w:space="0" w:color="9CD4F3" w:themeColor="accent3" w:themeTint="99"/>
        <w:insideH w:val="single" w:sz="4" w:space="0" w:color="9CD4F3" w:themeColor="accent3" w:themeTint="99"/>
        <w:insideV w:val="single" w:sz="4" w:space="0" w:color="9CD4F3" w:themeColor="accent3" w:themeTint="99"/>
      </w:tblBorders>
    </w:tblPr>
    <w:tblStylePr w:type="firstRow">
      <w:rPr>
        <w:b/>
        <w:bCs/>
      </w:rPr>
      <w:tblPr/>
      <w:tcPr>
        <w:tcBorders>
          <w:bottom w:val="single" w:sz="12" w:space="0" w:color="9CD4F3" w:themeColor="accent3" w:themeTint="99"/>
        </w:tcBorders>
      </w:tcPr>
    </w:tblStylePr>
    <w:tblStylePr w:type="lastRow">
      <w:rPr>
        <w:b/>
        <w:bCs/>
      </w:rPr>
      <w:tblPr/>
      <w:tcPr>
        <w:tcBorders>
          <w:top w:val="double" w:sz="4" w:space="0" w:color="9CD4F3" w:themeColor="accent3" w:themeTint="99"/>
        </w:tcBorders>
      </w:tcPr>
    </w:tblStylePr>
    <w:tblStylePr w:type="firstCol">
      <w:rPr>
        <w:b/>
        <w:bCs/>
      </w:rPr>
    </w:tblStylePr>
    <w:tblStylePr w:type="lastCol">
      <w:rPr>
        <w:b/>
        <w:bCs/>
      </w:rPr>
    </w:tblStylePr>
    <w:tblStylePr w:type="band1Vert">
      <w:tblPr/>
      <w:tcPr>
        <w:shd w:val="clear" w:color="auto" w:fill="DEF0FB" w:themeFill="accent3" w:themeFillTint="33"/>
      </w:tcPr>
    </w:tblStylePr>
    <w:tblStylePr w:type="band1Horz">
      <w:tblPr/>
      <w:tcPr>
        <w:shd w:val="clear" w:color="auto" w:fill="DEF0FB" w:themeFill="accent3" w:themeFillTint="33"/>
      </w:tcPr>
    </w:tblStylePr>
  </w:style>
  <w:style w:type="table" w:styleId="GridTable6Colorful-Accent4">
    <w:name w:val="Grid Table 6 Colorful Accent 4"/>
    <w:basedOn w:val="TableNormal"/>
    <w:uiPriority w:val="51"/>
    <w:semiHidden/>
    <w:rsid w:val="00294A5A"/>
    <w:pPr>
      <w:spacing w:after="0" w:line="240" w:lineRule="auto"/>
    </w:pPr>
    <w:rPr>
      <w:color w:val="003871" w:themeColor="accent4" w:themeShade="BF"/>
    </w:rPr>
    <w:tblPr>
      <w:tblStyleRowBandSize w:val="1"/>
      <w:tblStyleColBandSize w:val="1"/>
      <w:tblBorders>
        <w:top w:val="single" w:sz="4" w:space="0" w:color="2793FF" w:themeColor="accent4" w:themeTint="99"/>
        <w:left w:val="single" w:sz="4" w:space="0" w:color="2793FF" w:themeColor="accent4" w:themeTint="99"/>
        <w:bottom w:val="single" w:sz="4" w:space="0" w:color="2793FF" w:themeColor="accent4" w:themeTint="99"/>
        <w:right w:val="single" w:sz="4" w:space="0" w:color="2793FF" w:themeColor="accent4" w:themeTint="99"/>
        <w:insideH w:val="single" w:sz="4" w:space="0" w:color="2793FF" w:themeColor="accent4" w:themeTint="99"/>
        <w:insideV w:val="single" w:sz="4" w:space="0" w:color="2793FF" w:themeColor="accent4" w:themeTint="99"/>
      </w:tblBorders>
    </w:tblPr>
    <w:tblStylePr w:type="firstRow">
      <w:rPr>
        <w:b/>
        <w:bCs/>
      </w:rPr>
      <w:tblPr/>
      <w:tcPr>
        <w:tcBorders>
          <w:bottom w:val="single" w:sz="12" w:space="0" w:color="2793FF" w:themeColor="accent4" w:themeTint="99"/>
        </w:tcBorders>
      </w:tcPr>
    </w:tblStylePr>
    <w:tblStylePr w:type="lastRow">
      <w:rPr>
        <w:b/>
        <w:bCs/>
      </w:rPr>
      <w:tblPr/>
      <w:tcPr>
        <w:tcBorders>
          <w:top w:val="double" w:sz="4" w:space="0" w:color="2793FF" w:themeColor="accent4" w:themeTint="99"/>
        </w:tcBorders>
      </w:tcPr>
    </w:tblStylePr>
    <w:tblStylePr w:type="firstCol">
      <w:rPr>
        <w:b/>
        <w:bCs/>
      </w:rPr>
    </w:tblStylePr>
    <w:tblStylePr w:type="lastCol">
      <w:rPr>
        <w:b/>
        <w:bCs/>
      </w:rPr>
    </w:tblStylePr>
    <w:tblStylePr w:type="band1Vert">
      <w:tblPr/>
      <w:tcPr>
        <w:shd w:val="clear" w:color="auto" w:fill="B7DBFF" w:themeFill="accent4" w:themeFillTint="33"/>
      </w:tcPr>
    </w:tblStylePr>
    <w:tblStylePr w:type="band1Horz">
      <w:tblPr/>
      <w:tcPr>
        <w:shd w:val="clear" w:color="auto" w:fill="B7DBFF" w:themeFill="accent4" w:themeFillTint="33"/>
      </w:tcPr>
    </w:tblStylePr>
  </w:style>
  <w:style w:type="table" w:styleId="GridTable6Colorful-Accent5">
    <w:name w:val="Grid Table 6 Colorful Accent 5"/>
    <w:basedOn w:val="TableNormal"/>
    <w:uiPriority w:val="51"/>
    <w:semiHidden/>
    <w:rsid w:val="00294A5A"/>
    <w:pPr>
      <w:spacing w:after="0" w:line="240" w:lineRule="auto"/>
    </w:pPr>
    <w:rPr>
      <w:color w:val="428049" w:themeColor="accent5" w:themeShade="BF"/>
    </w:rPr>
    <w:tblPr>
      <w:tblStyleRowBandSize w:val="1"/>
      <w:tblStyleColBandSize w:val="1"/>
      <w:tblBorders>
        <w:top w:val="single" w:sz="4" w:space="0" w:color="9CCCA1" w:themeColor="accent5" w:themeTint="99"/>
        <w:left w:val="single" w:sz="4" w:space="0" w:color="9CCCA1" w:themeColor="accent5" w:themeTint="99"/>
        <w:bottom w:val="single" w:sz="4" w:space="0" w:color="9CCCA1" w:themeColor="accent5" w:themeTint="99"/>
        <w:right w:val="single" w:sz="4" w:space="0" w:color="9CCCA1" w:themeColor="accent5" w:themeTint="99"/>
        <w:insideH w:val="single" w:sz="4" w:space="0" w:color="9CCCA1" w:themeColor="accent5" w:themeTint="99"/>
        <w:insideV w:val="single" w:sz="4" w:space="0" w:color="9CCCA1" w:themeColor="accent5" w:themeTint="99"/>
      </w:tblBorders>
    </w:tblPr>
    <w:tblStylePr w:type="firstRow">
      <w:rPr>
        <w:b/>
        <w:bCs/>
      </w:rPr>
      <w:tblPr/>
      <w:tcPr>
        <w:tcBorders>
          <w:bottom w:val="single" w:sz="12" w:space="0" w:color="9CCCA1" w:themeColor="accent5" w:themeTint="99"/>
        </w:tcBorders>
      </w:tcPr>
    </w:tblStylePr>
    <w:tblStylePr w:type="lastRow">
      <w:rPr>
        <w:b/>
        <w:bCs/>
      </w:rPr>
      <w:tblPr/>
      <w:tcPr>
        <w:tcBorders>
          <w:top w:val="double" w:sz="4" w:space="0" w:color="9CCCA1" w:themeColor="accent5" w:themeTint="99"/>
        </w:tcBorders>
      </w:tcPr>
    </w:tblStylePr>
    <w:tblStylePr w:type="firstCol">
      <w:rPr>
        <w:b/>
        <w:bCs/>
      </w:rPr>
    </w:tblStylePr>
    <w:tblStylePr w:type="lastCol">
      <w:rPr>
        <w:b/>
        <w:bCs/>
      </w:rPr>
    </w:tblStylePr>
    <w:tblStylePr w:type="band1Vert">
      <w:tblPr/>
      <w:tcPr>
        <w:shd w:val="clear" w:color="auto" w:fill="DEEEDF" w:themeFill="accent5" w:themeFillTint="33"/>
      </w:tcPr>
    </w:tblStylePr>
    <w:tblStylePr w:type="band1Horz">
      <w:tblPr/>
      <w:tcPr>
        <w:shd w:val="clear" w:color="auto" w:fill="DEEEDF" w:themeFill="accent5" w:themeFillTint="33"/>
      </w:tcPr>
    </w:tblStylePr>
  </w:style>
  <w:style w:type="table" w:styleId="GridTable6Colorful-Accent6">
    <w:name w:val="Grid Table 6 Colorful Accent 6"/>
    <w:basedOn w:val="TableNormal"/>
    <w:uiPriority w:val="51"/>
    <w:semiHidden/>
    <w:rsid w:val="00294A5A"/>
    <w:pPr>
      <w:spacing w:after="0" w:line="240" w:lineRule="auto"/>
    </w:pPr>
    <w:rPr>
      <w:color w:val="C04018" w:themeColor="accent6" w:themeShade="BF"/>
    </w:rPr>
    <w:tblPr>
      <w:tblStyleRowBandSize w:val="1"/>
      <w:tblStyleColBandSize w:val="1"/>
      <w:tblBorders>
        <w:top w:val="single" w:sz="4" w:space="0" w:color="F0A28A" w:themeColor="accent6" w:themeTint="99"/>
        <w:left w:val="single" w:sz="4" w:space="0" w:color="F0A28A" w:themeColor="accent6" w:themeTint="99"/>
        <w:bottom w:val="single" w:sz="4" w:space="0" w:color="F0A28A" w:themeColor="accent6" w:themeTint="99"/>
        <w:right w:val="single" w:sz="4" w:space="0" w:color="F0A28A" w:themeColor="accent6" w:themeTint="99"/>
        <w:insideH w:val="single" w:sz="4" w:space="0" w:color="F0A28A" w:themeColor="accent6" w:themeTint="99"/>
        <w:insideV w:val="single" w:sz="4" w:space="0" w:color="F0A28A" w:themeColor="accent6" w:themeTint="99"/>
      </w:tblBorders>
    </w:tblPr>
    <w:tblStylePr w:type="firstRow">
      <w:rPr>
        <w:b/>
        <w:bCs/>
      </w:rPr>
      <w:tblPr/>
      <w:tcPr>
        <w:tcBorders>
          <w:bottom w:val="single" w:sz="12" w:space="0" w:color="F0A28A" w:themeColor="accent6" w:themeTint="99"/>
        </w:tcBorders>
      </w:tcPr>
    </w:tblStylePr>
    <w:tblStylePr w:type="lastRow">
      <w:rPr>
        <w:b/>
        <w:bCs/>
      </w:rPr>
      <w:tblPr/>
      <w:tcPr>
        <w:tcBorders>
          <w:top w:val="double" w:sz="4" w:space="0" w:color="F0A28A" w:themeColor="accent6" w:themeTint="99"/>
        </w:tcBorders>
      </w:tcPr>
    </w:tblStylePr>
    <w:tblStylePr w:type="firstCol">
      <w:rPr>
        <w:b/>
        <w:bCs/>
      </w:rPr>
    </w:tblStylePr>
    <w:tblStylePr w:type="lastCol">
      <w:rPr>
        <w:b/>
        <w:bCs/>
      </w:rPr>
    </w:tblStylePr>
    <w:tblStylePr w:type="band1Vert">
      <w:tblPr/>
      <w:tcPr>
        <w:shd w:val="clear" w:color="auto" w:fill="FAE0D8" w:themeFill="accent6" w:themeFillTint="33"/>
      </w:tcPr>
    </w:tblStylePr>
    <w:tblStylePr w:type="band1Horz">
      <w:tblPr/>
      <w:tcPr>
        <w:shd w:val="clear" w:color="auto" w:fill="FAE0D8" w:themeFill="accent6" w:themeFillTint="33"/>
      </w:tcPr>
    </w:tblStylePr>
  </w:style>
  <w:style w:type="table" w:styleId="GridTable7Colorful">
    <w:name w:val="Grid Table 7 Colorful"/>
    <w:basedOn w:val="TableNormal"/>
    <w:uiPriority w:val="52"/>
    <w:semiHidden/>
    <w:rsid w:val="00294A5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semiHidden/>
    <w:rsid w:val="00294A5A"/>
    <w:pPr>
      <w:spacing w:after="0" w:line="240" w:lineRule="auto"/>
    </w:pPr>
    <w:rPr>
      <w:color w:val="141A1F" w:themeColor="accent1" w:themeShade="BF"/>
    </w:rPr>
    <w:tblPr>
      <w:tblStyleRowBandSize w:val="1"/>
      <w:tblStyleColBandSize w:val="1"/>
      <w:tblBorders>
        <w:top w:val="single" w:sz="4" w:space="0" w:color="607F95" w:themeColor="accent1" w:themeTint="99"/>
        <w:left w:val="single" w:sz="4" w:space="0" w:color="607F95" w:themeColor="accent1" w:themeTint="99"/>
        <w:bottom w:val="single" w:sz="4" w:space="0" w:color="607F95" w:themeColor="accent1" w:themeTint="99"/>
        <w:right w:val="single" w:sz="4" w:space="0" w:color="607F95" w:themeColor="accent1" w:themeTint="99"/>
        <w:insideH w:val="single" w:sz="4" w:space="0" w:color="607F95" w:themeColor="accent1" w:themeTint="99"/>
        <w:insideV w:val="single" w:sz="4" w:space="0" w:color="607F9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9D4DC" w:themeFill="accent1" w:themeFillTint="33"/>
      </w:tcPr>
    </w:tblStylePr>
    <w:tblStylePr w:type="band1Horz">
      <w:tblPr/>
      <w:tcPr>
        <w:shd w:val="clear" w:color="auto" w:fill="C9D4DC" w:themeFill="accent1" w:themeFillTint="33"/>
      </w:tcPr>
    </w:tblStylePr>
    <w:tblStylePr w:type="neCell">
      <w:tblPr/>
      <w:tcPr>
        <w:tcBorders>
          <w:bottom w:val="single" w:sz="4" w:space="0" w:color="607F95" w:themeColor="accent1" w:themeTint="99"/>
        </w:tcBorders>
      </w:tcPr>
    </w:tblStylePr>
    <w:tblStylePr w:type="nwCell">
      <w:tblPr/>
      <w:tcPr>
        <w:tcBorders>
          <w:bottom w:val="single" w:sz="4" w:space="0" w:color="607F95" w:themeColor="accent1" w:themeTint="99"/>
        </w:tcBorders>
      </w:tcPr>
    </w:tblStylePr>
    <w:tblStylePr w:type="seCell">
      <w:tblPr/>
      <w:tcPr>
        <w:tcBorders>
          <w:top w:val="single" w:sz="4" w:space="0" w:color="607F95" w:themeColor="accent1" w:themeTint="99"/>
        </w:tcBorders>
      </w:tcPr>
    </w:tblStylePr>
    <w:tblStylePr w:type="swCell">
      <w:tblPr/>
      <w:tcPr>
        <w:tcBorders>
          <w:top w:val="single" w:sz="4" w:space="0" w:color="607F95" w:themeColor="accent1" w:themeTint="99"/>
        </w:tcBorders>
      </w:tcPr>
    </w:tblStylePr>
  </w:style>
  <w:style w:type="table" w:styleId="GridTable7Colorful-Accent2">
    <w:name w:val="Grid Table 7 Colorful Accent 2"/>
    <w:basedOn w:val="TableNormal"/>
    <w:uiPriority w:val="52"/>
    <w:semiHidden/>
    <w:rsid w:val="00294A5A"/>
    <w:pPr>
      <w:spacing w:after="0" w:line="240" w:lineRule="auto"/>
    </w:pPr>
    <w:rPr>
      <w:color w:val="005764" w:themeColor="accent2" w:themeShade="BF"/>
    </w:rPr>
    <w:tblPr>
      <w:tblStyleRowBandSize w:val="1"/>
      <w:tblStyleColBandSize w:val="1"/>
      <w:tblBorders>
        <w:top w:val="single" w:sz="4" w:space="0" w:color="1DE1FF" w:themeColor="accent2" w:themeTint="99"/>
        <w:left w:val="single" w:sz="4" w:space="0" w:color="1DE1FF" w:themeColor="accent2" w:themeTint="99"/>
        <w:bottom w:val="single" w:sz="4" w:space="0" w:color="1DE1FF" w:themeColor="accent2" w:themeTint="99"/>
        <w:right w:val="single" w:sz="4" w:space="0" w:color="1DE1FF" w:themeColor="accent2" w:themeTint="99"/>
        <w:insideH w:val="single" w:sz="4" w:space="0" w:color="1DE1FF" w:themeColor="accent2" w:themeTint="99"/>
        <w:insideV w:val="single" w:sz="4" w:space="0" w:color="1DE1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3F5FF" w:themeFill="accent2" w:themeFillTint="33"/>
      </w:tcPr>
    </w:tblStylePr>
    <w:tblStylePr w:type="band1Horz">
      <w:tblPr/>
      <w:tcPr>
        <w:shd w:val="clear" w:color="auto" w:fill="B3F5FF" w:themeFill="accent2" w:themeFillTint="33"/>
      </w:tcPr>
    </w:tblStylePr>
    <w:tblStylePr w:type="neCell">
      <w:tblPr/>
      <w:tcPr>
        <w:tcBorders>
          <w:bottom w:val="single" w:sz="4" w:space="0" w:color="1DE1FF" w:themeColor="accent2" w:themeTint="99"/>
        </w:tcBorders>
      </w:tcPr>
    </w:tblStylePr>
    <w:tblStylePr w:type="nwCell">
      <w:tblPr/>
      <w:tcPr>
        <w:tcBorders>
          <w:bottom w:val="single" w:sz="4" w:space="0" w:color="1DE1FF" w:themeColor="accent2" w:themeTint="99"/>
        </w:tcBorders>
      </w:tcPr>
    </w:tblStylePr>
    <w:tblStylePr w:type="seCell">
      <w:tblPr/>
      <w:tcPr>
        <w:tcBorders>
          <w:top w:val="single" w:sz="4" w:space="0" w:color="1DE1FF" w:themeColor="accent2" w:themeTint="99"/>
        </w:tcBorders>
      </w:tcPr>
    </w:tblStylePr>
    <w:tblStylePr w:type="swCell">
      <w:tblPr/>
      <w:tcPr>
        <w:tcBorders>
          <w:top w:val="single" w:sz="4" w:space="0" w:color="1DE1FF" w:themeColor="accent2" w:themeTint="99"/>
        </w:tcBorders>
      </w:tcPr>
    </w:tblStylePr>
  </w:style>
  <w:style w:type="table" w:styleId="GridTable7Colorful-Accent3">
    <w:name w:val="Grid Table 7 Colorful Accent 3"/>
    <w:basedOn w:val="TableNormal"/>
    <w:uiPriority w:val="52"/>
    <w:semiHidden/>
    <w:rsid w:val="00294A5A"/>
    <w:pPr>
      <w:spacing w:after="0" w:line="240" w:lineRule="auto"/>
    </w:pPr>
    <w:rPr>
      <w:color w:val="1A97D9" w:themeColor="accent3" w:themeShade="BF"/>
    </w:rPr>
    <w:tblPr>
      <w:tblStyleRowBandSize w:val="1"/>
      <w:tblStyleColBandSize w:val="1"/>
      <w:tblBorders>
        <w:top w:val="single" w:sz="4" w:space="0" w:color="9CD4F3" w:themeColor="accent3" w:themeTint="99"/>
        <w:left w:val="single" w:sz="4" w:space="0" w:color="9CD4F3" w:themeColor="accent3" w:themeTint="99"/>
        <w:bottom w:val="single" w:sz="4" w:space="0" w:color="9CD4F3" w:themeColor="accent3" w:themeTint="99"/>
        <w:right w:val="single" w:sz="4" w:space="0" w:color="9CD4F3" w:themeColor="accent3" w:themeTint="99"/>
        <w:insideH w:val="single" w:sz="4" w:space="0" w:color="9CD4F3" w:themeColor="accent3" w:themeTint="99"/>
        <w:insideV w:val="single" w:sz="4" w:space="0" w:color="9CD4F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F0FB" w:themeFill="accent3" w:themeFillTint="33"/>
      </w:tcPr>
    </w:tblStylePr>
    <w:tblStylePr w:type="band1Horz">
      <w:tblPr/>
      <w:tcPr>
        <w:shd w:val="clear" w:color="auto" w:fill="DEF0FB" w:themeFill="accent3" w:themeFillTint="33"/>
      </w:tcPr>
    </w:tblStylePr>
    <w:tblStylePr w:type="neCell">
      <w:tblPr/>
      <w:tcPr>
        <w:tcBorders>
          <w:bottom w:val="single" w:sz="4" w:space="0" w:color="9CD4F3" w:themeColor="accent3" w:themeTint="99"/>
        </w:tcBorders>
      </w:tcPr>
    </w:tblStylePr>
    <w:tblStylePr w:type="nwCell">
      <w:tblPr/>
      <w:tcPr>
        <w:tcBorders>
          <w:bottom w:val="single" w:sz="4" w:space="0" w:color="9CD4F3" w:themeColor="accent3" w:themeTint="99"/>
        </w:tcBorders>
      </w:tcPr>
    </w:tblStylePr>
    <w:tblStylePr w:type="seCell">
      <w:tblPr/>
      <w:tcPr>
        <w:tcBorders>
          <w:top w:val="single" w:sz="4" w:space="0" w:color="9CD4F3" w:themeColor="accent3" w:themeTint="99"/>
        </w:tcBorders>
      </w:tcPr>
    </w:tblStylePr>
    <w:tblStylePr w:type="swCell">
      <w:tblPr/>
      <w:tcPr>
        <w:tcBorders>
          <w:top w:val="single" w:sz="4" w:space="0" w:color="9CD4F3" w:themeColor="accent3" w:themeTint="99"/>
        </w:tcBorders>
      </w:tcPr>
    </w:tblStylePr>
  </w:style>
  <w:style w:type="table" w:styleId="GridTable7Colorful-Accent4">
    <w:name w:val="Grid Table 7 Colorful Accent 4"/>
    <w:basedOn w:val="TableNormal"/>
    <w:uiPriority w:val="52"/>
    <w:semiHidden/>
    <w:rsid w:val="00294A5A"/>
    <w:pPr>
      <w:spacing w:after="0" w:line="240" w:lineRule="auto"/>
    </w:pPr>
    <w:rPr>
      <w:color w:val="003871" w:themeColor="accent4" w:themeShade="BF"/>
    </w:rPr>
    <w:tblPr>
      <w:tblStyleRowBandSize w:val="1"/>
      <w:tblStyleColBandSize w:val="1"/>
      <w:tblBorders>
        <w:top w:val="single" w:sz="4" w:space="0" w:color="2793FF" w:themeColor="accent4" w:themeTint="99"/>
        <w:left w:val="single" w:sz="4" w:space="0" w:color="2793FF" w:themeColor="accent4" w:themeTint="99"/>
        <w:bottom w:val="single" w:sz="4" w:space="0" w:color="2793FF" w:themeColor="accent4" w:themeTint="99"/>
        <w:right w:val="single" w:sz="4" w:space="0" w:color="2793FF" w:themeColor="accent4" w:themeTint="99"/>
        <w:insideH w:val="single" w:sz="4" w:space="0" w:color="2793FF" w:themeColor="accent4" w:themeTint="99"/>
        <w:insideV w:val="single" w:sz="4" w:space="0" w:color="2793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4" w:themeFillTint="33"/>
      </w:tcPr>
    </w:tblStylePr>
    <w:tblStylePr w:type="band1Horz">
      <w:tblPr/>
      <w:tcPr>
        <w:shd w:val="clear" w:color="auto" w:fill="B7DBFF" w:themeFill="accent4" w:themeFillTint="33"/>
      </w:tcPr>
    </w:tblStylePr>
    <w:tblStylePr w:type="neCell">
      <w:tblPr/>
      <w:tcPr>
        <w:tcBorders>
          <w:bottom w:val="single" w:sz="4" w:space="0" w:color="2793FF" w:themeColor="accent4" w:themeTint="99"/>
        </w:tcBorders>
      </w:tcPr>
    </w:tblStylePr>
    <w:tblStylePr w:type="nwCell">
      <w:tblPr/>
      <w:tcPr>
        <w:tcBorders>
          <w:bottom w:val="single" w:sz="4" w:space="0" w:color="2793FF" w:themeColor="accent4" w:themeTint="99"/>
        </w:tcBorders>
      </w:tcPr>
    </w:tblStylePr>
    <w:tblStylePr w:type="seCell">
      <w:tblPr/>
      <w:tcPr>
        <w:tcBorders>
          <w:top w:val="single" w:sz="4" w:space="0" w:color="2793FF" w:themeColor="accent4" w:themeTint="99"/>
        </w:tcBorders>
      </w:tcPr>
    </w:tblStylePr>
    <w:tblStylePr w:type="swCell">
      <w:tblPr/>
      <w:tcPr>
        <w:tcBorders>
          <w:top w:val="single" w:sz="4" w:space="0" w:color="2793FF" w:themeColor="accent4" w:themeTint="99"/>
        </w:tcBorders>
      </w:tcPr>
    </w:tblStylePr>
  </w:style>
  <w:style w:type="table" w:styleId="GridTable7Colorful-Accent5">
    <w:name w:val="Grid Table 7 Colorful Accent 5"/>
    <w:basedOn w:val="TableNormal"/>
    <w:uiPriority w:val="52"/>
    <w:semiHidden/>
    <w:rsid w:val="00294A5A"/>
    <w:pPr>
      <w:spacing w:after="0" w:line="240" w:lineRule="auto"/>
    </w:pPr>
    <w:rPr>
      <w:color w:val="428049" w:themeColor="accent5" w:themeShade="BF"/>
    </w:rPr>
    <w:tblPr>
      <w:tblStyleRowBandSize w:val="1"/>
      <w:tblStyleColBandSize w:val="1"/>
      <w:tblBorders>
        <w:top w:val="single" w:sz="4" w:space="0" w:color="9CCCA1" w:themeColor="accent5" w:themeTint="99"/>
        <w:left w:val="single" w:sz="4" w:space="0" w:color="9CCCA1" w:themeColor="accent5" w:themeTint="99"/>
        <w:bottom w:val="single" w:sz="4" w:space="0" w:color="9CCCA1" w:themeColor="accent5" w:themeTint="99"/>
        <w:right w:val="single" w:sz="4" w:space="0" w:color="9CCCA1" w:themeColor="accent5" w:themeTint="99"/>
        <w:insideH w:val="single" w:sz="4" w:space="0" w:color="9CCCA1" w:themeColor="accent5" w:themeTint="99"/>
        <w:insideV w:val="single" w:sz="4" w:space="0" w:color="9CCCA1"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EDF" w:themeFill="accent5" w:themeFillTint="33"/>
      </w:tcPr>
    </w:tblStylePr>
    <w:tblStylePr w:type="band1Horz">
      <w:tblPr/>
      <w:tcPr>
        <w:shd w:val="clear" w:color="auto" w:fill="DEEEDF" w:themeFill="accent5" w:themeFillTint="33"/>
      </w:tcPr>
    </w:tblStylePr>
    <w:tblStylePr w:type="neCell">
      <w:tblPr/>
      <w:tcPr>
        <w:tcBorders>
          <w:bottom w:val="single" w:sz="4" w:space="0" w:color="9CCCA1" w:themeColor="accent5" w:themeTint="99"/>
        </w:tcBorders>
      </w:tcPr>
    </w:tblStylePr>
    <w:tblStylePr w:type="nwCell">
      <w:tblPr/>
      <w:tcPr>
        <w:tcBorders>
          <w:bottom w:val="single" w:sz="4" w:space="0" w:color="9CCCA1" w:themeColor="accent5" w:themeTint="99"/>
        </w:tcBorders>
      </w:tcPr>
    </w:tblStylePr>
    <w:tblStylePr w:type="seCell">
      <w:tblPr/>
      <w:tcPr>
        <w:tcBorders>
          <w:top w:val="single" w:sz="4" w:space="0" w:color="9CCCA1" w:themeColor="accent5" w:themeTint="99"/>
        </w:tcBorders>
      </w:tcPr>
    </w:tblStylePr>
    <w:tblStylePr w:type="swCell">
      <w:tblPr/>
      <w:tcPr>
        <w:tcBorders>
          <w:top w:val="single" w:sz="4" w:space="0" w:color="9CCCA1" w:themeColor="accent5" w:themeTint="99"/>
        </w:tcBorders>
      </w:tcPr>
    </w:tblStylePr>
  </w:style>
  <w:style w:type="table" w:styleId="GridTable7Colorful-Accent6">
    <w:name w:val="Grid Table 7 Colorful Accent 6"/>
    <w:basedOn w:val="TableNormal"/>
    <w:uiPriority w:val="52"/>
    <w:semiHidden/>
    <w:rsid w:val="00294A5A"/>
    <w:pPr>
      <w:spacing w:after="0" w:line="240" w:lineRule="auto"/>
    </w:pPr>
    <w:rPr>
      <w:color w:val="C04018" w:themeColor="accent6" w:themeShade="BF"/>
    </w:rPr>
    <w:tblPr>
      <w:tblStyleRowBandSize w:val="1"/>
      <w:tblStyleColBandSize w:val="1"/>
      <w:tblBorders>
        <w:top w:val="single" w:sz="4" w:space="0" w:color="F0A28A" w:themeColor="accent6" w:themeTint="99"/>
        <w:left w:val="single" w:sz="4" w:space="0" w:color="F0A28A" w:themeColor="accent6" w:themeTint="99"/>
        <w:bottom w:val="single" w:sz="4" w:space="0" w:color="F0A28A" w:themeColor="accent6" w:themeTint="99"/>
        <w:right w:val="single" w:sz="4" w:space="0" w:color="F0A28A" w:themeColor="accent6" w:themeTint="99"/>
        <w:insideH w:val="single" w:sz="4" w:space="0" w:color="F0A28A" w:themeColor="accent6" w:themeTint="99"/>
        <w:insideV w:val="single" w:sz="4" w:space="0" w:color="F0A28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0D8" w:themeFill="accent6" w:themeFillTint="33"/>
      </w:tcPr>
    </w:tblStylePr>
    <w:tblStylePr w:type="band1Horz">
      <w:tblPr/>
      <w:tcPr>
        <w:shd w:val="clear" w:color="auto" w:fill="FAE0D8" w:themeFill="accent6" w:themeFillTint="33"/>
      </w:tcPr>
    </w:tblStylePr>
    <w:tblStylePr w:type="neCell">
      <w:tblPr/>
      <w:tcPr>
        <w:tcBorders>
          <w:bottom w:val="single" w:sz="4" w:space="0" w:color="F0A28A" w:themeColor="accent6" w:themeTint="99"/>
        </w:tcBorders>
      </w:tcPr>
    </w:tblStylePr>
    <w:tblStylePr w:type="nwCell">
      <w:tblPr/>
      <w:tcPr>
        <w:tcBorders>
          <w:bottom w:val="single" w:sz="4" w:space="0" w:color="F0A28A" w:themeColor="accent6" w:themeTint="99"/>
        </w:tcBorders>
      </w:tcPr>
    </w:tblStylePr>
    <w:tblStylePr w:type="seCell">
      <w:tblPr/>
      <w:tcPr>
        <w:tcBorders>
          <w:top w:val="single" w:sz="4" w:space="0" w:color="F0A28A" w:themeColor="accent6" w:themeTint="99"/>
        </w:tcBorders>
      </w:tcPr>
    </w:tblStylePr>
    <w:tblStylePr w:type="swCell">
      <w:tblPr/>
      <w:tcPr>
        <w:tcBorders>
          <w:top w:val="single" w:sz="4" w:space="0" w:color="F0A28A" w:themeColor="accent6" w:themeTint="99"/>
        </w:tcBorders>
      </w:tcPr>
    </w:tblStylePr>
  </w:style>
  <w:style w:type="table" w:styleId="LightGrid">
    <w:name w:val="Light Grid"/>
    <w:basedOn w:val="TableNormal"/>
    <w:uiPriority w:val="62"/>
    <w:semiHidden/>
    <w:rsid w:val="00294A5A"/>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294A5A"/>
    <w:pPr>
      <w:spacing w:before="0" w:after="0" w:line="240" w:lineRule="auto"/>
    </w:pPr>
    <w:tblPr>
      <w:tblStyleRowBandSize w:val="1"/>
      <w:tblStyleColBandSize w:val="1"/>
      <w:tblBorders>
        <w:top w:val="single" w:sz="8" w:space="0" w:color="1B242A" w:themeColor="accent1"/>
        <w:left w:val="single" w:sz="8" w:space="0" w:color="1B242A" w:themeColor="accent1"/>
        <w:bottom w:val="single" w:sz="8" w:space="0" w:color="1B242A" w:themeColor="accent1"/>
        <w:right w:val="single" w:sz="8" w:space="0" w:color="1B242A" w:themeColor="accent1"/>
        <w:insideH w:val="single" w:sz="8" w:space="0" w:color="1B242A" w:themeColor="accent1"/>
        <w:insideV w:val="single" w:sz="8" w:space="0" w:color="1B242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B242A" w:themeColor="accent1"/>
          <w:left w:val="single" w:sz="8" w:space="0" w:color="1B242A" w:themeColor="accent1"/>
          <w:bottom w:val="single" w:sz="18" w:space="0" w:color="1B242A" w:themeColor="accent1"/>
          <w:right w:val="single" w:sz="8" w:space="0" w:color="1B242A" w:themeColor="accent1"/>
          <w:insideH w:val="nil"/>
          <w:insideV w:val="single" w:sz="8" w:space="0" w:color="1B242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B242A" w:themeColor="accent1"/>
          <w:left w:val="single" w:sz="8" w:space="0" w:color="1B242A" w:themeColor="accent1"/>
          <w:bottom w:val="single" w:sz="8" w:space="0" w:color="1B242A" w:themeColor="accent1"/>
          <w:right w:val="single" w:sz="8" w:space="0" w:color="1B242A" w:themeColor="accent1"/>
          <w:insideH w:val="nil"/>
          <w:insideV w:val="single" w:sz="8" w:space="0" w:color="1B242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B242A" w:themeColor="accent1"/>
          <w:left w:val="single" w:sz="8" w:space="0" w:color="1B242A" w:themeColor="accent1"/>
          <w:bottom w:val="single" w:sz="8" w:space="0" w:color="1B242A" w:themeColor="accent1"/>
          <w:right w:val="single" w:sz="8" w:space="0" w:color="1B242A" w:themeColor="accent1"/>
        </w:tcBorders>
      </w:tcPr>
    </w:tblStylePr>
    <w:tblStylePr w:type="band1Vert">
      <w:tblPr/>
      <w:tcPr>
        <w:tcBorders>
          <w:top w:val="single" w:sz="8" w:space="0" w:color="1B242A" w:themeColor="accent1"/>
          <w:left w:val="single" w:sz="8" w:space="0" w:color="1B242A" w:themeColor="accent1"/>
          <w:bottom w:val="single" w:sz="8" w:space="0" w:color="1B242A" w:themeColor="accent1"/>
          <w:right w:val="single" w:sz="8" w:space="0" w:color="1B242A" w:themeColor="accent1"/>
        </w:tcBorders>
        <w:shd w:val="clear" w:color="auto" w:fill="BCCAD4" w:themeFill="accent1" w:themeFillTint="3F"/>
      </w:tcPr>
    </w:tblStylePr>
    <w:tblStylePr w:type="band1Horz">
      <w:tblPr/>
      <w:tcPr>
        <w:tcBorders>
          <w:top w:val="single" w:sz="8" w:space="0" w:color="1B242A" w:themeColor="accent1"/>
          <w:left w:val="single" w:sz="8" w:space="0" w:color="1B242A" w:themeColor="accent1"/>
          <w:bottom w:val="single" w:sz="8" w:space="0" w:color="1B242A" w:themeColor="accent1"/>
          <w:right w:val="single" w:sz="8" w:space="0" w:color="1B242A" w:themeColor="accent1"/>
          <w:insideV w:val="single" w:sz="8" w:space="0" w:color="1B242A" w:themeColor="accent1"/>
        </w:tcBorders>
        <w:shd w:val="clear" w:color="auto" w:fill="BCCAD4" w:themeFill="accent1" w:themeFillTint="3F"/>
      </w:tcPr>
    </w:tblStylePr>
    <w:tblStylePr w:type="band2Horz">
      <w:tblPr/>
      <w:tcPr>
        <w:tcBorders>
          <w:top w:val="single" w:sz="8" w:space="0" w:color="1B242A" w:themeColor="accent1"/>
          <w:left w:val="single" w:sz="8" w:space="0" w:color="1B242A" w:themeColor="accent1"/>
          <w:bottom w:val="single" w:sz="8" w:space="0" w:color="1B242A" w:themeColor="accent1"/>
          <w:right w:val="single" w:sz="8" w:space="0" w:color="1B242A" w:themeColor="accent1"/>
          <w:insideV w:val="single" w:sz="8" w:space="0" w:color="1B242A" w:themeColor="accent1"/>
        </w:tcBorders>
      </w:tcPr>
    </w:tblStylePr>
  </w:style>
  <w:style w:type="table" w:styleId="LightGrid-Accent2">
    <w:name w:val="Light Grid Accent 2"/>
    <w:basedOn w:val="TableNormal"/>
    <w:uiPriority w:val="62"/>
    <w:semiHidden/>
    <w:rsid w:val="00294A5A"/>
    <w:pPr>
      <w:spacing w:before="0" w:after="0" w:line="240" w:lineRule="auto"/>
    </w:pPr>
    <w:tblPr>
      <w:tblStyleRowBandSize w:val="1"/>
      <w:tblStyleColBandSize w:val="1"/>
      <w:tblBorders>
        <w:top w:val="single" w:sz="8" w:space="0" w:color="007586" w:themeColor="accent2"/>
        <w:left w:val="single" w:sz="8" w:space="0" w:color="007586" w:themeColor="accent2"/>
        <w:bottom w:val="single" w:sz="8" w:space="0" w:color="007586" w:themeColor="accent2"/>
        <w:right w:val="single" w:sz="8" w:space="0" w:color="007586" w:themeColor="accent2"/>
        <w:insideH w:val="single" w:sz="8" w:space="0" w:color="007586" w:themeColor="accent2"/>
        <w:insideV w:val="single" w:sz="8" w:space="0" w:color="00758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586" w:themeColor="accent2"/>
          <w:left w:val="single" w:sz="8" w:space="0" w:color="007586" w:themeColor="accent2"/>
          <w:bottom w:val="single" w:sz="18" w:space="0" w:color="007586" w:themeColor="accent2"/>
          <w:right w:val="single" w:sz="8" w:space="0" w:color="007586" w:themeColor="accent2"/>
          <w:insideH w:val="nil"/>
          <w:insideV w:val="single" w:sz="8" w:space="0" w:color="00758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586" w:themeColor="accent2"/>
          <w:left w:val="single" w:sz="8" w:space="0" w:color="007586" w:themeColor="accent2"/>
          <w:bottom w:val="single" w:sz="8" w:space="0" w:color="007586" w:themeColor="accent2"/>
          <w:right w:val="single" w:sz="8" w:space="0" w:color="007586" w:themeColor="accent2"/>
          <w:insideH w:val="nil"/>
          <w:insideV w:val="single" w:sz="8" w:space="0" w:color="00758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586" w:themeColor="accent2"/>
          <w:left w:val="single" w:sz="8" w:space="0" w:color="007586" w:themeColor="accent2"/>
          <w:bottom w:val="single" w:sz="8" w:space="0" w:color="007586" w:themeColor="accent2"/>
          <w:right w:val="single" w:sz="8" w:space="0" w:color="007586" w:themeColor="accent2"/>
        </w:tcBorders>
      </w:tcPr>
    </w:tblStylePr>
    <w:tblStylePr w:type="band1Vert">
      <w:tblPr/>
      <w:tcPr>
        <w:tcBorders>
          <w:top w:val="single" w:sz="8" w:space="0" w:color="007586" w:themeColor="accent2"/>
          <w:left w:val="single" w:sz="8" w:space="0" w:color="007586" w:themeColor="accent2"/>
          <w:bottom w:val="single" w:sz="8" w:space="0" w:color="007586" w:themeColor="accent2"/>
          <w:right w:val="single" w:sz="8" w:space="0" w:color="007586" w:themeColor="accent2"/>
        </w:tcBorders>
        <w:shd w:val="clear" w:color="auto" w:fill="A2F2FF" w:themeFill="accent2" w:themeFillTint="3F"/>
      </w:tcPr>
    </w:tblStylePr>
    <w:tblStylePr w:type="band1Horz">
      <w:tblPr/>
      <w:tcPr>
        <w:tcBorders>
          <w:top w:val="single" w:sz="8" w:space="0" w:color="007586" w:themeColor="accent2"/>
          <w:left w:val="single" w:sz="8" w:space="0" w:color="007586" w:themeColor="accent2"/>
          <w:bottom w:val="single" w:sz="8" w:space="0" w:color="007586" w:themeColor="accent2"/>
          <w:right w:val="single" w:sz="8" w:space="0" w:color="007586" w:themeColor="accent2"/>
          <w:insideV w:val="single" w:sz="8" w:space="0" w:color="007586" w:themeColor="accent2"/>
        </w:tcBorders>
        <w:shd w:val="clear" w:color="auto" w:fill="A2F2FF" w:themeFill="accent2" w:themeFillTint="3F"/>
      </w:tcPr>
    </w:tblStylePr>
    <w:tblStylePr w:type="band2Horz">
      <w:tblPr/>
      <w:tcPr>
        <w:tcBorders>
          <w:top w:val="single" w:sz="8" w:space="0" w:color="007586" w:themeColor="accent2"/>
          <w:left w:val="single" w:sz="8" w:space="0" w:color="007586" w:themeColor="accent2"/>
          <w:bottom w:val="single" w:sz="8" w:space="0" w:color="007586" w:themeColor="accent2"/>
          <w:right w:val="single" w:sz="8" w:space="0" w:color="007586" w:themeColor="accent2"/>
          <w:insideV w:val="single" w:sz="8" w:space="0" w:color="007586" w:themeColor="accent2"/>
        </w:tcBorders>
      </w:tcPr>
    </w:tblStylePr>
  </w:style>
  <w:style w:type="table" w:styleId="LightGrid-Accent3">
    <w:name w:val="Light Grid Accent 3"/>
    <w:basedOn w:val="TableNormal"/>
    <w:uiPriority w:val="62"/>
    <w:semiHidden/>
    <w:rsid w:val="00294A5A"/>
    <w:pPr>
      <w:spacing w:before="0" w:after="0" w:line="240" w:lineRule="auto"/>
    </w:pPr>
    <w:tblPr>
      <w:tblStyleRowBandSize w:val="1"/>
      <w:tblStyleColBandSize w:val="1"/>
      <w:tblBorders>
        <w:top w:val="single" w:sz="8" w:space="0" w:color="5AB9EB" w:themeColor="accent3"/>
        <w:left w:val="single" w:sz="8" w:space="0" w:color="5AB9EB" w:themeColor="accent3"/>
        <w:bottom w:val="single" w:sz="8" w:space="0" w:color="5AB9EB" w:themeColor="accent3"/>
        <w:right w:val="single" w:sz="8" w:space="0" w:color="5AB9EB" w:themeColor="accent3"/>
        <w:insideH w:val="single" w:sz="8" w:space="0" w:color="5AB9EB" w:themeColor="accent3"/>
        <w:insideV w:val="single" w:sz="8" w:space="0" w:color="5AB9EB"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AB9EB" w:themeColor="accent3"/>
          <w:left w:val="single" w:sz="8" w:space="0" w:color="5AB9EB" w:themeColor="accent3"/>
          <w:bottom w:val="single" w:sz="18" w:space="0" w:color="5AB9EB" w:themeColor="accent3"/>
          <w:right w:val="single" w:sz="8" w:space="0" w:color="5AB9EB" w:themeColor="accent3"/>
          <w:insideH w:val="nil"/>
          <w:insideV w:val="single" w:sz="8" w:space="0" w:color="5AB9EB"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AB9EB" w:themeColor="accent3"/>
          <w:left w:val="single" w:sz="8" w:space="0" w:color="5AB9EB" w:themeColor="accent3"/>
          <w:bottom w:val="single" w:sz="8" w:space="0" w:color="5AB9EB" w:themeColor="accent3"/>
          <w:right w:val="single" w:sz="8" w:space="0" w:color="5AB9EB" w:themeColor="accent3"/>
          <w:insideH w:val="nil"/>
          <w:insideV w:val="single" w:sz="8" w:space="0" w:color="5AB9EB"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AB9EB" w:themeColor="accent3"/>
          <w:left w:val="single" w:sz="8" w:space="0" w:color="5AB9EB" w:themeColor="accent3"/>
          <w:bottom w:val="single" w:sz="8" w:space="0" w:color="5AB9EB" w:themeColor="accent3"/>
          <w:right w:val="single" w:sz="8" w:space="0" w:color="5AB9EB" w:themeColor="accent3"/>
        </w:tcBorders>
      </w:tcPr>
    </w:tblStylePr>
    <w:tblStylePr w:type="band1Vert">
      <w:tblPr/>
      <w:tcPr>
        <w:tcBorders>
          <w:top w:val="single" w:sz="8" w:space="0" w:color="5AB9EB" w:themeColor="accent3"/>
          <w:left w:val="single" w:sz="8" w:space="0" w:color="5AB9EB" w:themeColor="accent3"/>
          <w:bottom w:val="single" w:sz="8" w:space="0" w:color="5AB9EB" w:themeColor="accent3"/>
          <w:right w:val="single" w:sz="8" w:space="0" w:color="5AB9EB" w:themeColor="accent3"/>
        </w:tcBorders>
        <w:shd w:val="clear" w:color="auto" w:fill="D5EDFA" w:themeFill="accent3" w:themeFillTint="3F"/>
      </w:tcPr>
    </w:tblStylePr>
    <w:tblStylePr w:type="band1Horz">
      <w:tblPr/>
      <w:tcPr>
        <w:tcBorders>
          <w:top w:val="single" w:sz="8" w:space="0" w:color="5AB9EB" w:themeColor="accent3"/>
          <w:left w:val="single" w:sz="8" w:space="0" w:color="5AB9EB" w:themeColor="accent3"/>
          <w:bottom w:val="single" w:sz="8" w:space="0" w:color="5AB9EB" w:themeColor="accent3"/>
          <w:right w:val="single" w:sz="8" w:space="0" w:color="5AB9EB" w:themeColor="accent3"/>
          <w:insideV w:val="single" w:sz="8" w:space="0" w:color="5AB9EB" w:themeColor="accent3"/>
        </w:tcBorders>
        <w:shd w:val="clear" w:color="auto" w:fill="D5EDFA" w:themeFill="accent3" w:themeFillTint="3F"/>
      </w:tcPr>
    </w:tblStylePr>
    <w:tblStylePr w:type="band2Horz">
      <w:tblPr/>
      <w:tcPr>
        <w:tcBorders>
          <w:top w:val="single" w:sz="8" w:space="0" w:color="5AB9EB" w:themeColor="accent3"/>
          <w:left w:val="single" w:sz="8" w:space="0" w:color="5AB9EB" w:themeColor="accent3"/>
          <w:bottom w:val="single" w:sz="8" w:space="0" w:color="5AB9EB" w:themeColor="accent3"/>
          <w:right w:val="single" w:sz="8" w:space="0" w:color="5AB9EB" w:themeColor="accent3"/>
          <w:insideV w:val="single" w:sz="8" w:space="0" w:color="5AB9EB" w:themeColor="accent3"/>
        </w:tcBorders>
      </w:tcPr>
    </w:tblStylePr>
  </w:style>
  <w:style w:type="table" w:styleId="LightGrid-Accent4">
    <w:name w:val="Light Grid Accent 4"/>
    <w:basedOn w:val="TableNormal"/>
    <w:uiPriority w:val="62"/>
    <w:semiHidden/>
    <w:rsid w:val="00294A5A"/>
    <w:pPr>
      <w:spacing w:before="0" w:after="0" w:line="240" w:lineRule="auto"/>
    </w:pPr>
    <w:tblPr>
      <w:tblStyleRowBandSize w:val="1"/>
      <w:tblStyleColBandSize w:val="1"/>
      <w:tblBorders>
        <w:top w:val="single" w:sz="8" w:space="0" w:color="004C97" w:themeColor="accent4"/>
        <w:left w:val="single" w:sz="8" w:space="0" w:color="004C97" w:themeColor="accent4"/>
        <w:bottom w:val="single" w:sz="8" w:space="0" w:color="004C97" w:themeColor="accent4"/>
        <w:right w:val="single" w:sz="8" w:space="0" w:color="004C97" w:themeColor="accent4"/>
        <w:insideH w:val="single" w:sz="8" w:space="0" w:color="004C97" w:themeColor="accent4"/>
        <w:insideV w:val="single" w:sz="8" w:space="0" w:color="004C9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4"/>
          <w:left w:val="single" w:sz="8" w:space="0" w:color="004C97" w:themeColor="accent4"/>
          <w:bottom w:val="single" w:sz="18" w:space="0" w:color="004C97" w:themeColor="accent4"/>
          <w:right w:val="single" w:sz="8" w:space="0" w:color="004C97" w:themeColor="accent4"/>
          <w:insideH w:val="nil"/>
          <w:insideV w:val="single" w:sz="8" w:space="0" w:color="004C9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4"/>
          <w:left w:val="single" w:sz="8" w:space="0" w:color="004C97" w:themeColor="accent4"/>
          <w:bottom w:val="single" w:sz="8" w:space="0" w:color="004C97" w:themeColor="accent4"/>
          <w:right w:val="single" w:sz="8" w:space="0" w:color="004C97" w:themeColor="accent4"/>
          <w:insideH w:val="nil"/>
          <w:insideV w:val="single" w:sz="8" w:space="0" w:color="004C9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4"/>
          <w:left w:val="single" w:sz="8" w:space="0" w:color="004C97" w:themeColor="accent4"/>
          <w:bottom w:val="single" w:sz="8" w:space="0" w:color="004C97" w:themeColor="accent4"/>
          <w:right w:val="single" w:sz="8" w:space="0" w:color="004C97" w:themeColor="accent4"/>
        </w:tcBorders>
      </w:tcPr>
    </w:tblStylePr>
    <w:tblStylePr w:type="band1Vert">
      <w:tblPr/>
      <w:tcPr>
        <w:tcBorders>
          <w:top w:val="single" w:sz="8" w:space="0" w:color="004C97" w:themeColor="accent4"/>
          <w:left w:val="single" w:sz="8" w:space="0" w:color="004C97" w:themeColor="accent4"/>
          <w:bottom w:val="single" w:sz="8" w:space="0" w:color="004C97" w:themeColor="accent4"/>
          <w:right w:val="single" w:sz="8" w:space="0" w:color="004C97" w:themeColor="accent4"/>
        </w:tcBorders>
        <w:shd w:val="clear" w:color="auto" w:fill="A6D2FF" w:themeFill="accent4" w:themeFillTint="3F"/>
      </w:tcPr>
    </w:tblStylePr>
    <w:tblStylePr w:type="band1Horz">
      <w:tblPr/>
      <w:tcPr>
        <w:tcBorders>
          <w:top w:val="single" w:sz="8" w:space="0" w:color="004C97" w:themeColor="accent4"/>
          <w:left w:val="single" w:sz="8" w:space="0" w:color="004C97" w:themeColor="accent4"/>
          <w:bottom w:val="single" w:sz="8" w:space="0" w:color="004C97" w:themeColor="accent4"/>
          <w:right w:val="single" w:sz="8" w:space="0" w:color="004C97" w:themeColor="accent4"/>
          <w:insideV w:val="single" w:sz="8" w:space="0" w:color="004C97" w:themeColor="accent4"/>
        </w:tcBorders>
        <w:shd w:val="clear" w:color="auto" w:fill="A6D2FF" w:themeFill="accent4" w:themeFillTint="3F"/>
      </w:tcPr>
    </w:tblStylePr>
    <w:tblStylePr w:type="band2Horz">
      <w:tblPr/>
      <w:tcPr>
        <w:tcBorders>
          <w:top w:val="single" w:sz="8" w:space="0" w:color="004C97" w:themeColor="accent4"/>
          <w:left w:val="single" w:sz="8" w:space="0" w:color="004C97" w:themeColor="accent4"/>
          <w:bottom w:val="single" w:sz="8" w:space="0" w:color="004C97" w:themeColor="accent4"/>
          <w:right w:val="single" w:sz="8" w:space="0" w:color="004C97" w:themeColor="accent4"/>
          <w:insideV w:val="single" w:sz="8" w:space="0" w:color="004C97" w:themeColor="accent4"/>
        </w:tcBorders>
      </w:tcPr>
    </w:tblStylePr>
  </w:style>
  <w:style w:type="table" w:styleId="LightGrid-Accent5">
    <w:name w:val="Light Grid Accent 5"/>
    <w:basedOn w:val="TableNormal"/>
    <w:uiPriority w:val="62"/>
    <w:semiHidden/>
    <w:rsid w:val="00294A5A"/>
    <w:pPr>
      <w:spacing w:before="0" w:after="0" w:line="240" w:lineRule="auto"/>
    </w:pPr>
    <w:tblPr>
      <w:tblStyleRowBandSize w:val="1"/>
      <w:tblStyleColBandSize w:val="1"/>
      <w:tblBorders>
        <w:top w:val="single" w:sz="8" w:space="0" w:color="5AAA64" w:themeColor="accent5"/>
        <w:left w:val="single" w:sz="8" w:space="0" w:color="5AAA64" w:themeColor="accent5"/>
        <w:bottom w:val="single" w:sz="8" w:space="0" w:color="5AAA64" w:themeColor="accent5"/>
        <w:right w:val="single" w:sz="8" w:space="0" w:color="5AAA64" w:themeColor="accent5"/>
        <w:insideH w:val="single" w:sz="8" w:space="0" w:color="5AAA64" w:themeColor="accent5"/>
        <w:insideV w:val="single" w:sz="8" w:space="0" w:color="5AAA6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AAA64" w:themeColor="accent5"/>
          <w:left w:val="single" w:sz="8" w:space="0" w:color="5AAA64" w:themeColor="accent5"/>
          <w:bottom w:val="single" w:sz="18" w:space="0" w:color="5AAA64" w:themeColor="accent5"/>
          <w:right w:val="single" w:sz="8" w:space="0" w:color="5AAA64" w:themeColor="accent5"/>
          <w:insideH w:val="nil"/>
          <w:insideV w:val="single" w:sz="8" w:space="0" w:color="5AAA6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AAA64" w:themeColor="accent5"/>
          <w:left w:val="single" w:sz="8" w:space="0" w:color="5AAA64" w:themeColor="accent5"/>
          <w:bottom w:val="single" w:sz="8" w:space="0" w:color="5AAA64" w:themeColor="accent5"/>
          <w:right w:val="single" w:sz="8" w:space="0" w:color="5AAA64" w:themeColor="accent5"/>
          <w:insideH w:val="nil"/>
          <w:insideV w:val="single" w:sz="8" w:space="0" w:color="5AAA6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AAA64" w:themeColor="accent5"/>
          <w:left w:val="single" w:sz="8" w:space="0" w:color="5AAA64" w:themeColor="accent5"/>
          <w:bottom w:val="single" w:sz="8" w:space="0" w:color="5AAA64" w:themeColor="accent5"/>
          <w:right w:val="single" w:sz="8" w:space="0" w:color="5AAA64" w:themeColor="accent5"/>
        </w:tcBorders>
      </w:tcPr>
    </w:tblStylePr>
    <w:tblStylePr w:type="band1Vert">
      <w:tblPr/>
      <w:tcPr>
        <w:tcBorders>
          <w:top w:val="single" w:sz="8" w:space="0" w:color="5AAA64" w:themeColor="accent5"/>
          <w:left w:val="single" w:sz="8" w:space="0" w:color="5AAA64" w:themeColor="accent5"/>
          <w:bottom w:val="single" w:sz="8" w:space="0" w:color="5AAA64" w:themeColor="accent5"/>
          <w:right w:val="single" w:sz="8" w:space="0" w:color="5AAA64" w:themeColor="accent5"/>
        </w:tcBorders>
        <w:shd w:val="clear" w:color="auto" w:fill="D6EAD8" w:themeFill="accent5" w:themeFillTint="3F"/>
      </w:tcPr>
    </w:tblStylePr>
    <w:tblStylePr w:type="band1Horz">
      <w:tblPr/>
      <w:tcPr>
        <w:tcBorders>
          <w:top w:val="single" w:sz="8" w:space="0" w:color="5AAA64" w:themeColor="accent5"/>
          <w:left w:val="single" w:sz="8" w:space="0" w:color="5AAA64" w:themeColor="accent5"/>
          <w:bottom w:val="single" w:sz="8" w:space="0" w:color="5AAA64" w:themeColor="accent5"/>
          <w:right w:val="single" w:sz="8" w:space="0" w:color="5AAA64" w:themeColor="accent5"/>
          <w:insideV w:val="single" w:sz="8" w:space="0" w:color="5AAA64" w:themeColor="accent5"/>
        </w:tcBorders>
        <w:shd w:val="clear" w:color="auto" w:fill="D6EAD8" w:themeFill="accent5" w:themeFillTint="3F"/>
      </w:tcPr>
    </w:tblStylePr>
    <w:tblStylePr w:type="band2Horz">
      <w:tblPr/>
      <w:tcPr>
        <w:tcBorders>
          <w:top w:val="single" w:sz="8" w:space="0" w:color="5AAA64" w:themeColor="accent5"/>
          <w:left w:val="single" w:sz="8" w:space="0" w:color="5AAA64" w:themeColor="accent5"/>
          <w:bottom w:val="single" w:sz="8" w:space="0" w:color="5AAA64" w:themeColor="accent5"/>
          <w:right w:val="single" w:sz="8" w:space="0" w:color="5AAA64" w:themeColor="accent5"/>
          <w:insideV w:val="single" w:sz="8" w:space="0" w:color="5AAA64" w:themeColor="accent5"/>
        </w:tcBorders>
      </w:tcPr>
    </w:tblStylePr>
  </w:style>
  <w:style w:type="table" w:styleId="LightGrid-Accent6">
    <w:name w:val="Light Grid Accent 6"/>
    <w:basedOn w:val="TableNormal"/>
    <w:uiPriority w:val="62"/>
    <w:semiHidden/>
    <w:rsid w:val="00294A5A"/>
    <w:pPr>
      <w:spacing w:before="0" w:after="0" w:line="240" w:lineRule="auto"/>
    </w:pPr>
    <w:tblPr>
      <w:tblStyleRowBandSize w:val="1"/>
      <w:tblStyleColBandSize w:val="1"/>
      <w:tblBorders>
        <w:top w:val="single" w:sz="8" w:space="0" w:color="E6643C" w:themeColor="accent6"/>
        <w:left w:val="single" w:sz="8" w:space="0" w:color="E6643C" w:themeColor="accent6"/>
        <w:bottom w:val="single" w:sz="8" w:space="0" w:color="E6643C" w:themeColor="accent6"/>
        <w:right w:val="single" w:sz="8" w:space="0" w:color="E6643C" w:themeColor="accent6"/>
        <w:insideH w:val="single" w:sz="8" w:space="0" w:color="E6643C" w:themeColor="accent6"/>
        <w:insideV w:val="single" w:sz="8" w:space="0" w:color="E6643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6643C" w:themeColor="accent6"/>
          <w:left w:val="single" w:sz="8" w:space="0" w:color="E6643C" w:themeColor="accent6"/>
          <w:bottom w:val="single" w:sz="18" w:space="0" w:color="E6643C" w:themeColor="accent6"/>
          <w:right w:val="single" w:sz="8" w:space="0" w:color="E6643C" w:themeColor="accent6"/>
          <w:insideH w:val="nil"/>
          <w:insideV w:val="single" w:sz="8" w:space="0" w:color="E6643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6643C" w:themeColor="accent6"/>
          <w:left w:val="single" w:sz="8" w:space="0" w:color="E6643C" w:themeColor="accent6"/>
          <w:bottom w:val="single" w:sz="8" w:space="0" w:color="E6643C" w:themeColor="accent6"/>
          <w:right w:val="single" w:sz="8" w:space="0" w:color="E6643C" w:themeColor="accent6"/>
          <w:insideH w:val="nil"/>
          <w:insideV w:val="single" w:sz="8" w:space="0" w:color="E6643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6643C" w:themeColor="accent6"/>
          <w:left w:val="single" w:sz="8" w:space="0" w:color="E6643C" w:themeColor="accent6"/>
          <w:bottom w:val="single" w:sz="8" w:space="0" w:color="E6643C" w:themeColor="accent6"/>
          <w:right w:val="single" w:sz="8" w:space="0" w:color="E6643C" w:themeColor="accent6"/>
        </w:tcBorders>
      </w:tcPr>
    </w:tblStylePr>
    <w:tblStylePr w:type="band1Vert">
      <w:tblPr/>
      <w:tcPr>
        <w:tcBorders>
          <w:top w:val="single" w:sz="8" w:space="0" w:color="E6643C" w:themeColor="accent6"/>
          <w:left w:val="single" w:sz="8" w:space="0" w:color="E6643C" w:themeColor="accent6"/>
          <w:bottom w:val="single" w:sz="8" w:space="0" w:color="E6643C" w:themeColor="accent6"/>
          <w:right w:val="single" w:sz="8" w:space="0" w:color="E6643C" w:themeColor="accent6"/>
        </w:tcBorders>
        <w:shd w:val="clear" w:color="auto" w:fill="F8D8CE" w:themeFill="accent6" w:themeFillTint="3F"/>
      </w:tcPr>
    </w:tblStylePr>
    <w:tblStylePr w:type="band1Horz">
      <w:tblPr/>
      <w:tcPr>
        <w:tcBorders>
          <w:top w:val="single" w:sz="8" w:space="0" w:color="E6643C" w:themeColor="accent6"/>
          <w:left w:val="single" w:sz="8" w:space="0" w:color="E6643C" w:themeColor="accent6"/>
          <w:bottom w:val="single" w:sz="8" w:space="0" w:color="E6643C" w:themeColor="accent6"/>
          <w:right w:val="single" w:sz="8" w:space="0" w:color="E6643C" w:themeColor="accent6"/>
          <w:insideV w:val="single" w:sz="8" w:space="0" w:color="E6643C" w:themeColor="accent6"/>
        </w:tcBorders>
        <w:shd w:val="clear" w:color="auto" w:fill="F8D8CE" w:themeFill="accent6" w:themeFillTint="3F"/>
      </w:tcPr>
    </w:tblStylePr>
    <w:tblStylePr w:type="band2Horz">
      <w:tblPr/>
      <w:tcPr>
        <w:tcBorders>
          <w:top w:val="single" w:sz="8" w:space="0" w:color="E6643C" w:themeColor="accent6"/>
          <w:left w:val="single" w:sz="8" w:space="0" w:color="E6643C" w:themeColor="accent6"/>
          <w:bottom w:val="single" w:sz="8" w:space="0" w:color="E6643C" w:themeColor="accent6"/>
          <w:right w:val="single" w:sz="8" w:space="0" w:color="E6643C" w:themeColor="accent6"/>
          <w:insideV w:val="single" w:sz="8" w:space="0" w:color="E6643C" w:themeColor="accent6"/>
        </w:tcBorders>
      </w:tcPr>
    </w:tblStylePr>
  </w:style>
  <w:style w:type="table" w:styleId="LightList">
    <w:name w:val="Light List"/>
    <w:basedOn w:val="TableNormal"/>
    <w:uiPriority w:val="61"/>
    <w:semiHidden/>
    <w:rsid w:val="00294A5A"/>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2">
    <w:name w:val="Light List Accent 2"/>
    <w:basedOn w:val="TableNormal"/>
    <w:uiPriority w:val="61"/>
    <w:semiHidden/>
    <w:rsid w:val="00294A5A"/>
    <w:pPr>
      <w:spacing w:before="0" w:after="0" w:line="240" w:lineRule="auto"/>
    </w:pPr>
    <w:tblPr>
      <w:tblStyleRowBandSize w:val="1"/>
      <w:tblStyleColBandSize w:val="1"/>
      <w:tblBorders>
        <w:top w:val="single" w:sz="8" w:space="0" w:color="007586" w:themeColor="accent2"/>
        <w:left w:val="single" w:sz="8" w:space="0" w:color="007586" w:themeColor="accent2"/>
        <w:bottom w:val="single" w:sz="8" w:space="0" w:color="007586" w:themeColor="accent2"/>
        <w:right w:val="single" w:sz="8" w:space="0" w:color="007586" w:themeColor="accent2"/>
      </w:tblBorders>
    </w:tblPr>
    <w:tblStylePr w:type="firstRow">
      <w:pPr>
        <w:spacing w:before="0" w:after="0" w:line="240" w:lineRule="auto"/>
      </w:pPr>
      <w:rPr>
        <w:b/>
        <w:bCs/>
        <w:color w:val="FFFFFF" w:themeColor="background1"/>
      </w:rPr>
      <w:tblPr/>
      <w:tcPr>
        <w:shd w:val="clear" w:color="auto" w:fill="007586" w:themeFill="accent2"/>
      </w:tcPr>
    </w:tblStylePr>
    <w:tblStylePr w:type="lastRow">
      <w:pPr>
        <w:spacing w:before="0" w:after="0" w:line="240" w:lineRule="auto"/>
      </w:pPr>
      <w:rPr>
        <w:b/>
        <w:bCs/>
      </w:rPr>
      <w:tblPr/>
      <w:tcPr>
        <w:tcBorders>
          <w:top w:val="double" w:sz="6" w:space="0" w:color="007586" w:themeColor="accent2"/>
          <w:left w:val="single" w:sz="8" w:space="0" w:color="007586" w:themeColor="accent2"/>
          <w:bottom w:val="single" w:sz="8" w:space="0" w:color="007586" w:themeColor="accent2"/>
          <w:right w:val="single" w:sz="8" w:space="0" w:color="007586" w:themeColor="accent2"/>
        </w:tcBorders>
      </w:tcPr>
    </w:tblStylePr>
    <w:tblStylePr w:type="firstCol">
      <w:rPr>
        <w:b/>
        <w:bCs/>
      </w:rPr>
    </w:tblStylePr>
    <w:tblStylePr w:type="lastCol">
      <w:rPr>
        <w:b/>
        <w:bCs/>
      </w:rPr>
    </w:tblStylePr>
    <w:tblStylePr w:type="band1Vert">
      <w:tblPr/>
      <w:tcPr>
        <w:tcBorders>
          <w:top w:val="single" w:sz="8" w:space="0" w:color="007586" w:themeColor="accent2"/>
          <w:left w:val="single" w:sz="8" w:space="0" w:color="007586" w:themeColor="accent2"/>
          <w:bottom w:val="single" w:sz="8" w:space="0" w:color="007586" w:themeColor="accent2"/>
          <w:right w:val="single" w:sz="8" w:space="0" w:color="007586" w:themeColor="accent2"/>
        </w:tcBorders>
      </w:tcPr>
    </w:tblStylePr>
    <w:tblStylePr w:type="band1Horz">
      <w:tblPr/>
      <w:tcPr>
        <w:tcBorders>
          <w:top w:val="single" w:sz="8" w:space="0" w:color="007586" w:themeColor="accent2"/>
          <w:left w:val="single" w:sz="8" w:space="0" w:color="007586" w:themeColor="accent2"/>
          <w:bottom w:val="single" w:sz="8" w:space="0" w:color="007586" w:themeColor="accent2"/>
          <w:right w:val="single" w:sz="8" w:space="0" w:color="007586" w:themeColor="accent2"/>
        </w:tcBorders>
      </w:tcPr>
    </w:tblStylePr>
  </w:style>
  <w:style w:type="table" w:styleId="LightList-Accent3">
    <w:name w:val="Light List Accent 3"/>
    <w:basedOn w:val="TableNormal"/>
    <w:uiPriority w:val="61"/>
    <w:semiHidden/>
    <w:rsid w:val="00294A5A"/>
    <w:pPr>
      <w:spacing w:before="0" w:after="0" w:line="240" w:lineRule="auto"/>
    </w:pPr>
    <w:tblPr>
      <w:tblStyleRowBandSize w:val="1"/>
      <w:tblStyleColBandSize w:val="1"/>
      <w:tblBorders>
        <w:top w:val="single" w:sz="8" w:space="0" w:color="5AB9EB" w:themeColor="accent3"/>
        <w:left w:val="single" w:sz="8" w:space="0" w:color="5AB9EB" w:themeColor="accent3"/>
        <w:bottom w:val="single" w:sz="8" w:space="0" w:color="5AB9EB" w:themeColor="accent3"/>
        <w:right w:val="single" w:sz="8" w:space="0" w:color="5AB9EB" w:themeColor="accent3"/>
      </w:tblBorders>
    </w:tblPr>
    <w:tblStylePr w:type="firstRow">
      <w:pPr>
        <w:spacing w:before="0" w:after="0" w:line="240" w:lineRule="auto"/>
      </w:pPr>
      <w:rPr>
        <w:b/>
        <w:bCs/>
        <w:color w:val="FFFFFF" w:themeColor="background1"/>
      </w:rPr>
      <w:tblPr/>
      <w:tcPr>
        <w:shd w:val="clear" w:color="auto" w:fill="5AB9EB" w:themeFill="accent3"/>
      </w:tcPr>
    </w:tblStylePr>
    <w:tblStylePr w:type="lastRow">
      <w:pPr>
        <w:spacing w:before="0" w:after="0" w:line="240" w:lineRule="auto"/>
      </w:pPr>
      <w:rPr>
        <w:b/>
        <w:bCs/>
      </w:rPr>
      <w:tblPr/>
      <w:tcPr>
        <w:tcBorders>
          <w:top w:val="double" w:sz="6" w:space="0" w:color="5AB9EB" w:themeColor="accent3"/>
          <w:left w:val="single" w:sz="8" w:space="0" w:color="5AB9EB" w:themeColor="accent3"/>
          <w:bottom w:val="single" w:sz="8" w:space="0" w:color="5AB9EB" w:themeColor="accent3"/>
          <w:right w:val="single" w:sz="8" w:space="0" w:color="5AB9EB" w:themeColor="accent3"/>
        </w:tcBorders>
      </w:tcPr>
    </w:tblStylePr>
    <w:tblStylePr w:type="firstCol">
      <w:rPr>
        <w:b/>
        <w:bCs/>
      </w:rPr>
    </w:tblStylePr>
    <w:tblStylePr w:type="lastCol">
      <w:rPr>
        <w:b/>
        <w:bCs/>
      </w:rPr>
    </w:tblStylePr>
    <w:tblStylePr w:type="band1Vert">
      <w:tblPr/>
      <w:tcPr>
        <w:tcBorders>
          <w:top w:val="single" w:sz="8" w:space="0" w:color="5AB9EB" w:themeColor="accent3"/>
          <w:left w:val="single" w:sz="8" w:space="0" w:color="5AB9EB" w:themeColor="accent3"/>
          <w:bottom w:val="single" w:sz="8" w:space="0" w:color="5AB9EB" w:themeColor="accent3"/>
          <w:right w:val="single" w:sz="8" w:space="0" w:color="5AB9EB" w:themeColor="accent3"/>
        </w:tcBorders>
      </w:tcPr>
    </w:tblStylePr>
    <w:tblStylePr w:type="band1Horz">
      <w:tblPr/>
      <w:tcPr>
        <w:tcBorders>
          <w:top w:val="single" w:sz="8" w:space="0" w:color="5AB9EB" w:themeColor="accent3"/>
          <w:left w:val="single" w:sz="8" w:space="0" w:color="5AB9EB" w:themeColor="accent3"/>
          <w:bottom w:val="single" w:sz="8" w:space="0" w:color="5AB9EB" w:themeColor="accent3"/>
          <w:right w:val="single" w:sz="8" w:space="0" w:color="5AB9EB" w:themeColor="accent3"/>
        </w:tcBorders>
      </w:tcPr>
    </w:tblStylePr>
  </w:style>
  <w:style w:type="table" w:styleId="LightList-Accent5">
    <w:name w:val="Light List Accent 5"/>
    <w:basedOn w:val="TableNormal"/>
    <w:uiPriority w:val="61"/>
    <w:semiHidden/>
    <w:rsid w:val="00294A5A"/>
    <w:pPr>
      <w:spacing w:before="0" w:after="0" w:line="240" w:lineRule="auto"/>
    </w:pPr>
    <w:tblPr>
      <w:tblStyleRowBandSize w:val="1"/>
      <w:tblStyleColBandSize w:val="1"/>
      <w:tblBorders>
        <w:top w:val="single" w:sz="8" w:space="0" w:color="5AAA64" w:themeColor="accent5"/>
        <w:left w:val="single" w:sz="8" w:space="0" w:color="5AAA64" w:themeColor="accent5"/>
        <w:bottom w:val="single" w:sz="8" w:space="0" w:color="5AAA64" w:themeColor="accent5"/>
        <w:right w:val="single" w:sz="8" w:space="0" w:color="5AAA64" w:themeColor="accent5"/>
      </w:tblBorders>
    </w:tblPr>
    <w:tblStylePr w:type="firstRow">
      <w:pPr>
        <w:spacing w:before="0" w:after="0" w:line="240" w:lineRule="auto"/>
      </w:pPr>
      <w:rPr>
        <w:b/>
        <w:bCs/>
        <w:color w:val="FFFFFF" w:themeColor="background1"/>
      </w:rPr>
      <w:tblPr/>
      <w:tcPr>
        <w:shd w:val="clear" w:color="auto" w:fill="5AAA64" w:themeFill="accent5"/>
      </w:tcPr>
    </w:tblStylePr>
    <w:tblStylePr w:type="lastRow">
      <w:pPr>
        <w:spacing w:before="0" w:after="0" w:line="240" w:lineRule="auto"/>
      </w:pPr>
      <w:rPr>
        <w:b/>
        <w:bCs/>
      </w:rPr>
      <w:tblPr/>
      <w:tcPr>
        <w:tcBorders>
          <w:top w:val="double" w:sz="6" w:space="0" w:color="5AAA64" w:themeColor="accent5"/>
          <w:left w:val="single" w:sz="8" w:space="0" w:color="5AAA64" w:themeColor="accent5"/>
          <w:bottom w:val="single" w:sz="8" w:space="0" w:color="5AAA64" w:themeColor="accent5"/>
          <w:right w:val="single" w:sz="8" w:space="0" w:color="5AAA64" w:themeColor="accent5"/>
        </w:tcBorders>
      </w:tcPr>
    </w:tblStylePr>
    <w:tblStylePr w:type="firstCol">
      <w:rPr>
        <w:b/>
        <w:bCs/>
      </w:rPr>
    </w:tblStylePr>
    <w:tblStylePr w:type="lastCol">
      <w:rPr>
        <w:b/>
        <w:bCs/>
      </w:rPr>
    </w:tblStylePr>
    <w:tblStylePr w:type="band1Vert">
      <w:tblPr/>
      <w:tcPr>
        <w:tcBorders>
          <w:top w:val="single" w:sz="8" w:space="0" w:color="5AAA64" w:themeColor="accent5"/>
          <w:left w:val="single" w:sz="8" w:space="0" w:color="5AAA64" w:themeColor="accent5"/>
          <w:bottom w:val="single" w:sz="8" w:space="0" w:color="5AAA64" w:themeColor="accent5"/>
          <w:right w:val="single" w:sz="8" w:space="0" w:color="5AAA64" w:themeColor="accent5"/>
        </w:tcBorders>
      </w:tcPr>
    </w:tblStylePr>
    <w:tblStylePr w:type="band1Horz">
      <w:tblPr/>
      <w:tcPr>
        <w:tcBorders>
          <w:top w:val="single" w:sz="8" w:space="0" w:color="5AAA64" w:themeColor="accent5"/>
          <w:left w:val="single" w:sz="8" w:space="0" w:color="5AAA64" w:themeColor="accent5"/>
          <w:bottom w:val="single" w:sz="8" w:space="0" w:color="5AAA64" w:themeColor="accent5"/>
          <w:right w:val="single" w:sz="8" w:space="0" w:color="5AAA64" w:themeColor="accent5"/>
        </w:tcBorders>
      </w:tcPr>
    </w:tblStylePr>
  </w:style>
  <w:style w:type="table" w:styleId="LightList-Accent6">
    <w:name w:val="Light List Accent 6"/>
    <w:basedOn w:val="TableNormal"/>
    <w:uiPriority w:val="61"/>
    <w:semiHidden/>
    <w:rsid w:val="00294A5A"/>
    <w:pPr>
      <w:spacing w:before="0" w:after="0" w:line="240" w:lineRule="auto"/>
    </w:pPr>
    <w:tblPr>
      <w:tblStyleRowBandSize w:val="1"/>
      <w:tblStyleColBandSize w:val="1"/>
      <w:tblBorders>
        <w:top w:val="single" w:sz="8" w:space="0" w:color="E6643C" w:themeColor="accent6"/>
        <w:left w:val="single" w:sz="8" w:space="0" w:color="E6643C" w:themeColor="accent6"/>
        <w:bottom w:val="single" w:sz="8" w:space="0" w:color="E6643C" w:themeColor="accent6"/>
        <w:right w:val="single" w:sz="8" w:space="0" w:color="E6643C" w:themeColor="accent6"/>
      </w:tblBorders>
    </w:tblPr>
    <w:tblStylePr w:type="firstRow">
      <w:pPr>
        <w:spacing w:before="0" w:after="0" w:line="240" w:lineRule="auto"/>
      </w:pPr>
      <w:rPr>
        <w:b/>
        <w:bCs/>
        <w:color w:val="FFFFFF" w:themeColor="background1"/>
      </w:rPr>
      <w:tblPr/>
      <w:tcPr>
        <w:shd w:val="clear" w:color="auto" w:fill="E6643C" w:themeFill="accent6"/>
      </w:tcPr>
    </w:tblStylePr>
    <w:tblStylePr w:type="lastRow">
      <w:pPr>
        <w:spacing w:before="0" w:after="0" w:line="240" w:lineRule="auto"/>
      </w:pPr>
      <w:rPr>
        <w:b/>
        <w:bCs/>
      </w:rPr>
      <w:tblPr/>
      <w:tcPr>
        <w:tcBorders>
          <w:top w:val="double" w:sz="6" w:space="0" w:color="E6643C" w:themeColor="accent6"/>
          <w:left w:val="single" w:sz="8" w:space="0" w:color="E6643C" w:themeColor="accent6"/>
          <w:bottom w:val="single" w:sz="8" w:space="0" w:color="E6643C" w:themeColor="accent6"/>
          <w:right w:val="single" w:sz="8" w:space="0" w:color="E6643C" w:themeColor="accent6"/>
        </w:tcBorders>
      </w:tcPr>
    </w:tblStylePr>
    <w:tblStylePr w:type="firstCol">
      <w:rPr>
        <w:b/>
        <w:bCs/>
      </w:rPr>
    </w:tblStylePr>
    <w:tblStylePr w:type="lastCol">
      <w:rPr>
        <w:b/>
        <w:bCs/>
      </w:rPr>
    </w:tblStylePr>
    <w:tblStylePr w:type="band1Vert">
      <w:tblPr/>
      <w:tcPr>
        <w:tcBorders>
          <w:top w:val="single" w:sz="8" w:space="0" w:color="E6643C" w:themeColor="accent6"/>
          <w:left w:val="single" w:sz="8" w:space="0" w:color="E6643C" w:themeColor="accent6"/>
          <w:bottom w:val="single" w:sz="8" w:space="0" w:color="E6643C" w:themeColor="accent6"/>
          <w:right w:val="single" w:sz="8" w:space="0" w:color="E6643C" w:themeColor="accent6"/>
        </w:tcBorders>
      </w:tcPr>
    </w:tblStylePr>
    <w:tblStylePr w:type="band1Horz">
      <w:tblPr/>
      <w:tcPr>
        <w:tcBorders>
          <w:top w:val="single" w:sz="8" w:space="0" w:color="E6643C" w:themeColor="accent6"/>
          <w:left w:val="single" w:sz="8" w:space="0" w:color="E6643C" w:themeColor="accent6"/>
          <w:bottom w:val="single" w:sz="8" w:space="0" w:color="E6643C" w:themeColor="accent6"/>
          <w:right w:val="single" w:sz="8" w:space="0" w:color="E6643C" w:themeColor="accent6"/>
        </w:tcBorders>
      </w:tcPr>
    </w:tblStylePr>
  </w:style>
  <w:style w:type="table" w:styleId="LightShading-Accent1">
    <w:name w:val="Light Shading Accent 1"/>
    <w:basedOn w:val="TableNormal"/>
    <w:uiPriority w:val="60"/>
    <w:semiHidden/>
    <w:rsid w:val="00294A5A"/>
    <w:pPr>
      <w:spacing w:before="0" w:after="0" w:line="240" w:lineRule="auto"/>
    </w:pPr>
    <w:rPr>
      <w:color w:val="141A1F" w:themeColor="accent1" w:themeShade="BF"/>
    </w:rPr>
    <w:tblPr>
      <w:tblStyleRowBandSize w:val="1"/>
      <w:tblStyleColBandSize w:val="1"/>
      <w:tblBorders>
        <w:top w:val="single" w:sz="8" w:space="0" w:color="1B242A" w:themeColor="accent1"/>
        <w:bottom w:val="single" w:sz="8" w:space="0" w:color="1B242A" w:themeColor="accent1"/>
      </w:tblBorders>
    </w:tblPr>
    <w:tblStylePr w:type="firstRow">
      <w:pPr>
        <w:spacing w:before="0" w:after="0" w:line="240" w:lineRule="auto"/>
      </w:pPr>
      <w:rPr>
        <w:b/>
        <w:bCs/>
      </w:rPr>
      <w:tblPr/>
      <w:tcPr>
        <w:tcBorders>
          <w:top w:val="single" w:sz="8" w:space="0" w:color="1B242A" w:themeColor="accent1"/>
          <w:left w:val="nil"/>
          <w:bottom w:val="single" w:sz="8" w:space="0" w:color="1B242A" w:themeColor="accent1"/>
          <w:right w:val="nil"/>
          <w:insideH w:val="nil"/>
          <w:insideV w:val="nil"/>
        </w:tcBorders>
      </w:tcPr>
    </w:tblStylePr>
    <w:tblStylePr w:type="lastRow">
      <w:pPr>
        <w:spacing w:before="0" w:after="0" w:line="240" w:lineRule="auto"/>
      </w:pPr>
      <w:rPr>
        <w:b/>
        <w:bCs/>
      </w:rPr>
      <w:tblPr/>
      <w:tcPr>
        <w:tcBorders>
          <w:top w:val="single" w:sz="8" w:space="0" w:color="1B242A" w:themeColor="accent1"/>
          <w:left w:val="nil"/>
          <w:bottom w:val="single" w:sz="8" w:space="0" w:color="1B242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CCAD4" w:themeFill="accent1" w:themeFillTint="3F"/>
      </w:tcPr>
    </w:tblStylePr>
    <w:tblStylePr w:type="band1Horz">
      <w:tblPr/>
      <w:tcPr>
        <w:tcBorders>
          <w:left w:val="nil"/>
          <w:right w:val="nil"/>
          <w:insideH w:val="nil"/>
          <w:insideV w:val="nil"/>
        </w:tcBorders>
        <w:shd w:val="clear" w:color="auto" w:fill="BCCAD4" w:themeFill="accent1" w:themeFillTint="3F"/>
      </w:tcPr>
    </w:tblStylePr>
  </w:style>
  <w:style w:type="table" w:styleId="LightShading-Accent2">
    <w:name w:val="Light Shading Accent 2"/>
    <w:basedOn w:val="TableNormal"/>
    <w:uiPriority w:val="60"/>
    <w:semiHidden/>
    <w:rsid w:val="00294A5A"/>
    <w:pPr>
      <w:spacing w:before="0" w:after="0" w:line="240" w:lineRule="auto"/>
    </w:pPr>
    <w:rPr>
      <w:color w:val="005764" w:themeColor="accent2" w:themeShade="BF"/>
    </w:rPr>
    <w:tblPr>
      <w:tblStyleRowBandSize w:val="1"/>
      <w:tblStyleColBandSize w:val="1"/>
      <w:tblBorders>
        <w:top w:val="single" w:sz="8" w:space="0" w:color="007586" w:themeColor="accent2"/>
        <w:bottom w:val="single" w:sz="8" w:space="0" w:color="007586" w:themeColor="accent2"/>
      </w:tblBorders>
    </w:tblPr>
    <w:tblStylePr w:type="firstRow">
      <w:pPr>
        <w:spacing w:before="0" w:after="0" w:line="240" w:lineRule="auto"/>
      </w:pPr>
      <w:rPr>
        <w:b/>
        <w:bCs/>
      </w:rPr>
      <w:tblPr/>
      <w:tcPr>
        <w:tcBorders>
          <w:top w:val="single" w:sz="8" w:space="0" w:color="007586" w:themeColor="accent2"/>
          <w:left w:val="nil"/>
          <w:bottom w:val="single" w:sz="8" w:space="0" w:color="007586" w:themeColor="accent2"/>
          <w:right w:val="nil"/>
          <w:insideH w:val="nil"/>
          <w:insideV w:val="nil"/>
        </w:tcBorders>
      </w:tcPr>
    </w:tblStylePr>
    <w:tblStylePr w:type="lastRow">
      <w:pPr>
        <w:spacing w:before="0" w:after="0" w:line="240" w:lineRule="auto"/>
      </w:pPr>
      <w:rPr>
        <w:b/>
        <w:bCs/>
      </w:rPr>
      <w:tblPr/>
      <w:tcPr>
        <w:tcBorders>
          <w:top w:val="single" w:sz="8" w:space="0" w:color="007586" w:themeColor="accent2"/>
          <w:left w:val="nil"/>
          <w:bottom w:val="single" w:sz="8" w:space="0" w:color="00758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2F2FF" w:themeFill="accent2" w:themeFillTint="3F"/>
      </w:tcPr>
    </w:tblStylePr>
    <w:tblStylePr w:type="band1Horz">
      <w:tblPr/>
      <w:tcPr>
        <w:tcBorders>
          <w:left w:val="nil"/>
          <w:right w:val="nil"/>
          <w:insideH w:val="nil"/>
          <w:insideV w:val="nil"/>
        </w:tcBorders>
        <w:shd w:val="clear" w:color="auto" w:fill="A2F2FF" w:themeFill="accent2" w:themeFillTint="3F"/>
      </w:tcPr>
    </w:tblStylePr>
  </w:style>
  <w:style w:type="table" w:styleId="LightShading-Accent3">
    <w:name w:val="Light Shading Accent 3"/>
    <w:basedOn w:val="TableNormal"/>
    <w:uiPriority w:val="60"/>
    <w:semiHidden/>
    <w:rsid w:val="00294A5A"/>
    <w:pPr>
      <w:spacing w:before="0" w:after="0" w:line="240" w:lineRule="auto"/>
    </w:pPr>
    <w:rPr>
      <w:color w:val="1A97D9" w:themeColor="accent3" w:themeShade="BF"/>
    </w:rPr>
    <w:tblPr>
      <w:tblStyleRowBandSize w:val="1"/>
      <w:tblStyleColBandSize w:val="1"/>
      <w:tblBorders>
        <w:top w:val="single" w:sz="8" w:space="0" w:color="5AB9EB" w:themeColor="accent3"/>
        <w:bottom w:val="single" w:sz="8" w:space="0" w:color="5AB9EB" w:themeColor="accent3"/>
      </w:tblBorders>
    </w:tblPr>
    <w:tblStylePr w:type="firstRow">
      <w:pPr>
        <w:spacing w:before="0" w:after="0" w:line="240" w:lineRule="auto"/>
      </w:pPr>
      <w:rPr>
        <w:b/>
        <w:bCs/>
      </w:rPr>
      <w:tblPr/>
      <w:tcPr>
        <w:tcBorders>
          <w:top w:val="single" w:sz="8" w:space="0" w:color="5AB9EB" w:themeColor="accent3"/>
          <w:left w:val="nil"/>
          <w:bottom w:val="single" w:sz="8" w:space="0" w:color="5AB9EB" w:themeColor="accent3"/>
          <w:right w:val="nil"/>
          <w:insideH w:val="nil"/>
          <w:insideV w:val="nil"/>
        </w:tcBorders>
      </w:tcPr>
    </w:tblStylePr>
    <w:tblStylePr w:type="lastRow">
      <w:pPr>
        <w:spacing w:before="0" w:after="0" w:line="240" w:lineRule="auto"/>
      </w:pPr>
      <w:rPr>
        <w:b/>
        <w:bCs/>
      </w:rPr>
      <w:tblPr/>
      <w:tcPr>
        <w:tcBorders>
          <w:top w:val="single" w:sz="8" w:space="0" w:color="5AB9EB" w:themeColor="accent3"/>
          <w:left w:val="nil"/>
          <w:bottom w:val="single" w:sz="8" w:space="0" w:color="5AB9EB"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EDFA" w:themeFill="accent3" w:themeFillTint="3F"/>
      </w:tcPr>
    </w:tblStylePr>
    <w:tblStylePr w:type="band1Horz">
      <w:tblPr/>
      <w:tcPr>
        <w:tcBorders>
          <w:left w:val="nil"/>
          <w:right w:val="nil"/>
          <w:insideH w:val="nil"/>
          <w:insideV w:val="nil"/>
        </w:tcBorders>
        <w:shd w:val="clear" w:color="auto" w:fill="D5EDFA" w:themeFill="accent3" w:themeFillTint="3F"/>
      </w:tcPr>
    </w:tblStylePr>
  </w:style>
  <w:style w:type="table" w:styleId="LightShading-Accent4">
    <w:name w:val="Light Shading Accent 4"/>
    <w:basedOn w:val="TableNormal"/>
    <w:uiPriority w:val="60"/>
    <w:semiHidden/>
    <w:rsid w:val="00294A5A"/>
    <w:pPr>
      <w:spacing w:before="0" w:after="0" w:line="240" w:lineRule="auto"/>
    </w:pPr>
    <w:rPr>
      <w:color w:val="003871" w:themeColor="accent4" w:themeShade="BF"/>
    </w:rPr>
    <w:tblPr>
      <w:tblStyleRowBandSize w:val="1"/>
      <w:tblStyleColBandSize w:val="1"/>
      <w:tblBorders>
        <w:top w:val="single" w:sz="8" w:space="0" w:color="004C97" w:themeColor="accent4"/>
        <w:bottom w:val="single" w:sz="8" w:space="0" w:color="004C97" w:themeColor="accent4"/>
      </w:tblBorders>
    </w:tblPr>
    <w:tblStylePr w:type="firstRow">
      <w:pPr>
        <w:spacing w:before="0" w:after="0" w:line="240" w:lineRule="auto"/>
      </w:pPr>
      <w:rPr>
        <w:b/>
        <w:bCs/>
      </w:rPr>
      <w:tblPr/>
      <w:tcPr>
        <w:tcBorders>
          <w:top w:val="single" w:sz="8" w:space="0" w:color="004C97" w:themeColor="accent4"/>
          <w:left w:val="nil"/>
          <w:bottom w:val="single" w:sz="8" w:space="0" w:color="004C97" w:themeColor="accent4"/>
          <w:right w:val="nil"/>
          <w:insideH w:val="nil"/>
          <w:insideV w:val="nil"/>
        </w:tcBorders>
      </w:tcPr>
    </w:tblStylePr>
    <w:tblStylePr w:type="lastRow">
      <w:pPr>
        <w:spacing w:before="0" w:after="0" w:line="240" w:lineRule="auto"/>
      </w:pPr>
      <w:rPr>
        <w:b/>
        <w:bCs/>
      </w:rPr>
      <w:tblPr/>
      <w:tcPr>
        <w:tcBorders>
          <w:top w:val="single" w:sz="8" w:space="0" w:color="004C97" w:themeColor="accent4"/>
          <w:left w:val="nil"/>
          <w:bottom w:val="single" w:sz="8" w:space="0" w:color="004C9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4" w:themeFillTint="3F"/>
      </w:tcPr>
    </w:tblStylePr>
    <w:tblStylePr w:type="band1Horz">
      <w:tblPr/>
      <w:tcPr>
        <w:tcBorders>
          <w:left w:val="nil"/>
          <w:right w:val="nil"/>
          <w:insideH w:val="nil"/>
          <w:insideV w:val="nil"/>
        </w:tcBorders>
        <w:shd w:val="clear" w:color="auto" w:fill="A6D2FF" w:themeFill="accent4" w:themeFillTint="3F"/>
      </w:tcPr>
    </w:tblStylePr>
  </w:style>
  <w:style w:type="table" w:styleId="LightShading-Accent5">
    <w:name w:val="Light Shading Accent 5"/>
    <w:basedOn w:val="TableNormal"/>
    <w:uiPriority w:val="60"/>
    <w:semiHidden/>
    <w:rsid w:val="00294A5A"/>
    <w:pPr>
      <w:spacing w:before="0" w:after="0" w:line="240" w:lineRule="auto"/>
    </w:pPr>
    <w:rPr>
      <w:color w:val="428049" w:themeColor="accent5" w:themeShade="BF"/>
    </w:rPr>
    <w:tblPr>
      <w:tblStyleRowBandSize w:val="1"/>
      <w:tblStyleColBandSize w:val="1"/>
      <w:tblBorders>
        <w:top w:val="single" w:sz="8" w:space="0" w:color="5AAA64" w:themeColor="accent5"/>
        <w:bottom w:val="single" w:sz="8" w:space="0" w:color="5AAA64" w:themeColor="accent5"/>
      </w:tblBorders>
    </w:tblPr>
    <w:tblStylePr w:type="firstRow">
      <w:pPr>
        <w:spacing w:before="0" w:after="0" w:line="240" w:lineRule="auto"/>
      </w:pPr>
      <w:rPr>
        <w:b/>
        <w:bCs/>
      </w:rPr>
      <w:tblPr/>
      <w:tcPr>
        <w:tcBorders>
          <w:top w:val="single" w:sz="8" w:space="0" w:color="5AAA64" w:themeColor="accent5"/>
          <w:left w:val="nil"/>
          <w:bottom w:val="single" w:sz="8" w:space="0" w:color="5AAA64" w:themeColor="accent5"/>
          <w:right w:val="nil"/>
          <w:insideH w:val="nil"/>
          <w:insideV w:val="nil"/>
        </w:tcBorders>
      </w:tcPr>
    </w:tblStylePr>
    <w:tblStylePr w:type="lastRow">
      <w:pPr>
        <w:spacing w:before="0" w:after="0" w:line="240" w:lineRule="auto"/>
      </w:pPr>
      <w:rPr>
        <w:b/>
        <w:bCs/>
      </w:rPr>
      <w:tblPr/>
      <w:tcPr>
        <w:tcBorders>
          <w:top w:val="single" w:sz="8" w:space="0" w:color="5AAA64" w:themeColor="accent5"/>
          <w:left w:val="nil"/>
          <w:bottom w:val="single" w:sz="8" w:space="0" w:color="5AAA6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AD8" w:themeFill="accent5" w:themeFillTint="3F"/>
      </w:tcPr>
    </w:tblStylePr>
    <w:tblStylePr w:type="band1Horz">
      <w:tblPr/>
      <w:tcPr>
        <w:tcBorders>
          <w:left w:val="nil"/>
          <w:right w:val="nil"/>
          <w:insideH w:val="nil"/>
          <w:insideV w:val="nil"/>
        </w:tcBorders>
        <w:shd w:val="clear" w:color="auto" w:fill="D6EAD8" w:themeFill="accent5" w:themeFillTint="3F"/>
      </w:tcPr>
    </w:tblStylePr>
  </w:style>
  <w:style w:type="table" w:styleId="LightShading-Accent6">
    <w:name w:val="Light Shading Accent 6"/>
    <w:basedOn w:val="TableNormal"/>
    <w:uiPriority w:val="60"/>
    <w:semiHidden/>
    <w:rsid w:val="00294A5A"/>
    <w:pPr>
      <w:spacing w:before="0" w:after="0" w:line="240" w:lineRule="auto"/>
    </w:pPr>
    <w:rPr>
      <w:color w:val="C04018" w:themeColor="accent6" w:themeShade="BF"/>
    </w:rPr>
    <w:tblPr>
      <w:tblStyleRowBandSize w:val="1"/>
      <w:tblStyleColBandSize w:val="1"/>
      <w:tblBorders>
        <w:top w:val="single" w:sz="8" w:space="0" w:color="E6643C" w:themeColor="accent6"/>
        <w:bottom w:val="single" w:sz="8" w:space="0" w:color="E6643C" w:themeColor="accent6"/>
      </w:tblBorders>
    </w:tblPr>
    <w:tblStylePr w:type="firstRow">
      <w:pPr>
        <w:spacing w:before="0" w:after="0" w:line="240" w:lineRule="auto"/>
      </w:pPr>
      <w:rPr>
        <w:b/>
        <w:bCs/>
      </w:rPr>
      <w:tblPr/>
      <w:tcPr>
        <w:tcBorders>
          <w:top w:val="single" w:sz="8" w:space="0" w:color="E6643C" w:themeColor="accent6"/>
          <w:left w:val="nil"/>
          <w:bottom w:val="single" w:sz="8" w:space="0" w:color="E6643C" w:themeColor="accent6"/>
          <w:right w:val="nil"/>
          <w:insideH w:val="nil"/>
          <w:insideV w:val="nil"/>
        </w:tcBorders>
      </w:tcPr>
    </w:tblStylePr>
    <w:tblStylePr w:type="lastRow">
      <w:pPr>
        <w:spacing w:before="0" w:after="0" w:line="240" w:lineRule="auto"/>
      </w:pPr>
      <w:rPr>
        <w:b/>
        <w:bCs/>
      </w:rPr>
      <w:tblPr/>
      <w:tcPr>
        <w:tcBorders>
          <w:top w:val="single" w:sz="8" w:space="0" w:color="E6643C" w:themeColor="accent6"/>
          <w:left w:val="nil"/>
          <w:bottom w:val="single" w:sz="8" w:space="0" w:color="E6643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D8CE" w:themeFill="accent6" w:themeFillTint="3F"/>
      </w:tcPr>
    </w:tblStylePr>
    <w:tblStylePr w:type="band1Horz">
      <w:tblPr/>
      <w:tcPr>
        <w:tcBorders>
          <w:left w:val="nil"/>
          <w:right w:val="nil"/>
          <w:insideH w:val="nil"/>
          <w:insideV w:val="nil"/>
        </w:tcBorders>
        <w:shd w:val="clear" w:color="auto" w:fill="F8D8CE" w:themeFill="accent6" w:themeFillTint="3F"/>
      </w:tcPr>
    </w:tblStylePr>
  </w:style>
  <w:style w:type="table" w:styleId="ListTable1Light">
    <w:name w:val="List Table 1 Light"/>
    <w:basedOn w:val="TableNormal"/>
    <w:uiPriority w:val="46"/>
    <w:semiHidden/>
    <w:rsid w:val="00294A5A"/>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294A5A"/>
    <w:pPr>
      <w:spacing w:after="0" w:line="240" w:lineRule="auto"/>
    </w:pPr>
    <w:tblPr>
      <w:tblStyleRowBandSize w:val="1"/>
      <w:tblStyleColBandSize w:val="1"/>
    </w:tblPr>
    <w:tblStylePr w:type="firstRow">
      <w:rPr>
        <w:b/>
        <w:bCs/>
      </w:rPr>
      <w:tblPr/>
      <w:tcPr>
        <w:tcBorders>
          <w:bottom w:val="single" w:sz="4" w:space="0" w:color="607F95" w:themeColor="accent1" w:themeTint="99"/>
        </w:tcBorders>
      </w:tcPr>
    </w:tblStylePr>
    <w:tblStylePr w:type="lastRow">
      <w:rPr>
        <w:b/>
        <w:bCs/>
      </w:rPr>
      <w:tblPr/>
      <w:tcPr>
        <w:tcBorders>
          <w:top w:val="single" w:sz="4" w:space="0" w:color="607F95" w:themeColor="accent1" w:themeTint="99"/>
        </w:tcBorders>
      </w:tcPr>
    </w:tblStylePr>
    <w:tblStylePr w:type="firstCol">
      <w:rPr>
        <w:b/>
        <w:bCs/>
      </w:rPr>
    </w:tblStylePr>
    <w:tblStylePr w:type="lastCol">
      <w:rPr>
        <w:b/>
        <w:bCs/>
      </w:rPr>
    </w:tblStylePr>
    <w:tblStylePr w:type="band1Vert">
      <w:tblPr/>
      <w:tcPr>
        <w:shd w:val="clear" w:color="auto" w:fill="C9D4DC" w:themeFill="accent1" w:themeFillTint="33"/>
      </w:tcPr>
    </w:tblStylePr>
    <w:tblStylePr w:type="band1Horz">
      <w:tblPr/>
      <w:tcPr>
        <w:shd w:val="clear" w:color="auto" w:fill="C9D4DC" w:themeFill="accent1" w:themeFillTint="33"/>
      </w:tcPr>
    </w:tblStylePr>
  </w:style>
  <w:style w:type="table" w:styleId="ListTable1Light-Accent2">
    <w:name w:val="List Table 1 Light Accent 2"/>
    <w:basedOn w:val="TableNormal"/>
    <w:uiPriority w:val="46"/>
    <w:semiHidden/>
    <w:rsid w:val="00294A5A"/>
    <w:pPr>
      <w:spacing w:after="0" w:line="240" w:lineRule="auto"/>
    </w:pPr>
    <w:tblPr>
      <w:tblStyleRowBandSize w:val="1"/>
      <w:tblStyleColBandSize w:val="1"/>
    </w:tblPr>
    <w:tblStylePr w:type="firstRow">
      <w:rPr>
        <w:b/>
        <w:bCs/>
      </w:rPr>
      <w:tblPr/>
      <w:tcPr>
        <w:tcBorders>
          <w:bottom w:val="single" w:sz="4" w:space="0" w:color="1DE1FF" w:themeColor="accent2" w:themeTint="99"/>
        </w:tcBorders>
      </w:tcPr>
    </w:tblStylePr>
    <w:tblStylePr w:type="lastRow">
      <w:rPr>
        <w:b/>
        <w:bCs/>
      </w:rPr>
      <w:tblPr/>
      <w:tcPr>
        <w:tcBorders>
          <w:top w:val="single" w:sz="4" w:space="0" w:color="1DE1FF" w:themeColor="accent2" w:themeTint="99"/>
        </w:tcBorders>
      </w:tcPr>
    </w:tblStylePr>
    <w:tblStylePr w:type="firstCol">
      <w:rPr>
        <w:b/>
        <w:bCs/>
      </w:rPr>
    </w:tblStylePr>
    <w:tblStylePr w:type="lastCol">
      <w:rPr>
        <w:b/>
        <w:bCs/>
      </w:rPr>
    </w:tblStylePr>
    <w:tblStylePr w:type="band1Vert">
      <w:tblPr/>
      <w:tcPr>
        <w:shd w:val="clear" w:color="auto" w:fill="B3F5FF" w:themeFill="accent2" w:themeFillTint="33"/>
      </w:tcPr>
    </w:tblStylePr>
    <w:tblStylePr w:type="band1Horz">
      <w:tblPr/>
      <w:tcPr>
        <w:shd w:val="clear" w:color="auto" w:fill="B3F5FF" w:themeFill="accent2" w:themeFillTint="33"/>
      </w:tcPr>
    </w:tblStylePr>
  </w:style>
  <w:style w:type="table" w:styleId="ListTable1Light-Accent3">
    <w:name w:val="List Table 1 Light Accent 3"/>
    <w:basedOn w:val="TableNormal"/>
    <w:uiPriority w:val="46"/>
    <w:semiHidden/>
    <w:rsid w:val="00294A5A"/>
    <w:pPr>
      <w:spacing w:after="0" w:line="240" w:lineRule="auto"/>
    </w:pPr>
    <w:tblPr>
      <w:tblStyleRowBandSize w:val="1"/>
      <w:tblStyleColBandSize w:val="1"/>
    </w:tblPr>
    <w:tblStylePr w:type="firstRow">
      <w:rPr>
        <w:b/>
        <w:bCs/>
      </w:rPr>
      <w:tblPr/>
      <w:tcPr>
        <w:tcBorders>
          <w:bottom w:val="single" w:sz="4" w:space="0" w:color="9CD4F3" w:themeColor="accent3" w:themeTint="99"/>
        </w:tcBorders>
      </w:tcPr>
    </w:tblStylePr>
    <w:tblStylePr w:type="lastRow">
      <w:rPr>
        <w:b/>
        <w:bCs/>
      </w:rPr>
      <w:tblPr/>
      <w:tcPr>
        <w:tcBorders>
          <w:top w:val="single" w:sz="4" w:space="0" w:color="9CD4F3" w:themeColor="accent3" w:themeTint="99"/>
        </w:tcBorders>
      </w:tcPr>
    </w:tblStylePr>
    <w:tblStylePr w:type="firstCol">
      <w:rPr>
        <w:b/>
        <w:bCs/>
      </w:rPr>
    </w:tblStylePr>
    <w:tblStylePr w:type="lastCol">
      <w:rPr>
        <w:b/>
        <w:bCs/>
      </w:rPr>
    </w:tblStylePr>
    <w:tblStylePr w:type="band1Vert">
      <w:tblPr/>
      <w:tcPr>
        <w:shd w:val="clear" w:color="auto" w:fill="DEF0FB" w:themeFill="accent3" w:themeFillTint="33"/>
      </w:tcPr>
    </w:tblStylePr>
    <w:tblStylePr w:type="band1Horz">
      <w:tblPr/>
      <w:tcPr>
        <w:shd w:val="clear" w:color="auto" w:fill="DEF0FB" w:themeFill="accent3" w:themeFillTint="33"/>
      </w:tcPr>
    </w:tblStylePr>
  </w:style>
  <w:style w:type="table" w:styleId="ListTable1Light-Accent4">
    <w:name w:val="List Table 1 Light Accent 4"/>
    <w:basedOn w:val="TableNormal"/>
    <w:uiPriority w:val="46"/>
    <w:semiHidden/>
    <w:rsid w:val="00294A5A"/>
    <w:pPr>
      <w:spacing w:after="0" w:line="240" w:lineRule="auto"/>
    </w:pPr>
    <w:tblPr>
      <w:tblStyleRowBandSize w:val="1"/>
      <w:tblStyleColBandSize w:val="1"/>
    </w:tblPr>
    <w:tblStylePr w:type="firstRow">
      <w:rPr>
        <w:b/>
        <w:bCs/>
      </w:rPr>
      <w:tblPr/>
      <w:tcPr>
        <w:tcBorders>
          <w:bottom w:val="single" w:sz="4" w:space="0" w:color="2793FF" w:themeColor="accent4" w:themeTint="99"/>
        </w:tcBorders>
      </w:tcPr>
    </w:tblStylePr>
    <w:tblStylePr w:type="lastRow">
      <w:rPr>
        <w:b/>
        <w:bCs/>
      </w:rPr>
      <w:tblPr/>
      <w:tcPr>
        <w:tcBorders>
          <w:top w:val="single" w:sz="4" w:space="0" w:color="2793FF" w:themeColor="accent4" w:themeTint="99"/>
        </w:tcBorders>
      </w:tcPr>
    </w:tblStylePr>
    <w:tblStylePr w:type="firstCol">
      <w:rPr>
        <w:b/>
        <w:bCs/>
      </w:rPr>
    </w:tblStylePr>
    <w:tblStylePr w:type="lastCol">
      <w:rPr>
        <w:b/>
        <w:bCs/>
      </w:rPr>
    </w:tblStylePr>
    <w:tblStylePr w:type="band1Vert">
      <w:tblPr/>
      <w:tcPr>
        <w:shd w:val="clear" w:color="auto" w:fill="B7DBFF" w:themeFill="accent4" w:themeFillTint="33"/>
      </w:tcPr>
    </w:tblStylePr>
    <w:tblStylePr w:type="band1Horz">
      <w:tblPr/>
      <w:tcPr>
        <w:shd w:val="clear" w:color="auto" w:fill="B7DBFF" w:themeFill="accent4" w:themeFillTint="33"/>
      </w:tcPr>
    </w:tblStylePr>
  </w:style>
  <w:style w:type="table" w:styleId="ListTable1Light-Accent5">
    <w:name w:val="List Table 1 Light Accent 5"/>
    <w:basedOn w:val="TableNormal"/>
    <w:uiPriority w:val="46"/>
    <w:semiHidden/>
    <w:rsid w:val="00294A5A"/>
    <w:pPr>
      <w:spacing w:after="0" w:line="240" w:lineRule="auto"/>
    </w:pPr>
    <w:tblPr>
      <w:tblStyleRowBandSize w:val="1"/>
      <w:tblStyleColBandSize w:val="1"/>
    </w:tblPr>
    <w:tblStylePr w:type="firstRow">
      <w:rPr>
        <w:b/>
        <w:bCs/>
      </w:rPr>
      <w:tblPr/>
      <w:tcPr>
        <w:tcBorders>
          <w:bottom w:val="single" w:sz="4" w:space="0" w:color="9CCCA1" w:themeColor="accent5" w:themeTint="99"/>
        </w:tcBorders>
      </w:tcPr>
    </w:tblStylePr>
    <w:tblStylePr w:type="lastRow">
      <w:rPr>
        <w:b/>
        <w:bCs/>
      </w:rPr>
      <w:tblPr/>
      <w:tcPr>
        <w:tcBorders>
          <w:top w:val="single" w:sz="4" w:space="0" w:color="9CCCA1" w:themeColor="accent5" w:themeTint="99"/>
        </w:tcBorders>
      </w:tcPr>
    </w:tblStylePr>
    <w:tblStylePr w:type="firstCol">
      <w:rPr>
        <w:b/>
        <w:bCs/>
      </w:rPr>
    </w:tblStylePr>
    <w:tblStylePr w:type="lastCol">
      <w:rPr>
        <w:b/>
        <w:bCs/>
      </w:rPr>
    </w:tblStylePr>
    <w:tblStylePr w:type="band1Vert">
      <w:tblPr/>
      <w:tcPr>
        <w:shd w:val="clear" w:color="auto" w:fill="DEEEDF" w:themeFill="accent5" w:themeFillTint="33"/>
      </w:tcPr>
    </w:tblStylePr>
    <w:tblStylePr w:type="band1Horz">
      <w:tblPr/>
      <w:tcPr>
        <w:shd w:val="clear" w:color="auto" w:fill="DEEEDF" w:themeFill="accent5" w:themeFillTint="33"/>
      </w:tcPr>
    </w:tblStylePr>
  </w:style>
  <w:style w:type="table" w:styleId="ListTable1Light-Accent6">
    <w:name w:val="List Table 1 Light Accent 6"/>
    <w:basedOn w:val="TableNormal"/>
    <w:uiPriority w:val="46"/>
    <w:semiHidden/>
    <w:rsid w:val="00294A5A"/>
    <w:pPr>
      <w:spacing w:after="0" w:line="240" w:lineRule="auto"/>
    </w:pPr>
    <w:tblPr>
      <w:tblStyleRowBandSize w:val="1"/>
      <w:tblStyleColBandSize w:val="1"/>
    </w:tblPr>
    <w:tblStylePr w:type="firstRow">
      <w:rPr>
        <w:b/>
        <w:bCs/>
      </w:rPr>
      <w:tblPr/>
      <w:tcPr>
        <w:tcBorders>
          <w:bottom w:val="single" w:sz="4" w:space="0" w:color="F0A28A" w:themeColor="accent6" w:themeTint="99"/>
        </w:tcBorders>
      </w:tcPr>
    </w:tblStylePr>
    <w:tblStylePr w:type="lastRow">
      <w:rPr>
        <w:b/>
        <w:bCs/>
      </w:rPr>
      <w:tblPr/>
      <w:tcPr>
        <w:tcBorders>
          <w:top w:val="single" w:sz="4" w:space="0" w:color="F0A28A" w:themeColor="accent6" w:themeTint="99"/>
        </w:tcBorders>
      </w:tcPr>
    </w:tblStylePr>
    <w:tblStylePr w:type="firstCol">
      <w:rPr>
        <w:b/>
        <w:bCs/>
      </w:rPr>
    </w:tblStylePr>
    <w:tblStylePr w:type="lastCol">
      <w:rPr>
        <w:b/>
        <w:bCs/>
      </w:rPr>
    </w:tblStylePr>
    <w:tblStylePr w:type="band1Vert">
      <w:tblPr/>
      <w:tcPr>
        <w:shd w:val="clear" w:color="auto" w:fill="FAE0D8" w:themeFill="accent6" w:themeFillTint="33"/>
      </w:tcPr>
    </w:tblStylePr>
    <w:tblStylePr w:type="band1Horz">
      <w:tblPr/>
      <w:tcPr>
        <w:shd w:val="clear" w:color="auto" w:fill="FAE0D8" w:themeFill="accent6" w:themeFillTint="33"/>
      </w:tcPr>
    </w:tblStylePr>
  </w:style>
  <w:style w:type="table" w:styleId="ListTable2">
    <w:name w:val="List Table 2"/>
    <w:basedOn w:val="TableNormal"/>
    <w:uiPriority w:val="47"/>
    <w:semiHidden/>
    <w:rsid w:val="00294A5A"/>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294A5A"/>
    <w:pPr>
      <w:spacing w:after="0" w:line="240" w:lineRule="auto"/>
    </w:pPr>
    <w:tblPr>
      <w:tblStyleRowBandSize w:val="1"/>
      <w:tblStyleColBandSize w:val="1"/>
      <w:tblBorders>
        <w:top w:val="single" w:sz="4" w:space="0" w:color="607F95" w:themeColor="accent1" w:themeTint="99"/>
        <w:bottom w:val="single" w:sz="4" w:space="0" w:color="607F95" w:themeColor="accent1" w:themeTint="99"/>
        <w:insideH w:val="single" w:sz="4" w:space="0" w:color="607F9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9D4DC" w:themeFill="accent1" w:themeFillTint="33"/>
      </w:tcPr>
    </w:tblStylePr>
    <w:tblStylePr w:type="band1Horz">
      <w:tblPr/>
      <w:tcPr>
        <w:shd w:val="clear" w:color="auto" w:fill="C9D4DC" w:themeFill="accent1" w:themeFillTint="33"/>
      </w:tcPr>
    </w:tblStylePr>
  </w:style>
  <w:style w:type="table" w:styleId="ListTable2-Accent2">
    <w:name w:val="List Table 2 Accent 2"/>
    <w:basedOn w:val="TableNormal"/>
    <w:uiPriority w:val="47"/>
    <w:semiHidden/>
    <w:rsid w:val="00294A5A"/>
    <w:pPr>
      <w:spacing w:after="0" w:line="240" w:lineRule="auto"/>
    </w:pPr>
    <w:tblPr>
      <w:tblStyleRowBandSize w:val="1"/>
      <w:tblStyleColBandSize w:val="1"/>
      <w:tblBorders>
        <w:top w:val="single" w:sz="4" w:space="0" w:color="1DE1FF" w:themeColor="accent2" w:themeTint="99"/>
        <w:bottom w:val="single" w:sz="4" w:space="0" w:color="1DE1FF" w:themeColor="accent2" w:themeTint="99"/>
        <w:insideH w:val="single" w:sz="4" w:space="0" w:color="1DE1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3F5FF" w:themeFill="accent2" w:themeFillTint="33"/>
      </w:tcPr>
    </w:tblStylePr>
    <w:tblStylePr w:type="band1Horz">
      <w:tblPr/>
      <w:tcPr>
        <w:shd w:val="clear" w:color="auto" w:fill="B3F5FF" w:themeFill="accent2" w:themeFillTint="33"/>
      </w:tcPr>
    </w:tblStylePr>
  </w:style>
  <w:style w:type="table" w:styleId="ListTable2-Accent3">
    <w:name w:val="List Table 2 Accent 3"/>
    <w:basedOn w:val="TableNormal"/>
    <w:uiPriority w:val="47"/>
    <w:semiHidden/>
    <w:rsid w:val="00294A5A"/>
    <w:pPr>
      <w:spacing w:after="0" w:line="240" w:lineRule="auto"/>
    </w:pPr>
    <w:tblPr>
      <w:tblStyleRowBandSize w:val="1"/>
      <w:tblStyleColBandSize w:val="1"/>
      <w:tblBorders>
        <w:top w:val="single" w:sz="4" w:space="0" w:color="9CD4F3" w:themeColor="accent3" w:themeTint="99"/>
        <w:bottom w:val="single" w:sz="4" w:space="0" w:color="9CD4F3" w:themeColor="accent3" w:themeTint="99"/>
        <w:insideH w:val="single" w:sz="4" w:space="0" w:color="9CD4F3"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F0FB" w:themeFill="accent3" w:themeFillTint="33"/>
      </w:tcPr>
    </w:tblStylePr>
    <w:tblStylePr w:type="band1Horz">
      <w:tblPr/>
      <w:tcPr>
        <w:shd w:val="clear" w:color="auto" w:fill="DEF0FB" w:themeFill="accent3" w:themeFillTint="33"/>
      </w:tcPr>
    </w:tblStylePr>
  </w:style>
  <w:style w:type="table" w:styleId="ListTable2-Accent4">
    <w:name w:val="List Table 2 Accent 4"/>
    <w:basedOn w:val="TableNormal"/>
    <w:uiPriority w:val="47"/>
    <w:semiHidden/>
    <w:rsid w:val="00294A5A"/>
    <w:pPr>
      <w:spacing w:after="0" w:line="240" w:lineRule="auto"/>
    </w:pPr>
    <w:tblPr>
      <w:tblStyleRowBandSize w:val="1"/>
      <w:tblStyleColBandSize w:val="1"/>
      <w:tblBorders>
        <w:top w:val="single" w:sz="4" w:space="0" w:color="2793FF" w:themeColor="accent4" w:themeTint="99"/>
        <w:bottom w:val="single" w:sz="4" w:space="0" w:color="2793FF" w:themeColor="accent4" w:themeTint="99"/>
        <w:insideH w:val="single" w:sz="4" w:space="0" w:color="2793F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4" w:themeFillTint="33"/>
      </w:tcPr>
    </w:tblStylePr>
    <w:tblStylePr w:type="band1Horz">
      <w:tblPr/>
      <w:tcPr>
        <w:shd w:val="clear" w:color="auto" w:fill="B7DBFF" w:themeFill="accent4" w:themeFillTint="33"/>
      </w:tcPr>
    </w:tblStylePr>
  </w:style>
  <w:style w:type="table" w:styleId="ListTable2-Accent5">
    <w:name w:val="List Table 2 Accent 5"/>
    <w:basedOn w:val="TableNormal"/>
    <w:uiPriority w:val="47"/>
    <w:semiHidden/>
    <w:rsid w:val="00294A5A"/>
    <w:pPr>
      <w:spacing w:after="0" w:line="240" w:lineRule="auto"/>
    </w:pPr>
    <w:tblPr>
      <w:tblStyleRowBandSize w:val="1"/>
      <w:tblStyleColBandSize w:val="1"/>
      <w:tblBorders>
        <w:top w:val="single" w:sz="4" w:space="0" w:color="9CCCA1" w:themeColor="accent5" w:themeTint="99"/>
        <w:bottom w:val="single" w:sz="4" w:space="0" w:color="9CCCA1" w:themeColor="accent5" w:themeTint="99"/>
        <w:insideH w:val="single" w:sz="4" w:space="0" w:color="9CCCA1"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EDF" w:themeFill="accent5" w:themeFillTint="33"/>
      </w:tcPr>
    </w:tblStylePr>
    <w:tblStylePr w:type="band1Horz">
      <w:tblPr/>
      <w:tcPr>
        <w:shd w:val="clear" w:color="auto" w:fill="DEEEDF" w:themeFill="accent5" w:themeFillTint="33"/>
      </w:tcPr>
    </w:tblStylePr>
  </w:style>
  <w:style w:type="table" w:styleId="ListTable2-Accent6">
    <w:name w:val="List Table 2 Accent 6"/>
    <w:basedOn w:val="TableNormal"/>
    <w:uiPriority w:val="47"/>
    <w:semiHidden/>
    <w:rsid w:val="00294A5A"/>
    <w:pPr>
      <w:spacing w:after="0" w:line="240" w:lineRule="auto"/>
    </w:pPr>
    <w:tblPr>
      <w:tblStyleRowBandSize w:val="1"/>
      <w:tblStyleColBandSize w:val="1"/>
      <w:tblBorders>
        <w:top w:val="single" w:sz="4" w:space="0" w:color="F0A28A" w:themeColor="accent6" w:themeTint="99"/>
        <w:bottom w:val="single" w:sz="4" w:space="0" w:color="F0A28A" w:themeColor="accent6" w:themeTint="99"/>
        <w:insideH w:val="single" w:sz="4" w:space="0" w:color="F0A28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0D8" w:themeFill="accent6" w:themeFillTint="33"/>
      </w:tcPr>
    </w:tblStylePr>
    <w:tblStylePr w:type="band1Horz">
      <w:tblPr/>
      <w:tcPr>
        <w:shd w:val="clear" w:color="auto" w:fill="FAE0D8" w:themeFill="accent6" w:themeFillTint="33"/>
      </w:tcPr>
    </w:tblStylePr>
  </w:style>
  <w:style w:type="table" w:styleId="ListTable3">
    <w:name w:val="List Table 3"/>
    <w:basedOn w:val="TableNormal"/>
    <w:uiPriority w:val="48"/>
    <w:semiHidden/>
    <w:rsid w:val="00294A5A"/>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294A5A"/>
    <w:pPr>
      <w:spacing w:after="0" w:line="240" w:lineRule="auto"/>
    </w:pPr>
    <w:tblPr>
      <w:tblStyleRowBandSize w:val="1"/>
      <w:tblStyleColBandSize w:val="1"/>
      <w:tblBorders>
        <w:top w:val="single" w:sz="4" w:space="0" w:color="1B242A" w:themeColor="accent1"/>
        <w:left w:val="single" w:sz="4" w:space="0" w:color="1B242A" w:themeColor="accent1"/>
        <w:bottom w:val="single" w:sz="4" w:space="0" w:color="1B242A" w:themeColor="accent1"/>
        <w:right w:val="single" w:sz="4" w:space="0" w:color="1B242A" w:themeColor="accent1"/>
      </w:tblBorders>
    </w:tblPr>
    <w:tblStylePr w:type="firstRow">
      <w:rPr>
        <w:b/>
        <w:bCs/>
        <w:color w:val="FFFFFF" w:themeColor="background1"/>
      </w:rPr>
      <w:tblPr/>
      <w:tcPr>
        <w:shd w:val="clear" w:color="auto" w:fill="1B242A" w:themeFill="accent1"/>
      </w:tcPr>
    </w:tblStylePr>
    <w:tblStylePr w:type="lastRow">
      <w:rPr>
        <w:b/>
        <w:bCs/>
      </w:rPr>
      <w:tblPr/>
      <w:tcPr>
        <w:tcBorders>
          <w:top w:val="double" w:sz="4" w:space="0" w:color="1B242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B242A" w:themeColor="accent1"/>
          <w:right w:val="single" w:sz="4" w:space="0" w:color="1B242A" w:themeColor="accent1"/>
        </w:tcBorders>
      </w:tcPr>
    </w:tblStylePr>
    <w:tblStylePr w:type="band1Horz">
      <w:tblPr/>
      <w:tcPr>
        <w:tcBorders>
          <w:top w:val="single" w:sz="4" w:space="0" w:color="1B242A" w:themeColor="accent1"/>
          <w:bottom w:val="single" w:sz="4" w:space="0" w:color="1B242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B242A" w:themeColor="accent1"/>
          <w:left w:val="nil"/>
        </w:tcBorders>
      </w:tcPr>
    </w:tblStylePr>
    <w:tblStylePr w:type="swCell">
      <w:tblPr/>
      <w:tcPr>
        <w:tcBorders>
          <w:top w:val="double" w:sz="4" w:space="0" w:color="1B242A" w:themeColor="accent1"/>
          <w:right w:val="nil"/>
        </w:tcBorders>
      </w:tcPr>
    </w:tblStylePr>
  </w:style>
  <w:style w:type="table" w:styleId="ListTable3-Accent2">
    <w:name w:val="List Table 3 Accent 2"/>
    <w:basedOn w:val="TableNormal"/>
    <w:uiPriority w:val="48"/>
    <w:semiHidden/>
    <w:rsid w:val="00294A5A"/>
    <w:pPr>
      <w:spacing w:after="0" w:line="240" w:lineRule="auto"/>
    </w:pPr>
    <w:tblPr>
      <w:tblStyleRowBandSize w:val="1"/>
      <w:tblStyleColBandSize w:val="1"/>
      <w:tblBorders>
        <w:top w:val="single" w:sz="4" w:space="0" w:color="007586" w:themeColor="accent2"/>
        <w:left w:val="single" w:sz="4" w:space="0" w:color="007586" w:themeColor="accent2"/>
        <w:bottom w:val="single" w:sz="4" w:space="0" w:color="007586" w:themeColor="accent2"/>
        <w:right w:val="single" w:sz="4" w:space="0" w:color="007586" w:themeColor="accent2"/>
      </w:tblBorders>
    </w:tblPr>
    <w:tblStylePr w:type="firstRow">
      <w:rPr>
        <w:b/>
        <w:bCs/>
        <w:color w:val="FFFFFF" w:themeColor="background1"/>
      </w:rPr>
      <w:tblPr/>
      <w:tcPr>
        <w:shd w:val="clear" w:color="auto" w:fill="007586" w:themeFill="accent2"/>
      </w:tcPr>
    </w:tblStylePr>
    <w:tblStylePr w:type="lastRow">
      <w:rPr>
        <w:b/>
        <w:bCs/>
      </w:rPr>
      <w:tblPr/>
      <w:tcPr>
        <w:tcBorders>
          <w:top w:val="double" w:sz="4" w:space="0" w:color="00758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586" w:themeColor="accent2"/>
          <w:right w:val="single" w:sz="4" w:space="0" w:color="007586" w:themeColor="accent2"/>
        </w:tcBorders>
      </w:tcPr>
    </w:tblStylePr>
    <w:tblStylePr w:type="band1Horz">
      <w:tblPr/>
      <w:tcPr>
        <w:tcBorders>
          <w:top w:val="single" w:sz="4" w:space="0" w:color="007586" w:themeColor="accent2"/>
          <w:bottom w:val="single" w:sz="4" w:space="0" w:color="00758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586" w:themeColor="accent2"/>
          <w:left w:val="nil"/>
        </w:tcBorders>
      </w:tcPr>
    </w:tblStylePr>
    <w:tblStylePr w:type="swCell">
      <w:tblPr/>
      <w:tcPr>
        <w:tcBorders>
          <w:top w:val="double" w:sz="4" w:space="0" w:color="007586" w:themeColor="accent2"/>
          <w:right w:val="nil"/>
        </w:tcBorders>
      </w:tcPr>
    </w:tblStylePr>
  </w:style>
  <w:style w:type="table" w:styleId="ListTable3-Accent3">
    <w:name w:val="List Table 3 Accent 3"/>
    <w:basedOn w:val="TableNormal"/>
    <w:uiPriority w:val="48"/>
    <w:semiHidden/>
    <w:rsid w:val="00294A5A"/>
    <w:pPr>
      <w:spacing w:after="0" w:line="240" w:lineRule="auto"/>
    </w:pPr>
    <w:tblPr>
      <w:tblStyleRowBandSize w:val="1"/>
      <w:tblStyleColBandSize w:val="1"/>
      <w:tblBorders>
        <w:top w:val="single" w:sz="4" w:space="0" w:color="5AB9EB" w:themeColor="accent3"/>
        <w:left w:val="single" w:sz="4" w:space="0" w:color="5AB9EB" w:themeColor="accent3"/>
        <w:bottom w:val="single" w:sz="4" w:space="0" w:color="5AB9EB" w:themeColor="accent3"/>
        <w:right w:val="single" w:sz="4" w:space="0" w:color="5AB9EB" w:themeColor="accent3"/>
      </w:tblBorders>
    </w:tblPr>
    <w:tblStylePr w:type="firstRow">
      <w:rPr>
        <w:b/>
        <w:bCs/>
        <w:color w:val="FFFFFF" w:themeColor="background1"/>
      </w:rPr>
      <w:tblPr/>
      <w:tcPr>
        <w:shd w:val="clear" w:color="auto" w:fill="5AB9EB" w:themeFill="accent3"/>
      </w:tcPr>
    </w:tblStylePr>
    <w:tblStylePr w:type="lastRow">
      <w:rPr>
        <w:b/>
        <w:bCs/>
      </w:rPr>
      <w:tblPr/>
      <w:tcPr>
        <w:tcBorders>
          <w:top w:val="double" w:sz="4" w:space="0" w:color="5AB9EB"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AB9EB" w:themeColor="accent3"/>
          <w:right w:val="single" w:sz="4" w:space="0" w:color="5AB9EB" w:themeColor="accent3"/>
        </w:tcBorders>
      </w:tcPr>
    </w:tblStylePr>
    <w:tblStylePr w:type="band1Horz">
      <w:tblPr/>
      <w:tcPr>
        <w:tcBorders>
          <w:top w:val="single" w:sz="4" w:space="0" w:color="5AB9EB" w:themeColor="accent3"/>
          <w:bottom w:val="single" w:sz="4" w:space="0" w:color="5AB9EB"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AB9EB" w:themeColor="accent3"/>
          <w:left w:val="nil"/>
        </w:tcBorders>
      </w:tcPr>
    </w:tblStylePr>
    <w:tblStylePr w:type="swCell">
      <w:tblPr/>
      <w:tcPr>
        <w:tcBorders>
          <w:top w:val="double" w:sz="4" w:space="0" w:color="5AB9EB" w:themeColor="accent3"/>
          <w:right w:val="nil"/>
        </w:tcBorders>
      </w:tcPr>
    </w:tblStylePr>
  </w:style>
  <w:style w:type="table" w:styleId="ListTable3-Accent4">
    <w:name w:val="List Table 3 Accent 4"/>
    <w:basedOn w:val="TableNormal"/>
    <w:uiPriority w:val="48"/>
    <w:semiHidden/>
    <w:rsid w:val="00294A5A"/>
    <w:pPr>
      <w:spacing w:after="0" w:line="240" w:lineRule="auto"/>
    </w:pPr>
    <w:tblPr>
      <w:tblStyleRowBandSize w:val="1"/>
      <w:tblStyleColBandSize w:val="1"/>
      <w:tblBorders>
        <w:top w:val="single" w:sz="4" w:space="0" w:color="004C97" w:themeColor="accent4"/>
        <w:left w:val="single" w:sz="4" w:space="0" w:color="004C97" w:themeColor="accent4"/>
        <w:bottom w:val="single" w:sz="4" w:space="0" w:color="004C97" w:themeColor="accent4"/>
        <w:right w:val="single" w:sz="4" w:space="0" w:color="004C97" w:themeColor="accent4"/>
      </w:tblBorders>
    </w:tblPr>
    <w:tblStylePr w:type="firstRow">
      <w:rPr>
        <w:b/>
        <w:bCs/>
        <w:color w:val="FFFFFF" w:themeColor="background1"/>
      </w:rPr>
      <w:tblPr/>
      <w:tcPr>
        <w:shd w:val="clear" w:color="auto" w:fill="004C97" w:themeFill="accent4"/>
      </w:tcPr>
    </w:tblStylePr>
    <w:tblStylePr w:type="lastRow">
      <w:rPr>
        <w:b/>
        <w:bCs/>
      </w:rPr>
      <w:tblPr/>
      <w:tcPr>
        <w:tcBorders>
          <w:top w:val="double" w:sz="4" w:space="0" w:color="004C9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4"/>
          <w:right w:val="single" w:sz="4" w:space="0" w:color="004C97" w:themeColor="accent4"/>
        </w:tcBorders>
      </w:tcPr>
    </w:tblStylePr>
    <w:tblStylePr w:type="band1Horz">
      <w:tblPr/>
      <w:tcPr>
        <w:tcBorders>
          <w:top w:val="single" w:sz="4" w:space="0" w:color="004C97" w:themeColor="accent4"/>
          <w:bottom w:val="single" w:sz="4" w:space="0" w:color="004C9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4"/>
          <w:left w:val="nil"/>
        </w:tcBorders>
      </w:tcPr>
    </w:tblStylePr>
    <w:tblStylePr w:type="swCell">
      <w:tblPr/>
      <w:tcPr>
        <w:tcBorders>
          <w:top w:val="double" w:sz="4" w:space="0" w:color="004C97" w:themeColor="accent4"/>
          <w:right w:val="nil"/>
        </w:tcBorders>
      </w:tcPr>
    </w:tblStylePr>
  </w:style>
  <w:style w:type="table" w:styleId="ListTable3-Accent5">
    <w:name w:val="List Table 3 Accent 5"/>
    <w:basedOn w:val="TableNormal"/>
    <w:uiPriority w:val="48"/>
    <w:semiHidden/>
    <w:rsid w:val="00294A5A"/>
    <w:pPr>
      <w:spacing w:after="0" w:line="240" w:lineRule="auto"/>
    </w:pPr>
    <w:tblPr>
      <w:tblStyleRowBandSize w:val="1"/>
      <w:tblStyleColBandSize w:val="1"/>
      <w:tblBorders>
        <w:top w:val="single" w:sz="4" w:space="0" w:color="5AAA64" w:themeColor="accent5"/>
        <w:left w:val="single" w:sz="4" w:space="0" w:color="5AAA64" w:themeColor="accent5"/>
        <w:bottom w:val="single" w:sz="4" w:space="0" w:color="5AAA64" w:themeColor="accent5"/>
        <w:right w:val="single" w:sz="4" w:space="0" w:color="5AAA64" w:themeColor="accent5"/>
      </w:tblBorders>
    </w:tblPr>
    <w:tblStylePr w:type="firstRow">
      <w:rPr>
        <w:b/>
        <w:bCs/>
        <w:color w:val="FFFFFF" w:themeColor="background1"/>
      </w:rPr>
      <w:tblPr/>
      <w:tcPr>
        <w:shd w:val="clear" w:color="auto" w:fill="5AAA64" w:themeFill="accent5"/>
      </w:tcPr>
    </w:tblStylePr>
    <w:tblStylePr w:type="lastRow">
      <w:rPr>
        <w:b/>
        <w:bCs/>
      </w:rPr>
      <w:tblPr/>
      <w:tcPr>
        <w:tcBorders>
          <w:top w:val="double" w:sz="4" w:space="0" w:color="5AAA6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AAA64" w:themeColor="accent5"/>
          <w:right w:val="single" w:sz="4" w:space="0" w:color="5AAA64" w:themeColor="accent5"/>
        </w:tcBorders>
      </w:tcPr>
    </w:tblStylePr>
    <w:tblStylePr w:type="band1Horz">
      <w:tblPr/>
      <w:tcPr>
        <w:tcBorders>
          <w:top w:val="single" w:sz="4" w:space="0" w:color="5AAA64" w:themeColor="accent5"/>
          <w:bottom w:val="single" w:sz="4" w:space="0" w:color="5AAA6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AAA64" w:themeColor="accent5"/>
          <w:left w:val="nil"/>
        </w:tcBorders>
      </w:tcPr>
    </w:tblStylePr>
    <w:tblStylePr w:type="swCell">
      <w:tblPr/>
      <w:tcPr>
        <w:tcBorders>
          <w:top w:val="double" w:sz="4" w:space="0" w:color="5AAA64" w:themeColor="accent5"/>
          <w:right w:val="nil"/>
        </w:tcBorders>
      </w:tcPr>
    </w:tblStylePr>
  </w:style>
  <w:style w:type="table" w:styleId="ListTable3-Accent6">
    <w:name w:val="List Table 3 Accent 6"/>
    <w:basedOn w:val="TableNormal"/>
    <w:uiPriority w:val="48"/>
    <w:semiHidden/>
    <w:rsid w:val="00294A5A"/>
    <w:pPr>
      <w:spacing w:after="0" w:line="240" w:lineRule="auto"/>
    </w:pPr>
    <w:tblPr>
      <w:tblStyleRowBandSize w:val="1"/>
      <w:tblStyleColBandSize w:val="1"/>
      <w:tblBorders>
        <w:top w:val="single" w:sz="4" w:space="0" w:color="E6643C" w:themeColor="accent6"/>
        <w:left w:val="single" w:sz="4" w:space="0" w:color="E6643C" w:themeColor="accent6"/>
        <w:bottom w:val="single" w:sz="4" w:space="0" w:color="E6643C" w:themeColor="accent6"/>
        <w:right w:val="single" w:sz="4" w:space="0" w:color="E6643C" w:themeColor="accent6"/>
      </w:tblBorders>
    </w:tblPr>
    <w:tblStylePr w:type="firstRow">
      <w:rPr>
        <w:b/>
        <w:bCs/>
        <w:color w:val="FFFFFF" w:themeColor="background1"/>
      </w:rPr>
      <w:tblPr/>
      <w:tcPr>
        <w:shd w:val="clear" w:color="auto" w:fill="E6643C" w:themeFill="accent6"/>
      </w:tcPr>
    </w:tblStylePr>
    <w:tblStylePr w:type="lastRow">
      <w:rPr>
        <w:b/>
        <w:bCs/>
      </w:rPr>
      <w:tblPr/>
      <w:tcPr>
        <w:tcBorders>
          <w:top w:val="double" w:sz="4" w:space="0" w:color="E6643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6643C" w:themeColor="accent6"/>
          <w:right w:val="single" w:sz="4" w:space="0" w:color="E6643C" w:themeColor="accent6"/>
        </w:tcBorders>
      </w:tcPr>
    </w:tblStylePr>
    <w:tblStylePr w:type="band1Horz">
      <w:tblPr/>
      <w:tcPr>
        <w:tcBorders>
          <w:top w:val="single" w:sz="4" w:space="0" w:color="E6643C" w:themeColor="accent6"/>
          <w:bottom w:val="single" w:sz="4" w:space="0" w:color="E6643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6643C" w:themeColor="accent6"/>
          <w:left w:val="nil"/>
        </w:tcBorders>
      </w:tcPr>
    </w:tblStylePr>
    <w:tblStylePr w:type="swCell">
      <w:tblPr/>
      <w:tcPr>
        <w:tcBorders>
          <w:top w:val="double" w:sz="4" w:space="0" w:color="E6643C" w:themeColor="accent6"/>
          <w:right w:val="nil"/>
        </w:tcBorders>
      </w:tcPr>
    </w:tblStylePr>
  </w:style>
  <w:style w:type="table" w:styleId="ListTable4">
    <w:name w:val="List Table 4"/>
    <w:basedOn w:val="TableNormal"/>
    <w:uiPriority w:val="49"/>
    <w:semiHidden/>
    <w:rsid w:val="00294A5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294A5A"/>
    <w:pPr>
      <w:spacing w:after="0" w:line="240" w:lineRule="auto"/>
    </w:pPr>
    <w:tblPr>
      <w:tblStyleRowBandSize w:val="1"/>
      <w:tblStyleColBandSize w:val="1"/>
      <w:tblBorders>
        <w:top w:val="single" w:sz="4" w:space="0" w:color="607F95" w:themeColor="accent1" w:themeTint="99"/>
        <w:left w:val="single" w:sz="4" w:space="0" w:color="607F95" w:themeColor="accent1" w:themeTint="99"/>
        <w:bottom w:val="single" w:sz="4" w:space="0" w:color="607F95" w:themeColor="accent1" w:themeTint="99"/>
        <w:right w:val="single" w:sz="4" w:space="0" w:color="607F95" w:themeColor="accent1" w:themeTint="99"/>
        <w:insideH w:val="single" w:sz="4" w:space="0" w:color="607F95" w:themeColor="accent1" w:themeTint="99"/>
      </w:tblBorders>
    </w:tblPr>
    <w:tblStylePr w:type="firstRow">
      <w:rPr>
        <w:b/>
        <w:bCs/>
        <w:color w:val="FFFFFF" w:themeColor="background1"/>
      </w:rPr>
      <w:tblPr/>
      <w:tcPr>
        <w:tcBorders>
          <w:top w:val="single" w:sz="4" w:space="0" w:color="1B242A" w:themeColor="accent1"/>
          <w:left w:val="single" w:sz="4" w:space="0" w:color="1B242A" w:themeColor="accent1"/>
          <w:bottom w:val="single" w:sz="4" w:space="0" w:color="1B242A" w:themeColor="accent1"/>
          <w:right w:val="single" w:sz="4" w:space="0" w:color="1B242A" w:themeColor="accent1"/>
          <w:insideH w:val="nil"/>
        </w:tcBorders>
        <w:shd w:val="clear" w:color="auto" w:fill="1B242A" w:themeFill="accent1"/>
      </w:tcPr>
    </w:tblStylePr>
    <w:tblStylePr w:type="lastRow">
      <w:rPr>
        <w:b/>
        <w:bCs/>
      </w:rPr>
      <w:tblPr/>
      <w:tcPr>
        <w:tcBorders>
          <w:top w:val="double" w:sz="4" w:space="0" w:color="607F95" w:themeColor="accent1" w:themeTint="99"/>
        </w:tcBorders>
      </w:tcPr>
    </w:tblStylePr>
    <w:tblStylePr w:type="firstCol">
      <w:rPr>
        <w:b/>
        <w:bCs/>
      </w:rPr>
    </w:tblStylePr>
    <w:tblStylePr w:type="lastCol">
      <w:rPr>
        <w:b/>
        <w:bCs/>
      </w:rPr>
    </w:tblStylePr>
    <w:tblStylePr w:type="band1Vert">
      <w:tblPr/>
      <w:tcPr>
        <w:shd w:val="clear" w:color="auto" w:fill="C9D4DC" w:themeFill="accent1" w:themeFillTint="33"/>
      </w:tcPr>
    </w:tblStylePr>
    <w:tblStylePr w:type="band1Horz">
      <w:tblPr/>
      <w:tcPr>
        <w:shd w:val="clear" w:color="auto" w:fill="C9D4DC" w:themeFill="accent1" w:themeFillTint="33"/>
      </w:tcPr>
    </w:tblStylePr>
  </w:style>
  <w:style w:type="table" w:styleId="ListTable4-Accent2">
    <w:name w:val="List Table 4 Accent 2"/>
    <w:basedOn w:val="TableNormal"/>
    <w:uiPriority w:val="49"/>
    <w:semiHidden/>
    <w:rsid w:val="00294A5A"/>
    <w:pPr>
      <w:spacing w:after="0" w:line="240" w:lineRule="auto"/>
    </w:pPr>
    <w:tblPr>
      <w:tblStyleRowBandSize w:val="1"/>
      <w:tblStyleColBandSize w:val="1"/>
      <w:tblBorders>
        <w:top w:val="single" w:sz="4" w:space="0" w:color="1DE1FF" w:themeColor="accent2" w:themeTint="99"/>
        <w:left w:val="single" w:sz="4" w:space="0" w:color="1DE1FF" w:themeColor="accent2" w:themeTint="99"/>
        <w:bottom w:val="single" w:sz="4" w:space="0" w:color="1DE1FF" w:themeColor="accent2" w:themeTint="99"/>
        <w:right w:val="single" w:sz="4" w:space="0" w:color="1DE1FF" w:themeColor="accent2" w:themeTint="99"/>
        <w:insideH w:val="single" w:sz="4" w:space="0" w:color="1DE1FF" w:themeColor="accent2" w:themeTint="99"/>
      </w:tblBorders>
    </w:tblPr>
    <w:tblStylePr w:type="firstRow">
      <w:rPr>
        <w:b/>
        <w:bCs/>
        <w:color w:val="FFFFFF" w:themeColor="background1"/>
      </w:rPr>
      <w:tblPr/>
      <w:tcPr>
        <w:tcBorders>
          <w:top w:val="single" w:sz="4" w:space="0" w:color="007586" w:themeColor="accent2"/>
          <w:left w:val="single" w:sz="4" w:space="0" w:color="007586" w:themeColor="accent2"/>
          <w:bottom w:val="single" w:sz="4" w:space="0" w:color="007586" w:themeColor="accent2"/>
          <w:right w:val="single" w:sz="4" w:space="0" w:color="007586" w:themeColor="accent2"/>
          <w:insideH w:val="nil"/>
        </w:tcBorders>
        <w:shd w:val="clear" w:color="auto" w:fill="007586" w:themeFill="accent2"/>
      </w:tcPr>
    </w:tblStylePr>
    <w:tblStylePr w:type="lastRow">
      <w:rPr>
        <w:b/>
        <w:bCs/>
      </w:rPr>
      <w:tblPr/>
      <w:tcPr>
        <w:tcBorders>
          <w:top w:val="double" w:sz="4" w:space="0" w:color="1DE1FF" w:themeColor="accent2" w:themeTint="99"/>
        </w:tcBorders>
      </w:tcPr>
    </w:tblStylePr>
    <w:tblStylePr w:type="firstCol">
      <w:rPr>
        <w:b/>
        <w:bCs/>
      </w:rPr>
    </w:tblStylePr>
    <w:tblStylePr w:type="lastCol">
      <w:rPr>
        <w:b/>
        <w:bCs/>
      </w:rPr>
    </w:tblStylePr>
    <w:tblStylePr w:type="band1Vert">
      <w:tblPr/>
      <w:tcPr>
        <w:shd w:val="clear" w:color="auto" w:fill="B3F5FF" w:themeFill="accent2" w:themeFillTint="33"/>
      </w:tcPr>
    </w:tblStylePr>
    <w:tblStylePr w:type="band1Horz">
      <w:tblPr/>
      <w:tcPr>
        <w:shd w:val="clear" w:color="auto" w:fill="B3F5FF" w:themeFill="accent2" w:themeFillTint="33"/>
      </w:tcPr>
    </w:tblStylePr>
  </w:style>
  <w:style w:type="table" w:styleId="ListTable4-Accent3">
    <w:name w:val="List Table 4 Accent 3"/>
    <w:basedOn w:val="TableNormal"/>
    <w:uiPriority w:val="49"/>
    <w:semiHidden/>
    <w:rsid w:val="00294A5A"/>
    <w:pPr>
      <w:spacing w:after="0" w:line="240" w:lineRule="auto"/>
    </w:pPr>
    <w:tblPr>
      <w:tblStyleRowBandSize w:val="1"/>
      <w:tblStyleColBandSize w:val="1"/>
      <w:tblBorders>
        <w:top w:val="single" w:sz="4" w:space="0" w:color="9CD4F3" w:themeColor="accent3" w:themeTint="99"/>
        <w:left w:val="single" w:sz="4" w:space="0" w:color="9CD4F3" w:themeColor="accent3" w:themeTint="99"/>
        <w:bottom w:val="single" w:sz="4" w:space="0" w:color="9CD4F3" w:themeColor="accent3" w:themeTint="99"/>
        <w:right w:val="single" w:sz="4" w:space="0" w:color="9CD4F3" w:themeColor="accent3" w:themeTint="99"/>
        <w:insideH w:val="single" w:sz="4" w:space="0" w:color="9CD4F3" w:themeColor="accent3" w:themeTint="99"/>
      </w:tblBorders>
    </w:tblPr>
    <w:tblStylePr w:type="firstRow">
      <w:rPr>
        <w:b/>
        <w:bCs/>
        <w:color w:val="FFFFFF" w:themeColor="background1"/>
      </w:rPr>
      <w:tblPr/>
      <w:tcPr>
        <w:tcBorders>
          <w:top w:val="single" w:sz="4" w:space="0" w:color="5AB9EB" w:themeColor="accent3"/>
          <w:left w:val="single" w:sz="4" w:space="0" w:color="5AB9EB" w:themeColor="accent3"/>
          <w:bottom w:val="single" w:sz="4" w:space="0" w:color="5AB9EB" w:themeColor="accent3"/>
          <w:right w:val="single" w:sz="4" w:space="0" w:color="5AB9EB" w:themeColor="accent3"/>
          <w:insideH w:val="nil"/>
        </w:tcBorders>
        <w:shd w:val="clear" w:color="auto" w:fill="5AB9EB" w:themeFill="accent3"/>
      </w:tcPr>
    </w:tblStylePr>
    <w:tblStylePr w:type="lastRow">
      <w:rPr>
        <w:b/>
        <w:bCs/>
      </w:rPr>
      <w:tblPr/>
      <w:tcPr>
        <w:tcBorders>
          <w:top w:val="double" w:sz="4" w:space="0" w:color="9CD4F3" w:themeColor="accent3" w:themeTint="99"/>
        </w:tcBorders>
      </w:tcPr>
    </w:tblStylePr>
    <w:tblStylePr w:type="firstCol">
      <w:rPr>
        <w:b/>
        <w:bCs/>
      </w:rPr>
    </w:tblStylePr>
    <w:tblStylePr w:type="lastCol">
      <w:rPr>
        <w:b/>
        <w:bCs/>
      </w:rPr>
    </w:tblStylePr>
    <w:tblStylePr w:type="band1Vert">
      <w:tblPr/>
      <w:tcPr>
        <w:shd w:val="clear" w:color="auto" w:fill="DEF0FB" w:themeFill="accent3" w:themeFillTint="33"/>
      </w:tcPr>
    </w:tblStylePr>
    <w:tblStylePr w:type="band1Horz">
      <w:tblPr/>
      <w:tcPr>
        <w:shd w:val="clear" w:color="auto" w:fill="DEF0FB" w:themeFill="accent3" w:themeFillTint="33"/>
      </w:tcPr>
    </w:tblStylePr>
  </w:style>
  <w:style w:type="table" w:styleId="ListTable4-Accent4">
    <w:name w:val="List Table 4 Accent 4"/>
    <w:basedOn w:val="TableNormal"/>
    <w:uiPriority w:val="49"/>
    <w:semiHidden/>
    <w:rsid w:val="00294A5A"/>
    <w:pPr>
      <w:spacing w:after="0" w:line="240" w:lineRule="auto"/>
    </w:pPr>
    <w:tblPr>
      <w:tblStyleRowBandSize w:val="1"/>
      <w:tblStyleColBandSize w:val="1"/>
      <w:tblBorders>
        <w:top w:val="single" w:sz="4" w:space="0" w:color="2793FF" w:themeColor="accent4" w:themeTint="99"/>
        <w:left w:val="single" w:sz="4" w:space="0" w:color="2793FF" w:themeColor="accent4" w:themeTint="99"/>
        <w:bottom w:val="single" w:sz="4" w:space="0" w:color="2793FF" w:themeColor="accent4" w:themeTint="99"/>
        <w:right w:val="single" w:sz="4" w:space="0" w:color="2793FF" w:themeColor="accent4" w:themeTint="99"/>
        <w:insideH w:val="single" w:sz="4" w:space="0" w:color="2793FF" w:themeColor="accent4" w:themeTint="99"/>
      </w:tblBorders>
    </w:tblPr>
    <w:tblStylePr w:type="firstRow">
      <w:rPr>
        <w:b/>
        <w:bCs/>
        <w:color w:val="FFFFFF" w:themeColor="background1"/>
      </w:rPr>
      <w:tblPr/>
      <w:tcPr>
        <w:tcBorders>
          <w:top w:val="single" w:sz="4" w:space="0" w:color="004C97" w:themeColor="accent4"/>
          <w:left w:val="single" w:sz="4" w:space="0" w:color="004C97" w:themeColor="accent4"/>
          <w:bottom w:val="single" w:sz="4" w:space="0" w:color="004C97" w:themeColor="accent4"/>
          <w:right w:val="single" w:sz="4" w:space="0" w:color="004C97" w:themeColor="accent4"/>
          <w:insideH w:val="nil"/>
        </w:tcBorders>
        <w:shd w:val="clear" w:color="auto" w:fill="004C97" w:themeFill="accent4"/>
      </w:tcPr>
    </w:tblStylePr>
    <w:tblStylePr w:type="lastRow">
      <w:rPr>
        <w:b/>
        <w:bCs/>
      </w:rPr>
      <w:tblPr/>
      <w:tcPr>
        <w:tcBorders>
          <w:top w:val="double" w:sz="4" w:space="0" w:color="2793FF" w:themeColor="accent4" w:themeTint="99"/>
        </w:tcBorders>
      </w:tcPr>
    </w:tblStylePr>
    <w:tblStylePr w:type="firstCol">
      <w:rPr>
        <w:b/>
        <w:bCs/>
      </w:rPr>
    </w:tblStylePr>
    <w:tblStylePr w:type="lastCol">
      <w:rPr>
        <w:b/>
        <w:bCs/>
      </w:rPr>
    </w:tblStylePr>
    <w:tblStylePr w:type="band1Vert">
      <w:tblPr/>
      <w:tcPr>
        <w:shd w:val="clear" w:color="auto" w:fill="B7DBFF" w:themeFill="accent4" w:themeFillTint="33"/>
      </w:tcPr>
    </w:tblStylePr>
    <w:tblStylePr w:type="band1Horz">
      <w:tblPr/>
      <w:tcPr>
        <w:shd w:val="clear" w:color="auto" w:fill="B7DBFF" w:themeFill="accent4" w:themeFillTint="33"/>
      </w:tcPr>
    </w:tblStylePr>
  </w:style>
  <w:style w:type="table" w:styleId="ListTable4-Accent5">
    <w:name w:val="List Table 4 Accent 5"/>
    <w:basedOn w:val="TableNormal"/>
    <w:uiPriority w:val="49"/>
    <w:semiHidden/>
    <w:rsid w:val="00294A5A"/>
    <w:pPr>
      <w:spacing w:after="0" w:line="240" w:lineRule="auto"/>
    </w:pPr>
    <w:tblPr>
      <w:tblStyleRowBandSize w:val="1"/>
      <w:tblStyleColBandSize w:val="1"/>
      <w:tblBorders>
        <w:top w:val="single" w:sz="4" w:space="0" w:color="9CCCA1" w:themeColor="accent5" w:themeTint="99"/>
        <w:left w:val="single" w:sz="4" w:space="0" w:color="9CCCA1" w:themeColor="accent5" w:themeTint="99"/>
        <w:bottom w:val="single" w:sz="4" w:space="0" w:color="9CCCA1" w:themeColor="accent5" w:themeTint="99"/>
        <w:right w:val="single" w:sz="4" w:space="0" w:color="9CCCA1" w:themeColor="accent5" w:themeTint="99"/>
        <w:insideH w:val="single" w:sz="4" w:space="0" w:color="9CCCA1" w:themeColor="accent5" w:themeTint="99"/>
      </w:tblBorders>
    </w:tblPr>
    <w:tblStylePr w:type="firstRow">
      <w:rPr>
        <w:b/>
        <w:bCs/>
        <w:color w:val="FFFFFF" w:themeColor="background1"/>
      </w:rPr>
      <w:tblPr/>
      <w:tcPr>
        <w:tcBorders>
          <w:top w:val="single" w:sz="4" w:space="0" w:color="5AAA64" w:themeColor="accent5"/>
          <w:left w:val="single" w:sz="4" w:space="0" w:color="5AAA64" w:themeColor="accent5"/>
          <w:bottom w:val="single" w:sz="4" w:space="0" w:color="5AAA64" w:themeColor="accent5"/>
          <w:right w:val="single" w:sz="4" w:space="0" w:color="5AAA64" w:themeColor="accent5"/>
          <w:insideH w:val="nil"/>
        </w:tcBorders>
        <w:shd w:val="clear" w:color="auto" w:fill="5AAA64" w:themeFill="accent5"/>
      </w:tcPr>
    </w:tblStylePr>
    <w:tblStylePr w:type="lastRow">
      <w:rPr>
        <w:b/>
        <w:bCs/>
      </w:rPr>
      <w:tblPr/>
      <w:tcPr>
        <w:tcBorders>
          <w:top w:val="double" w:sz="4" w:space="0" w:color="9CCCA1" w:themeColor="accent5" w:themeTint="99"/>
        </w:tcBorders>
      </w:tcPr>
    </w:tblStylePr>
    <w:tblStylePr w:type="firstCol">
      <w:rPr>
        <w:b/>
        <w:bCs/>
      </w:rPr>
    </w:tblStylePr>
    <w:tblStylePr w:type="lastCol">
      <w:rPr>
        <w:b/>
        <w:bCs/>
      </w:rPr>
    </w:tblStylePr>
    <w:tblStylePr w:type="band1Vert">
      <w:tblPr/>
      <w:tcPr>
        <w:shd w:val="clear" w:color="auto" w:fill="DEEEDF" w:themeFill="accent5" w:themeFillTint="33"/>
      </w:tcPr>
    </w:tblStylePr>
    <w:tblStylePr w:type="band1Horz">
      <w:tblPr/>
      <w:tcPr>
        <w:shd w:val="clear" w:color="auto" w:fill="DEEEDF" w:themeFill="accent5" w:themeFillTint="33"/>
      </w:tcPr>
    </w:tblStylePr>
  </w:style>
  <w:style w:type="table" w:styleId="ListTable4-Accent6">
    <w:name w:val="List Table 4 Accent 6"/>
    <w:basedOn w:val="TableNormal"/>
    <w:uiPriority w:val="49"/>
    <w:semiHidden/>
    <w:rsid w:val="00294A5A"/>
    <w:pPr>
      <w:spacing w:after="0" w:line="240" w:lineRule="auto"/>
    </w:pPr>
    <w:tblPr>
      <w:tblStyleRowBandSize w:val="1"/>
      <w:tblStyleColBandSize w:val="1"/>
      <w:tblBorders>
        <w:top w:val="single" w:sz="4" w:space="0" w:color="F0A28A" w:themeColor="accent6" w:themeTint="99"/>
        <w:left w:val="single" w:sz="4" w:space="0" w:color="F0A28A" w:themeColor="accent6" w:themeTint="99"/>
        <w:bottom w:val="single" w:sz="4" w:space="0" w:color="F0A28A" w:themeColor="accent6" w:themeTint="99"/>
        <w:right w:val="single" w:sz="4" w:space="0" w:color="F0A28A" w:themeColor="accent6" w:themeTint="99"/>
        <w:insideH w:val="single" w:sz="4" w:space="0" w:color="F0A28A" w:themeColor="accent6" w:themeTint="99"/>
      </w:tblBorders>
    </w:tblPr>
    <w:tblStylePr w:type="firstRow">
      <w:rPr>
        <w:b/>
        <w:bCs/>
        <w:color w:val="FFFFFF" w:themeColor="background1"/>
      </w:rPr>
      <w:tblPr/>
      <w:tcPr>
        <w:tcBorders>
          <w:top w:val="single" w:sz="4" w:space="0" w:color="E6643C" w:themeColor="accent6"/>
          <w:left w:val="single" w:sz="4" w:space="0" w:color="E6643C" w:themeColor="accent6"/>
          <w:bottom w:val="single" w:sz="4" w:space="0" w:color="E6643C" w:themeColor="accent6"/>
          <w:right w:val="single" w:sz="4" w:space="0" w:color="E6643C" w:themeColor="accent6"/>
          <w:insideH w:val="nil"/>
        </w:tcBorders>
        <w:shd w:val="clear" w:color="auto" w:fill="E6643C" w:themeFill="accent6"/>
      </w:tcPr>
    </w:tblStylePr>
    <w:tblStylePr w:type="lastRow">
      <w:rPr>
        <w:b/>
        <w:bCs/>
      </w:rPr>
      <w:tblPr/>
      <w:tcPr>
        <w:tcBorders>
          <w:top w:val="double" w:sz="4" w:space="0" w:color="F0A28A" w:themeColor="accent6" w:themeTint="99"/>
        </w:tcBorders>
      </w:tcPr>
    </w:tblStylePr>
    <w:tblStylePr w:type="firstCol">
      <w:rPr>
        <w:b/>
        <w:bCs/>
      </w:rPr>
    </w:tblStylePr>
    <w:tblStylePr w:type="lastCol">
      <w:rPr>
        <w:b/>
        <w:bCs/>
      </w:rPr>
    </w:tblStylePr>
    <w:tblStylePr w:type="band1Vert">
      <w:tblPr/>
      <w:tcPr>
        <w:shd w:val="clear" w:color="auto" w:fill="FAE0D8" w:themeFill="accent6" w:themeFillTint="33"/>
      </w:tcPr>
    </w:tblStylePr>
    <w:tblStylePr w:type="band1Horz">
      <w:tblPr/>
      <w:tcPr>
        <w:shd w:val="clear" w:color="auto" w:fill="FAE0D8" w:themeFill="accent6" w:themeFillTint="33"/>
      </w:tcPr>
    </w:tblStylePr>
  </w:style>
  <w:style w:type="table" w:styleId="ListTable5Dark">
    <w:name w:val="List Table 5 Dark"/>
    <w:basedOn w:val="TableNormal"/>
    <w:uiPriority w:val="50"/>
    <w:semiHidden/>
    <w:rsid w:val="00294A5A"/>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294A5A"/>
    <w:pPr>
      <w:spacing w:after="0" w:line="240" w:lineRule="auto"/>
    </w:pPr>
    <w:rPr>
      <w:color w:val="FFFFFF" w:themeColor="background1"/>
    </w:rPr>
    <w:tblPr>
      <w:tblStyleRowBandSize w:val="1"/>
      <w:tblStyleColBandSize w:val="1"/>
      <w:tblBorders>
        <w:top w:val="single" w:sz="24" w:space="0" w:color="1B242A" w:themeColor="accent1"/>
        <w:left w:val="single" w:sz="24" w:space="0" w:color="1B242A" w:themeColor="accent1"/>
        <w:bottom w:val="single" w:sz="24" w:space="0" w:color="1B242A" w:themeColor="accent1"/>
        <w:right w:val="single" w:sz="24" w:space="0" w:color="1B242A" w:themeColor="accent1"/>
      </w:tblBorders>
    </w:tblPr>
    <w:tcPr>
      <w:shd w:val="clear" w:color="auto" w:fill="1B242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294A5A"/>
    <w:pPr>
      <w:spacing w:after="0" w:line="240" w:lineRule="auto"/>
    </w:pPr>
    <w:rPr>
      <w:color w:val="FFFFFF" w:themeColor="background1"/>
    </w:rPr>
    <w:tblPr>
      <w:tblStyleRowBandSize w:val="1"/>
      <w:tblStyleColBandSize w:val="1"/>
      <w:tblBorders>
        <w:top w:val="single" w:sz="24" w:space="0" w:color="007586" w:themeColor="accent2"/>
        <w:left w:val="single" w:sz="24" w:space="0" w:color="007586" w:themeColor="accent2"/>
        <w:bottom w:val="single" w:sz="24" w:space="0" w:color="007586" w:themeColor="accent2"/>
        <w:right w:val="single" w:sz="24" w:space="0" w:color="007586" w:themeColor="accent2"/>
      </w:tblBorders>
    </w:tblPr>
    <w:tcPr>
      <w:shd w:val="clear" w:color="auto" w:fill="00758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294A5A"/>
    <w:pPr>
      <w:spacing w:after="0" w:line="240" w:lineRule="auto"/>
    </w:pPr>
    <w:rPr>
      <w:color w:val="FFFFFF" w:themeColor="background1"/>
    </w:rPr>
    <w:tblPr>
      <w:tblStyleRowBandSize w:val="1"/>
      <w:tblStyleColBandSize w:val="1"/>
      <w:tblBorders>
        <w:top w:val="single" w:sz="24" w:space="0" w:color="5AB9EB" w:themeColor="accent3"/>
        <w:left w:val="single" w:sz="24" w:space="0" w:color="5AB9EB" w:themeColor="accent3"/>
        <w:bottom w:val="single" w:sz="24" w:space="0" w:color="5AB9EB" w:themeColor="accent3"/>
        <w:right w:val="single" w:sz="24" w:space="0" w:color="5AB9EB" w:themeColor="accent3"/>
      </w:tblBorders>
    </w:tblPr>
    <w:tcPr>
      <w:shd w:val="clear" w:color="auto" w:fill="5AB9EB"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294A5A"/>
    <w:pPr>
      <w:spacing w:after="0" w:line="240" w:lineRule="auto"/>
    </w:pPr>
    <w:rPr>
      <w:color w:val="FFFFFF" w:themeColor="background1"/>
    </w:rPr>
    <w:tblPr>
      <w:tblStyleRowBandSize w:val="1"/>
      <w:tblStyleColBandSize w:val="1"/>
      <w:tblBorders>
        <w:top w:val="single" w:sz="24" w:space="0" w:color="004C97" w:themeColor="accent4"/>
        <w:left w:val="single" w:sz="24" w:space="0" w:color="004C97" w:themeColor="accent4"/>
        <w:bottom w:val="single" w:sz="24" w:space="0" w:color="004C97" w:themeColor="accent4"/>
        <w:right w:val="single" w:sz="24" w:space="0" w:color="004C97" w:themeColor="accent4"/>
      </w:tblBorders>
    </w:tblPr>
    <w:tcPr>
      <w:shd w:val="clear" w:color="auto" w:fill="004C9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294A5A"/>
    <w:pPr>
      <w:spacing w:after="0" w:line="240" w:lineRule="auto"/>
    </w:pPr>
    <w:rPr>
      <w:color w:val="FFFFFF" w:themeColor="background1"/>
    </w:rPr>
    <w:tblPr>
      <w:tblStyleRowBandSize w:val="1"/>
      <w:tblStyleColBandSize w:val="1"/>
      <w:tblBorders>
        <w:top w:val="single" w:sz="24" w:space="0" w:color="5AAA64" w:themeColor="accent5"/>
        <w:left w:val="single" w:sz="24" w:space="0" w:color="5AAA64" w:themeColor="accent5"/>
        <w:bottom w:val="single" w:sz="24" w:space="0" w:color="5AAA64" w:themeColor="accent5"/>
        <w:right w:val="single" w:sz="24" w:space="0" w:color="5AAA64" w:themeColor="accent5"/>
      </w:tblBorders>
    </w:tblPr>
    <w:tcPr>
      <w:shd w:val="clear" w:color="auto" w:fill="5AAA6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294A5A"/>
    <w:pPr>
      <w:spacing w:after="0" w:line="240" w:lineRule="auto"/>
    </w:pPr>
    <w:rPr>
      <w:color w:val="FFFFFF" w:themeColor="background1"/>
    </w:rPr>
    <w:tblPr>
      <w:tblStyleRowBandSize w:val="1"/>
      <w:tblStyleColBandSize w:val="1"/>
      <w:tblBorders>
        <w:top w:val="single" w:sz="24" w:space="0" w:color="E6643C" w:themeColor="accent6"/>
        <w:left w:val="single" w:sz="24" w:space="0" w:color="E6643C" w:themeColor="accent6"/>
        <w:bottom w:val="single" w:sz="24" w:space="0" w:color="E6643C" w:themeColor="accent6"/>
        <w:right w:val="single" w:sz="24" w:space="0" w:color="E6643C" w:themeColor="accent6"/>
      </w:tblBorders>
    </w:tblPr>
    <w:tcPr>
      <w:shd w:val="clear" w:color="auto" w:fill="E6643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294A5A"/>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294A5A"/>
    <w:pPr>
      <w:spacing w:after="0" w:line="240" w:lineRule="auto"/>
    </w:pPr>
    <w:rPr>
      <w:color w:val="141A1F" w:themeColor="accent1" w:themeShade="BF"/>
    </w:rPr>
    <w:tblPr>
      <w:tblStyleRowBandSize w:val="1"/>
      <w:tblStyleColBandSize w:val="1"/>
      <w:tblBorders>
        <w:top w:val="single" w:sz="4" w:space="0" w:color="1B242A" w:themeColor="accent1"/>
        <w:bottom w:val="single" w:sz="4" w:space="0" w:color="1B242A" w:themeColor="accent1"/>
      </w:tblBorders>
    </w:tblPr>
    <w:tblStylePr w:type="firstRow">
      <w:rPr>
        <w:b/>
        <w:bCs/>
      </w:rPr>
      <w:tblPr/>
      <w:tcPr>
        <w:tcBorders>
          <w:bottom w:val="single" w:sz="4" w:space="0" w:color="1B242A" w:themeColor="accent1"/>
        </w:tcBorders>
      </w:tcPr>
    </w:tblStylePr>
    <w:tblStylePr w:type="lastRow">
      <w:rPr>
        <w:b/>
        <w:bCs/>
      </w:rPr>
      <w:tblPr/>
      <w:tcPr>
        <w:tcBorders>
          <w:top w:val="double" w:sz="4" w:space="0" w:color="1B242A" w:themeColor="accent1"/>
        </w:tcBorders>
      </w:tcPr>
    </w:tblStylePr>
    <w:tblStylePr w:type="firstCol">
      <w:rPr>
        <w:b/>
        <w:bCs/>
      </w:rPr>
    </w:tblStylePr>
    <w:tblStylePr w:type="lastCol">
      <w:rPr>
        <w:b/>
        <w:bCs/>
      </w:rPr>
    </w:tblStylePr>
    <w:tblStylePr w:type="band1Vert">
      <w:tblPr/>
      <w:tcPr>
        <w:shd w:val="clear" w:color="auto" w:fill="C9D4DC" w:themeFill="accent1" w:themeFillTint="33"/>
      </w:tcPr>
    </w:tblStylePr>
    <w:tblStylePr w:type="band1Horz">
      <w:tblPr/>
      <w:tcPr>
        <w:shd w:val="clear" w:color="auto" w:fill="C9D4DC" w:themeFill="accent1" w:themeFillTint="33"/>
      </w:tcPr>
    </w:tblStylePr>
  </w:style>
  <w:style w:type="table" w:styleId="ListTable6Colorful-Accent2">
    <w:name w:val="List Table 6 Colorful Accent 2"/>
    <w:basedOn w:val="TableNormal"/>
    <w:uiPriority w:val="51"/>
    <w:semiHidden/>
    <w:rsid w:val="00294A5A"/>
    <w:pPr>
      <w:spacing w:after="0" w:line="240" w:lineRule="auto"/>
    </w:pPr>
    <w:rPr>
      <w:color w:val="005764" w:themeColor="accent2" w:themeShade="BF"/>
    </w:rPr>
    <w:tblPr>
      <w:tblStyleRowBandSize w:val="1"/>
      <w:tblStyleColBandSize w:val="1"/>
      <w:tblBorders>
        <w:top w:val="single" w:sz="4" w:space="0" w:color="007586" w:themeColor="accent2"/>
        <w:bottom w:val="single" w:sz="4" w:space="0" w:color="007586" w:themeColor="accent2"/>
      </w:tblBorders>
    </w:tblPr>
    <w:tblStylePr w:type="firstRow">
      <w:rPr>
        <w:b/>
        <w:bCs/>
      </w:rPr>
      <w:tblPr/>
      <w:tcPr>
        <w:tcBorders>
          <w:bottom w:val="single" w:sz="4" w:space="0" w:color="007586" w:themeColor="accent2"/>
        </w:tcBorders>
      </w:tcPr>
    </w:tblStylePr>
    <w:tblStylePr w:type="lastRow">
      <w:rPr>
        <w:b/>
        <w:bCs/>
      </w:rPr>
      <w:tblPr/>
      <w:tcPr>
        <w:tcBorders>
          <w:top w:val="double" w:sz="4" w:space="0" w:color="007586" w:themeColor="accent2"/>
        </w:tcBorders>
      </w:tcPr>
    </w:tblStylePr>
    <w:tblStylePr w:type="firstCol">
      <w:rPr>
        <w:b/>
        <w:bCs/>
      </w:rPr>
    </w:tblStylePr>
    <w:tblStylePr w:type="lastCol">
      <w:rPr>
        <w:b/>
        <w:bCs/>
      </w:rPr>
    </w:tblStylePr>
    <w:tblStylePr w:type="band1Vert">
      <w:tblPr/>
      <w:tcPr>
        <w:shd w:val="clear" w:color="auto" w:fill="B3F5FF" w:themeFill="accent2" w:themeFillTint="33"/>
      </w:tcPr>
    </w:tblStylePr>
    <w:tblStylePr w:type="band1Horz">
      <w:tblPr/>
      <w:tcPr>
        <w:shd w:val="clear" w:color="auto" w:fill="B3F5FF" w:themeFill="accent2" w:themeFillTint="33"/>
      </w:tcPr>
    </w:tblStylePr>
  </w:style>
  <w:style w:type="table" w:styleId="ListTable6Colorful-Accent3">
    <w:name w:val="List Table 6 Colorful Accent 3"/>
    <w:basedOn w:val="TableNormal"/>
    <w:uiPriority w:val="51"/>
    <w:semiHidden/>
    <w:rsid w:val="00294A5A"/>
    <w:pPr>
      <w:spacing w:after="0" w:line="240" w:lineRule="auto"/>
    </w:pPr>
    <w:rPr>
      <w:color w:val="1A97D9" w:themeColor="accent3" w:themeShade="BF"/>
    </w:rPr>
    <w:tblPr>
      <w:tblStyleRowBandSize w:val="1"/>
      <w:tblStyleColBandSize w:val="1"/>
      <w:tblBorders>
        <w:top w:val="single" w:sz="4" w:space="0" w:color="5AB9EB" w:themeColor="accent3"/>
        <w:bottom w:val="single" w:sz="4" w:space="0" w:color="5AB9EB" w:themeColor="accent3"/>
      </w:tblBorders>
    </w:tblPr>
    <w:tblStylePr w:type="firstRow">
      <w:rPr>
        <w:b/>
        <w:bCs/>
      </w:rPr>
      <w:tblPr/>
      <w:tcPr>
        <w:tcBorders>
          <w:bottom w:val="single" w:sz="4" w:space="0" w:color="5AB9EB" w:themeColor="accent3"/>
        </w:tcBorders>
      </w:tcPr>
    </w:tblStylePr>
    <w:tblStylePr w:type="lastRow">
      <w:rPr>
        <w:b/>
        <w:bCs/>
      </w:rPr>
      <w:tblPr/>
      <w:tcPr>
        <w:tcBorders>
          <w:top w:val="double" w:sz="4" w:space="0" w:color="5AB9EB" w:themeColor="accent3"/>
        </w:tcBorders>
      </w:tcPr>
    </w:tblStylePr>
    <w:tblStylePr w:type="firstCol">
      <w:rPr>
        <w:b/>
        <w:bCs/>
      </w:rPr>
    </w:tblStylePr>
    <w:tblStylePr w:type="lastCol">
      <w:rPr>
        <w:b/>
        <w:bCs/>
      </w:rPr>
    </w:tblStylePr>
    <w:tblStylePr w:type="band1Vert">
      <w:tblPr/>
      <w:tcPr>
        <w:shd w:val="clear" w:color="auto" w:fill="DEF0FB" w:themeFill="accent3" w:themeFillTint="33"/>
      </w:tcPr>
    </w:tblStylePr>
    <w:tblStylePr w:type="band1Horz">
      <w:tblPr/>
      <w:tcPr>
        <w:shd w:val="clear" w:color="auto" w:fill="DEF0FB" w:themeFill="accent3" w:themeFillTint="33"/>
      </w:tcPr>
    </w:tblStylePr>
  </w:style>
  <w:style w:type="table" w:styleId="ListTable6Colorful-Accent4">
    <w:name w:val="List Table 6 Colorful Accent 4"/>
    <w:basedOn w:val="TableNormal"/>
    <w:uiPriority w:val="51"/>
    <w:semiHidden/>
    <w:rsid w:val="00294A5A"/>
    <w:pPr>
      <w:spacing w:after="0" w:line="240" w:lineRule="auto"/>
    </w:pPr>
    <w:rPr>
      <w:color w:val="003871" w:themeColor="accent4" w:themeShade="BF"/>
    </w:rPr>
    <w:tblPr>
      <w:tblStyleRowBandSize w:val="1"/>
      <w:tblStyleColBandSize w:val="1"/>
      <w:tblBorders>
        <w:top w:val="single" w:sz="4" w:space="0" w:color="004C97" w:themeColor="accent4"/>
        <w:bottom w:val="single" w:sz="4" w:space="0" w:color="004C97" w:themeColor="accent4"/>
      </w:tblBorders>
    </w:tblPr>
    <w:tblStylePr w:type="firstRow">
      <w:rPr>
        <w:b/>
        <w:bCs/>
      </w:rPr>
      <w:tblPr/>
      <w:tcPr>
        <w:tcBorders>
          <w:bottom w:val="single" w:sz="4" w:space="0" w:color="004C97" w:themeColor="accent4"/>
        </w:tcBorders>
      </w:tcPr>
    </w:tblStylePr>
    <w:tblStylePr w:type="lastRow">
      <w:rPr>
        <w:b/>
        <w:bCs/>
      </w:rPr>
      <w:tblPr/>
      <w:tcPr>
        <w:tcBorders>
          <w:top w:val="double" w:sz="4" w:space="0" w:color="004C97" w:themeColor="accent4"/>
        </w:tcBorders>
      </w:tcPr>
    </w:tblStylePr>
    <w:tblStylePr w:type="firstCol">
      <w:rPr>
        <w:b/>
        <w:bCs/>
      </w:rPr>
    </w:tblStylePr>
    <w:tblStylePr w:type="lastCol">
      <w:rPr>
        <w:b/>
        <w:bCs/>
      </w:rPr>
    </w:tblStylePr>
    <w:tblStylePr w:type="band1Vert">
      <w:tblPr/>
      <w:tcPr>
        <w:shd w:val="clear" w:color="auto" w:fill="B7DBFF" w:themeFill="accent4" w:themeFillTint="33"/>
      </w:tcPr>
    </w:tblStylePr>
    <w:tblStylePr w:type="band1Horz">
      <w:tblPr/>
      <w:tcPr>
        <w:shd w:val="clear" w:color="auto" w:fill="B7DBFF" w:themeFill="accent4" w:themeFillTint="33"/>
      </w:tcPr>
    </w:tblStylePr>
  </w:style>
  <w:style w:type="table" w:styleId="ListTable6Colorful-Accent5">
    <w:name w:val="List Table 6 Colorful Accent 5"/>
    <w:basedOn w:val="TableNormal"/>
    <w:uiPriority w:val="51"/>
    <w:semiHidden/>
    <w:rsid w:val="00294A5A"/>
    <w:pPr>
      <w:spacing w:after="0" w:line="240" w:lineRule="auto"/>
    </w:pPr>
    <w:rPr>
      <w:color w:val="428049" w:themeColor="accent5" w:themeShade="BF"/>
    </w:rPr>
    <w:tblPr>
      <w:tblStyleRowBandSize w:val="1"/>
      <w:tblStyleColBandSize w:val="1"/>
      <w:tblBorders>
        <w:top w:val="single" w:sz="4" w:space="0" w:color="5AAA64" w:themeColor="accent5"/>
        <w:bottom w:val="single" w:sz="4" w:space="0" w:color="5AAA64" w:themeColor="accent5"/>
      </w:tblBorders>
    </w:tblPr>
    <w:tblStylePr w:type="firstRow">
      <w:rPr>
        <w:b/>
        <w:bCs/>
      </w:rPr>
      <w:tblPr/>
      <w:tcPr>
        <w:tcBorders>
          <w:bottom w:val="single" w:sz="4" w:space="0" w:color="5AAA64" w:themeColor="accent5"/>
        </w:tcBorders>
      </w:tcPr>
    </w:tblStylePr>
    <w:tblStylePr w:type="lastRow">
      <w:rPr>
        <w:b/>
        <w:bCs/>
      </w:rPr>
      <w:tblPr/>
      <w:tcPr>
        <w:tcBorders>
          <w:top w:val="double" w:sz="4" w:space="0" w:color="5AAA64" w:themeColor="accent5"/>
        </w:tcBorders>
      </w:tcPr>
    </w:tblStylePr>
    <w:tblStylePr w:type="firstCol">
      <w:rPr>
        <w:b/>
        <w:bCs/>
      </w:rPr>
    </w:tblStylePr>
    <w:tblStylePr w:type="lastCol">
      <w:rPr>
        <w:b/>
        <w:bCs/>
      </w:rPr>
    </w:tblStylePr>
    <w:tblStylePr w:type="band1Vert">
      <w:tblPr/>
      <w:tcPr>
        <w:shd w:val="clear" w:color="auto" w:fill="DEEEDF" w:themeFill="accent5" w:themeFillTint="33"/>
      </w:tcPr>
    </w:tblStylePr>
    <w:tblStylePr w:type="band1Horz">
      <w:tblPr/>
      <w:tcPr>
        <w:shd w:val="clear" w:color="auto" w:fill="DEEEDF" w:themeFill="accent5" w:themeFillTint="33"/>
      </w:tcPr>
    </w:tblStylePr>
  </w:style>
  <w:style w:type="table" w:styleId="ListTable6Colorful-Accent6">
    <w:name w:val="List Table 6 Colorful Accent 6"/>
    <w:basedOn w:val="TableNormal"/>
    <w:uiPriority w:val="51"/>
    <w:semiHidden/>
    <w:rsid w:val="00294A5A"/>
    <w:pPr>
      <w:spacing w:after="0" w:line="240" w:lineRule="auto"/>
    </w:pPr>
    <w:rPr>
      <w:color w:val="C04018" w:themeColor="accent6" w:themeShade="BF"/>
    </w:rPr>
    <w:tblPr>
      <w:tblStyleRowBandSize w:val="1"/>
      <w:tblStyleColBandSize w:val="1"/>
      <w:tblBorders>
        <w:top w:val="single" w:sz="4" w:space="0" w:color="E6643C" w:themeColor="accent6"/>
        <w:bottom w:val="single" w:sz="4" w:space="0" w:color="E6643C" w:themeColor="accent6"/>
      </w:tblBorders>
    </w:tblPr>
    <w:tblStylePr w:type="firstRow">
      <w:rPr>
        <w:b/>
        <w:bCs/>
      </w:rPr>
      <w:tblPr/>
      <w:tcPr>
        <w:tcBorders>
          <w:bottom w:val="single" w:sz="4" w:space="0" w:color="E6643C" w:themeColor="accent6"/>
        </w:tcBorders>
      </w:tcPr>
    </w:tblStylePr>
    <w:tblStylePr w:type="lastRow">
      <w:rPr>
        <w:b/>
        <w:bCs/>
      </w:rPr>
      <w:tblPr/>
      <w:tcPr>
        <w:tcBorders>
          <w:top w:val="double" w:sz="4" w:space="0" w:color="E6643C" w:themeColor="accent6"/>
        </w:tcBorders>
      </w:tcPr>
    </w:tblStylePr>
    <w:tblStylePr w:type="firstCol">
      <w:rPr>
        <w:b/>
        <w:bCs/>
      </w:rPr>
    </w:tblStylePr>
    <w:tblStylePr w:type="lastCol">
      <w:rPr>
        <w:b/>
        <w:bCs/>
      </w:rPr>
    </w:tblStylePr>
    <w:tblStylePr w:type="band1Vert">
      <w:tblPr/>
      <w:tcPr>
        <w:shd w:val="clear" w:color="auto" w:fill="FAE0D8" w:themeFill="accent6" w:themeFillTint="33"/>
      </w:tcPr>
    </w:tblStylePr>
    <w:tblStylePr w:type="band1Horz">
      <w:tblPr/>
      <w:tcPr>
        <w:shd w:val="clear" w:color="auto" w:fill="FAE0D8" w:themeFill="accent6" w:themeFillTint="33"/>
      </w:tcPr>
    </w:tblStylePr>
  </w:style>
  <w:style w:type="table" w:styleId="ListTable7Colorful">
    <w:name w:val="List Table 7 Colorful"/>
    <w:basedOn w:val="TableNormal"/>
    <w:uiPriority w:val="52"/>
    <w:semiHidden/>
    <w:rsid w:val="00294A5A"/>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294A5A"/>
    <w:pPr>
      <w:spacing w:after="0" w:line="240" w:lineRule="auto"/>
    </w:pPr>
    <w:rPr>
      <w:color w:val="141A1F"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B242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B242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B242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B242A" w:themeColor="accent1"/>
        </w:tcBorders>
        <w:shd w:val="clear" w:color="auto" w:fill="FFFFFF" w:themeFill="background1"/>
      </w:tcPr>
    </w:tblStylePr>
    <w:tblStylePr w:type="band1Vert">
      <w:tblPr/>
      <w:tcPr>
        <w:shd w:val="clear" w:color="auto" w:fill="C9D4DC" w:themeFill="accent1" w:themeFillTint="33"/>
      </w:tcPr>
    </w:tblStylePr>
    <w:tblStylePr w:type="band1Horz">
      <w:tblPr/>
      <w:tcPr>
        <w:shd w:val="clear" w:color="auto" w:fill="C9D4DC"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294A5A"/>
    <w:pPr>
      <w:spacing w:after="0" w:line="240" w:lineRule="auto"/>
    </w:pPr>
    <w:rPr>
      <w:color w:val="00576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58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58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58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586" w:themeColor="accent2"/>
        </w:tcBorders>
        <w:shd w:val="clear" w:color="auto" w:fill="FFFFFF" w:themeFill="background1"/>
      </w:tcPr>
    </w:tblStylePr>
    <w:tblStylePr w:type="band1Vert">
      <w:tblPr/>
      <w:tcPr>
        <w:shd w:val="clear" w:color="auto" w:fill="B3F5FF" w:themeFill="accent2" w:themeFillTint="33"/>
      </w:tcPr>
    </w:tblStylePr>
    <w:tblStylePr w:type="band1Horz">
      <w:tblPr/>
      <w:tcPr>
        <w:shd w:val="clear" w:color="auto" w:fill="B3F5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294A5A"/>
    <w:pPr>
      <w:spacing w:after="0" w:line="240" w:lineRule="auto"/>
    </w:pPr>
    <w:rPr>
      <w:color w:val="1A97D9"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AB9EB"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AB9EB"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AB9EB"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AB9EB" w:themeColor="accent3"/>
        </w:tcBorders>
        <w:shd w:val="clear" w:color="auto" w:fill="FFFFFF" w:themeFill="background1"/>
      </w:tcPr>
    </w:tblStylePr>
    <w:tblStylePr w:type="band1Vert">
      <w:tblPr/>
      <w:tcPr>
        <w:shd w:val="clear" w:color="auto" w:fill="DEF0FB" w:themeFill="accent3" w:themeFillTint="33"/>
      </w:tcPr>
    </w:tblStylePr>
    <w:tblStylePr w:type="band1Horz">
      <w:tblPr/>
      <w:tcPr>
        <w:shd w:val="clear" w:color="auto" w:fill="DEF0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294A5A"/>
    <w:pPr>
      <w:spacing w:after="0" w:line="240" w:lineRule="auto"/>
    </w:pPr>
    <w:rPr>
      <w:color w:val="003871"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4"/>
        </w:tcBorders>
        <w:shd w:val="clear" w:color="auto" w:fill="FFFFFF" w:themeFill="background1"/>
      </w:tcPr>
    </w:tblStylePr>
    <w:tblStylePr w:type="band1Vert">
      <w:tblPr/>
      <w:tcPr>
        <w:shd w:val="clear" w:color="auto" w:fill="B7DBFF" w:themeFill="accent4" w:themeFillTint="33"/>
      </w:tcPr>
    </w:tblStylePr>
    <w:tblStylePr w:type="band1Horz">
      <w:tblPr/>
      <w:tcPr>
        <w:shd w:val="clear" w:color="auto" w:fill="B7DBF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294A5A"/>
    <w:pPr>
      <w:spacing w:after="0" w:line="240" w:lineRule="auto"/>
    </w:pPr>
    <w:rPr>
      <w:color w:val="428049"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AAA6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AAA6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AAA6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AAA64" w:themeColor="accent5"/>
        </w:tcBorders>
        <w:shd w:val="clear" w:color="auto" w:fill="FFFFFF" w:themeFill="background1"/>
      </w:tcPr>
    </w:tblStylePr>
    <w:tblStylePr w:type="band1Vert">
      <w:tblPr/>
      <w:tcPr>
        <w:shd w:val="clear" w:color="auto" w:fill="DEEEDF" w:themeFill="accent5" w:themeFillTint="33"/>
      </w:tcPr>
    </w:tblStylePr>
    <w:tblStylePr w:type="band1Horz">
      <w:tblPr/>
      <w:tcPr>
        <w:shd w:val="clear" w:color="auto" w:fill="DEEE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294A5A"/>
    <w:pPr>
      <w:spacing w:after="0" w:line="240" w:lineRule="auto"/>
    </w:pPr>
    <w:rPr>
      <w:color w:val="C04018"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6643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6643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6643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6643C" w:themeColor="accent6"/>
        </w:tcBorders>
        <w:shd w:val="clear" w:color="auto" w:fill="FFFFFF" w:themeFill="background1"/>
      </w:tcPr>
    </w:tblStylePr>
    <w:tblStylePr w:type="band1Vert">
      <w:tblPr/>
      <w:tcPr>
        <w:shd w:val="clear" w:color="auto" w:fill="FAE0D8" w:themeFill="accent6" w:themeFillTint="33"/>
      </w:tcPr>
    </w:tblStylePr>
    <w:tblStylePr w:type="band1Horz">
      <w:tblPr/>
      <w:tcPr>
        <w:shd w:val="clear" w:color="auto" w:fill="FAE0D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294A5A"/>
    <w:pPr>
      <w:spacing w:before="0"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294A5A"/>
    <w:pPr>
      <w:spacing w:before="0" w:after="0" w:line="240" w:lineRule="auto"/>
    </w:pPr>
    <w:tblPr>
      <w:tblStyleRowBandSize w:val="1"/>
      <w:tblStyleColBandSize w:val="1"/>
      <w:tblBorders>
        <w:top w:val="single" w:sz="8" w:space="0" w:color="465D6D" w:themeColor="accent1" w:themeTint="BF"/>
        <w:left w:val="single" w:sz="8" w:space="0" w:color="465D6D" w:themeColor="accent1" w:themeTint="BF"/>
        <w:bottom w:val="single" w:sz="8" w:space="0" w:color="465D6D" w:themeColor="accent1" w:themeTint="BF"/>
        <w:right w:val="single" w:sz="8" w:space="0" w:color="465D6D" w:themeColor="accent1" w:themeTint="BF"/>
        <w:insideH w:val="single" w:sz="8" w:space="0" w:color="465D6D" w:themeColor="accent1" w:themeTint="BF"/>
        <w:insideV w:val="single" w:sz="8" w:space="0" w:color="465D6D" w:themeColor="accent1" w:themeTint="BF"/>
      </w:tblBorders>
    </w:tblPr>
    <w:tcPr>
      <w:shd w:val="clear" w:color="auto" w:fill="BCCAD4" w:themeFill="accent1" w:themeFillTint="3F"/>
    </w:tcPr>
    <w:tblStylePr w:type="firstRow">
      <w:rPr>
        <w:b/>
        <w:bCs/>
      </w:rPr>
    </w:tblStylePr>
    <w:tblStylePr w:type="lastRow">
      <w:rPr>
        <w:b/>
        <w:bCs/>
      </w:rPr>
      <w:tblPr/>
      <w:tcPr>
        <w:tcBorders>
          <w:top w:val="single" w:sz="18" w:space="0" w:color="465D6D" w:themeColor="accent1" w:themeTint="BF"/>
        </w:tcBorders>
      </w:tcPr>
    </w:tblStylePr>
    <w:tblStylePr w:type="firstCol">
      <w:rPr>
        <w:b/>
        <w:bCs/>
      </w:rPr>
    </w:tblStylePr>
    <w:tblStylePr w:type="lastCol">
      <w:rPr>
        <w:b/>
        <w:bCs/>
      </w:rPr>
    </w:tblStylePr>
    <w:tblStylePr w:type="band1Vert">
      <w:tblPr/>
      <w:tcPr>
        <w:shd w:val="clear" w:color="auto" w:fill="7995A9" w:themeFill="accent1" w:themeFillTint="7F"/>
      </w:tcPr>
    </w:tblStylePr>
    <w:tblStylePr w:type="band1Horz">
      <w:tblPr/>
      <w:tcPr>
        <w:shd w:val="clear" w:color="auto" w:fill="7995A9" w:themeFill="accent1" w:themeFillTint="7F"/>
      </w:tcPr>
    </w:tblStylePr>
  </w:style>
  <w:style w:type="table" w:styleId="MediumGrid1-Accent2">
    <w:name w:val="Medium Grid 1 Accent 2"/>
    <w:basedOn w:val="TableNormal"/>
    <w:uiPriority w:val="67"/>
    <w:semiHidden/>
    <w:rsid w:val="00294A5A"/>
    <w:pPr>
      <w:spacing w:before="0" w:after="0" w:line="240" w:lineRule="auto"/>
    </w:pPr>
    <w:tblPr>
      <w:tblStyleRowBandSize w:val="1"/>
      <w:tblStyleColBandSize w:val="1"/>
      <w:tblBorders>
        <w:top w:val="single" w:sz="8" w:space="0" w:color="00C6E4" w:themeColor="accent2" w:themeTint="BF"/>
        <w:left w:val="single" w:sz="8" w:space="0" w:color="00C6E4" w:themeColor="accent2" w:themeTint="BF"/>
        <w:bottom w:val="single" w:sz="8" w:space="0" w:color="00C6E4" w:themeColor="accent2" w:themeTint="BF"/>
        <w:right w:val="single" w:sz="8" w:space="0" w:color="00C6E4" w:themeColor="accent2" w:themeTint="BF"/>
        <w:insideH w:val="single" w:sz="8" w:space="0" w:color="00C6E4" w:themeColor="accent2" w:themeTint="BF"/>
        <w:insideV w:val="single" w:sz="8" w:space="0" w:color="00C6E4" w:themeColor="accent2" w:themeTint="BF"/>
      </w:tblBorders>
    </w:tblPr>
    <w:tcPr>
      <w:shd w:val="clear" w:color="auto" w:fill="A2F2FF" w:themeFill="accent2" w:themeFillTint="3F"/>
    </w:tcPr>
    <w:tblStylePr w:type="firstRow">
      <w:rPr>
        <w:b/>
        <w:bCs/>
      </w:rPr>
    </w:tblStylePr>
    <w:tblStylePr w:type="lastRow">
      <w:rPr>
        <w:b/>
        <w:bCs/>
      </w:rPr>
      <w:tblPr/>
      <w:tcPr>
        <w:tcBorders>
          <w:top w:val="single" w:sz="18" w:space="0" w:color="00C6E4" w:themeColor="accent2" w:themeTint="BF"/>
        </w:tcBorders>
      </w:tcPr>
    </w:tblStylePr>
    <w:tblStylePr w:type="firstCol">
      <w:rPr>
        <w:b/>
        <w:bCs/>
      </w:rPr>
    </w:tblStylePr>
    <w:tblStylePr w:type="lastCol">
      <w:rPr>
        <w:b/>
        <w:bCs/>
      </w:rPr>
    </w:tblStylePr>
    <w:tblStylePr w:type="band1Vert">
      <w:tblPr/>
      <w:tcPr>
        <w:shd w:val="clear" w:color="auto" w:fill="43E6FF" w:themeFill="accent2" w:themeFillTint="7F"/>
      </w:tcPr>
    </w:tblStylePr>
    <w:tblStylePr w:type="band1Horz">
      <w:tblPr/>
      <w:tcPr>
        <w:shd w:val="clear" w:color="auto" w:fill="43E6FF" w:themeFill="accent2" w:themeFillTint="7F"/>
      </w:tcPr>
    </w:tblStylePr>
  </w:style>
  <w:style w:type="table" w:styleId="MediumGrid1-Accent3">
    <w:name w:val="Medium Grid 1 Accent 3"/>
    <w:basedOn w:val="TableNormal"/>
    <w:uiPriority w:val="67"/>
    <w:semiHidden/>
    <w:rsid w:val="00294A5A"/>
    <w:pPr>
      <w:spacing w:before="0" w:after="0" w:line="240" w:lineRule="auto"/>
    </w:pPr>
    <w:tblPr>
      <w:tblStyleRowBandSize w:val="1"/>
      <w:tblStyleColBandSize w:val="1"/>
      <w:tblBorders>
        <w:top w:val="single" w:sz="8" w:space="0" w:color="83CAF0" w:themeColor="accent3" w:themeTint="BF"/>
        <w:left w:val="single" w:sz="8" w:space="0" w:color="83CAF0" w:themeColor="accent3" w:themeTint="BF"/>
        <w:bottom w:val="single" w:sz="8" w:space="0" w:color="83CAF0" w:themeColor="accent3" w:themeTint="BF"/>
        <w:right w:val="single" w:sz="8" w:space="0" w:color="83CAF0" w:themeColor="accent3" w:themeTint="BF"/>
        <w:insideH w:val="single" w:sz="8" w:space="0" w:color="83CAF0" w:themeColor="accent3" w:themeTint="BF"/>
        <w:insideV w:val="single" w:sz="8" w:space="0" w:color="83CAF0" w:themeColor="accent3" w:themeTint="BF"/>
      </w:tblBorders>
    </w:tblPr>
    <w:tcPr>
      <w:shd w:val="clear" w:color="auto" w:fill="D5EDFA" w:themeFill="accent3" w:themeFillTint="3F"/>
    </w:tcPr>
    <w:tblStylePr w:type="firstRow">
      <w:rPr>
        <w:b/>
        <w:bCs/>
      </w:rPr>
    </w:tblStylePr>
    <w:tblStylePr w:type="lastRow">
      <w:rPr>
        <w:b/>
        <w:bCs/>
      </w:rPr>
      <w:tblPr/>
      <w:tcPr>
        <w:tcBorders>
          <w:top w:val="single" w:sz="18" w:space="0" w:color="83CAF0" w:themeColor="accent3" w:themeTint="BF"/>
        </w:tcBorders>
      </w:tcPr>
    </w:tblStylePr>
    <w:tblStylePr w:type="firstCol">
      <w:rPr>
        <w:b/>
        <w:bCs/>
      </w:rPr>
    </w:tblStylePr>
    <w:tblStylePr w:type="lastCol">
      <w:rPr>
        <w:b/>
        <w:bCs/>
      </w:rPr>
    </w:tblStylePr>
    <w:tblStylePr w:type="band1Vert">
      <w:tblPr/>
      <w:tcPr>
        <w:shd w:val="clear" w:color="auto" w:fill="ACDCF5" w:themeFill="accent3" w:themeFillTint="7F"/>
      </w:tcPr>
    </w:tblStylePr>
    <w:tblStylePr w:type="band1Horz">
      <w:tblPr/>
      <w:tcPr>
        <w:shd w:val="clear" w:color="auto" w:fill="ACDCF5" w:themeFill="accent3" w:themeFillTint="7F"/>
      </w:tcPr>
    </w:tblStylePr>
  </w:style>
  <w:style w:type="table" w:styleId="MediumGrid1-Accent4">
    <w:name w:val="Medium Grid 1 Accent 4"/>
    <w:basedOn w:val="TableNormal"/>
    <w:uiPriority w:val="67"/>
    <w:semiHidden/>
    <w:rsid w:val="00294A5A"/>
    <w:pPr>
      <w:spacing w:before="0" w:after="0" w:line="240" w:lineRule="auto"/>
    </w:pPr>
    <w:tblPr>
      <w:tblStyleRowBandSize w:val="1"/>
      <w:tblStyleColBandSize w:val="1"/>
      <w:tblBorders>
        <w:top w:val="single" w:sz="8" w:space="0" w:color="0078F1" w:themeColor="accent4" w:themeTint="BF"/>
        <w:left w:val="single" w:sz="8" w:space="0" w:color="0078F1" w:themeColor="accent4" w:themeTint="BF"/>
        <w:bottom w:val="single" w:sz="8" w:space="0" w:color="0078F1" w:themeColor="accent4" w:themeTint="BF"/>
        <w:right w:val="single" w:sz="8" w:space="0" w:color="0078F1" w:themeColor="accent4" w:themeTint="BF"/>
        <w:insideH w:val="single" w:sz="8" w:space="0" w:color="0078F1" w:themeColor="accent4" w:themeTint="BF"/>
        <w:insideV w:val="single" w:sz="8" w:space="0" w:color="0078F1" w:themeColor="accent4" w:themeTint="BF"/>
      </w:tblBorders>
    </w:tblPr>
    <w:tcPr>
      <w:shd w:val="clear" w:color="auto" w:fill="A6D2FF" w:themeFill="accent4" w:themeFillTint="3F"/>
    </w:tcPr>
    <w:tblStylePr w:type="firstRow">
      <w:rPr>
        <w:b/>
        <w:bCs/>
      </w:rPr>
    </w:tblStylePr>
    <w:tblStylePr w:type="lastRow">
      <w:rPr>
        <w:b/>
        <w:bCs/>
      </w:rPr>
      <w:tblPr/>
      <w:tcPr>
        <w:tcBorders>
          <w:top w:val="single" w:sz="18" w:space="0" w:color="0078F1" w:themeColor="accent4" w:themeTint="BF"/>
        </w:tcBorders>
      </w:tcPr>
    </w:tblStylePr>
    <w:tblStylePr w:type="firstCol">
      <w:rPr>
        <w:b/>
        <w:bCs/>
      </w:rPr>
    </w:tblStylePr>
    <w:tblStylePr w:type="lastCol">
      <w:rPr>
        <w:b/>
        <w:bCs/>
      </w:rPr>
    </w:tblStylePr>
    <w:tblStylePr w:type="band1Vert">
      <w:tblPr/>
      <w:tcPr>
        <w:shd w:val="clear" w:color="auto" w:fill="4CA5FF" w:themeFill="accent4" w:themeFillTint="7F"/>
      </w:tcPr>
    </w:tblStylePr>
    <w:tblStylePr w:type="band1Horz">
      <w:tblPr/>
      <w:tcPr>
        <w:shd w:val="clear" w:color="auto" w:fill="4CA5FF" w:themeFill="accent4" w:themeFillTint="7F"/>
      </w:tcPr>
    </w:tblStylePr>
  </w:style>
  <w:style w:type="table" w:styleId="MediumGrid1-Accent5">
    <w:name w:val="Medium Grid 1 Accent 5"/>
    <w:basedOn w:val="TableNormal"/>
    <w:uiPriority w:val="67"/>
    <w:semiHidden/>
    <w:rsid w:val="00294A5A"/>
    <w:pPr>
      <w:spacing w:before="0" w:after="0" w:line="240" w:lineRule="auto"/>
    </w:pPr>
    <w:tblPr>
      <w:tblStyleRowBandSize w:val="1"/>
      <w:tblStyleColBandSize w:val="1"/>
      <w:tblBorders>
        <w:top w:val="single" w:sz="8" w:space="0" w:color="83BF8A" w:themeColor="accent5" w:themeTint="BF"/>
        <w:left w:val="single" w:sz="8" w:space="0" w:color="83BF8A" w:themeColor="accent5" w:themeTint="BF"/>
        <w:bottom w:val="single" w:sz="8" w:space="0" w:color="83BF8A" w:themeColor="accent5" w:themeTint="BF"/>
        <w:right w:val="single" w:sz="8" w:space="0" w:color="83BF8A" w:themeColor="accent5" w:themeTint="BF"/>
        <w:insideH w:val="single" w:sz="8" w:space="0" w:color="83BF8A" w:themeColor="accent5" w:themeTint="BF"/>
        <w:insideV w:val="single" w:sz="8" w:space="0" w:color="83BF8A" w:themeColor="accent5" w:themeTint="BF"/>
      </w:tblBorders>
    </w:tblPr>
    <w:tcPr>
      <w:shd w:val="clear" w:color="auto" w:fill="D6EAD8" w:themeFill="accent5" w:themeFillTint="3F"/>
    </w:tcPr>
    <w:tblStylePr w:type="firstRow">
      <w:rPr>
        <w:b/>
        <w:bCs/>
      </w:rPr>
    </w:tblStylePr>
    <w:tblStylePr w:type="lastRow">
      <w:rPr>
        <w:b/>
        <w:bCs/>
      </w:rPr>
      <w:tblPr/>
      <w:tcPr>
        <w:tcBorders>
          <w:top w:val="single" w:sz="18" w:space="0" w:color="83BF8A" w:themeColor="accent5" w:themeTint="BF"/>
        </w:tcBorders>
      </w:tcPr>
    </w:tblStylePr>
    <w:tblStylePr w:type="firstCol">
      <w:rPr>
        <w:b/>
        <w:bCs/>
      </w:rPr>
    </w:tblStylePr>
    <w:tblStylePr w:type="lastCol">
      <w:rPr>
        <w:b/>
        <w:bCs/>
      </w:rPr>
    </w:tblStylePr>
    <w:tblStylePr w:type="band1Vert">
      <w:tblPr/>
      <w:tcPr>
        <w:shd w:val="clear" w:color="auto" w:fill="ACD4B1" w:themeFill="accent5" w:themeFillTint="7F"/>
      </w:tcPr>
    </w:tblStylePr>
    <w:tblStylePr w:type="band1Horz">
      <w:tblPr/>
      <w:tcPr>
        <w:shd w:val="clear" w:color="auto" w:fill="ACD4B1" w:themeFill="accent5" w:themeFillTint="7F"/>
      </w:tcPr>
    </w:tblStylePr>
  </w:style>
  <w:style w:type="table" w:styleId="MediumGrid1-Accent6">
    <w:name w:val="Medium Grid 1 Accent 6"/>
    <w:basedOn w:val="TableNormal"/>
    <w:uiPriority w:val="67"/>
    <w:semiHidden/>
    <w:rsid w:val="00294A5A"/>
    <w:pPr>
      <w:spacing w:before="0" w:after="0" w:line="240" w:lineRule="auto"/>
    </w:pPr>
    <w:tblPr>
      <w:tblStyleRowBandSize w:val="1"/>
      <w:tblStyleColBandSize w:val="1"/>
      <w:tblBorders>
        <w:top w:val="single" w:sz="8" w:space="0" w:color="EC8A6C" w:themeColor="accent6" w:themeTint="BF"/>
        <w:left w:val="single" w:sz="8" w:space="0" w:color="EC8A6C" w:themeColor="accent6" w:themeTint="BF"/>
        <w:bottom w:val="single" w:sz="8" w:space="0" w:color="EC8A6C" w:themeColor="accent6" w:themeTint="BF"/>
        <w:right w:val="single" w:sz="8" w:space="0" w:color="EC8A6C" w:themeColor="accent6" w:themeTint="BF"/>
        <w:insideH w:val="single" w:sz="8" w:space="0" w:color="EC8A6C" w:themeColor="accent6" w:themeTint="BF"/>
        <w:insideV w:val="single" w:sz="8" w:space="0" w:color="EC8A6C" w:themeColor="accent6" w:themeTint="BF"/>
      </w:tblBorders>
    </w:tblPr>
    <w:tcPr>
      <w:shd w:val="clear" w:color="auto" w:fill="F8D8CE" w:themeFill="accent6" w:themeFillTint="3F"/>
    </w:tcPr>
    <w:tblStylePr w:type="firstRow">
      <w:rPr>
        <w:b/>
        <w:bCs/>
      </w:rPr>
    </w:tblStylePr>
    <w:tblStylePr w:type="lastRow">
      <w:rPr>
        <w:b/>
        <w:bCs/>
      </w:rPr>
      <w:tblPr/>
      <w:tcPr>
        <w:tcBorders>
          <w:top w:val="single" w:sz="18" w:space="0" w:color="EC8A6C" w:themeColor="accent6" w:themeTint="BF"/>
        </w:tcBorders>
      </w:tcPr>
    </w:tblStylePr>
    <w:tblStylePr w:type="firstCol">
      <w:rPr>
        <w:b/>
        <w:bCs/>
      </w:rPr>
    </w:tblStylePr>
    <w:tblStylePr w:type="lastCol">
      <w:rPr>
        <w:b/>
        <w:bCs/>
      </w:rPr>
    </w:tblStylePr>
    <w:tblStylePr w:type="band1Vert">
      <w:tblPr/>
      <w:tcPr>
        <w:shd w:val="clear" w:color="auto" w:fill="F2B19D" w:themeFill="accent6" w:themeFillTint="7F"/>
      </w:tcPr>
    </w:tblStylePr>
    <w:tblStylePr w:type="band1Horz">
      <w:tblPr/>
      <w:tcPr>
        <w:shd w:val="clear" w:color="auto" w:fill="F2B19D" w:themeFill="accent6" w:themeFillTint="7F"/>
      </w:tcPr>
    </w:tblStylePr>
  </w:style>
  <w:style w:type="table" w:styleId="MediumGrid2">
    <w:name w:val="Medium Grid 2"/>
    <w:basedOn w:val="TableNormal"/>
    <w:uiPriority w:val="68"/>
    <w:semiHidden/>
    <w:rsid w:val="00294A5A"/>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294A5A"/>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B242A" w:themeColor="accent1"/>
        <w:left w:val="single" w:sz="8" w:space="0" w:color="1B242A" w:themeColor="accent1"/>
        <w:bottom w:val="single" w:sz="8" w:space="0" w:color="1B242A" w:themeColor="accent1"/>
        <w:right w:val="single" w:sz="8" w:space="0" w:color="1B242A" w:themeColor="accent1"/>
        <w:insideH w:val="single" w:sz="8" w:space="0" w:color="1B242A" w:themeColor="accent1"/>
        <w:insideV w:val="single" w:sz="8" w:space="0" w:color="1B242A" w:themeColor="accent1"/>
      </w:tblBorders>
    </w:tblPr>
    <w:tcPr>
      <w:shd w:val="clear" w:color="auto" w:fill="BCCAD4" w:themeFill="accent1" w:themeFillTint="3F"/>
    </w:tcPr>
    <w:tblStylePr w:type="firstRow">
      <w:rPr>
        <w:b/>
        <w:bCs/>
        <w:color w:val="000000" w:themeColor="text1"/>
      </w:rPr>
      <w:tblPr/>
      <w:tcPr>
        <w:shd w:val="clear" w:color="auto" w:fill="E4EAE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9D4DC" w:themeFill="accent1" w:themeFillTint="33"/>
      </w:tcPr>
    </w:tblStylePr>
    <w:tblStylePr w:type="band1Vert">
      <w:tblPr/>
      <w:tcPr>
        <w:shd w:val="clear" w:color="auto" w:fill="7995A9" w:themeFill="accent1" w:themeFillTint="7F"/>
      </w:tcPr>
    </w:tblStylePr>
    <w:tblStylePr w:type="band1Horz">
      <w:tblPr/>
      <w:tcPr>
        <w:tcBorders>
          <w:insideH w:val="single" w:sz="6" w:space="0" w:color="1B242A" w:themeColor="accent1"/>
          <w:insideV w:val="single" w:sz="6" w:space="0" w:color="1B242A" w:themeColor="accent1"/>
        </w:tcBorders>
        <w:shd w:val="clear" w:color="auto" w:fill="7995A9"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294A5A"/>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586" w:themeColor="accent2"/>
        <w:left w:val="single" w:sz="8" w:space="0" w:color="007586" w:themeColor="accent2"/>
        <w:bottom w:val="single" w:sz="8" w:space="0" w:color="007586" w:themeColor="accent2"/>
        <w:right w:val="single" w:sz="8" w:space="0" w:color="007586" w:themeColor="accent2"/>
        <w:insideH w:val="single" w:sz="8" w:space="0" w:color="007586" w:themeColor="accent2"/>
        <w:insideV w:val="single" w:sz="8" w:space="0" w:color="007586" w:themeColor="accent2"/>
      </w:tblBorders>
    </w:tblPr>
    <w:tcPr>
      <w:shd w:val="clear" w:color="auto" w:fill="A2F2FF" w:themeFill="accent2" w:themeFillTint="3F"/>
    </w:tcPr>
    <w:tblStylePr w:type="firstRow">
      <w:rPr>
        <w:b/>
        <w:bCs/>
        <w:color w:val="000000" w:themeColor="text1"/>
      </w:rPr>
      <w:tblPr/>
      <w:tcPr>
        <w:shd w:val="clear" w:color="auto" w:fill="DAFA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3F5FF" w:themeFill="accent2" w:themeFillTint="33"/>
      </w:tcPr>
    </w:tblStylePr>
    <w:tblStylePr w:type="band1Vert">
      <w:tblPr/>
      <w:tcPr>
        <w:shd w:val="clear" w:color="auto" w:fill="43E6FF" w:themeFill="accent2" w:themeFillTint="7F"/>
      </w:tcPr>
    </w:tblStylePr>
    <w:tblStylePr w:type="band1Horz">
      <w:tblPr/>
      <w:tcPr>
        <w:tcBorders>
          <w:insideH w:val="single" w:sz="6" w:space="0" w:color="007586" w:themeColor="accent2"/>
          <w:insideV w:val="single" w:sz="6" w:space="0" w:color="007586" w:themeColor="accent2"/>
        </w:tcBorders>
        <w:shd w:val="clear" w:color="auto" w:fill="43E6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294A5A"/>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AB9EB" w:themeColor="accent3"/>
        <w:left w:val="single" w:sz="8" w:space="0" w:color="5AB9EB" w:themeColor="accent3"/>
        <w:bottom w:val="single" w:sz="8" w:space="0" w:color="5AB9EB" w:themeColor="accent3"/>
        <w:right w:val="single" w:sz="8" w:space="0" w:color="5AB9EB" w:themeColor="accent3"/>
        <w:insideH w:val="single" w:sz="8" w:space="0" w:color="5AB9EB" w:themeColor="accent3"/>
        <w:insideV w:val="single" w:sz="8" w:space="0" w:color="5AB9EB" w:themeColor="accent3"/>
      </w:tblBorders>
    </w:tblPr>
    <w:tcPr>
      <w:shd w:val="clear" w:color="auto" w:fill="D5EDFA" w:themeFill="accent3" w:themeFillTint="3F"/>
    </w:tcPr>
    <w:tblStylePr w:type="firstRow">
      <w:rPr>
        <w:b/>
        <w:bCs/>
        <w:color w:val="000000" w:themeColor="text1"/>
      </w:rPr>
      <w:tblPr/>
      <w:tcPr>
        <w:shd w:val="clear" w:color="auto" w:fill="EEF8FD"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F0FB" w:themeFill="accent3" w:themeFillTint="33"/>
      </w:tcPr>
    </w:tblStylePr>
    <w:tblStylePr w:type="band1Vert">
      <w:tblPr/>
      <w:tcPr>
        <w:shd w:val="clear" w:color="auto" w:fill="ACDCF5" w:themeFill="accent3" w:themeFillTint="7F"/>
      </w:tcPr>
    </w:tblStylePr>
    <w:tblStylePr w:type="band1Horz">
      <w:tblPr/>
      <w:tcPr>
        <w:tcBorders>
          <w:insideH w:val="single" w:sz="6" w:space="0" w:color="5AB9EB" w:themeColor="accent3"/>
          <w:insideV w:val="single" w:sz="6" w:space="0" w:color="5AB9EB" w:themeColor="accent3"/>
        </w:tcBorders>
        <w:shd w:val="clear" w:color="auto" w:fill="ACDCF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294A5A"/>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4C97" w:themeColor="accent4"/>
        <w:left w:val="single" w:sz="8" w:space="0" w:color="004C97" w:themeColor="accent4"/>
        <w:bottom w:val="single" w:sz="8" w:space="0" w:color="004C97" w:themeColor="accent4"/>
        <w:right w:val="single" w:sz="8" w:space="0" w:color="004C97" w:themeColor="accent4"/>
        <w:insideH w:val="single" w:sz="8" w:space="0" w:color="004C97" w:themeColor="accent4"/>
        <w:insideV w:val="single" w:sz="8" w:space="0" w:color="004C97" w:themeColor="accent4"/>
      </w:tblBorders>
    </w:tblPr>
    <w:tcPr>
      <w:shd w:val="clear" w:color="auto" w:fill="A6D2FF" w:themeFill="accent4" w:themeFillTint="3F"/>
    </w:tcPr>
    <w:tblStylePr w:type="firstRow">
      <w:rPr>
        <w:b/>
        <w:bCs/>
        <w:color w:val="000000" w:themeColor="text1"/>
      </w:rPr>
      <w:tblPr/>
      <w:tcPr>
        <w:shd w:val="clear" w:color="auto" w:fill="DBED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7DBFF" w:themeFill="accent4" w:themeFillTint="33"/>
      </w:tcPr>
    </w:tblStylePr>
    <w:tblStylePr w:type="band1Vert">
      <w:tblPr/>
      <w:tcPr>
        <w:shd w:val="clear" w:color="auto" w:fill="4CA5FF" w:themeFill="accent4" w:themeFillTint="7F"/>
      </w:tcPr>
    </w:tblStylePr>
    <w:tblStylePr w:type="band1Horz">
      <w:tblPr/>
      <w:tcPr>
        <w:tcBorders>
          <w:insideH w:val="single" w:sz="6" w:space="0" w:color="004C97" w:themeColor="accent4"/>
          <w:insideV w:val="single" w:sz="6" w:space="0" w:color="004C97" w:themeColor="accent4"/>
        </w:tcBorders>
        <w:shd w:val="clear" w:color="auto" w:fill="4CA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294A5A"/>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AAA64" w:themeColor="accent5"/>
        <w:left w:val="single" w:sz="8" w:space="0" w:color="5AAA64" w:themeColor="accent5"/>
        <w:bottom w:val="single" w:sz="8" w:space="0" w:color="5AAA64" w:themeColor="accent5"/>
        <w:right w:val="single" w:sz="8" w:space="0" w:color="5AAA64" w:themeColor="accent5"/>
        <w:insideH w:val="single" w:sz="8" w:space="0" w:color="5AAA64" w:themeColor="accent5"/>
        <w:insideV w:val="single" w:sz="8" w:space="0" w:color="5AAA64" w:themeColor="accent5"/>
      </w:tblBorders>
    </w:tblPr>
    <w:tcPr>
      <w:shd w:val="clear" w:color="auto" w:fill="D6EAD8" w:themeFill="accent5" w:themeFillTint="3F"/>
    </w:tcPr>
    <w:tblStylePr w:type="firstRow">
      <w:rPr>
        <w:b/>
        <w:bCs/>
        <w:color w:val="000000" w:themeColor="text1"/>
      </w:rPr>
      <w:tblPr/>
      <w:tcPr>
        <w:shd w:val="clear" w:color="auto" w:fill="EEF6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EDF" w:themeFill="accent5" w:themeFillTint="33"/>
      </w:tcPr>
    </w:tblStylePr>
    <w:tblStylePr w:type="band1Vert">
      <w:tblPr/>
      <w:tcPr>
        <w:shd w:val="clear" w:color="auto" w:fill="ACD4B1" w:themeFill="accent5" w:themeFillTint="7F"/>
      </w:tcPr>
    </w:tblStylePr>
    <w:tblStylePr w:type="band1Horz">
      <w:tblPr/>
      <w:tcPr>
        <w:tcBorders>
          <w:insideH w:val="single" w:sz="6" w:space="0" w:color="5AAA64" w:themeColor="accent5"/>
          <w:insideV w:val="single" w:sz="6" w:space="0" w:color="5AAA64" w:themeColor="accent5"/>
        </w:tcBorders>
        <w:shd w:val="clear" w:color="auto" w:fill="ACD4B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294A5A"/>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6643C" w:themeColor="accent6"/>
        <w:left w:val="single" w:sz="8" w:space="0" w:color="E6643C" w:themeColor="accent6"/>
        <w:bottom w:val="single" w:sz="8" w:space="0" w:color="E6643C" w:themeColor="accent6"/>
        <w:right w:val="single" w:sz="8" w:space="0" w:color="E6643C" w:themeColor="accent6"/>
        <w:insideH w:val="single" w:sz="8" w:space="0" w:color="E6643C" w:themeColor="accent6"/>
        <w:insideV w:val="single" w:sz="8" w:space="0" w:color="E6643C" w:themeColor="accent6"/>
      </w:tblBorders>
    </w:tblPr>
    <w:tcPr>
      <w:shd w:val="clear" w:color="auto" w:fill="F8D8CE" w:themeFill="accent6" w:themeFillTint="3F"/>
    </w:tcPr>
    <w:tblStylePr w:type="firstRow">
      <w:rPr>
        <w:b/>
        <w:bCs/>
        <w:color w:val="000000" w:themeColor="text1"/>
      </w:rPr>
      <w:tblPr/>
      <w:tcPr>
        <w:shd w:val="clear" w:color="auto" w:fill="FCEFEB"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0D8" w:themeFill="accent6" w:themeFillTint="33"/>
      </w:tcPr>
    </w:tblStylePr>
    <w:tblStylePr w:type="band1Vert">
      <w:tblPr/>
      <w:tcPr>
        <w:shd w:val="clear" w:color="auto" w:fill="F2B19D" w:themeFill="accent6" w:themeFillTint="7F"/>
      </w:tcPr>
    </w:tblStylePr>
    <w:tblStylePr w:type="band1Horz">
      <w:tblPr/>
      <w:tcPr>
        <w:tcBorders>
          <w:insideH w:val="single" w:sz="6" w:space="0" w:color="E6643C" w:themeColor="accent6"/>
          <w:insideV w:val="single" w:sz="6" w:space="0" w:color="E6643C" w:themeColor="accent6"/>
        </w:tcBorders>
        <w:shd w:val="clear" w:color="auto" w:fill="F2B19D"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294A5A"/>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294A5A"/>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CCAD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B242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B242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B242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B242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995A9"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995A9" w:themeFill="accent1" w:themeFillTint="7F"/>
      </w:tcPr>
    </w:tblStylePr>
  </w:style>
  <w:style w:type="table" w:styleId="MediumGrid3-Accent2">
    <w:name w:val="Medium Grid 3 Accent 2"/>
    <w:basedOn w:val="TableNormal"/>
    <w:uiPriority w:val="69"/>
    <w:semiHidden/>
    <w:rsid w:val="00294A5A"/>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2F2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58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58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58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58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3E6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3E6FF" w:themeFill="accent2" w:themeFillTint="7F"/>
      </w:tcPr>
    </w:tblStylePr>
  </w:style>
  <w:style w:type="table" w:styleId="MediumGrid3-Accent3">
    <w:name w:val="Medium Grid 3 Accent 3"/>
    <w:basedOn w:val="TableNormal"/>
    <w:uiPriority w:val="69"/>
    <w:semiHidden/>
    <w:rsid w:val="00294A5A"/>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ED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AB9EB"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AB9EB"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AB9EB"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AB9EB"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CDCF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CDCF5" w:themeFill="accent3" w:themeFillTint="7F"/>
      </w:tcPr>
    </w:tblStylePr>
  </w:style>
  <w:style w:type="table" w:styleId="MediumGrid3-Accent4">
    <w:name w:val="Medium Grid 3 Accent 4"/>
    <w:basedOn w:val="TableNormal"/>
    <w:uiPriority w:val="69"/>
    <w:semiHidden/>
    <w:rsid w:val="00294A5A"/>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4" w:themeFillTint="7F"/>
      </w:tcPr>
    </w:tblStylePr>
  </w:style>
  <w:style w:type="table" w:styleId="MediumGrid3-Accent5">
    <w:name w:val="Medium Grid 3 Accent 5"/>
    <w:basedOn w:val="TableNormal"/>
    <w:uiPriority w:val="69"/>
    <w:semiHidden/>
    <w:rsid w:val="00294A5A"/>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AD8"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AAA6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AAA6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AAA6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AAA6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CD4B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CD4B1" w:themeFill="accent5" w:themeFillTint="7F"/>
      </w:tcPr>
    </w:tblStylePr>
  </w:style>
  <w:style w:type="table" w:styleId="MediumGrid3-Accent6">
    <w:name w:val="Medium Grid 3 Accent 6"/>
    <w:basedOn w:val="TableNormal"/>
    <w:uiPriority w:val="69"/>
    <w:semiHidden/>
    <w:rsid w:val="00294A5A"/>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D8CE"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6643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6643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6643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6643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B19D"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B19D" w:themeFill="accent6" w:themeFillTint="7F"/>
      </w:tcPr>
    </w:tblStylePr>
  </w:style>
  <w:style w:type="table" w:styleId="MediumList1">
    <w:name w:val="Medium List 1"/>
    <w:basedOn w:val="TableNormal"/>
    <w:uiPriority w:val="65"/>
    <w:semiHidden/>
    <w:rsid w:val="00294A5A"/>
    <w:pPr>
      <w:spacing w:before="0"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758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294A5A"/>
    <w:pPr>
      <w:spacing w:before="0" w:after="0" w:line="240" w:lineRule="auto"/>
    </w:pPr>
    <w:rPr>
      <w:color w:val="000000" w:themeColor="text1"/>
    </w:rPr>
    <w:tblPr>
      <w:tblStyleRowBandSize w:val="1"/>
      <w:tblStyleColBandSize w:val="1"/>
      <w:tblBorders>
        <w:top w:val="single" w:sz="8" w:space="0" w:color="1B242A" w:themeColor="accent1"/>
        <w:bottom w:val="single" w:sz="8" w:space="0" w:color="1B242A" w:themeColor="accent1"/>
      </w:tblBorders>
    </w:tblPr>
    <w:tblStylePr w:type="firstRow">
      <w:rPr>
        <w:rFonts w:asciiTheme="majorHAnsi" w:eastAsiaTheme="majorEastAsia" w:hAnsiTheme="majorHAnsi" w:cstheme="majorBidi"/>
      </w:rPr>
      <w:tblPr/>
      <w:tcPr>
        <w:tcBorders>
          <w:top w:val="nil"/>
          <w:bottom w:val="single" w:sz="8" w:space="0" w:color="1B242A" w:themeColor="accent1"/>
        </w:tcBorders>
      </w:tcPr>
    </w:tblStylePr>
    <w:tblStylePr w:type="lastRow">
      <w:rPr>
        <w:b/>
        <w:bCs/>
        <w:color w:val="007586" w:themeColor="text2"/>
      </w:rPr>
      <w:tblPr/>
      <w:tcPr>
        <w:tcBorders>
          <w:top w:val="single" w:sz="8" w:space="0" w:color="1B242A" w:themeColor="accent1"/>
          <w:bottom w:val="single" w:sz="8" w:space="0" w:color="1B242A" w:themeColor="accent1"/>
        </w:tcBorders>
      </w:tcPr>
    </w:tblStylePr>
    <w:tblStylePr w:type="firstCol">
      <w:rPr>
        <w:b/>
        <w:bCs/>
      </w:rPr>
    </w:tblStylePr>
    <w:tblStylePr w:type="lastCol">
      <w:rPr>
        <w:b/>
        <w:bCs/>
      </w:rPr>
      <w:tblPr/>
      <w:tcPr>
        <w:tcBorders>
          <w:top w:val="single" w:sz="8" w:space="0" w:color="1B242A" w:themeColor="accent1"/>
          <w:bottom w:val="single" w:sz="8" w:space="0" w:color="1B242A" w:themeColor="accent1"/>
        </w:tcBorders>
      </w:tcPr>
    </w:tblStylePr>
    <w:tblStylePr w:type="band1Vert">
      <w:tblPr/>
      <w:tcPr>
        <w:shd w:val="clear" w:color="auto" w:fill="BCCAD4" w:themeFill="accent1" w:themeFillTint="3F"/>
      </w:tcPr>
    </w:tblStylePr>
    <w:tblStylePr w:type="band1Horz">
      <w:tblPr/>
      <w:tcPr>
        <w:shd w:val="clear" w:color="auto" w:fill="BCCAD4" w:themeFill="accent1" w:themeFillTint="3F"/>
      </w:tcPr>
    </w:tblStylePr>
  </w:style>
  <w:style w:type="table" w:styleId="MediumList1-Accent2">
    <w:name w:val="Medium List 1 Accent 2"/>
    <w:basedOn w:val="TableNormal"/>
    <w:uiPriority w:val="65"/>
    <w:semiHidden/>
    <w:rsid w:val="00294A5A"/>
    <w:pPr>
      <w:spacing w:before="0" w:after="0" w:line="240" w:lineRule="auto"/>
    </w:pPr>
    <w:rPr>
      <w:color w:val="000000" w:themeColor="text1"/>
    </w:rPr>
    <w:tblPr>
      <w:tblStyleRowBandSize w:val="1"/>
      <w:tblStyleColBandSize w:val="1"/>
      <w:tblBorders>
        <w:top w:val="single" w:sz="8" w:space="0" w:color="007586" w:themeColor="accent2"/>
        <w:bottom w:val="single" w:sz="8" w:space="0" w:color="007586" w:themeColor="accent2"/>
      </w:tblBorders>
    </w:tblPr>
    <w:tblStylePr w:type="firstRow">
      <w:rPr>
        <w:rFonts w:asciiTheme="majorHAnsi" w:eastAsiaTheme="majorEastAsia" w:hAnsiTheme="majorHAnsi" w:cstheme="majorBidi"/>
      </w:rPr>
      <w:tblPr/>
      <w:tcPr>
        <w:tcBorders>
          <w:top w:val="nil"/>
          <w:bottom w:val="single" w:sz="8" w:space="0" w:color="007586" w:themeColor="accent2"/>
        </w:tcBorders>
      </w:tcPr>
    </w:tblStylePr>
    <w:tblStylePr w:type="lastRow">
      <w:rPr>
        <w:b/>
        <w:bCs/>
        <w:color w:val="007586" w:themeColor="text2"/>
      </w:rPr>
      <w:tblPr/>
      <w:tcPr>
        <w:tcBorders>
          <w:top w:val="single" w:sz="8" w:space="0" w:color="007586" w:themeColor="accent2"/>
          <w:bottom w:val="single" w:sz="8" w:space="0" w:color="007586" w:themeColor="accent2"/>
        </w:tcBorders>
      </w:tcPr>
    </w:tblStylePr>
    <w:tblStylePr w:type="firstCol">
      <w:rPr>
        <w:b/>
        <w:bCs/>
      </w:rPr>
    </w:tblStylePr>
    <w:tblStylePr w:type="lastCol">
      <w:rPr>
        <w:b/>
        <w:bCs/>
      </w:rPr>
      <w:tblPr/>
      <w:tcPr>
        <w:tcBorders>
          <w:top w:val="single" w:sz="8" w:space="0" w:color="007586" w:themeColor="accent2"/>
          <w:bottom w:val="single" w:sz="8" w:space="0" w:color="007586" w:themeColor="accent2"/>
        </w:tcBorders>
      </w:tcPr>
    </w:tblStylePr>
    <w:tblStylePr w:type="band1Vert">
      <w:tblPr/>
      <w:tcPr>
        <w:shd w:val="clear" w:color="auto" w:fill="A2F2FF" w:themeFill="accent2" w:themeFillTint="3F"/>
      </w:tcPr>
    </w:tblStylePr>
    <w:tblStylePr w:type="band1Horz">
      <w:tblPr/>
      <w:tcPr>
        <w:shd w:val="clear" w:color="auto" w:fill="A2F2FF" w:themeFill="accent2" w:themeFillTint="3F"/>
      </w:tcPr>
    </w:tblStylePr>
  </w:style>
  <w:style w:type="table" w:styleId="MediumList1-Accent3">
    <w:name w:val="Medium List 1 Accent 3"/>
    <w:basedOn w:val="TableNormal"/>
    <w:uiPriority w:val="65"/>
    <w:semiHidden/>
    <w:rsid w:val="00294A5A"/>
    <w:pPr>
      <w:spacing w:before="0" w:after="0" w:line="240" w:lineRule="auto"/>
    </w:pPr>
    <w:rPr>
      <w:color w:val="000000" w:themeColor="text1"/>
    </w:rPr>
    <w:tblPr>
      <w:tblStyleRowBandSize w:val="1"/>
      <w:tblStyleColBandSize w:val="1"/>
      <w:tblBorders>
        <w:top w:val="single" w:sz="8" w:space="0" w:color="5AB9EB" w:themeColor="accent3"/>
        <w:bottom w:val="single" w:sz="8" w:space="0" w:color="5AB9EB" w:themeColor="accent3"/>
      </w:tblBorders>
    </w:tblPr>
    <w:tblStylePr w:type="firstRow">
      <w:rPr>
        <w:rFonts w:asciiTheme="majorHAnsi" w:eastAsiaTheme="majorEastAsia" w:hAnsiTheme="majorHAnsi" w:cstheme="majorBidi"/>
      </w:rPr>
      <w:tblPr/>
      <w:tcPr>
        <w:tcBorders>
          <w:top w:val="nil"/>
          <w:bottom w:val="single" w:sz="8" w:space="0" w:color="5AB9EB" w:themeColor="accent3"/>
        </w:tcBorders>
      </w:tcPr>
    </w:tblStylePr>
    <w:tblStylePr w:type="lastRow">
      <w:rPr>
        <w:b/>
        <w:bCs/>
        <w:color w:val="007586" w:themeColor="text2"/>
      </w:rPr>
      <w:tblPr/>
      <w:tcPr>
        <w:tcBorders>
          <w:top w:val="single" w:sz="8" w:space="0" w:color="5AB9EB" w:themeColor="accent3"/>
          <w:bottom w:val="single" w:sz="8" w:space="0" w:color="5AB9EB" w:themeColor="accent3"/>
        </w:tcBorders>
      </w:tcPr>
    </w:tblStylePr>
    <w:tblStylePr w:type="firstCol">
      <w:rPr>
        <w:b/>
        <w:bCs/>
      </w:rPr>
    </w:tblStylePr>
    <w:tblStylePr w:type="lastCol">
      <w:rPr>
        <w:b/>
        <w:bCs/>
      </w:rPr>
      <w:tblPr/>
      <w:tcPr>
        <w:tcBorders>
          <w:top w:val="single" w:sz="8" w:space="0" w:color="5AB9EB" w:themeColor="accent3"/>
          <w:bottom w:val="single" w:sz="8" w:space="0" w:color="5AB9EB" w:themeColor="accent3"/>
        </w:tcBorders>
      </w:tcPr>
    </w:tblStylePr>
    <w:tblStylePr w:type="band1Vert">
      <w:tblPr/>
      <w:tcPr>
        <w:shd w:val="clear" w:color="auto" w:fill="D5EDFA" w:themeFill="accent3" w:themeFillTint="3F"/>
      </w:tcPr>
    </w:tblStylePr>
    <w:tblStylePr w:type="band1Horz">
      <w:tblPr/>
      <w:tcPr>
        <w:shd w:val="clear" w:color="auto" w:fill="D5EDFA" w:themeFill="accent3" w:themeFillTint="3F"/>
      </w:tcPr>
    </w:tblStylePr>
  </w:style>
  <w:style w:type="table" w:styleId="MediumList1-Accent4">
    <w:name w:val="Medium List 1 Accent 4"/>
    <w:basedOn w:val="TableNormal"/>
    <w:uiPriority w:val="65"/>
    <w:semiHidden/>
    <w:rsid w:val="00294A5A"/>
    <w:pPr>
      <w:spacing w:before="0" w:after="0" w:line="240" w:lineRule="auto"/>
    </w:pPr>
    <w:rPr>
      <w:color w:val="000000" w:themeColor="text1"/>
    </w:rPr>
    <w:tblPr>
      <w:tblStyleRowBandSize w:val="1"/>
      <w:tblStyleColBandSize w:val="1"/>
      <w:tblBorders>
        <w:top w:val="single" w:sz="8" w:space="0" w:color="004C97" w:themeColor="accent4"/>
        <w:bottom w:val="single" w:sz="8" w:space="0" w:color="004C97" w:themeColor="accent4"/>
      </w:tblBorders>
    </w:tblPr>
    <w:tblStylePr w:type="firstRow">
      <w:rPr>
        <w:rFonts w:asciiTheme="majorHAnsi" w:eastAsiaTheme="majorEastAsia" w:hAnsiTheme="majorHAnsi" w:cstheme="majorBidi"/>
      </w:rPr>
      <w:tblPr/>
      <w:tcPr>
        <w:tcBorders>
          <w:top w:val="nil"/>
          <w:bottom w:val="single" w:sz="8" w:space="0" w:color="004C97" w:themeColor="accent4"/>
        </w:tcBorders>
      </w:tcPr>
    </w:tblStylePr>
    <w:tblStylePr w:type="lastRow">
      <w:rPr>
        <w:b/>
        <w:bCs/>
        <w:color w:val="007586" w:themeColor="text2"/>
      </w:rPr>
      <w:tblPr/>
      <w:tcPr>
        <w:tcBorders>
          <w:top w:val="single" w:sz="8" w:space="0" w:color="004C97" w:themeColor="accent4"/>
          <w:bottom w:val="single" w:sz="8" w:space="0" w:color="004C97" w:themeColor="accent4"/>
        </w:tcBorders>
      </w:tcPr>
    </w:tblStylePr>
    <w:tblStylePr w:type="firstCol">
      <w:rPr>
        <w:b/>
        <w:bCs/>
      </w:rPr>
    </w:tblStylePr>
    <w:tblStylePr w:type="lastCol">
      <w:rPr>
        <w:b/>
        <w:bCs/>
      </w:rPr>
      <w:tblPr/>
      <w:tcPr>
        <w:tcBorders>
          <w:top w:val="single" w:sz="8" w:space="0" w:color="004C97" w:themeColor="accent4"/>
          <w:bottom w:val="single" w:sz="8" w:space="0" w:color="004C97" w:themeColor="accent4"/>
        </w:tcBorders>
      </w:tcPr>
    </w:tblStylePr>
    <w:tblStylePr w:type="band1Vert">
      <w:tblPr/>
      <w:tcPr>
        <w:shd w:val="clear" w:color="auto" w:fill="A6D2FF" w:themeFill="accent4" w:themeFillTint="3F"/>
      </w:tcPr>
    </w:tblStylePr>
    <w:tblStylePr w:type="band1Horz">
      <w:tblPr/>
      <w:tcPr>
        <w:shd w:val="clear" w:color="auto" w:fill="A6D2FF" w:themeFill="accent4" w:themeFillTint="3F"/>
      </w:tcPr>
    </w:tblStylePr>
  </w:style>
  <w:style w:type="table" w:styleId="MediumList1-Accent5">
    <w:name w:val="Medium List 1 Accent 5"/>
    <w:basedOn w:val="TableNormal"/>
    <w:uiPriority w:val="65"/>
    <w:semiHidden/>
    <w:rsid w:val="00294A5A"/>
    <w:pPr>
      <w:spacing w:before="0" w:after="0" w:line="240" w:lineRule="auto"/>
    </w:pPr>
    <w:rPr>
      <w:color w:val="000000" w:themeColor="text1"/>
    </w:rPr>
    <w:tblPr>
      <w:tblStyleRowBandSize w:val="1"/>
      <w:tblStyleColBandSize w:val="1"/>
      <w:tblBorders>
        <w:top w:val="single" w:sz="8" w:space="0" w:color="5AAA64" w:themeColor="accent5"/>
        <w:bottom w:val="single" w:sz="8" w:space="0" w:color="5AAA64" w:themeColor="accent5"/>
      </w:tblBorders>
    </w:tblPr>
    <w:tblStylePr w:type="firstRow">
      <w:rPr>
        <w:rFonts w:asciiTheme="majorHAnsi" w:eastAsiaTheme="majorEastAsia" w:hAnsiTheme="majorHAnsi" w:cstheme="majorBidi"/>
      </w:rPr>
      <w:tblPr/>
      <w:tcPr>
        <w:tcBorders>
          <w:top w:val="nil"/>
          <w:bottom w:val="single" w:sz="8" w:space="0" w:color="5AAA64" w:themeColor="accent5"/>
        </w:tcBorders>
      </w:tcPr>
    </w:tblStylePr>
    <w:tblStylePr w:type="lastRow">
      <w:rPr>
        <w:b/>
        <w:bCs/>
        <w:color w:val="007586" w:themeColor="text2"/>
      </w:rPr>
      <w:tblPr/>
      <w:tcPr>
        <w:tcBorders>
          <w:top w:val="single" w:sz="8" w:space="0" w:color="5AAA64" w:themeColor="accent5"/>
          <w:bottom w:val="single" w:sz="8" w:space="0" w:color="5AAA64" w:themeColor="accent5"/>
        </w:tcBorders>
      </w:tcPr>
    </w:tblStylePr>
    <w:tblStylePr w:type="firstCol">
      <w:rPr>
        <w:b/>
        <w:bCs/>
      </w:rPr>
    </w:tblStylePr>
    <w:tblStylePr w:type="lastCol">
      <w:rPr>
        <w:b/>
        <w:bCs/>
      </w:rPr>
      <w:tblPr/>
      <w:tcPr>
        <w:tcBorders>
          <w:top w:val="single" w:sz="8" w:space="0" w:color="5AAA64" w:themeColor="accent5"/>
          <w:bottom w:val="single" w:sz="8" w:space="0" w:color="5AAA64" w:themeColor="accent5"/>
        </w:tcBorders>
      </w:tcPr>
    </w:tblStylePr>
    <w:tblStylePr w:type="band1Vert">
      <w:tblPr/>
      <w:tcPr>
        <w:shd w:val="clear" w:color="auto" w:fill="D6EAD8" w:themeFill="accent5" w:themeFillTint="3F"/>
      </w:tcPr>
    </w:tblStylePr>
    <w:tblStylePr w:type="band1Horz">
      <w:tblPr/>
      <w:tcPr>
        <w:shd w:val="clear" w:color="auto" w:fill="D6EAD8" w:themeFill="accent5" w:themeFillTint="3F"/>
      </w:tcPr>
    </w:tblStylePr>
  </w:style>
  <w:style w:type="table" w:styleId="MediumList1-Accent6">
    <w:name w:val="Medium List 1 Accent 6"/>
    <w:basedOn w:val="TableNormal"/>
    <w:uiPriority w:val="65"/>
    <w:semiHidden/>
    <w:rsid w:val="00294A5A"/>
    <w:pPr>
      <w:spacing w:before="0" w:after="0" w:line="240" w:lineRule="auto"/>
    </w:pPr>
    <w:rPr>
      <w:color w:val="000000" w:themeColor="text1"/>
    </w:rPr>
    <w:tblPr>
      <w:tblStyleRowBandSize w:val="1"/>
      <w:tblStyleColBandSize w:val="1"/>
      <w:tblBorders>
        <w:top w:val="single" w:sz="8" w:space="0" w:color="E6643C" w:themeColor="accent6"/>
        <w:bottom w:val="single" w:sz="8" w:space="0" w:color="E6643C" w:themeColor="accent6"/>
      </w:tblBorders>
    </w:tblPr>
    <w:tblStylePr w:type="firstRow">
      <w:rPr>
        <w:rFonts w:asciiTheme="majorHAnsi" w:eastAsiaTheme="majorEastAsia" w:hAnsiTheme="majorHAnsi" w:cstheme="majorBidi"/>
      </w:rPr>
      <w:tblPr/>
      <w:tcPr>
        <w:tcBorders>
          <w:top w:val="nil"/>
          <w:bottom w:val="single" w:sz="8" w:space="0" w:color="E6643C" w:themeColor="accent6"/>
        </w:tcBorders>
      </w:tcPr>
    </w:tblStylePr>
    <w:tblStylePr w:type="lastRow">
      <w:rPr>
        <w:b/>
        <w:bCs/>
        <w:color w:val="007586" w:themeColor="text2"/>
      </w:rPr>
      <w:tblPr/>
      <w:tcPr>
        <w:tcBorders>
          <w:top w:val="single" w:sz="8" w:space="0" w:color="E6643C" w:themeColor="accent6"/>
          <w:bottom w:val="single" w:sz="8" w:space="0" w:color="E6643C" w:themeColor="accent6"/>
        </w:tcBorders>
      </w:tcPr>
    </w:tblStylePr>
    <w:tblStylePr w:type="firstCol">
      <w:rPr>
        <w:b/>
        <w:bCs/>
      </w:rPr>
    </w:tblStylePr>
    <w:tblStylePr w:type="lastCol">
      <w:rPr>
        <w:b/>
        <w:bCs/>
      </w:rPr>
      <w:tblPr/>
      <w:tcPr>
        <w:tcBorders>
          <w:top w:val="single" w:sz="8" w:space="0" w:color="E6643C" w:themeColor="accent6"/>
          <w:bottom w:val="single" w:sz="8" w:space="0" w:color="E6643C" w:themeColor="accent6"/>
        </w:tcBorders>
      </w:tcPr>
    </w:tblStylePr>
    <w:tblStylePr w:type="band1Vert">
      <w:tblPr/>
      <w:tcPr>
        <w:shd w:val="clear" w:color="auto" w:fill="F8D8CE" w:themeFill="accent6" w:themeFillTint="3F"/>
      </w:tcPr>
    </w:tblStylePr>
    <w:tblStylePr w:type="band1Horz">
      <w:tblPr/>
      <w:tcPr>
        <w:shd w:val="clear" w:color="auto" w:fill="F8D8CE" w:themeFill="accent6" w:themeFillTint="3F"/>
      </w:tcPr>
    </w:tblStylePr>
  </w:style>
  <w:style w:type="table" w:styleId="MediumList2">
    <w:name w:val="Medium List 2"/>
    <w:basedOn w:val="TableNormal"/>
    <w:uiPriority w:val="66"/>
    <w:semiHidden/>
    <w:rsid w:val="00294A5A"/>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294A5A"/>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B242A" w:themeColor="accent1"/>
        <w:left w:val="single" w:sz="8" w:space="0" w:color="1B242A" w:themeColor="accent1"/>
        <w:bottom w:val="single" w:sz="8" w:space="0" w:color="1B242A" w:themeColor="accent1"/>
        <w:right w:val="single" w:sz="8" w:space="0" w:color="1B242A" w:themeColor="accent1"/>
      </w:tblBorders>
    </w:tblPr>
    <w:tblStylePr w:type="firstRow">
      <w:rPr>
        <w:sz w:val="24"/>
        <w:szCs w:val="24"/>
      </w:rPr>
      <w:tblPr/>
      <w:tcPr>
        <w:tcBorders>
          <w:top w:val="nil"/>
          <w:left w:val="nil"/>
          <w:bottom w:val="single" w:sz="24" w:space="0" w:color="1B242A" w:themeColor="accent1"/>
          <w:right w:val="nil"/>
          <w:insideH w:val="nil"/>
          <w:insideV w:val="nil"/>
        </w:tcBorders>
        <w:shd w:val="clear" w:color="auto" w:fill="FFFFFF" w:themeFill="background1"/>
      </w:tcPr>
    </w:tblStylePr>
    <w:tblStylePr w:type="lastRow">
      <w:tblPr/>
      <w:tcPr>
        <w:tcBorders>
          <w:top w:val="single" w:sz="8" w:space="0" w:color="1B242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B242A" w:themeColor="accent1"/>
          <w:insideH w:val="nil"/>
          <w:insideV w:val="nil"/>
        </w:tcBorders>
        <w:shd w:val="clear" w:color="auto" w:fill="FFFFFF" w:themeFill="background1"/>
      </w:tcPr>
    </w:tblStylePr>
    <w:tblStylePr w:type="lastCol">
      <w:tblPr/>
      <w:tcPr>
        <w:tcBorders>
          <w:top w:val="nil"/>
          <w:left w:val="single" w:sz="8" w:space="0" w:color="1B242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CCAD4" w:themeFill="accent1" w:themeFillTint="3F"/>
      </w:tcPr>
    </w:tblStylePr>
    <w:tblStylePr w:type="band1Horz">
      <w:tblPr/>
      <w:tcPr>
        <w:tcBorders>
          <w:top w:val="nil"/>
          <w:bottom w:val="nil"/>
          <w:insideH w:val="nil"/>
          <w:insideV w:val="nil"/>
        </w:tcBorders>
        <w:shd w:val="clear" w:color="auto" w:fill="BCCAD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294A5A"/>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586" w:themeColor="accent2"/>
        <w:left w:val="single" w:sz="8" w:space="0" w:color="007586" w:themeColor="accent2"/>
        <w:bottom w:val="single" w:sz="8" w:space="0" w:color="007586" w:themeColor="accent2"/>
        <w:right w:val="single" w:sz="8" w:space="0" w:color="007586" w:themeColor="accent2"/>
      </w:tblBorders>
    </w:tblPr>
    <w:tblStylePr w:type="firstRow">
      <w:rPr>
        <w:sz w:val="24"/>
        <w:szCs w:val="24"/>
      </w:rPr>
      <w:tblPr/>
      <w:tcPr>
        <w:tcBorders>
          <w:top w:val="nil"/>
          <w:left w:val="nil"/>
          <w:bottom w:val="single" w:sz="24" w:space="0" w:color="007586" w:themeColor="accent2"/>
          <w:right w:val="nil"/>
          <w:insideH w:val="nil"/>
          <w:insideV w:val="nil"/>
        </w:tcBorders>
        <w:shd w:val="clear" w:color="auto" w:fill="FFFFFF" w:themeFill="background1"/>
      </w:tcPr>
    </w:tblStylePr>
    <w:tblStylePr w:type="lastRow">
      <w:tblPr/>
      <w:tcPr>
        <w:tcBorders>
          <w:top w:val="single" w:sz="8" w:space="0" w:color="007586"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586" w:themeColor="accent2"/>
          <w:insideH w:val="nil"/>
          <w:insideV w:val="nil"/>
        </w:tcBorders>
        <w:shd w:val="clear" w:color="auto" w:fill="FFFFFF" w:themeFill="background1"/>
      </w:tcPr>
    </w:tblStylePr>
    <w:tblStylePr w:type="lastCol">
      <w:tblPr/>
      <w:tcPr>
        <w:tcBorders>
          <w:top w:val="nil"/>
          <w:left w:val="single" w:sz="8" w:space="0" w:color="00758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2F2FF" w:themeFill="accent2" w:themeFillTint="3F"/>
      </w:tcPr>
    </w:tblStylePr>
    <w:tblStylePr w:type="band1Horz">
      <w:tblPr/>
      <w:tcPr>
        <w:tcBorders>
          <w:top w:val="nil"/>
          <w:bottom w:val="nil"/>
          <w:insideH w:val="nil"/>
          <w:insideV w:val="nil"/>
        </w:tcBorders>
        <w:shd w:val="clear" w:color="auto" w:fill="A2F2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294A5A"/>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AB9EB" w:themeColor="accent3"/>
        <w:left w:val="single" w:sz="8" w:space="0" w:color="5AB9EB" w:themeColor="accent3"/>
        <w:bottom w:val="single" w:sz="8" w:space="0" w:color="5AB9EB" w:themeColor="accent3"/>
        <w:right w:val="single" w:sz="8" w:space="0" w:color="5AB9EB" w:themeColor="accent3"/>
      </w:tblBorders>
    </w:tblPr>
    <w:tblStylePr w:type="firstRow">
      <w:rPr>
        <w:sz w:val="24"/>
        <w:szCs w:val="24"/>
      </w:rPr>
      <w:tblPr/>
      <w:tcPr>
        <w:tcBorders>
          <w:top w:val="nil"/>
          <w:left w:val="nil"/>
          <w:bottom w:val="single" w:sz="24" w:space="0" w:color="5AB9EB" w:themeColor="accent3"/>
          <w:right w:val="nil"/>
          <w:insideH w:val="nil"/>
          <w:insideV w:val="nil"/>
        </w:tcBorders>
        <w:shd w:val="clear" w:color="auto" w:fill="FFFFFF" w:themeFill="background1"/>
      </w:tcPr>
    </w:tblStylePr>
    <w:tblStylePr w:type="lastRow">
      <w:tblPr/>
      <w:tcPr>
        <w:tcBorders>
          <w:top w:val="single" w:sz="8" w:space="0" w:color="5AB9EB"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AB9EB" w:themeColor="accent3"/>
          <w:insideH w:val="nil"/>
          <w:insideV w:val="nil"/>
        </w:tcBorders>
        <w:shd w:val="clear" w:color="auto" w:fill="FFFFFF" w:themeFill="background1"/>
      </w:tcPr>
    </w:tblStylePr>
    <w:tblStylePr w:type="lastCol">
      <w:tblPr/>
      <w:tcPr>
        <w:tcBorders>
          <w:top w:val="nil"/>
          <w:left w:val="single" w:sz="8" w:space="0" w:color="5AB9EB"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EDFA" w:themeFill="accent3" w:themeFillTint="3F"/>
      </w:tcPr>
    </w:tblStylePr>
    <w:tblStylePr w:type="band1Horz">
      <w:tblPr/>
      <w:tcPr>
        <w:tcBorders>
          <w:top w:val="nil"/>
          <w:bottom w:val="nil"/>
          <w:insideH w:val="nil"/>
          <w:insideV w:val="nil"/>
        </w:tcBorders>
        <w:shd w:val="clear" w:color="auto" w:fill="D5ED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294A5A"/>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4C97" w:themeColor="accent4"/>
        <w:left w:val="single" w:sz="8" w:space="0" w:color="004C97" w:themeColor="accent4"/>
        <w:bottom w:val="single" w:sz="8" w:space="0" w:color="004C97" w:themeColor="accent4"/>
        <w:right w:val="single" w:sz="8" w:space="0" w:color="004C97" w:themeColor="accent4"/>
      </w:tblBorders>
    </w:tblPr>
    <w:tblStylePr w:type="firstRow">
      <w:rPr>
        <w:sz w:val="24"/>
        <w:szCs w:val="24"/>
      </w:rPr>
      <w:tblPr/>
      <w:tcPr>
        <w:tcBorders>
          <w:top w:val="nil"/>
          <w:left w:val="nil"/>
          <w:bottom w:val="single" w:sz="24" w:space="0" w:color="004C97" w:themeColor="accent4"/>
          <w:right w:val="nil"/>
          <w:insideH w:val="nil"/>
          <w:insideV w:val="nil"/>
        </w:tcBorders>
        <w:shd w:val="clear" w:color="auto" w:fill="FFFFFF" w:themeFill="background1"/>
      </w:tcPr>
    </w:tblStylePr>
    <w:tblStylePr w:type="lastRow">
      <w:tblPr/>
      <w:tcPr>
        <w:tcBorders>
          <w:top w:val="single" w:sz="8" w:space="0" w:color="004C9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4"/>
          <w:insideH w:val="nil"/>
          <w:insideV w:val="nil"/>
        </w:tcBorders>
        <w:shd w:val="clear" w:color="auto" w:fill="FFFFFF" w:themeFill="background1"/>
      </w:tcPr>
    </w:tblStylePr>
    <w:tblStylePr w:type="lastCol">
      <w:tblPr/>
      <w:tcPr>
        <w:tcBorders>
          <w:top w:val="nil"/>
          <w:left w:val="single" w:sz="8" w:space="0" w:color="004C9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4" w:themeFillTint="3F"/>
      </w:tcPr>
    </w:tblStylePr>
    <w:tblStylePr w:type="band1Horz">
      <w:tblPr/>
      <w:tcPr>
        <w:tcBorders>
          <w:top w:val="nil"/>
          <w:bottom w:val="nil"/>
          <w:insideH w:val="nil"/>
          <w:insideV w:val="nil"/>
        </w:tcBorders>
        <w:shd w:val="clear" w:color="auto" w:fill="A6D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294A5A"/>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AAA64" w:themeColor="accent5"/>
        <w:left w:val="single" w:sz="8" w:space="0" w:color="5AAA64" w:themeColor="accent5"/>
        <w:bottom w:val="single" w:sz="8" w:space="0" w:color="5AAA64" w:themeColor="accent5"/>
        <w:right w:val="single" w:sz="8" w:space="0" w:color="5AAA64" w:themeColor="accent5"/>
      </w:tblBorders>
    </w:tblPr>
    <w:tblStylePr w:type="firstRow">
      <w:rPr>
        <w:sz w:val="24"/>
        <w:szCs w:val="24"/>
      </w:rPr>
      <w:tblPr/>
      <w:tcPr>
        <w:tcBorders>
          <w:top w:val="nil"/>
          <w:left w:val="nil"/>
          <w:bottom w:val="single" w:sz="24" w:space="0" w:color="5AAA64" w:themeColor="accent5"/>
          <w:right w:val="nil"/>
          <w:insideH w:val="nil"/>
          <w:insideV w:val="nil"/>
        </w:tcBorders>
        <w:shd w:val="clear" w:color="auto" w:fill="FFFFFF" w:themeFill="background1"/>
      </w:tcPr>
    </w:tblStylePr>
    <w:tblStylePr w:type="lastRow">
      <w:tblPr/>
      <w:tcPr>
        <w:tcBorders>
          <w:top w:val="single" w:sz="8" w:space="0" w:color="5AAA6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AAA64" w:themeColor="accent5"/>
          <w:insideH w:val="nil"/>
          <w:insideV w:val="nil"/>
        </w:tcBorders>
        <w:shd w:val="clear" w:color="auto" w:fill="FFFFFF" w:themeFill="background1"/>
      </w:tcPr>
    </w:tblStylePr>
    <w:tblStylePr w:type="lastCol">
      <w:tblPr/>
      <w:tcPr>
        <w:tcBorders>
          <w:top w:val="nil"/>
          <w:left w:val="single" w:sz="8" w:space="0" w:color="5AAA6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AD8" w:themeFill="accent5" w:themeFillTint="3F"/>
      </w:tcPr>
    </w:tblStylePr>
    <w:tblStylePr w:type="band1Horz">
      <w:tblPr/>
      <w:tcPr>
        <w:tcBorders>
          <w:top w:val="nil"/>
          <w:bottom w:val="nil"/>
          <w:insideH w:val="nil"/>
          <w:insideV w:val="nil"/>
        </w:tcBorders>
        <w:shd w:val="clear" w:color="auto" w:fill="D6EAD8"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294A5A"/>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6643C" w:themeColor="accent6"/>
        <w:left w:val="single" w:sz="8" w:space="0" w:color="E6643C" w:themeColor="accent6"/>
        <w:bottom w:val="single" w:sz="8" w:space="0" w:color="E6643C" w:themeColor="accent6"/>
        <w:right w:val="single" w:sz="8" w:space="0" w:color="E6643C" w:themeColor="accent6"/>
      </w:tblBorders>
    </w:tblPr>
    <w:tblStylePr w:type="firstRow">
      <w:rPr>
        <w:sz w:val="24"/>
        <w:szCs w:val="24"/>
      </w:rPr>
      <w:tblPr/>
      <w:tcPr>
        <w:tcBorders>
          <w:top w:val="nil"/>
          <w:left w:val="nil"/>
          <w:bottom w:val="single" w:sz="24" w:space="0" w:color="E6643C" w:themeColor="accent6"/>
          <w:right w:val="nil"/>
          <w:insideH w:val="nil"/>
          <w:insideV w:val="nil"/>
        </w:tcBorders>
        <w:shd w:val="clear" w:color="auto" w:fill="FFFFFF" w:themeFill="background1"/>
      </w:tcPr>
    </w:tblStylePr>
    <w:tblStylePr w:type="lastRow">
      <w:tblPr/>
      <w:tcPr>
        <w:tcBorders>
          <w:top w:val="single" w:sz="8" w:space="0" w:color="E6643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6643C" w:themeColor="accent6"/>
          <w:insideH w:val="nil"/>
          <w:insideV w:val="nil"/>
        </w:tcBorders>
        <w:shd w:val="clear" w:color="auto" w:fill="FFFFFF" w:themeFill="background1"/>
      </w:tcPr>
    </w:tblStylePr>
    <w:tblStylePr w:type="lastCol">
      <w:tblPr/>
      <w:tcPr>
        <w:tcBorders>
          <w:top w:val="nil"/>
          <w:left w:val="single" w:sz="8" w:space="0" w:color="E6643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D8CE" w:themeFill="accent6" w:themeFillTint="3F"/>
      </w:tcPr>
    </w:tblStylePr>
    <w:tblStylePr w:type="band1Horz">
      <w:tblPr/>
      <w:tcPr>
        <w:tcBorders>
          <w:top w:val="nil"/>
          <w:bottom w:val="nil"/>
          <w:insideH w:val="nil"/>
          <w:insideV w:val="nil"/>
        </w:tcBorders>
        <w:shd w:val="clear" w:color="auto" w:fill="F8D8CE"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294A5A"/>
    <w:pPr>
      <w:spacing w:before="0"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294A5A"/>
    <w:pPr>
      <w:spacing w:before="0" w:after="0" w:line="240" w:lineRule="auto"/>
    </w:pPr>
    <w:tblPr>
      <w:tblStyleRowBandSize w:val="1"/>
      <w:tblStyleColBandSize w:val="1"/>
      <w:tblBorders>
        <w:top w:val="single" w:sz="8" w:space="0" w:color="465D6D" w:themeColor="accent1" w:themeTint="BF"/>
        <w:left w:val="single" w:sz="8" w:space="0" w:color="465D6D" w:themeColor="accent1" w:themeTint="BF"/>
        <w:bottom w:val="single" w:sz="8" w:space="0" w:color="465D6D" w:themeColor="accent1" w:themeTint="BF"/>
        <w:right w:val="single" w:sz="8" w:space="0" w:color="465D6D" w:themeColor="accent1" w:themeTint="BF"/>
        <w:insideH w:val="single" w:sz="8" w:space="0" w:color="465D6D" w:themeColor="accent1" w:themeTint="BF"/>
      </w:tblBorders>
    </w:tblPr>
    <w:tblStylePr w:type="firstRow">
      <w:pPr>
        <w:spacing w:before="0" w:after="0" w:line="240" w:lineRule="auto"/>
      </w:pPr>
      <w:rPr>
        <w:b/>
        <w:bCs/>
        <w:color w:val="FFFFFF" w:themeColor="background1"/>
      </w:rPr>
      <w:tblPr/>
      <w:tcPr>
        <w:tcBorders>
          <w:top w:val="single" w:sz="8" w:space="0" w:color="465D6D" w:themeColor="accent1" w:themeTint="BF"/>
          <w:left w:val="single" w:sz="8" w:space="0" w:color="465D6D" w:themeColor="accent1" w:themeTint="BF"/>
          <w:bottom w:val="single" w:sz="8" w:space="0" w:color="465D6D" w:themeColor="accent1" w:themeTint="BF"/>
          <w:right w:val="single" w:sz="8" w:space="0" w:color="465D6D" w:themeColor="accent1" w:themeTint="BF"/>
          <w:insideH w:val="nil"/>
          <w:insideV w:val="nil"/>
        </w:tcBorders>
        <w:shd w:val="clear" w:color="auto" w:fill="1B242A" w:themeFill="accent1"/>
      </w:tcPr>
    </w:tblStylePr>
    <w:tblStylePr w:type="lastRow">
      <w:pPr>
        <w:spacing w:before="0" w:after="0" w:line="240" w:lineRule="auto"/>
      </w:pPr>
      <w:rPr>
        <w:b/>
        <w:bCs/>
      </w:rPr>
      <w:tblPr/>
      <w:tcPr>
        <w:tcBorders>
          <w:top w:val="double" w:sz="6" w:space="0" w:color="465D6D" w:themeColor="accent1" w:themeTint="BF"/>
          <w:left w:val="single" w:sz="8" w:space="0" w:color="465D6D" w:themeColor="accent1" w:themeTint="BF"/>
          <w:bottom w:val="single" w:sz="8" w:space="0" w:color="465D6D" w:themeColor="accent1" w:themeTint="BF"/>
          <w:right w:val="single" w:sz="8" w:space="0" w:color="465D6D" w:themeColor="accent1" w:themeTint="BF"/>
          <w:insideH w:val="nil"/>
          <w:insideV w:val="nil"/>
        </w:tcBorders>
      </w:tcPr>
    </w:tblStylePr>
    <w:tblStylePr w:type="firstCol">
      <w:rPr>
        <w:b/>
        <w:bCs/>
      </w:rPr>
    </w:tblStylePr>
    <w:tblStylePr w:type="lastCol">
      <w:rPr>
        <w:b/>
        <w:bCs/>
      </w:rPr>
    </w:tblStylePr>
    <w:tblStylePr w:type="band1Vert">
      <w:tblPr/>
      <w:tcPr>
        <w:shd w:val="clear" w:color="auto" w:fill="BCCAD4" w:themeFill="accent1" w:themeFillTint="3F"/>
      </w:tcPr>
    </w:tblStylePr>
    <w:tblStylePr w:type="band1Horz">
      <w:tblPr/>
      <w:tcPr>
        <w:tcBorders>
          <w:insideH w:val="nil"/>
          <w:insideV w:val="nil"/>
        </w:tcBorders>
        <w:shd w:val="clear" w:color="auto" w:fill="BCCAD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294A5A"/>
    <w:pPr>
      <w:spacing w:before="0" w:after="0" w:line="240" w:lineRule="auto"/>
    </w:pPr>
    <w:tblPr>
      <w:tblStyleRowBandSize w:val="1"/>
      <w:tblStyleColBandSize w:val="1"/>
      <w:tblBorders>
        <w:top w:val="single" w:sz="8" w:space="0" w:color="00C6E4" w:themeColor="accent2" w:themeTint="BF"/>
        <w:left w:val="single" w:sz="8" w:space="0" w:color="00C6E4" w:themeColor="accent2" w:themeTint="BF"/>
        <w:bottom w:val="single" w:sz="8" w:space="0" w:color="00C6E4" w:themeColor="accent2" w:themeTint="BF"/>
        <w:right w:val="single" w:sz="8" w:space="0" w:color="00C6E4" w:themeColor="accent2" w:themeTint="BF"/>
        <w:insideH w:val="single" w:sz="8" w:space="0" w:color="00C6E4" w:themeColor="accent2" w:themeTint="BF"/>
      </w:tblBorders>
    </w:tblPr>
    <w:tblStylePr w:type="firstRow">
      <w:pPr>
        <w:spacing w:before="0" w:after="0" w:line="240" w:lineRule="auto"/>
      </w:pPr>
      <w:rPr>
        <w:b/>
        <w:bCs/>
        <w:color w:val="FFFFFF" w:themeColor="background1"/>
      </w:rPr>
      <w:tblPr/>
      <w:tcPr>
        <w:tcBorders>
          <w:top w:val="single" w:sz="8" w:space="0" w:color="00C6E4" w:themeColor="accent2" w:themeTint="BF"/>
          <w:left w:val="single" w:sz="8" w:space="0" w:color="00C6E4" w:themeColor="accent2" w:themeTint="BF"/>
          <w:bottom w:val="single" w:sz="8" w:space="0" w:color="00C6E4" w:themeColor="accent2" w:themeTint="BF"/>
          <w:right w:val="single" w:sz="8" w:space="0" w:color="00C6E4" w:themeColor="accent2" w:themeTint="BF"/>
          <w:insideH w:val="nil"/>
          <w:insideV w:val="nil"/>
        </w:tcBorders>
        <w:shd w:val="clear" w:color="auto" w:fill="007586" w:themeFill="accent2"/>
      </w:tcPr>
    </w:tblStylePr>
    <w:tblStylePr w:type="lastRow">
      <w:pPr>
        <w:spacing w:before="0" w:after="0" w:line="240" w:lineRule="auto"/>
      </w:pPr>
      <w:rPr>
        <w:b/>
        <w:bCs/>
      </w:rPr>
      <w:tblPr/>
      <w:tcPr>
        <w:tcBorders>
          <w:top w:val="double" w:sz="6" w:space="0" w:color="00C6E4" w:themeColor="accent2" w:themeTint="BF"/>
          <w:left w:val="single" w:sz="8" w:space="0" w:color="00C6E4" w:themeColor="accent2" w:themeTint="BF"/>
          <w:bottom w:val="single" w:sz="8" w:space="0" w:color="00C6E4" w:themeColor="accent2" w:themeTint="BF"/>
          <w:right w:val="single" w:sz="8" w:space="0" w:color="00C6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A2F2FF" w:themeFill="accent2" w:themeFillTint="3F"/>
      </w:tcPr>
    </w:tblStylePr>
    <w:tblStylePr w:type="band1Horz">
      <w:tblPr/>
      <w:tcPr>
        <w:tcBorders>
          <w:insideH w:val="nil"/>
          <w:insideV w:val="nil"/>
        </w:tcBorders>
        <w:shd w:val="clear" w:color="auto" w:fill="A2F2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294A5A"/>
    <w:pPr>
      <w:spacing w:before="0" w:after="0" w:line="240" w:lineRule="auto"/>
    </w:pPr>
    <w:tblPr>
      <w:tblStyleRowBandSize w:val="1"/>
      <w:tblStyleColBandSize w:val="1"/>
      <w:tblBorders>
        <w:top w:val="single" w:sz="8" w:space="0" w:color="83CAF0" w:themeColor="accent3" w:themeTint="BF"/>
        <w:left w:val="single" w:sz="8" w:space="0" w:color="83CAF0" w:themeColor="accent3" w:themeTint="BF"/>
        <w:bottom w:val="single" w:sz="8" w:space="0" w:color="83CAF0" w:themeColor="accent3" w:themeTint="BF"/>
        <w:right w:val="single" w:sz="8" w:space="0" w:color="83CAF0" w:themeColor="accent3" w:themeTint="BF"/>
        <w:insideH w:val="single" w:sz="8" w:space="0" w:color="83CAF0" w:themeColor="accent3" w:themeTint="BF"/>
      </w:tblBorders>
    </w:tblPr>
    <w:tblStylePr w:type="firstRow">
      <w:pPr>
        <w:spacing w:before="0" w:after="0" w:line="240" w:lineRule="auto"/>
      </w:pPr>
      <w:rPr>
        <w:b/>
        <w:bCs/>
        <w:color w:val="FFFFFF" w:themeColor="background1"/>
      </w:rPr>
      <w:tblPr/>
      <w:tcPr>
        <w:tcBorders>
          <w:top w:val="single" w:sz="8" w:space="0" w:color="83CAF0" w:themeColor="accent3" w:themeTint="BF"/>
          <w:left w:val="single" w:sz="8" w:space="0" w:color="83CAF0" w:themeColor="accent3" w:themeTint="BF"/>
          <w:bottom w:val="single" w:sz="8" w:space="0" w:color="83CAF0" w:themeColor="accent3" w:themeTint="BF"/>
          <w:right w:val="single" w:sz="8" w:space="0" w:color="83CAF0" w:themeColor="accent3" w:themeTint="BF"/>
          <w:insideH w:val="nil"/>
          <w:insideV w:val="nil"/>
        </w:tcBorders>
        <w:shd w:val="clear" w:color="auto" w:fill="5AB9EB" w:themeFill="accent3"/>
      </w:tcPr>
    </w:tblStylePr>
    <w:tblStylePr w:type="lastRow">
      <w:pPr>
        <w:spacing w:before="0" w:after="0" w:line="240" w:lineRule="auto"/>
      </w:pPr>
      <w:rPr>
        <w:b/>
        <w:bCs/>
      </w:rPr>
      <w:tblPr/>
      <w:tcPr>
        <w:tcBorders>
          <w:top w:val="double" w:sz="6" w:space="0" w:color="83CAF0" w:themeColor="accent3" w:themeTint="BF"/>
          <w:left w:val="single" w:sz="8" w:space="0" w:color="83CAF0" w:themeColor="accent3" w:themeTint="BF"/>
          <w:bottom w:val="single" w:sz="8" w:space="0" w:color="83CAF0" w:themeColor="accent3" w:themeTint="BF"/>
          <w:right w:val="single" w:sz="8" w:space="0" w:color="83CAF0"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EDFA" w:themeFill="accent3" w:themeFillTint="3F"/>
      </w:tcPr>
    </w:tblStylePr>
    <w:tblStylePr w:type="band1Horz">
      <w:tblPr/>
      <w:tcPr>
        <w:tcBorders>
          <w:insideH w:val="nil"/>
          <w:insideV w:val="nil"/>
        </w:tcBorders>
        <w:shd w:val="clear" w:color="auto" w:fill="D5ED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294A5A"/>
    <w:pPr>
      <w:spacing w:before="0" w:after="0" w:line="240" w:lineRule="auto"/>
    </w:pPr>
    <w:tblPr>
      <w:tblStyleRowBandSize w:val="1"/>
      <w:tblStyleColBandSize w:val="1"/>
      <w:tblBorders>
        <w:top w:val="single" w:sz="8" w:space="0" w:color="0078F1" w:themeColor="accent4" w:themeTint="BF"/>
        <w:left w:val="single" w:sz="8" w:space="0" w:color="0078F1" w:themeColor="accent4" w:themeTint="BF"/>
        <w:bottom w:val="single" w:sz="8" w:space="0" w:color="0078F1" w:themeColor="accent4" w:themeTint="BF"/>
        <w:right w:val="single" w:sz="8" w:space="0" w:color="0078F1" w:themeColor="accent4" w:themeTint="BF"/>
        <w:insideH w:val="single" w:sz="8" w:space="0" w:color="0078F1" w:themeColor="accent4" w:themeTint="BF"/>
      </w:tblBorders>
    </w:tblPr>
    <w:tblStylePr w:type="firstRow">
      <w:pPr>
        <w:spacing w:before="0" w:after="0" w:line="240" w:lineRule="auto"/>
      </w:pPr>
      <w:rPr>
        <w:b/>
        <w:bCs/>
        <w:color w:val="FFFFFF" w:themeColor="background1"/>
      </w:rPr>
      <w:tblPr/>
      <w:tcPr>
        <w:tcBorders>
          <w:top w:val="single" w:sz="8" w:space="0" w:color="0078F1" w:themeColor="accent4" w:themeTint="BF"/>
          <w:left w:val="single" w:sz="8" w:space="0" w:color="0078F1" w:themeColor="accent4" w:themeTint="BF"/>
          <w:bottom w:val="single" w:sz="8" w:space="0" w:color="0078F1" w:themeColor="accent4" w:themeTint="BF"/>
          <w:right w:val="single" w:sz="8" w:space="0" w:color="0078F1" w:themeColor="accent4" w:themeTint="BF"/>
          <w:insideH w:val="nil"/>
          <w:insideV w:val="nil"/>
        </w:tcBorders>
        <w:shd w:val="clear" w:color="auto" w:fill="004C97" w:themeFill="accent4"/>
      </w:tcPr>
    </w:tblStylePr>
    <w:tblStylePr w:type="lastRow">
      <w:pPr>
        <w:spacing w:before="0" w:after="0" w:line="240" w:lineRule="auto"/>
      </w:pPr>
      <w:rPr>
        <w:b/>
        <w:bCs/>
      </w:rPr>
      <w:tblPr/>
      <w:tcPr>
        <w:tcBorders>
          <w:top w:val="double" w:sz="6" w:space="0" w:color="0078F1" w:themeColor="accent4" w:themeTint="BF"/>
          <w:left w:val="single" w:sz="8" w:space="0" w:color="0078F1" w:themeColor="accent4" w:themeTint="BF"/>
          <w:bottom w:val="single" w:sz="8" w:space="0" w:color="0078F1" w:themeColor="accent4" w:themeTint="BF"/>
          <w:right w:val="single" w:sz="8" w:space="0" w:color="0078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4" w:themeFillTint="3F"/>
      </w:tcPr>
    </w:tblStylePr>
    <w:tblStylePr w:type="band1Horz">
      <w:tblPr/>
      <w:tcPr>
        <w:tcBorders>
          <w:insideH w:val="nil"/>
          <w:insideV w:val="nil"/>
        </w:tcBorders>
        <w:shd w:val="clear" w:color="auto" w:fill="A6D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294A5A"/>
    <w:pPr>
      <w:spacing w:before="0" w:after="0" w:line="240" w:lineRule="auto"/>
    </w:pPr>
    <w:tblPr>
      <w:tblStyleRowBandSize w:val="1"/>
      <w:tblStyleColBandSize w:val="1"/>
      <w:tblBorders>
        <w:top w:val="single" w:sz="8" w:space="0" w:color="83BF8A" w:themeColor="accent5" w:themeTint="BF"/>
        <w:left w:val="single" w:sz="8" w:space="0" w:color="83BF8A" w:themeColor="accent5" w:themeTint="BF"/>
        <w:bottom w:val="single" w:sz="8" w:space="0" w:color="83BF8A" w:themeColor="accent5" w:themeTint="BF"/>
        <w:right w:val="single" w:sz="8" w:space="0" w:color="83BF8A" w:themeColor="accent5" w:themeTint="BF"/>
        <w:insideH w:val="single" w:sz="8" w:space="0" w:color="83BF8A" w:themeColor="accent5" w:themeTint="BF"/>
      </w:tblBorders>
    </w:tblPr>
    <w:tblStylePr w:type="firstRow">
      <w:pPr>
        <w:spacing w:before="0" w:after="0" w:line="240" w:lineRule="auto"/>
      </w:pPr>
      <w:rPr>
        <w:b/>
        <w:bCs/>
        <w:color w:val="FFFFFF" w:themeColor="background1"/>
      </w:rPr>
      <w:tblPr/>
      <w:tcPr>
        <w:tcBorders>
          <w:top w:val="single" w:sz="8" w:space="0" w:color="83BF8A" w:themeColor="accent5" w:themeTint="BF"/>
          <w:left w:val="single" w:sz="8" w:space="0" w:color="83BF8A" w:themeColor="accent5" w:themeTint="BF"/>
          <w:bottom w:val="single" w:sz="8" w:space="0" w:color="83BF8A" w:themeColor="accent5" w:themeTint="BF"/>
          <w:right w:val="single" w:sz="8" w:space="0" w:color="83BF8A" w:themeColor="accent5" w:themeTint="BF"/>
          <w:insideH w:val="nil"/>
          <w:insideV w:val="nil"/>
        </w:tcBorders>
        <w:shd w:val="clear" w:color="auto" w:fill="5AAA64" w:themeFill="accent5"/>
      </w:tcPr>
    </w:tblStylePr>
    <w:tblStylePr w:type="lastRow">
      <w:pPr>
        <w:spacing w:before="0" w:after="0" w:line="240" w:lineRule="auto"/>
      </w:pPr>
      <w:rPr>
        <w:b/>
        <w:bCs/>
      </w:rPr>
      <w:tblPr/>
      <w:tcPr>
        <w:tcBorders>
          <w:top w:val="double" w:sz="6" w:space="0" w:color="83BF8A" w:themeColor="accent5" w:themeTint="BF"/>
          <w:left w:val="single" w:sz="8" w:space="0" w:color="83BF8A" w:themeColor="accent5" w:themeTint="BF"/>
          <w:bottom w:val="single" w:sz="8" w:space="0" w:color="83BF8A" w:themeColor="accent5" w:themeTint="BF"/>
          <w:right w:val="single" w:sz="8" w:space="0" w:color="83BF8A"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AD8" w:themeFill="accent5" w:themeFillTint="3F"/>
      </w:tcPr>
    </w:tblStylePr>
    <w:tblStylePr w:type="band1Horz">
      <w:tblPr/>
      <w:tcPr>
        <w:tcBorders>
          <w:insideH w:val="nil"/>
          <w:insideV w:val="nil"/>
        </w:tcBorders>
        <w:shd w:val="clear" w:color="auto" w:fill="D6EAD8"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294A5A"/>
    <w:pPr>
      <w:spacing w:before="0" w:after="0" w:line="240" w:lineRule="auto"/>
    </w:pPr>
    <w:tblPr>
      <w:tblStyleRowBandSize w:val="1"/>
      <w:tblStyleColBandSize w:val="1"/>
      <w:tblBorders>
        <w:top w:val="single" w:sz="8" w:space="0" w:color="EC8A6C" w:themeColor="accent6" w:themeTint="BF"/>
        <w:left w:val="single" w:sz="8" w:space="0" w:color="EC8A6C" w:themeColor="accent6" w:themeTint="BF"/>
        <w:bottom w:val="single" w:sz="8" w:space="0" w:color="EC8A6C" w:themeColor="accent6" w:themeTint="BF"/>
        <w:right w:val="single" w:sz="8" w:space="0" w:color="EC8A6C" w:themeColor="accent6" w:themeTint="BF"/>
        <w:insideH w:val="single" w:sz="8" w:space="0" w:color="EC8A6C" w:themeColor="accent6" w:themeTint="BF"/>
      </w:tblBorders>
    </w:tblPr>
    <w:tblStylePr w:type="firstRow">
      <w:pPr>
        <w:spacing w:before="0" w:after="0" w:line="240" w:lineRule="auto"/>
      </w:pPr>
      <w:rPr>
        <w:b/>
        <w:bCs/>
        <w:color w:val="FFFFFF" w:themeColor="background1"/>
      </w:rPr>
      <w:tblPr/>
      <w:tcPr>
        <w:tcBorders>
          <w:top w:val="single" w:sz="8" w:space="0" w:color="EC8A6C" w:themeColor="accent6" w:themeTint="BF"/>
          <w:left w:val="single" w:sz="8" w:space="0" w:color="EC8A6C" w:themeColor="accent6" w:themeTint="BF"/>
          <w:bottom w:val="single" w:sz="8" w:space="0" w:color="EC8A6C" w:themeColor="accent6" w:themeTint="BF"/>
          <w:right w:val="single" w:sz="8" w:space="0" w:color="EC8A6C" w:themeColor="accent6" w:themeTint="BF"/>
          <w:insideH w:val="nil"/>
          <w:insideV w:val="nil"/>
        </w:tcBorders>
        <w:shd w:val="clear" w:color="auto" w:fill="E6643C" w:themeFill="accent6"/>
      </w:tcPr>
    </w:tblStylePr>
    <w:tblStylePr w:type="lastRow">
      <w:pPr>
        <w:spacing w:before="0" w:after="0" w:line="240" w:lineRule="auto"/>
      </w:pPr>
      <w:rPr>
        <w:b/>
        <w:bCs/>
      </w:rPr>
      <w:tblPr/>
      <w:tcPr>
        <w:tcBorders>
          <w:top w:val="double" w:sz="6" w:space="0" w:color="EC8A6C" w:themeColor="accent6" w:themeTint="BF"/>
          <w:left w:val="single" w:sz="8" w:space="0" w:color="EC8A6C" w:themeColor="accent6" w:themeTint="BF"/>
          <w:bottom w:val="single" w:sz="8" w:space="0" w:color="EC8A6C" w:themeColor="accent6" w:themeTint="BF"/>
          <w:right w:val="single" w:sz="8" w:space="0" w:color="EC8A6C" w:themeColor="accent6" w:themeTint="BF"/>
          <w:insideH w:val="nil"/>
          <w:insideV w:val="nil"/>
        </w:tcBorders>
      </w:tcPr>
    </w:tblStylePr>
    <w:tblStylePr w:type="firstCol">
      <w:rPr>
        <w:b/>
        <w:bCs/>
      </w:rPr>
    </w:tblStylePr>
    <w:tblStylePr w:type="lastCol">
      <w:rPr>
        <w:b/>
        <w:bCs/>
      </w:rPr>
    </w:tblStylePr>
    <w:tblStylePr w:type="band1Vert">
      <w:tblPr/>
      <w:tcPr>
        <w:shd w:val="clear" w:color="auto" w:fill="F8D8CE" w:themeFill="accent6" w:themeFillTint="3F"/>
      </w:tcPr>
    </w:tblStylePr>
    <w:tblStylePr w:type="band1Horz">
      <w:tblPr/>
      <w:tcPr>
        <w:tcBorders>
          <w:insideH w:val="nil"/>
          <w:insideV w:val="nil"/>
        </w:tcBorders>
        <w:shd w:val="clear" w:color="auto" w:fill="F8D8CE"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294A5A"/>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294A5A"/>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B242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B242A" w:themeFill="accent1"/>
      </w:tcPr>
    </w:tblStylePr>
    <w:tblStylePr w:type="lastCol">
      <w:rPr>
        <w:b/>
        <w:bCs/>
        <w:color w:val="FFFFFF" w:themeColor="background1"/>
      </w:rPr>
      <w:tblPr/>
      <w:tcPr>
        <w:tcBorders>
          <w:left w:val="nil"/>
          <w:right w:val="nil"/>
          <w:insideH w:val="nil"/>
          <w:insideV w:val="nil"/>
        </w:tcBorders>
        <w:shd w:val="clear" w:color="auto" w:fill="1B242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294A5A"/>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58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586" w:themeFill="accent2"/>
      </w:tcPr>
    </w:tblStylePr>
    <w:tblStylePr w:type="lastCol">
      <w:rPr>
        <w:b/>
        <w:bCs/>
        <w:color w:val="FFFFFF" w:themeColor="background1"/>
      </w:rPr>
      <w:tblPr/>
      <w:tcPr>
        <w:tcBorders>
          <w:left w:val="nil"/>
          <w:right w:val="nil"/>
          <w:insideH w:val="nil"/>
          <w:insideV w:val="nil"/>
        </w:tcBorders>
        <w:shd w:val="clear" w:color="auto" w:fill="00758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294A5A"/>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AB9EB"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AB9EB" w:themeFill="accent3"/>
      </w:tcPr>
    </w:tblStylePr>
    <w:tblStylePr w:type="lastCol">
      <w:rPr>
        <w:b/>
        <w:bCs/>
        <w:color w:val="FFFFFF" w:themeColor="background1"/>
      </w:rPr>
      <w:tblPr/>
      <w:tcPr>
        <w:tcBorders>
          <w:left w:val="nil"/>
          <w:right w:val="nil"/>
          <w:insideH w:val="nil"/>
          <w:insideV w:val="nil"/>
        </w:tcBorders>
        <w:shd w:val="clear" w:color="auto" w:fill="5AB9EB"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294A5A"/>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4"/>
      </w:tcPr>
    </w:tblStylePr>
    <w:tblStylePr w:type="lastCol">
      <w:rPr>
        <w:b/>
        <w:bCs/>
        <w:color w:val="FFFFFF" w:themeColor="background1"/>
      </w:rPr>
      <w:tblPr/>
      <w:tcPr>
        <w:tcBorders>
          <w:left w:val="nil"/>
          <w:right w:val="nil"/>
          <w:insideH w:val="nil"/>
          <w:insideV w:val="nil"/>
        </w:tcBorders>
        <w:shd w:val="clear" w:color="auto" w:fill="004C9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294A5A"/>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AAA6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AAA64" w:themeFill="accent5"/>
      </w:tcPr>
    </w:tblStylePr>
    <w:tblStylePr w:type="lastCol">
      <w:rPr>
        <w:b/>
        <w:bCs/>
        <w:color w:val="FFFFFF" w:themeColor="background1"/>
      </w:rPr>
      <w:tblPr/>
      <w:tcPr>
        <w:tcBorders>
          <w:left w:val="nil"/>
          <w:right w:val="nil"/>
          <w:insideH w:val="nil"/>
          <w:insideV w:val="nil"/>
        </w:tcBorders>
        <w:shd w:val="clear" w:color="auto" w:fill="5AAA6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294A5A"/>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6643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6643C" w:themeFill="accent6"/>
      </w:tcPr>
    </w:tblStylePr>
    <w:tblStylePr w:type="lastCol">
      <w:rPr>
        <w:b/>
        <w:bCs/>
        <w:color w:val="FFFFFF" w:themeColor="background1"/>
      </w:rPr>
      <w:tblPr/>
      <w:tcPr>
        <w:tcBorders>
          <w:left w:val="nil"/>
          <w:right w:val="nil"/>
          <w:insideH w:val="nil"/>
          <w:insideV w:val="nil"/>
        </w:tcBorders>
        <w:shd w:val="clear" w:color="auto" w:fill="E6643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294A5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294A5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294A5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294A5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294A5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semiHidden/>
    <w:rsid w:val="00294A5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CVpullouttext">
    <w:name w:val="SCV pullout text"/>
    <w:basedOn w:val="SCVbody"/>
    <w:uiPriority w:val="13"/>
    <w:qFormat/>
    <w:rsid w:val="004D7778"/>
    <w:pPr>
      <w:spacing w:after="120"/>
    </w:pPr>
    <w:rPr>
      <w:color w:val="007586" w:themeColor="text2"/>
    </w:rPr>
  </w:style>
  <w:style w:type="paragraph" w:customStyle="1" w:styleId="SCVpulloutheading">
    <w:name w:val="SCV pullout heading"/>
    <w:basedOn w:val="SCVpullouttext"/>
    <w:next w:val="SCVpullouttext"/>
    <w:uiPriority w:val="13"/>
    <w:qFormat/>
    <w:rsid w:val="005C04F0"/>
    <w:pPr>
      <w:keepNext/>
      <w:keepLines/>
      <w:spacing w:line="240" w:lineRule="auto"/>
    </w:pPr>
    <w:rPr>
      <w:rFonts w:asciiTheme="majorHAnsi" w:hAnsiTheme="majorHAnsi"/>
      <w:b/>
      <w:sz w:val="24"/>
    </w:rPr>
  </w:style>
  <w:style w:type="table" w:customStyle="1" w:styleId="SCVInformationTable">
    <w:name w:val="SCV Information Table"/>
    <w:basedOn w:val="TableNormal"/>
    <w:uiPriority w:val="99"/>
    <w:rsid w:val="005C04F0"/>
    <w:pPr>
      <w:spacing w:before="0" w:line="288" w:lineRule="auto"/>
    </w:pPr>
    <w:tblPr>
      <w:tblCellMar>
        <w:top w:w="284" w:type="dxa"/>
        <w:left w:w="284" w:type="dxa"/>
        <w:bottom w:w="284" w:type="dxa"/>
        <w:right w:w="284" w:type="dxa"/>
      </w:tblCellMar>
    </w:tblPr>
    <w:tcPr>
      <w:shd w:val="clear" w:color="auto" w:fill="F2F2F2" w:themeFill="background1" w:themeFillShade="F2"/>
    </w:tcPr>
  </w:style>
  <w:style w:type="paragraph" w:styleId="NormalWeb">
    <w:name w:val="Normal (Web)"/>
    <w:basedOn w:val="Normal"/>
    <w:uiPriority w:val="99"/>
    <w:semiHidden/>
    <w:rsid w:val="00EA030C"/>
    <w:pPr>
      <w:spacing w:before="0" w:after="0" w:line="260" w:lineRule="atLeast"/>
    </w:pPr>
    <w:rPr>
      <w:rFonts w:eastAsia="Times New Roman" w:cs="Times New Roman"/>
      <w:color w:val="000000" w:themeColor="text1"/>
      <w:szCs w:val="24"/>
    </w:rPr>
  </w:style>
  <w:style w:type="character" w:customStyle="1" w:styleId="Heading5Char">
    <w:name w:val="Heading 5 Char"/>
    <w:basedOn w:val="DefaultParagraphFont"/>
    <w:link w:val="Heading5"/>
    <w:uiPriority w:val="1"/>
    <w:semiHidden/>
    <w:rsid w:val="00B15592"/>
    <w:rPr>
      <w:rFonts w:asciiTheme="majorHAnsi" w:eastAsiaTheme="majorEastAsia" w:hAnsiTheme="majorHAnsi" w:cstheme="majorBidi"/>
      <w:color w:val="141A1F" w:themeColor="accent1" w:themeShade="BF"/>
    </w:rPr>
  </w:style>
  <w:style w:type="paragraph" w:customStyle="1" w:styleId="SCVnumberloweralphaindent">
    <w:name w:val="SCV number lower alpha indent"/>
    <w:basedOn w:val="SCVbody"/>
    <w:uiPriority w:val="29"/>
    <w:rsid w:val="00AE5E04"/>
    <w:pPr>
      <w:numPr>
        <w:ilvl w:val="1"/>
        <w:numId w:val="5"/>
      </w:numPr>
      <w:spacing w:before="60" w:after="60"/>
    </w:pPr>
    <w:rPr>
      <w:rFonts w:eastAsia="Times New Roman" w:cstheme="minorHAnsi"/>
      <w:lang w:eastAsia="en-US"/>
    </w:rPr>
  </w:style>
  <w:style w:type="paragraph" w:customStyle="1" w:styleId="SCVtablebody">
    <w:name w:val="SCV table body"/>
    <w:uiPriority w:val="22"/>
    <w:qFormat/>
    <w:rsid w:val="000D1042"/>
    <w:pPr>
      <w:spacing w:before="80" w:after="60" w:line="240" w:lineRule="atLeast"/>
    </w:pPr>
    <w:rPr>
      <w:rFonts w:eastAsia="Times New Roman" w:cstheme="minorHAnsi"/>
      <w:sz w:val="18"/>
      <w:szCs w:val="21"/>
      <w:lang w:eastAsia="en-US"/>
    </w:rPr>
  </w:style>
  <w:style w:type="paragraph" w:customStyle="1" w:styleId="SCVnumberdigit">
    <w:name w:val="SCV number digit"/>
    <w:basedOn w:val="SCVbody"/>
    <w:uiPriority w:val="29"/>
    <w:rsid w:val="00AE5E04"/>
    <w:pPr>
      <w:numPr>
        <w:numId w:val="5"/>
      </w:numPr>
      <w:spacing w:before="60" w:after="60"/>
    </w:pPr>
    <w:rPr>
      <w:rFonts w:eastAsia="Times New Roman" w:cstheme="minorHAnsi"/>
      <w:lang w:eastAsia="en-US"/>
    </w:rPr>
  </w:style>
  <w:style w:type="paragraph" w:customStyle="1" w:styleId="SCVtablecolhead">
    <w:name w:val="SCV table col head"/>
    <w:uiPriority w:val="3"/>
    <w:qFormat/>
    <w:rsid w:val="002D6F3C"/>
    <w:pPr>
      <w:keepNext/>
      <w:keepLines/>
      <w:spacing w:before="80" w:after="60" w:line="240" w:lineRule="auto"/>
    </w:pPr>
    <w:rPr>
      <w:rFonts w:eastAsia="Times New Roman" w:cstheme="minorHAnsi"/>
      <w:b/>
      <w:color w:val="007586" w:themeColor="text2"/>
      <w:sz w:val="18"/>
      <w:szCs w:val="18"/>
      <w:lang w:eastAsia="en-US"/>
    </w:rPr>
  </w:style>
  <w:style w:type="paragraph" w:customStyle="1" w:styleId="SCVbodyaftertablefigure">
    <w:name w:val="SCV body after table/figure"/>
    <w:basedOn w:val="SCVbody"/>
    <w:next w:val="SCVbody"/>
    <w:uiPriority w:val="24"/>
    <w:rsid w:val="005C04F0"/>
    <w:pPr>
      <w:spacing w:before="240"/>
    </w:pPr>
    <w:rPr>
      <w:rFonts w:eastAsia="Times New Roman" w:cstheme="minorHAnsi"/>
      <w:lang w:eastAsia="en-US"/>
    </w:rPr>
  </w:style>
  <w:style w:type="paragraph" w:customStyle="1" w:styleId="SCVquote">
    <w:name w:val="SCV quote"/>
    <w:basedOn w:val="SCVbody"/>
    <w:uiPriority w:val="29"/>
    <w:rsid w:val="0078432C"/>
    <w:pPr>
      <w:ind w:left="397"/>
    </w:pPr>
    <w:rPr>
      <w:rFonts w:eastAsia="Times New Roman" w:cstheme="minorHAnsi"/>
      <w:color w:val="007586" w:themeColor="text2"/>
      <w:szCs w:val="18"/>
      <w:lang w:eastAsia="en-US"/>
    </w:rPr>
  </w:style>
  <w:style w:type="numbering" w:customStyle="1" w:styleId="ZZBulletsafternumbers">
    <w:name w:val="ZZ Bullets after numbers"/>
    <w:basedOn w:val="NoList"/>
    <w:uiPriority w:val="99"/>
    <w:rsid w:val="00FF411C"/>
    <w:pPr>
      <w:numPr>
        <w:numId w:val="9"/>
      </w:numPr>
    </w:pPr>
  </w:style>
  <w:style w:type="paragraph" w:customStyle="1" w:styleId="SCVbulletafternumbers">
    <w:name w:val="SCV bullet after numbers"/>
    <w:basedOn w:val="SCVbody"/>
    <w:uiPriority w:val="24"/>
    <w:rsid w:val="00AE5E04"/>
    <w:pPr>
      <w:numPr>
        <w:ilvl w:val="1"/>
        <w:numId w:val="9"/>
      </w:numPr>
      <w:spacing w:before="60" w:after="60"/>
    </w:pPr>
  </w:style>
  <w:style w:type="paragraph" w:customStyle="1" w:styleId="SCVquotebullet1">
    <w:name w:val="SCV quote bullet 1"/>
    <w:basedOn w:val="SCVquote"/>
    <w:uiPriority w:val="29"/>
    <w:rsid w:val="00994B72"/>
    <w:pPr>
      <w:numPr>
        <w:numId w:val="6"/>
      </w:numPr>
      <w:spacing w:before="60" w:after="60"/>
    </w:pPr>
  </w:style>
  <w:style w:type="paragraph" w:customStyle="1" w:styleId="SCVquotebullet2">
    <w:name w:val="SCV quote bullet 2"/>
    <w:basedOn w:val="SCVquote"/>
    <w:uiPriority w:val="29"/>
    <w:rsid w:val="00994B72"/>
    <w:pPr>
      <w:numPr>
        <w:ilvl w:val="1"/>
        <w:numId w:val="6"/>
      </w:numPr>
      <w:spacing w:before="60" w:after="60"/>
    </w:pPr>
  </w:style>
  <w:style w:type="paragraph" w:customStyle="1" w:styleId="SCVtablebullet1">
    <w:name w:val="SCV table bullet 1"/>
    <w:basedOn w:val="SCVtablebody"/>
    <w:uiPriority w:val="23"/>
    <w:qFormat/>
    <w:rsid w:val="002D6F3C"/>
    <w:pPr>
      <w:numPr>
        <w:numId w:val="11"/>
      </w:numPr>
    </w:pPr>
    <w:rPr>
      <w:szCs w:val="18"/>
    </w:rPr>
  </w:style>
  <w:style w:type="paragraph" w:customStyle="1" w:styleId="SCVtablebullet2">
    <w:name w:val="SCV table bullet 2"/>
    <w:basedOn w:val="SCVtablebody"/>
    <w:uiPriority w:val="23"/>
    <w:rsid w:val="002D6F3C"/>
    <w:pPr>
      <w:numPr>
        <w:ilvl w:val="1"/>
        <w:numId w:val="11"/>
      </w:numPr>
    </w:pPr>
    <w:rPr>
      <w:szCs w:val="18"/>
    </w:rPr>
  </w:style>
  <w:style w:type="character" w:customStyle="1" w:styleId="SCVbodyChar">
    <w:name w:val="SCV body Char"/>
    <w:basedOn w:val="DefaultParagraphFont"/>
    <w:link w:val="SCVbody"/>
    <w:locked/>
    <w:rsid w:val="000D1042"/>
  </w:style>
  <w:style w:type="numbering" w:customStyle="1" w:styleId="ZZNumbersdigit">
    <w:name w:val="ZZ Numbers digit"/>
    <w:rsid w:val="00FF411C"/>
    <w:pPr>
      <w:numPr>
        <w:numId w:val="5"/>
      </w:numPr>
    </w:pPr>
  </w:style>
  <w:style w:type="numbering" w:customStyle="1" w:styleId="ZZTablebullets">
    <w:name w:val="ZZ Table bullets"/>
    <w:rsid w:val="0025578B"/>
    <w:pPr>
      <w:numPr>
        <w:numId w:val="7"/>
      </w:numPr>
    </w:pPr>
  </w:style>
  <w:style w:type="numbering" w:customStyle="1" w:styleId="ZZQuotebullets">
    <w:name w:val="ZZ Quote bullets"/>
    <w:rsid w:val="00994B72"/>
    <w:pPr>
      <w:numPr>
        <w:numId w:val="6"/>
      </w:numPr>
    </w:pPr>
  </w:style>
  <w:style w:type="paragraph" w:customStyle="1" w:styleId="SCVheader">
    <w:name w:val="SCV header"/>
    <w:basedOn w:val="Header"/>
    <w:uiPriority w:val="1"/>
    <w:rsid w:val="009905FA"/>
    <w:pPr>
      <w:pBdr>
        <w:bottom w:val="single" w:sz="24" w:space="1" w:color="CCCCD0"/>
      </w:pBdr>
    </w:pPr>
  </w:style>
  <w:style w:type="paragraph" w:customStyle="1" w:styleId="SCVtablerowhead">
    <w:name w:val="SCV table row head"/>
    <w:basedOn w:val="SCVtablecolhead"/>
    <w:uiPriority w:val="21"/>
    <w:qFormat/>
    <w:rsid w:val="00350441"/>
    <w:rPr>
      <w:rFonts w:cs="Times New Roman"/>
    </w:rPr>
  </w:style>
  <w:style w:type="paragraph" w:customStyle="1" w:styleId="SCVaccessibilitypara">
    <w:name w:val="SCV accessibility para"/>
    <w:basedOn w:val="SCVbody"/>
    <w:uiPriority w:val="29"/>
    <w:rsid w:val="00276717"/>
    <w:rPr>
      <w:sz w:val="24"/>
    </w:rPr>
  </w:style>
  <w:style w:type="character" w:styleId="UnresolvedMention">
    <w:name w:val="Unresolved Mention"/>
    <w:basedOn w:val="DefaultParagraphFont"/>
    <w:uiPriority w:val="99"/>
    <w:unhideWhenUsed/>
    <w:rsid w:val="00276717"/>
    <w:rPr>
      <w:color w:val="605E5C"/>
      <w:shd w:val="clear" w:color="auto" w:fill="E1DFDD"/>
    </w:rPr>
  </w:style>
  <w:style w:type="character" w:styleId="FollowedHyperlink">
    <w:name w:val="FollowedHyperlink"/>
    <w:basedOn w:val="DefaultParagraphFont"/>
    <w:uiPriority w:val="1"/>
    <w:rsid w:val="00AD1351"/>
    <w:rPr>
      <w:color w:val="007586" w:themeColor="text2"/>
      <w:u w:val="single"/>
    </w:rPr>
  </w:style>
  <w:style w:type="table" w:customStyle="1" w:styleId="SCVpulloutbox">
    <w:name w:val="SCV pullout box"/>
    <w:basedOn w:val="PlainTable1"/>
    <w:uiPriority w:val="99"/>
    <w:rsid w:val="00796484"/>
    <w:pPr>
      <w:spacing w:before="0" w:after="120" w:line="300" w:lineRule="auto"/>
    </w:p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4" w:type="dxa"/>
        <w:left w:w="284" w:type="dxa"/>
        <w:bottom w:w="113" w:type="dxa"/>
        <w:right w:w="284" w:type="dxa"/>
      </w:tblCellMar>
    </w:tblPr>
    <w:tcPr>
      <w:shd w:val="clear" w:color="auto" w:fill="EDF5F7"/>
    </w:tc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ZZTablenumbers">
    <w:name w:val="ZZ Table numbers"/>
    <w:basedOn w:val="NoList"/>
    <w:uiPriority w:val="99"/>
    <w:rsid w:val="00BA5BEB"/>
    <w:pPr>
      <w:numPr>
        <w:numId w:val="8"/>
      </w:numPr>
    </w:pPr>
  </w:style>
  <w:style w:type="paragraph" w:customStyle="1" w:styleId="SCVtablenumber1">
    <w:name w:val="SCV table number 1"/>
    <w:basedOn w:val="SCVtablebody"/>
    <w:uiPriority w:val="29"/>
    <w:rsid w:val="00D863EB"/>
    <w:pPr>
      <w:numPr>
        <w:numId w:val="8"/>
      </w:numPr>
    </w:pPr>
  </w:style>
  <w:style w:type="paragraph" w:customStyle="1" w:styleId="SCVtablenumber2">
    <w:name w:val="SCV table number 2"/>
    <w:basedOn w:val="SCVtablebody"/>
    <w:uiPriority w:val="29"/>
    <w:rsid w:val="00D863EB"/>
    <w:pPr>
      <w:numPr>
        <w:ilvl w:val="1"/>
        <w:numId w:val="8"/>
      </w:numPr>
      <w:spacing w:before="60" w:line="192" w:lineRule="atLeast"/>
    </w:pPr>
    <w:rPr>
      <w:rFonts w:eastAsiaTheme="minorHAnsi"/>
    </w:rPr>
  </w:style>
  <w:style w:type="paragraph" w:customStyle="1" w:styleId="SCVprotectivemarkingbelowsubtitle">
    <w:name w:val="SCV protective marking below subtitle"/>
    <w:basedOn w:val="SCVbody"/>
    <w:uiPriority w:val="1"/>
    <w:rsid w:val="00F024AD"/>
    <w:pPr>
      <w:spacing w:before="400" w:after="400" w:line="240" w:lineRule="auto"/>
    </w:pPr>
    <w:rPr>
      <w:caps/>
      <w:sz w:val="24"/>
      <w:szCs w:val="24"/>
    </w:rPr>
  </w:style>
  <w:style w:type="character" w:styleId="CommentReference">
    <w:name w:val="annotation reference"/>
    <w:basedOn w:val="DefaultParagraphFont"/>
    <w:uiPriority w:val="1"/>
    <w:semiHidden/>
    <w:unhideWhenUsed/>
    <w:rsid w:val="005416D7"/>
    <w:rPr>
      <w:sz w:val="16"/>
      <w:szCs w:val="16"/>
    </w:rPr>
  </w:style>
  <w:style w:type="paragraph" w:styleId="CommentText">
    <w:name w:val="annotation text"/>
    <w:basedOn w:val="Normal"/>
    <w:link w:val="CommentTextChar"/>
    <w:uiPriority w:val="1"/>
    <w:semiHidden/>
    <w:unhideWhenUsed/>
    <w:rsid w:val="005416D7"/>
    <w:pPr>
      <w:spacing w:line="240" w:lineRule="auto"/>
    </w:pPr>
  </w:style>
  <w:style w:type="character" w:customStyle="1" w:styleId="CommentTextChar">
    <w:name w:val="Comment Text Char"/>
    <w:basedOn w:val="DefaultParagraphFont"/>
    <w:link w:val="CommentText"/>
    <w:uiPriority w:val="1"/>
    <w:semiHidden/>
    <w:rsid w:val="005416D7"/>
  </w:style>
  <w:style w:type="paragraph" w:styleId="CommentSubject">
    <w:name w:val="annotation subject"/>
    <w:basedOn w:val="CommentText"/>
    <w:next w:val="CommentText"/>
    <w:link w:val="CommentSubjectChar"/>
    <w:uiPriority w:val="1"/>
    <w:semiHidden/>
    <w:unhideWhenUsed/>
    <w:rsid w:val="005416D7"/>
    <w:rPr>
      <w:b/>
      <w:bCs/>
    </w:rPr>
  </w:style>
  <w:style w:type="character" w:customStyle="1" w:styleId="CommentSubjectChar">
    <w:name w:val="Comment Subject Char"/>
    <w:basedOn w:val="CommentTextChar"/>
    <w:link w:val="CommentSubject"/>
    <w:uiPriority w:val="1"/>
    <w:semiHidden/>
    <w:rsid w:val="005416D7"/>
    <w:rPr>
      <w:b/>
      <w:bCs/>
    </w:rPr>
  </w:style>
  <w:style w:type="paragraph" w:styleId="Revision">
    <w:name w:val="Revision"/>
    <w:hidden/>
    <w:uiPriority w:val="99"/>
    <w:semiHidden/>
    <w:rsid w:val="005416D7"/>
    <w:pPr>
      <w:spacing w:before="0" w:after="0" w:line="240" w:lineRule="auto"/>
    </w:pPr>
  </w:style>
  <w:style w:type="paragraph" w:customStyle="1" w:styleId="SCVimprint">
    <w:name w:val="SCV imprint"/>
    <w:basedOn w:val="SCVbody"/>
    <w:uiPriority w:val="1"/>
    <w:rsid w:val="00B37FF8"/>
    <w:pPr>
      <w:spacing w:before="0" w:after="120"/>
    </w:pPr>
    <w:rPr>
      <w:sz w:val="18"/>
      <w:szCs w:val="18"/>
    </w:rPr>
  </w:style>
  <w:style w:type="paragraph" w:customStyle="1" w:styleId="SCVpulloutbullet">
    <w:name w:val="SCV pullout bullet"/>
    <w:basedOn w:val="SCVpullouttext"/>
    <w:uiPriority w:val="1"/>
    <w:rsid w:val="002F4173"/>
    <w:pPr>
      <w:numPr>
        <w:numId w:val="10"/>
      </w:numPr>
      <w:spacing w:before="0"/>
    </w:pPr>
  </w:style>
  <w:style w:type="numbering" w:customStyle="1" w:styleId="ZZPulloutbullets">
    <w:name w:val="ZZ Pullout bullets"/>
    <w:basedOn w:val="NoList"/>
    <w:uiPriority w:val="99"/>
    <w:rsid w:val="002F4173"/>
    <w:pPr>
      <w:numPr>
        <w:numId w:val="10"/>
      </w:numPr>
    </w:pPr>
  </w:style>
  <w:style w:type="paragraph" w:customStyle="1" w:styleId="SCVdate">
    <w:name w:val="SCV date"/>
    <w:basedOn w:val="SCVbody"/>
    <w:uiPriority w:val="1"/>
    <w:rsid w:val="00D15955"/>
    <w:pPr>
      <w:spacing w:before="0" w:after="0"/>
    </w:pPr>
    <w:rPr>
      <w:b/>
      <w:bCs/>
      <w:sz w:val="28"/>
      <w:szCs w:val="28"/>
    </w:rPr>
  </w:style>
  <w:style w:type="paragraph" w:customStyle="1" w:styleId="SCVborderabovetitle">
    <w:name w:val="SCV border above title"/>
    <w:basedOn w:val="SCVbody"/>
    <w:uiPriority w:val="1"/>
    <w:rsid w:val="00521CA5"/>
    <w:pPr>
      <w:pBdr>
        <w:top w:val="single" w:sz="24" w:space="1" w:color="D9D9D9" w:themeColor="background1" w:themeShade="D9"/>
      </w:pBdr>
      <w:spacing w:before="0" w:after="0"/>
    </w:pPr>
    <w:rPr>
      <w:sz w:val="12"/>
    </w:rPr>
  </w:style>
  <w:style w:type="table" w:customStyle="1" w:styleId="TableGrid1">
    <w:name w:val="Table Grid1"/>
    <w:basedOn w:val="TableNormal"/>
    <w:next w:val="TableGrid"/>
    <w:uiPriority w:val="59"/>
    <w:rsid w:val="00702526"/>
    <w:pPr>
      <w:spacing w:before="60" w:after="60" w:line="192" w:lineRule="atLeast"/>
    </w:pPr>
    <w:rPr>
      <w:rFonts w:eastAsiaTheme="minorHAnsi"/>
      <w:sz w:val="16"/>
      <w:szCs w:val="21"/>
      <w:lang w:eastAsia="en-US"/>
    </w:rPr>
    <w:tblPr>
      <w:tblStyleColBandSize w:val="1"/>
      <w:tblBorders>
        <w:top w:val="single" w:sz="2" w:space="0" w:color="5AAA64" w:themeColor="accent5"/>
        <w:bottom w:val="single" w:sz="2" w:space="0" w:color="5AAA64" w:themeColor="accent5"/>
        <w:insideH w:val="single" w:sz="2" w:space="0" w:color="5AAA64" w:themeColor="accent5"/>
      </w:tblBorders>
      <w:tblCellMar>
        <w:left w:w="113" w:type="dxa"/>
        <w:right w:w="113" w:type="dxa"/>
      </w:tblCellMar>
    </w:tblPr>
    <w:tblStylePr w:type="firstRow">
      <w:pPr>
        <w:keepNext/>
        <w:keepLines/>
        <w:widowControl/>
        <w:wordWrap/>
        <w:spacing w:beforeLines="0" w:before="0" w:beforeAutospacing="0" w:afterLines="0" w:after="0" w:afterAutospacing="0" w:line="260" w:lineRule="atLeast"/>
        <w:ind w:leftChars="0" w:left="0"/>
        <w:jc w:val="left"/>
      </w:pPr>
      <w:rPr>
        <w:b/>
        <w:i w:val="0"/>
        <w:color w:val="007586" w:themeColor="text2"/>
        <w:sz w:val="16"/>
      </w:rPr>
      <w:tblPr/>
      <w:tcPr>
        <w:tcBorders>
          <w:top w:val="single" w:sz="2" w:space="0" w:color="EDF5F7" w:themeColor="background2"/>
          <w:left w:val="nil"/>
          <w:bottom w:val="single" w:sz="24" w:space="0" w:color="E6643C" w:themeColor="accent6"/>
          <w:right w:val="nil"/>
          <w:insideH w:val="nil"/>
          <w:insideV w:val="nil"/>
          <w:tl2br w:val="nil"/>
          <w:tr2bl w:val="nil"/>
        </w:tcBorders>
        <w:shd w:val="clear" w:color="auto" w:fill="EDF5F7"/>
        <w:tcMar>
          <w:top w:w="80" w:type="dxa"/>
          <w:left w:w="113" w:type="dxa"/>
          <w:bottom w:w="80" w:type="dxa"/>
          <w:right w:w="113" w:type="dxa"/>
        </w:tcMar>
      </w:tcPr>
    </w:tblStylePr>
    <w:tblStylePr w:type="lastRow">
      <w:rPr>
        <w:b w:val="0"/>
      </w:rPr>
      <w:tblPr/>
      <w:tcPr>
        <w:tcBorders>
          <w:top w:val="nil"/>
          <w:left w:val="nil"/>
          <w:bottom w:val="nil"/>
          <w:right w:val="nil"/>
          <w:insideH w:val="nil"/>
          <w:insideV w:val="nil"/>
          <w:tl2br w:val="nil"/>
          <w:tr2bl w:val="nil"/>
        </w:tcBorders>
      </w:tcPr>
    </w:tblStylePr>
    <w:tblStylePr w:type="firstCol">
      <w:pPr>
        <w:wordWrap/>
        <w:spacing w:beforeLines="0" w:before="50" w:beforeAutospacing="0" w:line="260" w:lineRule="atLeast"/>
        <w:ind w:leftChars="0" w:left="0"/>
        <w:jc w:val="left"/>
      </w:pPr>
      <w:rPr>
        <w:b/>
        <w:color w:val="007586" w:themeColor="text2"/>
        <w:sz w:val="16"/>
      </w:rPr>
    </w:tblStylePr>
    <w:tblStylePr w:type="band1Vert">
      <w:pPr>
        <w:jc w:val="right"/>
      </w:pPr>
    </w:tblStylePr>
    <w:tblStylePr w:type="band2Vert">
      <w:pPr>
        <w:jc w:val="right"/>
      </w:pPr>
    </w:tblStylePr>
  </w:style>
  <w:style w:type="paragraph" w:styleId="NormalIndent">
    <w:name w:val="Normal Indent"/>
    <w:basedOn w:val="Normalfollowingheading"/>
    <w:uiPriority w:val="1"/>
    <w:qFormat/>
    <w:rsid w:val="00702526"/>
    <w:pPr>
      <w:spacing w:before="120" w:after="120"/>
    </w:pPr>
    <w:rPr>
      <w:rFonts w:eastAsiaTheme="minorHAnsi" w:cstheme="minorHAnsi"/>
      <w:szCs w:val="21"/>
      <w:lang w:eastAsia="en-US"/>
    </w:rPr>
  </w:style>
  <w:style w:type="paragraph" w:customStyle="1" w:styleId="Normalfollowingheading">
    <w:name w:val="Normal following heading"/>
    <w:basedOn w:val="Normal"/>
    <w:next w:val="Normal"/>
    <w:uiPriority w:val="1"/>
    <w:qFormat/>
    <w:rsid w:val="00702526"/>
    <w:pPr>
      <w:spacing w:before="0"/>
    </w:pPr>
  </w:style>
  <w:style w:type="table" w:customStyle="1" w:styleId="TableGrid2">
    <w:name w:val="Table Grid2"/>
    <w:basedOn w:val="TableNormal"/>
    <w:next w:val="TableGrid"/>
    <w:uiPriority w:val="59"/>
    <w:rsid w:val="00986A54"/>
    <w:pPr>
      <w:spacing w:before="60" w:after="60" w:line="192" w:lineRule="atLeast"/>
    </w:pPr>
    <w:rPr>
      <w:rFonts w:eastAsiaTheme="minorHAnsi"/>
      <w:sz w:val="16"/>
      <w:szCs w:val="21"/>
      <w:lang w:eastAsia="en-US"/>
    </w:rPr>
    <w:tblPr>
      <w:tblStyleColBandSize w:val="1"/>
      <w:tblBorders>
        <w:top w:val="single" w:sz="2" w:space="0" w:color="5AAA64" w:themeColor="accent5"/>
        <w:bottom w:val="single" w:sz="2" w:space="0" w:color="5AAA64" w:themeColor="accent5"/>
        <w:insideH w:val="single" w:sz="2" w:space="0" w:color="5AAA64" w:themeColor="accent5"/>
      </w:tblBorders>
      <w:tblCellMar>
        <w:left w:w="113" w:type="dxa"/>
        <w:right w:w="113" w:type="dxa"/>
      </w:tblCellMar>
    </w:tblPr>
    <w:tblStylePr w:type="firstRow">
      <w:pPr>
        <w:keepNext/>
        <w:keepLines/>
        <w:widowControl/>
        <w:wordWrap/>
        <w:spacing w:beforeLines="0" w:before="0" w:beforeAutospacing="0" w:afterLines="0" w:after="0" w:afterAutospacing="0" w:line="260" w:lineRule="atLeast"/>
        <w:ind w:leftChars="0" w:left="0"/>
        <w:jc w:val="left"/>
      </w:pPr>
      <w:rPr>
        <w:b/>
        <w:i w:val="0"/>
        <w:color w:val="007586" w:themeColor="text2"/>
        <w:sz w:val="16"/>
      </w:rPr>
      <w:tblPr/>
      <w:tcPr>
        <w:tcBorders>
          <w:top w:val="single" w:sz="2" w:space="0" w:color="EDF5F7" w:themeColor="background2"/>
          <w:left w:val="nil"/>
          <w:bottom w:val="single" w:sz="24" w:space="0" w:color="E6643C" w:themeColor="accent6"/>
          <w:right w:val="nil"/>
          <w:insideH w:val="nil"/>
          <w:insideV w:val="nil"/>
          <w:tl2br w:val="nil"/>
          <w:tr2bl w:val="nil"/>
        </w:tcBorders>
        <w:shd w:val="clear" w:color="auto" w:fill="EDF5F7"/>
        <w:tcMar>
          <w:top w:w="80" w:type="dxa"/>
          <w:left w:w="113" w:type="dxa"/>
          <w:bottom w:w="80" w:type="dxa"/>
          <w:right w:w="113" w:type="dxa"/>
        </w:tcMar>
      </w:tcPr>
    </w:tblStylePr>
    <w:tblStylePr w:type="lastRow">
      <w:rPr>
        <w:b w:val="0"/>
      </w:rPr>
      <w:tblPr/>
      <w:tcPr>
        <w:tcBorders>
          <w:top w:val="nil"/>
          <w:left w:val="nil"/>
          <w:bottom w:val="nil"/>
          <w:right w:val="nil"/>
          <w:insideH w:val="nil"/>
          <w:insideV w:val="nil"/>
          <w:tl2br w:val="nil"/>
          <w:tr2bl w:val="nil"/>
        </w:tcBorders>
      </w:tcPr>
    </w:tblStylePr>
    <w:tblStylePr w:type="firstCol">
      <w:pPr>
        <w:wordWrap/>
        <w:spacing w:beforeLines="0" w:before="50" w:beforeAutospacing="0" w:line="260" w:lineRule="atLeast"/>
        <w:ind w:leftChars="0" w:left="0"/>
        <w:jc w:val="left"/>
      </w:pPr>
      <w:rPr>
        <w:b/>
        <w:color w:val="007586" w:themeColor="text2"/>
        <w:sz w:val="16"/>
      </w:rPr>
    </w:tblStylePr>
    <w:tblStylePr w:type="band1Vert">
      <w:pPr>
        <w:jc w:val="right"/>
      </w:pPr>
    </w:tblStylePr>
    <w:tblStylePr w:type="band2Vert">
      <w:pPr>
        <w:jc w:val="right"/>
      </w:pPr>
    </w:tblStylePr>
  </w:style>
  <w:style w:type="character" w:styleId="Mention">
    <w:name w:val="Mention"/>
    <w:basedOn w:val="DefaultParagraphFont"/>
    <w:uiPriority w:val="99"/>
    <w:unhideWhenUsed/>
    <w:rsid w:val="0052539E"/>
    <w:rPr>
      <w:color w:val="2B579A"/>
      <w:shd w:val="clear" w:color="auto" w:fill="E1DFDD"/>
    </w:rPr>
  </w:style>
  <w:style w:type="paragraph" w:customStyle="1" w:styleId="Default">
    <w:name w:val="Default"/>
    <w:rsid w:val="008B5605"/>
    <w:pPr>
      <w:autoSpaceDE w:val="0"/>
      <w:autoSpaceDN w:val="0"/>
      <w:adjustRightInd w:val="0"/>
      <w:spacing w:before="0" w:after="0" w:line="240" w:lineRule="auto"/>
    </w:pPr>
    <w:rPr>
      <w:rFonts w:ascii="Arial" w:hAnsi="Arial" w:cs="Arial"/>
      <w:color w:val="000000"/>
      <w:sz w:val="24"/>
      <w:szCs w:val="24"/>
    </w:rPr>
  </w:style>
  <w:style w:type="table" w:customStyle="1" w:styleId="TableGrid3">
    <w:name w:val="Table Grid3"/>
    <w:basedOn w:val="TableNormal"/>
    <w:next w:val="TableGrid"/>
    <w:uiPriority w:val="39"/>
    <w:rsid w:val="00E42D6E"/>
    <w:pPr>
      <w:spacing w:before="0"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pfdse">
    <w:name w:val="jpfdse"/>
    <w:basedOn w:val="DefaultParagraphFont"/>
    <w:rsid w:val="004629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57586">
      <w:bodyDiv w:val="1"/>
      <w:marLeft w:val="0"/>
      <w:marRight w:val="0"/>
      <w:marTop w:val="0"/>
      <w:marBottom w:val="0"/>
      <w:divBdr>
        <w:top w:val="none" w:sz="0" w:space="0" w:color="auto"/>
        <w:left w:val="none" w:sz="0" w:space="0" w:color="auto"/>
        <w:bottom w:val="none" w:sz="0" w:space="0" w:color="auto"/>
        <w:right w:val="none" w:sz="0" w:space="0" w:color="auto"/>
      </w:divBdr>
      <w:divsChild>
        <w:div w:id="1522626919">
          <w:marLeft w:val="0"/>
          <w:marRight w:val="0"/>
          <w:marTop w:val="0"/>
          <w:marBottom w:val="0"/>
          <w:divBdr>
            <w:top w:val="none" w:sz="0" w:space="0" w:color="auto"/>
            <w:left w:val="none" w:sz="0" w:space="0" w:color="auto"/>
            <w:bottom w:val="none" w:sz="0" w:space="0" w:color="auto"/>
            <w:right w:val="none" w:sz="0" w:space="0" w:color="auto"/>
          </w:divBdr>
        </w:div>
        <w:div w:id="1879051171">
          <w:marLeft w:val="0"/>
          <w:marRight w:val="0"/>
          <w:marTop w:val="0"/>
          <w:marBottom w:val="0"/>
          <w:divBdr>
            <w:top w:val="none" w:sz="0" w:space="0" w:color="auto"/>
            <w:left w:val="none" w:sz="0" w:space="0" w:color="auto"/>
            <w:bottom w:val="none" w:sz="0" w:space="0" w:color="auto"/>
            <w:right w:val="none" w:sz="0" w:space="0" w:color="auto"/>
          </w:divBdr>
        </w:div>
      </w:divsChild>
    </w:div>
    <w:div w:id="151720593">
      <w:bodyDiv w:val="1"/>
      <w:marLeft w:val="0"/>
      <w:marRight w:val="0"/>
      <w:marTop w:val="0"/>
      <w:marBottom w:val="0"/>
      <w:divBdr>
        <w:top w:val="none" w:sz="0" w:space="0" w:color="auto"/>
        <w:left w:val="none" w:sz="0" w:space="0" w:color="auto"/>
        <w:bottom w:val="none" w:sz="0" w:space="0" w:color="auto"/>
        <w:right w:val="none" w:sz="0" w:space="0" w:color="auto"/>
      </w:divBdr>
    </w:div>
    <w:div w:id="209846884">
      <w:bodyDiv w:val="1"/>
      <w:marLeft w:val="0"/>
      <w:marRight w:val="0"/>
      <w:marTop w:val="0"/>
      <w:marBottom w:val="0"/>
      <w:divBdr>
        <w:top w:val="none" w:sz="0" w:space="0" w:color="auto"/>
        <w:left w:val="none" w:sz="0" w:space="0" w:color="auto"/>
        <w:bottom w:val="none" w:sz="0" w:space="0" w:color="auto"/>
        <w:right w:val="none" w:sz="0" w:space="0" w:color="auto"/>
      </w:divBdr>
    </w:div>
    <w:div w:id="219707465">
      <w:bodyDiv w:val="1"/>
      <w:marLeft w:val="0"/>
      <w:marRight w:val="0"/>
      <w:marTop w:val="0"/>
      <w:marBottom w:val="0"/>
      <w:divBdr>
        <w:top w:val="none" w:sz="0" w:space="0" w:color="auto"/>
        <w:left w:val="none" w:sz="0" w:space="0" w:color="auto"/>
        <w:bottom w:val="none" w:sz="0" w:space="0" w:color="auto"/>
        <w:right w:val="none" w:sz="0" w:space="0" w:color="auto"/>
      </w:divBdr>
    </w:div>
    <w:div w:id="391854816">
      <w:bodyDiv w:val="1"/>
      <w:marLeft w:val="0"/>
      <w:marRight w:val="0"/>
      <w:marTop w:val="0"/>
      <w:marBottom w:val="0"/>
      <w:divBdr>
        <w:top w:val="none" w:sz="0" w:space="0" w:color="auto"/>
        <w:left w:val="none" w:sz="0" w:space="0" w:color="auto"/>
        <w:bottom w:val="none" w:sz="0" w:space="0" w:color="auto"/>
        <w:right w:val="none" w:sz="0" w:space="0" w:color="auto"/>
      </w:divBdr>
    </w:div>
    <w:div w:id="608271218">
      <w:bodyDiv w:val="1"/>
      <w:marLeft w:val="0"/>
      <w:marRight w:val="0"/>
      <w:marTop w:val="0"/>
      <w:marBottom w:val="0"/>
      <w:divBdr>
        <w:top w:val="none" w:sz="0" w:space="0" w:color="auto"/>
        <w:left w:val="none" w:sz="0" w:space="0" w:color="auto"/>
        <w:bottom w:val="none" w:sz="0" w:space="0" w:color="auto"/>
        <w:right w:val="none" w:sz="0" w:space="0" w:color="auto"/>
      </w:divBdr>
    </w:div>
    <w:div w:id="716708026">
      <w:bodyDiv w:val="1"/>
      <w:marLeft w:val="0"/>
      <w:marRight w:val="0"/>
      <w:marTop w:val="0"/>
      <w:marBottom w:val="0"/>
      <w:divBdr>
        <w:top w:val="none" w:sz="0" w:space="0" w:color="auto"/>
        <w:left w:val="none" w:sz="0" w:space="0" w:color="auto"/>
        <w:bottom w:val="none" w:sz="0" w:space="0" w:color="auto"/>
        <w:right w:val="none" w:sz="0" w:space="0" w:color="auto"/>
      </w:divBdr>
    </w:div>
    <w:div w:id="750584430">
      <w:bodyDiv w:val="1"/>
      <w:marLeft w:val="0"/>
      <w:marRight w:val="0"/>
      <w:marTop w:val="0"/>
      <w:marBottom w:val="0"/>
      <w:divBdr>
        <w:top w:val="none" w:sz="0" w:space="0" w:color="auto"/>
        <w:left w:val="none" w:sz="0" w:space="0" w:color="auto"/>
        <w:bottom w:val="none" w:sz="0" w:space="0" w:color="auto"/>
        <w:right w:val="none" w:sz="0" w:space="0" w:color="auto"/>
      </w:divBdr>
    </w:div>
    <w:div w:id="815031036">
      <w:bodyDiv w:val="1"/>
      <w:marLeft w:val="0"/>
      <w:marRight w:val="0"/>
      <w:marTop w:val="0"/>
      <w:marBottom w:val="0"/>
      <w:divBdr>
        <w:top w:val="none" w:sz="0" w:space="0" w:color="auto"/>
        <w:left w:val="none" w:sz="0" w:space="0" w:color="auto"/>
        <w:bottom w:val="none" w:sz="0" w:space="0" w:color="auto"/>
        <w:right w:val="none" w:sz="0" w:space="0" w:color="auto"/>
      </w:divBdr>
    </w:div>
    <w:div w:id="843667623">
      <w:bodyDiv w:val="1"/>
      <w:marLeft w:val="0"/>
      <w:marRight w:val="0"/>
      <w:marTop w:val="0"/>
      <w:marBottom w:val="0"/>
      <w:divBdr>
        <w:top w:val="none" w:sz="0" w:space="0" w:color="auto"/>
        <w:left w:val="none" w:sz="0" w:space="0" w:color="auto"/>
        <w:bottom w:val="none" w:sz="0" w:space="0" w:color="auto"/>
        <w:right w:val="none" w:sz="0" w:space="0" w:color="auto"/>
      </w:divBdr>
    </w:div>
    <w:div w:id="844511306">
      <w:bodyDiv w:val="1"/>
      <w:marLeft w:val="0"/>
      <w:marRight w:val="0"/>
      <w:marTop w:val="0"/>
      <w:marBottom w:val="0"/>
      <w:divBdr>
        <w:top w:val="none" w:sz="0" w:space="0" w:color="auto"/>
        <w:left w:val="none" w:sz="0" w:space="0" w:color="auto"/>
        <w:bottom w:val="none" w:sz="0" w:space="0" w:color="auto"/>
        <w:right w:val="none" w:sz="0" w:space="0" w:color="auto"/>
      </w:divBdr>
    </w:div>
    <w:div w:id="988174316">
      <w:bodyDiv w:val="1"/>
      <w:marLeft w:val="0"/>
      <w:marRight w:val="0"/>
      <w:marTop w:val="0"/>
      <w:marBottom w:val="0"/>
      <w:divBdr>
        <w:top w:val="none" w:sz="0" w:space="0" w:color="auto"/>
        <w:left w:val="none" w:sz="0" w:space="0" w:color="auto"/>
        <w:bottom w:val="none" w:sz="0" w:space="0" w:color="auto"/>
        <w:right w:val="none" w:sz="0" w:space="0" w:color="auto"/>
      </w:divBdr>
    </w:div>
    <w:div w:id="1694841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safercarevictoria@dhhs.vic" TargetMode="External"/><Relationship Id="rId26" Type="http://schemas.openxmlformats.org/officeDocument/2006/relationships/hyperlink" Target="https://www.safercare.vic.gov.au/best-care-guidance-for-non-urgent-elective-surgery"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2.png"/><Relationship Id="rId34" Type="http://schemas.openxmlformats.org/officeDocument/2006/relationships/hyperlink" Target="https://aci.health.nsw.gov.au/__data/assets/pdf_file/0009/717876/ACI-Same-day-hip-and-knee-joint-replacement-surgery-key-principles.pdf"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info@safercarevictoria.vic.gov.au" TargetMode="External"/><Relationship Id="rId25" Type="http://schemas.openxmlformats.org/officeDocument/2006/relationships/hyperlink" Target="https://aci.health.nsw.gov.au/__data/assets/pdf_file/0009/717876/ACI-Same-day-hip-and-knee-joint-replacement-surgery-key-principles.pdf" TargetMode="External"/><Relationship Id="rId33" Type="http://schemas.openxmlformats.org/officeDocument/2006/relationships/hyperlink" Target="https://www.medibank.com.au/livebetter/newsroom/post/latest-report-reveals-a-solution-to-stretched-healthcare-system"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safercare.vic" TargetMode="External"/><Relationship Id="rId29" Type="http://schemas.openxmlformats.org/officeDocument/2006/relationships/hyperlink" Target="https://www.safetyandquality.gov.au/our-work/healthcare-variation/atlas-2017/atlas-2017-3-womens-health-and-maternit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aci.health.nsw.gov.au/__data/assets/pdf_file/0004/836104/ACI-ERAS-Key-Principles-for-implementation-of-models.pdf" TargetMode="External"/><Relationship Id="rId32" Type="http://schemas.openxmlformats.org/officeDocument/2006/relationships/hyperlink" Target="https://www.anzca.edu.au/getattachment/021e4205-af5a-415d-815d-b16be1fe8b62/PG15(POM)-Guideline-for-the-perioperative-care-of-patients-selected-for-day-stay-procedures-(PS15)" TargetMode="External"/><Relationship Id="rId37" Type="http://schemas.openxmlformats.org/officeDocument/2006/relationships/header" Target="header5.xml"/><Relationship Id="rId40"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anzca.edu.au/getattachment/021e4205-af5a-415d-815d-b16be1fe8b62/PG15(POM)-Guideline-for-the-perioperative-care-of-patients-selected-for-day-stay-procedures" TargetMode="External"/><Relationship Id="rId28" Type="http://schemas.openxmlformats.org/officeDocument/2006/relationships/hyperlink" Target="https://www.safetyandquality.gov.au/our-work/healthcare-variation/atlas-2017" TargetMode="External"/><Relationship Id="rId36"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s://www.safercare.vic.gov.au" TargetMode="External"/><Relationship Id="rId31" Type="http://schemas.openxmlformats.org/officeDocument/2006/relationships/hyperlink" Target="https://www.safetyandquality.gov.au/our-work/healthcare-variation/fourth-atlas-202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health.vic.gov.au/patient-care/medihotels" TargetMode="External"/><Relationship Id="rId27" Type="http://schemas.openxmlformats.org/officeDocument/2006/relationships/hyperlink" Target="https://www.safetyandquality.gov.au/our-work/healthcare-variation/atlas-2015" TargetMode="External"/><Relationship Id="rId30" Type="http://schemas.openxmlformats.org/officeDocument/2006/relationships/hyperlink" Target="https://www.safetyandquality.gov.au/our-work/healthcare-variation/third-atlas-2018" TargetMode="External"/><Relationship Id="rId35" Type="http://schemas.openxmlformats.org/officeDocument/2006/relationships/hyperlink" Target="https://www.medibank.com.au/livebetter/newsroom/post/latest-report-reveals-a-solution-to-stretched-healthcare-syste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AAE2ABAC-7965-4B48-95B1-4F31451234C1}">
    <t:Anchor>
      <t:Comment id="1661081941"/>
    </t:Anchor>
    <t:History>
      <t:Event id="{ED3DDB1D-14C0-454B-ABB2-A3C4E7EC6BE4}" time="2022-08-12T06:29:10.972Z">
        <t:Attribution userId="S::felicity.loxton@safercare.vic.gov.au::db47addc-c9f8-4ea4-b25a-008de266972e" userProvider="AD" userName="Felicity Loxton (DHHS)"/>
        <t:Anchor>
          <t:Comment id="1661081941"/>
        </t:Anchor>
        <t:Create/>
      </t:Event>
      <t:Event id="{FB8F1589-6F9E-478A-B0EB-D6349521C190}" time="2022-08-12T06:29:10.972Z">
        <t:Attribution userId="S::felicity.loxton@safercare.vic.gov.au::db47addc-c9f8-4ea4-b25a-008de266972e" userProvider="AD" userName="Felicity Loxton (DHHS)"/>
        <t:Anchor>
          <t:Comment id="1661081941"/>
        </t:Anchor>
        <t:Assign userId="S::amelia.johnston@safercare.vic.gov.au::c41550fc-b6ad-4a83-818f-5a3158e9a0e2" userProvider="AD" userName="Amelia Johnston (DHHS)"/>
      </t:Event>
      <t:Event id="{95E1BCFD-1088-4BDA-925B-3CA90F684868}" time="2022-08-12T06:29:10.972Z">
        <t:Attribution userId="S::felicity.loxton@safercare.vic.gov.au::db47addc-c9f8-4ea4-b25a-008de266972e" userProvider="AD" userName="Felicity Loxton (DHHS)"/>
        <t:Anchor>
          <t:Comment id="1661081941"/>
        </t:Anchor>
        <t:SetTitle title="@Amelia Johnston (DHHS) have a included this correctly?"/>
      </t:Event>
    </t:History>
  </t:Task>
</t:Tasks>
</file>

<file path=word/theme/theme1.xml><?xml version="1.0" encoding="utf-8"?>
<a:theme xmlns:a="http://schemas.openxmlformats.org/drawingml/2006/main" name="Office Theme">
  <a:themeElements>
    <a:clrScheme name="Safer Care Victoria">
      <a:dk1>
        <a:srgbClr val="000000"/>
      </a:dk1>
      <a:lt1>
        <a:srgbClr val="FFFFFF"/>
      </a:lt1>
      <a:dk2>
        <a:srgbClr val="007586"/>
      </a:dk2>
      <a:lt2>
        <a:srgbClr val="EDF5F7"/>
      </a:lt2>
      <a:accent1>
        <a:srgbClr val="1B242A"/>
      </a:accent1>
      <a:accent2>
        <a:srgbClr val="007586"/>
      </a:accent2>
      <a:accent3>
        <a:srgbClr val="5AB9EB"/>
      </a:accent3>
      <a:accent4>
        <a:srgbClr val="004C97"/>
      </a:accent4>
      <a:accent5>
        <a:srgbClr val="5AAA64"/>
      </a:accent5>
      <a:accent6>
        <a:srgbClr val="E6643C"/>
      </a:accent6>
      <a:hlink>
        <a:srgbClr val="004C97"/>
      </a:hlink>
      <a:folHlink>
        <a:srgbClr val="007586"/>
      </a:folHlink>
    </a:clrScheme>
    <a:fontScheme name="Arial">
      <a:majorFont>
        <a:latin typeface="Arial" panose="020F0302020204030204"/>
        <a:ea typeface="Arial"/>
        <a:cs typeface="Arial"/>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F0502020204030204"/>
        <a:ea typeface="Arial"/>
        <a:cs typeface="Arial"/>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494aaa4-d300-4359-bd81-aa9df2e4b565" xsi:nil="true"/>
    <lcf76f155ced4ddcb4097134ff3c332f xmlns="30fdcf0f-d743-4a41-abf8-88418c74a9f2">
      <Terms xmlns="http://schemas.microsoft.com/office/infopath/2007/PartnerControls"/>
    </lcf76f155ced4ddcb4097134ff3c332f>
    <SharedWithUsers xmlns="c494aaa4-d300-4359-bd81-aa9df2e4b565">
      <UserInfo>
        <DisplayName>Jason Caruana (Health)</DisplayName>
        <AccountId>193</AccountId>
        <AccountType/>
      </UserInfo>
      <UserInfo>
        <DisplayName>Neil Branch (Health)</DisplayName>
        <AccountId>29</AccountId>
        <AccountType/>
      </UserInfo>
      <UserInfo>
        <DisplayName>SharingLinks.d6a73a8e-436e-4d70-875d-982d55a35fce.Flexible.23ad6590-a5d5-4774-a928-3d8cc1dbc2af</DisplayName>
        <AccountId>918</AccountId>
        <AccountType/>
      </UserInfo>
      <UserInfo>
        <DisplayName>Aaron S Hussey (Health)</DisplayName>
        <AccountId>286</AccountId>
        <AccountType/>
      </UserInfo>
      <UserInfo>
        <DisplayName>SharingLinks.eee2661e-2c40-4b75-a3b9-94beecb87b57.Flexible.7c0958b6-328c-45c7-b5df-76b5b03802c3</DisplayName>
        <AccountId>727</AccountId>
        <AccountType/>
      </UserInfo>
      <UserInfo>
        <DisplayName>SharingLinks.5bd50d53-6a9c-443e-a541-31afc185b0c2.Flexible.10839262-5a81-42da-b9e1-1216e5c253a2</DisplayName>
        <AccountId>891</AccountId>
        <AccountType/>
      </UserInfo>
      <UserInfo>
        <DisplayName>Deanne Leaver (Health)</DisplayName>
        <AccountId>340</AccountId>
        <AccountType/>
      </UserInfo>
      <UserInfo>
        <DisplayName>Revanth Mantatikar (Health)</DisplayName>
        <AccountId>1491</AccountId>
        <AccountType/>
      </UserInfo>
      <UserInfo>
        <DisplayName>Phillip Ettle (Health)</DisplayName>
        <AccountId>1493</AccountId>
        <AccountType/>
      </UserInfo>
      <UserInfo>
        <DisplayName>Charlotte Horne (Health)</DisplayName>
        <AccountId>1492</AccountId>
        <AccountType/>
      </UserInfo>
    </SharedWithUsers>
    <DocumentType xmlns="30fdcf0f-d743-4a41-abf8-88418c74a9f2" xsi:nil="true"/>
    <CETeam xmlns="30fdcf0f-d743-4a41-abf8-88418c74a9f2" xsi:nil="true"/>
    <CEDivision xmlns="30fdcf0f-d743-4a41-abf8-88418c74a9f2" xsi:nil="true"/>
    <BriefDescription xmlns="30fdcf0f-d743-4a41-abf8-88418c74a9f2" xsi:nil="true"/>
    <_Flow_SignoffStatus xmlns="30fdcf0f-d743-4a41-abf8-88418c74a9f2"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AC7A68216F59242A7C4D1343F9B9194" ma:contentTypeVersion="20" ma:contentTypeDescription="Create a new document." ma:contentTypeScope="" ma:versionID="a63a4c2f08318b86cd9d49d9719a42cc">
  <xsd:schema xmlns:xsd="http://www.w3.org/2001/XMLSchema" xmlns:xs="http://www.w3.org/2001/XMLSchema" xmlns:p="http://schemas.microsoft.com/office/2006/metadata/properties" xmlns:ns2="30fdcf0f-d743-4a41-abf8-88418c74a9f2" xmlns:ns3="c494aaa4-d300-4359-bd81-aa9df2e4b565" targetNamespace="http://schemas.microsoft.com/office/2006/metadata/properties" ma:root="true" ma:fieldsID="897b0a08fc9d09419f1aeda7a94399d6" ns2:_="" ns3:_="">
    <xsd:import namespace="30fdcf0f-d743-4a41-abf8-88418c74a9f2"/>
    <xsd:import namespace="c494aaa4-d300-4359-bd81-aa9df2e4b56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BriefDescription" minOccurs="0"/>
                <xsd:element ref="ns2:DocumentType" minOccurs="0"/>
                <xsd:element ref="ns2:CETeam" minOccurs="0"/>
                <xsd:element ref="ns2:_Flow_SignoffStatus" minOccurs="0"/>
                <xsd:element ref="ns2:CEDivision"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fdcf0f-d743-4a41-abf8-88418c74a9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BriefDescription" ma:index="20" nillable="true" ma:displayName="Brief Description" ma:format="Dropdown" ma:internalName="BriefDescription">
      <xsd:simpleType>
        <xsd:restriction base="dms:Note">
          <xsd:maxLength value="255"/>
        </xsd:restriction>
      </xsd:simpleType>
    </xsd:element>
    <xsd:element name="DocumentType" ma:index="21" nillable="true" ma:displayName="Document Type" ma:format="Dropdown" ma:internalName="DocumentType">
      <xsd:simpleType>
        <xsd:restriction base="dms:Choice">
          <xsd:enumeration value="Brief"/>
          <xsd:enumeration value="Strategic Planning"/>
          <xsd:enumeration value="Finance"/>
          <xsd:enumeration value="Deliverable"/>
          <xsd:enumeration value="Agenda"/>
          <xsd:enumeration value="Template"/>
          <xsd:enumeration value="Data and Research"/>
          <xsd:enumeration value="Internal Comms"/>
          <xsd:enumeration value="Process"/>
        </xsd:restriction>
      </xsd:simpleType>
    </xsd:element>
    <xsd:element name="CETeam" ma:index="22" nillable="true" ma:displayName="C&amp;E Team" ma:format="Dropdown" ma:internalName="CETeam">
      <xsd:simpleType>
        <xsd:restriction base="dms:Choice">
          <xsd:enumeration value="Creative Services"/>
          <xsd:enumeration value="Social"/>
          <xsd:enumeration value="Digital"/>
          <xsd:enumeration value="Brand"/>
          <xsd:enumeration value="Campaigns &amp; Advertising"/>
          <xsd:enumeration value="Content Strategy"/>
          <xsd:enumeration value="Strat Comms - PH &amp; EM"/>
          <xsd:enumeration value="Strat Comms - H&amp;A, AC"/>
          <xsd:enumeration value="Strat Comms - CCC"/>
          <xsd:enumeration value="Strat Comms - MHW"/>
          <xsd:enumeration value="Stakeholder &amp; Consumer Engagement"/>
          <xsd:enumeration value="Directorate"/>
          <xsd:enumeration value="Media"/>
          <xsd:enumeration value="External"/>
        </xsd:restriction>
      </xsd:simpleType>
    </xsd:element>
    <xsd:element name="_Flow_SignoffStatus" ma:index="23" nillable="true" ma:displayName="Sign-off status" ma:internalName="Sign_x002d_off_x0020_status">
      <xsd:simpleType>
        <xsd:restriction base="dms:Text"/>
      </xsd:simpleType>
    </xsd:element>
    <xsd:element name="CEDivision" ma:index="24" nillable="true" ma:displayName="C&amp;E Division" ma:format="Dropdown" ma:internalName="CEDivision">
      <xsd:simpleType>
        <xsd:restriction base="dms:Choice">
          <xsd:enumeration value="Aboriginal Health"/>
          <xsd:enumeration value="CSI"/>
          <xsd:enumeration value="Corporate Services"/>
          <xsd:enumeration value="Health, Ambulance &amp; Aged Care"/>
          <xsd:enumeration value="Mental Health &amp; Wellbeing"/>
          <xsd:enumeration value="Public Health"/>
          <xsd:enumeration value="Regulatory, Risk, Integrity and Legal"/>
          <xsd:enumeration value="Medical Research"/>
          <xsd:enumeration value="Reform and Planning"/>
          <xsd:enumeration value="Agencies"/>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Location" ma:index="26" nillable="true" ma:displayName="Location" ma:indexed="true" ma:internalName="MediaServiceLocatio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94aaa4-d300-4359-bd81-aa9df2e4b56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3c53a74-6b75-4e41-b8ef-9fd3fa46b57a}" ma:internalName="TaxCatchAll" ma:showField="CatchAllData" ma:web="c494aaa4-d300-4359-bd81-aa9df2e4b5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5DDE25-346F-4C82-B030-3E774B7EE63C}">
  <ds:schemaRefs>
    <ds:schemaRef ds:uri="http://schemas.microsoft.com/sharepoint/v3/contenttype/forms"/>
  </ds:schemaRefs>
</ds:datastoreItem>
</file>

<file path=customXml/itemProps2.xml><?xml version="1.0" encoding="utf-8"?>
<ds:datastoreItem xmlns:ds="http://schemas.openxmlformats.org/officeDocument/2006/customXml" ds:itemID="{9779B012-09B2-489D-AA2E-B07FFAF54EEB}">
  <ds:schemaRefs>
    <ds:schemaRef ds:uri="http://schemas.microsoft.com/office/2006/metadata/properties"/>
    <ds:schemaRef ds:uri="http://schemas.microsoft.com/office/infopath/2007/PartnerControls"/>
    <ds:schemaRef ds:uri="c494aaa4-d300-4359-bd81-aa9df2e4b565"/>
    <ds:schemaRef ds:uri="30fdcf0f-d743-4a41-abf8-88418c74a9f2"/>
  </ds:schemaRefs>
</ds:datastoreItem>
</file>

<file path=customXml/itemProps3.xml><?xml version="1.0" encoding="utf-8"?>
<ds:datastoreItem xmlns:ds="http://schemas.openxmlformats.org/officeDocument/2006/customXml" ds:itemID="{B0CAABF7-267E-4C5A-AF73-7FD0895D80FA}">
  <ds:schemaRefs>
    <ds:schemaRef ds:uri="http://schemas.openxmlformats.org/officeDocument/2006/bibliography"/>
  </ds:schemaRefs>
</ds:datastoreItem>
</file>

<file path=customXml/itemProps4.xml><?xml version="1.0" encoding="utf-8"?>
<ds:datastoreItem xmlns:ds="http://schemas.openxmlformats.org/officeDocument/2006/customXml" ds:itemID="{1A443F7D-49F2-452C-ADAF-28AF5489BF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fdcf0f-d743-4a41-abf8-88418c74a9f2"/>
    <ds:schemaRef ds:uri="c494aaa4-d300-4359-bd81-aa9df2e4b5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6951</Words>
  <Characters>39622</Characters>
  <Application>Microsoft Office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Expanding day surgery report</vt:lpstr>
    </vt:vector>
  </TitlesOfParts>
  <Manager/>
  <Company>Department of Healt</Company>
  <LinksUpToDate>false</LinksUpToDate>
  <CharactersWithSpaces>46481</CharactersWithSpaces>
  <SharedDoc>false</SharedDoc>
  <HLinks>
    <vt:vector size="144" baseType="variant">
      <vt:variant>
        <vt:i4>30</vt:i4>
      </vt:variant>
      <vt:variant>
        <vt:i4>111</vt:i4>
      </vt:variant>
      <vt:variant>
        <vt:i4>0</vt:i4>
      </vt:variant>
      <vt:variant>
        <vt:i4>5</vt:i4>
      </vt:variant>
      <vt:variant>
        <vt:lpwstr>https://www.medibank.com.au/livebetter/newsroom/post/latest-report-reveals-a-solution-to-stretched-healthcare-system</vt:lpwstr>
      </vt:variant>
      <vt:variant>
        <vt:lpwstr/>
      </vt:variant>
      <vt:variant>
        <vt:i4>8061003</vt:i4>
      </vt:variant>
      <vt:variant>
        <vt:i4>108</vt:i4>
      </vt:variant>
      <vt:variant>
        <vt:i4>0</vt:i4>
      </vt:variant>
      <vt:variant>
        <vt:i4>5</vt:i4>
      </vt:variant>
      <vt:variant>
        <vt:lpwstr>https://aci.health.nsw.gov.au/__data/assets/pdf_file/0009/717876/ACI-Same-day-hip-and-knee-joint-replacement-surgery-key-principles.pdf</vt:lpwstr>
      </vt:variant>
      <vt:variant>
        <vt:lpwstr/>
      </vt:variant>
      <vt:variant>
        <vt:i4>30</vt:i4>
      </vt:variant>
      <vt:variant>
        <vt:i4>105</vt:i4>
      </vt:variant>
      <vt:variant>
        <vt:i4>0</vt:i4>
      </vt:variant>
      <vt:variant>
        <vt:i4>5</vt:i4>
      </vt:variant>
      <vt:variant>
        <vt:lpwstr>https://www.medibank.com.au/livebetter/newsroom/post/latest-report-reveals-a-solution-to-stretched-healthcare-system</vt:lpwstr>
      </vt:variant>
      <vt:variant>
        <vt:lpwstr/>
      </vt:variant>
      <vt:variant>
        <vt:i4>3801126</vt:i4>
      </vt:variant>
      <vt:variant>
        <vt:i4>102</vt:i4>
      </vt:variant>
      <vt:variant>
        <vt:i4>0</vt:i4>
      </vt:variant>
      <vt:variant>
        <vt:i4>5</vt:i4>
      </vt:variant>
      <vt:variant>
        <vt:lpwstr>https://www.anzca.edu.au/getattachment/021e4205-af5a-415d-815d-b16be1fe8b62/PG15(POM)-Guideline-for-the-perioperative-care-of-patients-selected-for-day-stay-procedures-(PS15)</vt:lpwstr>
      </vt:variant>
      <vt:variant>
        <vt:lpwstr/>
      </vt:variant>
      <vt:variant>
        <vt:i4>3014689</vt:i4>
      </vt:variant>
      <vt:variant>
        <vt:i4>99</vt:i4>
      </vt:variant>
      <vt:variant>
        <vt:i4>0</vt:i4>
      </vt:variant>
      <vt:variant>
        <vt:i4>5</vt:i4>
      </vt:variant>
      <vt:variant>
        <vt:lpwstr>https://www.safetyandquality.gov.au/our-work/healthcare-variation/fourth-atlas-2021</vt:lpwstr>
      </vt:variant>
      <vt:variant>
        <vt:lpwstr/>
      </vt:variant>
      <vt:variant>
        <vt:i4>2228327</vt:i4>
      </vt:variant>
      <vt:variant>
        <vt:i4>96</vt:i4>
      </vt:variant>
      <vt:variant>
        <vt:i4>0</vt:i4>
      </vt:variant>
      <vt:variant>
        <vt:i4>5</vt:i4>
      </vt:variant>
      <vt:variant>
        <vt:lpwstr>https://www.safetyandquality.gov.au/our-work/healthcare-variation/third-atlas-2018</vt:lpwstr>
      </vt:variant>
      <vt:variant>
        <vt:lpwstr/>
      </vt:variant>
      <vt:variant>
        <vt:i4>1245186</vt:i4>
      </vt:variant>
      <vt:variant>
        <vt:i4>93</vt:i4>
      </vt:variant>
      <vt:variant>
        <vt:i4>0</vt:i4>
      </vt:variant>
      <vt:variant>
        <vt:i4>5</vt:i4>
      </vt:variant>
      <vt:variant>
        <vt:lpwstr>https://www.safetyandquality.gov.au/our-work/healthcare-variation/atlas-2017/atlas-2017-3-womens-health-and-maternity</vt:lpwstr>
      </vt:variant>
      <vt:variant>
        <vt:lpwstr/>
      </vt:variant>
      <vt:variant>
        <vt:i4>1703966</vt:i4>
      </vt:variant>
      <vt:variant>
        <vt:i4>90</vt:i4>
      </vt:variant>
      <vt:variant>
        <vt:i4>0</vt:i4>
      </vt:variant>
      <vt:variant>
        <vt:i4>5</vt:i4>
      </vt:variant>
      <vt:variant>
        <vt:lpwstr>https://www.safetyandquality.gov.au/our-work/healthcare-variation/atlas-2017</vt:lpwstr>
      </vt:variant>
      <vt:variant>
        <vt:lpwstr/>
      </vt:variant>
      <vt:variant>
        <vt:i4>1572894</vt:i4>
      </vt:variant>
      <vt:variant>
        <vt:i4>87</vt:i4>
      </vt:variant>
      <vt:variant>
        <vt:i4>0</vt:i4>
      </vt:variant>
      <vt:variant>
        <vt:i4>5</vt:i4>
      </vt:variant>
      <vt:variant>
        <vt:lpwstr>https://www.safetyandquality.gov.au/our-work/healthcare-variation/atlas-2015</vt:lpwstr>
      </vt:variant>
      <vt:variant>
        <vt:lpwstr/>
      </vt:variant>
      <vt:variant>
        <vt:i4>3473532</vt:i4>
      </vt:variant>
      <vt:variant>
        <vt:i4>84</vt:i4>
      </vt:variant>
      <vt:variant>
        <vt:i4>0</vt:i4>
      </vt:variant>
      <vt:variant>
        <vt:i4>5</vt:i4>
      </vt:variant>
      <vt:variant>
        <vt:lpwstr>https://www.safercare.vic.gov.au/best-care-guidance-for-non-urgent-elective-surgery</vt:lpwstr>
      </vt:variant>
      <vt:variant>
        <vt:lpwstr/>
      </vt:variant>
      <vt:variant>
        <vt:i4>8061003</vt:i4>
      </vt:variant>
      <vt:variant>
        <vt:i4>81</vt:i4>
      </vt:variant>
      <vt:variant>
        <vt:i4>0</vt:i4>
      </vt:variant>
      <vt:variant>
        <vt:i4>5</vt:i4>
      </vt:variant>
      <vt:variant>
        <vt:lpwstr>https://aci.health.nsw.gov.au/__data/assets/pdf_file/0009/717876/ACI-Same-day-hip-and-knee-joint-replacement-surgery-key-principles.pdf</vt:lpwstr>
      </vt:variant>
      <vt:variant>
        <vt:lpwstr/>
      </vt:variant>
      <vt:variant>
        <vt:i4>8323131</vt:i4>
      </vt:variant>
      <vt:variant>
        <vt:i4>78</vt:i4>
      </vt:variant>
      <vt:variant>
        <vt:i4>0</vt:i4>
      </vt:variant>
      <vt:variant>
        <vt:i4>5</vt:i4>
      </vt:variant>
      <vt:variant>
        <vt:lpwstr>https://www.anzca.edu.au/getattachment/021e4205-af5a-415d-815d-b16be1fe8b62/PG15(POM)-Guideline-for-the-perioperative-care-of-patients-selected-for-day-stay-procedures</vt:lpwstr>
      </vt:variant>
      <vt:variant>
        <vt:lpwstr/>
      </vt:variant>
      <vt:variant>
        <vt:i4>1310768</vt:i4>
      </vt:variant>
      <vt:variant>
        <vt:i4>71</vt:i4>
      </vt:variant>
      <vt:variant>
        <vt:i4>0</vt:i4>
      </vt:variant>
      <vt:variant>
        <vt:i4>5</vt:i4>
      </vt:variant>
      <vt:variant>
        <vt:lpwstr/>
      </vt:variant>
      <vt:variant>
        <vt:lpwstr>_Toc111215157</vt:lpwstr>
      </vt:variant>
      <vt:variant>
        <vt:i4>1310768</vt:i4>
      </vt:variant>
      <vt:variant>
        <vt:i4>65</vt:i4>
      </vt:variant>
      <vt:variant>
        <vt:i4>0</vt:i4>
      </vt:variant>
      <vt:variant>
        <vt:i4>5</vt:i4>
      </vt:variant>
      <vt:variant>
        <vt:lpwstr/>
      </vt:variant>
      <vt:variant>
        <vt:lpwstr>_Toc111215156</vt:lpwstr>
      </vt:variant>
      <vt:variant>
        <vt:i4>1310768</vt:i4>
      </vt:variant>
      <vt:variant>
        <vt:i4>59</vt:i4>
      </vt:variant>
      <vt:variant>
        <vt:i4>0</vt:i4>
      </vt:variant>
      <vt:variant>
        <vt:i4>5</vt:i4>
      </vt:variant>
      <vt:variant>
        <vt:lpwstr/>
      </vt:variant>
      <vt:variant>
        <vt:lpwstr>_Toc111215155</vt:lpwstr>
      </vt:variant>
      <vt:variant>
        <vt:i4>1310768</vt:i4>
      </vt:variant>
      <vt:variant>
        <vt:i4>53</vt:i4>
      </vt:variant>
      <vt:variant>
        <vt:i4>0</vt:i4>
      </vt:variant>
      <vt:variant>
        <vt:i4>5</vt:i4>
      </vt:variant>
      <vt:variant>
        <vt:lpwstr/>
      </vt:variant>
      <vt:variant>
        <vt:lpwstr>_Toc111215154</vt:lpwstr>
      </vt:variant>
      <vt:variant>
        <vt:i4>1310768</vt:i4>
      </vt:variant>
      <vt:variant>
        <vt:i4>47</vt:i4>
      </vt:variant>
      <vt:variant>
        <vt:i4>0</vt:i4>
      </vt:variant>
      <vt:variant>
        <vt:i4>5</vt:i4>
      </vt:variant>
      <vt:variant>
        <vt:lpwstr/>
      </vt:variant>
      <vt:variant>
        <vt:lpwstr>_Toc111215152</vt:lpwstr>
      </vt:variant>
      <vt:variant>
        <vt:i4>1310768</vt:i4>
      </vt:variant>
      <vt:variant>
        <vt:i4>41</vt:i4>
      </vt:variant>
      <vt:variant>
        <vt:i4>0</vt:i4>
      </vt:variant>
      <vt:variant>
        <vt:i4>5</vt:i4>
      </vt:variant>
      <vt:variant>
        <vt:lpwstr/>
      </vt:variant>
      <vt:variant>
        <vt:lpwstr>_Toc111215151</vt:lpwstr>
      </vt:variant>
      <vt:variant>
        <vt:i4>1310768</vt:i4>
      </vt:variant>
      <vt:variant>
        <vt:i4>35</vt:i4>
      </vt:variant>
      <vt:variant>
        <vt:i4>0</vt:i4>
      </vt:variant>
      <vt:variant>
        <vt:i4>5</vt:i4>
      </vt:variant>
      <vt:variant>
        <vt:lpwstr/>
      </vt:variant>
      <vt:variant>
        <vt:lpwstr>_Toc111215150</vt:lpwstr>
      </vt:variant>
      <vt:variant>
        <vt:i4>1376304</vt:i4>
      </vt:variant>
      <vt:variant>
        <vt:i4>29</vt:i4>
      </vt:variant>
      <vt:variant>
        <vt:i4>0</vt:i4>
      </vt:variant>
      <vt:variant>
        <vt:i4>5</vt:i4>
      </vt:variant>
      <vt:variant>
        <vt:lpwstr/>
      </vt:variant>
      <vt:variant>
        <vt:lpwstr>_Toc111215149</vt:lpwstr>
      </vt:variant>
      <vt:variant>
        <vt:i4>1376304</vt:i4>
      </vt:variant>
      <vt:variant>
        <vt:i4>23</vt:i4>
      </vt:variant>
      <vt:variant>
        <vt:i4>0</vt:i4>
      </vt:variant>
      <vt:variant>
        <vt:i4>5</vt:i4>
      </vt:variant>
      <vt:variant>
        <vt:lpwstr/>
      </vt:variant>
      <vt:variant>
        <vt:lpwstr>_Toc111215148</vt:lpwstr>
      </vt:variant>
      <vt:variant>
        <vt:i4>1376304</vt:i4>
      </vt:variant>
      <vt:variant>
        <vt:i4>17</vt:i4>
      </vt:variant>
      <vt:variant>
        <vt:i4>0</vt:i4>
      </vt:variant>
      <vt:variant>
        <vt:i4>5</vt:i4>
      </vt:variant>
      <vt:variant>
        <vt:lpwstr/>
      </vt:variant>
      <vt:variant>
        <vt:lpwstr>_Toc111215147</vt:lpwstr>
      </vt:variant>
      <vt:variant>
        <vt:i4>1376304</vt:i4>
      </vt:variant>
      <vt:variant>
        <vt:i4>11</vt:i4>
      </vt:variant>
      <vt:variant>
        <vt:i4>0</vt:i4>
      </vt:variant>
      <vt:variant>
        <vt:i4>5</vt:i4>
      </vt:variant>
      <vt:variant>
        <vt:lpwstr/>
      </vt:variant>
      <vt:variant>
        <vt:lpwstr>_Toc111215146</vt:lpwstr>
      </vt:variant>
      <vt:variant>
        <vt:i4>1376304</vt:i4>
      </vt:variant>
      <vt:variant>
        <vt:i4>5</vt:i4>
      </vt:variant>
      <vt:variant>
        <vt:i4>0</vt:i4>
      </vt:variant>
      <vt:variant>
        <vt:i4>5</vt:i4>
      </vt:variant>
      <vt:variant>
        <vt:lpwstr/>
      </vt:variant>
      <vt:variant>
        <vt:lpwstr>_Toc111215145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Expanding day surgery report</dc:title>
  <dc:subject/>
  <dc:creator>Safer Care Victoria</dc:creator>
  <cp:keywords/>
  <cp:lastModifiedBy>Tyler McPherson (Health)</cp:lastModifiedBy>
  <cp:revision>2</cp:revision>
  <cp:lastPrinted>2020-08-13T21:56:00Z</cp:lastPrinted>
  <dcterms:created xsi:type="dcterms:W3CDTF">2024-04-12T03:51:00Z</dcterms:created>
  <dcterms:modified xsi:type="dcterms:W3CDTF">2024-04-12T03:51:00Z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0x0101001AC7A68216F59242A7C4D1343F9B9194</vt:lpwstr>
  </property>
  <property fmtid="{D5CDD505-2E9C-101B-9397-08002B2CF9AE}" pid="4" name="MediaServiceImageTags">
    <vt:lpwstr/>
  </property>
  <property fmtid="{D5CDD505-2E9C-101B-9397-08002B2CF9AE}" pid="5" name="MSIP_Label_43e64453-338c-4f93-8a4d-0039a0a41f2a_Enabled">
    <vt:lpwstr>true</vt:lpwstr>
  </property>
  <property fmtid="{D5CDD505-2E9C-101B-9397-08002B2CF9AE}" pid="6" name="MSIP_Label_43e64453-338c-4f93-8a4d-0039a0a41f2a_SetDate">
    <vt:lpwstr>2022-08-15T01:22:17Z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dfb78a7e-efc6-4238-84b2-bb80ee3859cb</vt:lpwstr>
  </property>
  <property fmtid="{D5CDD505-2E9C-101B-9397-08002B2CF9AE}" pid="11" name="MSIP_Label_43e64453-338c-4f93-8a4d-0039a0a41f2a_ContentBits">
    <vt:lpwstr>2</vt:lpwstr>
  </property>
  <property fmtid="{D5CDD505-2E9C-101B-9397-08002B2CF9AE}" pid="12" name="GrammarlyDocumentId">
    <vt:lpwstr>b2c1771fb0c36e574ee15d63e79678aa1bb66dae4a9ca5118292854ef3ca3d45</vt:lpwstr>
  </property>
</Properties>
</file>