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768BA" w14:textId="77777777" w:rsidR="0074696E" w:rsidRPr="004C6EEE" w:rsidRDefault="0074696E" w:rsidP="00EC40D5">
      <w:pPr>
        <w:pStyle w:val="Sectionbreakfirstpage"/>
      </w:pPr>
    </w:p>
    <w:p w14:paraId="6419A79F" w14:textId="77777777" w:rsidR="00A62D44" w:rsidRPr="004C6EEE" w:rsidRDefault="00BC63D9" w:rsidP="00EC40D5">
      <w:pPr>
        <w:pStyle w:val="Sectionbreakfirstpage"/>
        <w:sectPr w:rsidR="00A62D44" w:rsidRPr="004C6EEE" w:rsidSect="004E744B">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D34D118" wp14:editId="277807A7">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D06816D" w14:textId="77777777" w:rsidTr="00B07FF7">
        <w:trPr>
          <w:trHeight w:val="622"/>
        </w:trPr>
        <w:tc>
          <w:tcPr>
            <w:tcW w:w="10348" w:type="dxa"/>
            <w:tcMar>
              <w:top w:w="1531" w:type="dxa"/>
              <w:left w:w="0" w:type="dxa"/>
              <w:right w:w="0" w:type="dxa"/>
            </w:tcMar>
          </w:tcPr>
          <w:p w14:paraId="474068EF" w14:textId="3ACC933A" w:rsidR="003B5733" w:rsidRPr="003B5733" w:rsidRDefault="00051461" w:rsidP="003B5733">
            <w:pPr>
              <w:pStyle w:val="Documenttitle"/>
            </w:pPr>
            <w:r>
              <w:t>GP grants program</w:t>
            </w:r>
          </w:p>
        </w:tc>
      </w:tr>
      <w:tr w:rsidR="003B5733" w14:paraId="0D9192D0" w14:textId="77777777" w:rsidTr="00B07FF7">
        <w:tc>
          <w:tcPr>
            <w:tcW w:w="10348" w:type="dxa"/>
          </w:tcPr>
          <w:p w14:paraId="4D9FFBF4" w14:textId="356B9C15" w:rsidR="003B5733" w:rsidRPr="00A1389F" w:rsidRDefault="00051461" w:rsidP="005F44C0">
            <w:pPr>
              <w:pStyle w:val="Documentsubtitle"/>
            </w:pPr>
            <w:r>
              <w:t>Eligibility framework</w:t>
            </w:r>
          </w:p>
        </w:tc>
      </w:tr>
      <w:tr w:rsidR="003B5733" w14:paraId="0EC00D2F" w14:textId="77777777" w:rsidTr="00B07FF7">
        <w:tc>
          <w:tcPr>
            <w:tcW w:w="10348" w:type="dxa"/>
          </w:tcPr>
          <w:p w14:paraId="24BA00DE" w14:textId="77777777" w:rsidR="003B5733" w:rsidRPr="001E5058" w:rsidRDefault="00000000" w:rsidP="001E5058">
            <w:pPr>
              <w:pStyle w:val="Bannermarking"/>
            </w:pPr>
            <w:fldSimple w:instr=" FILLIN  &quot;Type the protective marking&quot; \d OFFICIAL \o  \* MERGEFORMAT ">
              <w:r w:rsidR="00051461">
                <w:t>OFFICIAL</w:t>
              </w:r>
            </w:fldSimple>
          </w:p>
        </w:tc>
      </w:tr>
    </w:tbl>
    <w:p w14:paraId="78C670F4" w14:textId="77777777" w:rsidR="00AD784C" w:rsidRPr="00B57329" w:rsidRDefault="00AD784C" w:rsidP="002365B4">
      <w:pPr>
        <w:pStyle w:val="TOCheadingfactsheet"/>
      </w:pPr>
      <w:r w:rsidRPr="00B57329">
        <w:t>Contents</w:t>
      </w:r>
    </w:p>
    <w:p w14:paraId="18BBFF8A" w14:textId="1CEB4949" w:rsidR="00186DCA" w:rsidRPr="00A65D3C" w:rsidRDefault="00AD784C">
      <w:pPr>
        <w:pStyle w:val="TOC1"/>
        <w:rPr>
          <w:rFonts w:asciiTheme="minorHAnsi" w:eastAsiaTheme="minorEastAsia" w:hAnsiTheme="minorHAnsi" w:cstheme="minorBidi"/>
          <w:b w:val="0"/>
          <w:bCs/>
          <w:kern w:val="2"/>
          <w:sz w:val="22"/>
          <w:szCs w:val="22"/>
          <w:lang w:eastAsia="en-AU"/>
          <w14:ligatures w14:val="standardContextual"/>
        </w:rPr>
      </w:pPr>
      <w:r>
        <w:fldChar w:fldCharType="begin"/>
      </w:r>
      <w:r>
        <w:instrText xml:space="preserve"> TOC \h \z \t "Heading 1,1,Heading 2,2" </w:instrText>
      </w:r>
      <w:r>
        <w:fldChar w:fldCharType="separate"/>
      </w:r>
      <w:hyperlink w:anchor="_Toc166510195" w:history="1">
        <w:r w:rsidR="00186DCA" w:rsidRPr="00A65D3C">
          <w:rPr>
            <w:rStyle w:val="Hyperlink"/>
            <w:b w:val="0"/>
            <w:bCs/>
          </w:rPr>
          <w:t>Background</w:t>
        </w:r>
        <w:r w:rsidR="00186DCA" w:rsidRPr="00A65D3C">
          <w:rPr>
            <w:b w:val="0"/>
            <w:bCs/>
            <w:webHidden/>
          </w:rPr>
          <w:tab/>
        </w:r>
        <w:r w:rsidR="00186DCA" w:rsidRPr="00A65D3C">
          <w:rPr>
            <w:b w:val="0"/>
            <w:bCs/>
            <w:webHidden/>
          </w:rPr>
          <w:fldChar w:fldCharType="begin"/>
        </w:r>
        <w:r w:rsidR="00186DCA" w:rsidRPr="00A65D3C">
          <w:rPr>
            <w:b w:val="0"/>
            <w:bCs/>
            <w:webHidden/>
          </w:rPr>
          <w:instrText xml:space="preserve"> PAGEREF _Toc166510195 \h </w:instrText>
        </w:r>
        <w:r w:rsidR="00186DCA" w:rsidRPr="00A65D3C">
          <w:rPr>
            <w:b w:val="0"/>
            <w:bCs/>
            <w:webHidden/>
          </w:rPr>
        </w:r>
        <w:r w:rsidR="00186DCA" w:rsidRPr="00A65D3C">
          <w:rPr>
            <w:b w:val="0"/>
            <w:bCs/>
            <w:webHidden/>
          </w:rPr>
          <w:fldChar w:fldCharType="separate"/>
        </w:r>
        <w:r w:rsidR="00186DCA" w:rsidRPr="00A65D3C">
          <w:rPr>
            <w:b w:val="0"/>
            <w:bCs/>
            <w:webHidden/>
          </w:rPr>
          <w:t>2</w:t>
        </w:r>
        <w:r w:rsidR="00186DCA" w:rsidRPr="00A65D3C">
          <w:rPr>
            <w:b w:val="0"/>
            <w:bCs/>
            <w:webHidden/>
          </w:rPr>
          <w:fldChar w:fldCharType="end"/>
        </w:r>
      </w:hyperlink>
    </w:p>
    <w:p w14:paraId="7F4721E7" w14:textId="27286B19" w:rsidR="00186DCA" w:rsidRPr="00A65D3C" w:rsidRDefault="00000000">
      <w:pPr>
        <w:pStyle w:val="TOC1"/>
        <w:rPr>
          <w:rFonts w:asciiTheme="minorHAnsi" w:eastAsiaTheme="minorEastAsia" w:hAnsiTheme="minorHAnsi" w:cstheme="minorBidi"/>
          <w:b w:val="0"/>
          <w:bCs/>
          <w:kern w:val="2"/>
          <w:sz w:val="22"/>
          <w:szCs w:val="22"/>
          <w:lang w:eastAsia="en-AU"/>
          <w14:ligatures w14:val="standardContextual"/>
        </w:rPr>
      </w:pPr>
      <w:hyperlink w:anchor="_Toc166510196" w:history="1">
        <w:r w:rsidR="00186DCA" w:rsidRPr="00A65D3C">
          <w:rPr>
            <w:rStyle w:val="Hyperlink"/>
            <w:b w:val="0"/>
            <w:bCs/>
          </w:rPr>
          <w:t>Purpose</w:t>
        </w:r>
        <w:r w:rsidR="00186DCA" w:rsidRPr="00A65D3C">
          <w:rPr>
            <w:b w:val="0"/>
            <w:bCs/>
            <w:webHidden/>
          </w:rPr>
          <w:tab/>
        </w:r>
        <w:r w:rsidR="00186DCA" w:rsidRPr="00A65D3C">
          <w:rPr>
            <w:b w:val="0"/>
            <w:bCs/>
            <w:webHidden/>
          </w:rPr>
          <w:fldChar w:fldCharType="begin"/>
        </w:r>
        <w:r w:rsidR="00186DCA" w:rsidRPr="00A65D3C">
          <w:rPr>
            <w:b w:val="0"/>
            <w:bCs/>
            <w:webHidden/>
          </w:rPr>
          <w:instrText xml:space="preserve"> PAGEREF _Toc166510196 \h </w:instrText>
        </w:r>
        <w:r w:rsidR="00186DCA" w:rsidRPr="00A65D3C">
          <w:rPr>
            <w:b w:val="0"/>
            <w:bCs/>
            <w:webHidden/>
          </w:rPr>
        </w:r>
        <w:r w:rsidR="00186DCA" w:rsidRPr="00A65D3C">
          <w:rPr>
            <w:b w:val="0"/>
            <w:bCs/>
            <w:webHidden/>
          </w:rPr>
          <w:fldChar w:fldCharType="separate"/>
        </w:r>
        <w:r w:rsidR="00186DCA" w:rsidRPr="00A65D3C">
          <w:rPr>
            <w:b w:val="0"/>
            <w:bCs/>
            <w:webHidden/>
          </w:rPr>
          <w:t>2</w:t>
        </w:r>
        <w:r w:rsidR="00186DCA" w:rsidRPr="00A65D3C">
          <w:rPr>
            <w:b w:val="0"/>
            <w:bCs/>
            <w:webHidden/>
          </w:rPr>
          <w:fldChar w:fldCharType="end"/>
        </w:r>
      </w:hyperlink>
    </w:p>
    <w:p w14:paraId="66EC9F47" w14:textId="3CFC5B1E" w:rsidR="00186DCA" w:rsidRPr="00A65D3C" w:rsidRDefault="00000000">
      <w:pPr>
        <w:pStyle w:val="TOC1"/>
        <w:rPr>
          <w:rFonts w:asciiTheme="minorHAnsi" w:eastAsiaTheme="minorEastAsia" w:hAnsiTheme="minorHAnsi" w:cstheme="minorBidi"/>
          <w:b w:val="0"/>
          <w:bCs/>
          <w:kern w:val="2"/>
          <w:sz w:val="22"/>
          <w:szCs w:val="22"/>
          <w:lang w:eastAsia="en-AU"/>
          <w14:ligatures w14:val="standardContextual"/>
        </w:rPr>
      </w:pPr>
      <w:hyperlink w:anchor="_Toc166510197" w:history="1">
        <w:r w:rsidR="00186DCA" w:rsidRPr="00A65D3C">
          <w:rPr>
            <w:rStyle w:val="Hyperlink"/>
            <w:b w:val="0"/>
            <w:bCs/>
          </w:rPr>
          <w:t>Scope</w:t>
        </w:r>
        <w:r w:rsidR="00186DCA" w:rsidRPr="00A65D3C">
          <w:rPr>
            <w:b w:val="0"/>
            <w:bCs/>
            <w:webHidden/>
          </w:rPr>
          <w:tab/>
        </w:r>
        <w:r w:rsidR="00186DCA" w:rsidRPr="00A65D3C">
          <w:rPr>
            <w:b w:val="0"/>
            <w:bCs/>
            <w:webHidden/>
          </w:rPr>
          <w:fldChar w:fldCharType="begin"/>
        </w:r>
        <w:r w:rsidR="00186DCA" w:rsidRPr="00A65D3C">
          <w:rPr>
            <w:b w:val="0"/>
            <w:bCs/>
            <w:webHidden/>
          </w:rPr>
          <w:instrText xml:space="preserve"> PAGEREF _Toc166510197 \h </w:instrText>
        </w:r>
        <w:r w:rsidR="00186DCA" w:rsidRPr="00A65D3C">
          <w:rPr>
            <w:b w:val="0"/>
            <w:bCs/>
            <w:webHidden/>
          </w:rPr>
        </w:r>
        <w:r w:rsidR="00186DCA" w:rsidRPr="00A65D3C">
          <w:rPr>
            <w:b w:val="0"/>
            <w:bCs/>
            <w:webHidden/>
          </w:rPr>
          <w:fldChar w:fldCharType="separate"/>
        </w:r>
        <w:r w:rsidR="00186DCA" w:rsidRPr="00A65D3C">
          <w:rPr>
            <w:b w:val="0"/>
            <w:bCs/>
            <w:webHidden/>
          </w:rPr>
          <w:t>2</w:t>
        </w:r>
        <w:r w:rsidR="00186DCA" w:rsidRPr="00A65D3C">
          <w:rPr>
            <w:b w:val="0"/>
            <w:bCs/>
            <w:webHidden/>
          </w:rPr>
          <w:fldChar w:fldCharType="end"/>
        </w:r>
      </w:hyperlink>
    </w:p>
    <w:p w14:paraId="1EA74EDF" w14:textId="49D60DFA" w:rsidR="00186DCA" w:rsidRPr="00A65D3C" w:rsidRDefault="00000000">
      <w:pPr>
        <w:pStyle w:val="TOC1"/>
        <w:rPr>
          <w:rFonts w:asciiTheme="minorHAnsi" w:eastAsiaTheme="minorEastAsia" w:hAnsiTheme="minorHAnsi" w:cstheme="minorBidi"/>
          <w:b w:val="0"/>
          <w:bCs/>
          <w:kern w:val="2"/>
          <w:sz w:val="22"/>
          <w:szCs w:val="22"/>
          <w:lang w:eastAsia="en-AU"/>
          <w14:ligatures w14:val="standardContextual"/>
        </w:rPr>
      </w:pPr>
      <w:hyperlink w:anchor="_Toc166510198" w:history="1">
        <w:r w:rsidR="00186DCA" w:rsidRPr="00A65D3C">
          <w:rPr>
            <w:rStyle w:val="Hyperlink"/>
            <w:b w:val="0"/>
            <w:bCs/>
          </w:rPr>
          <w:t>Enrolment numbers</w:t>
        </w:r>
        <w:r w:rsidR="00186DCA" w:rsidRPr="00A65D3C">
          <w:rPr>
            <w:b w:val="0"/>
            <w:bCs/>
            <w:webHidden/>
          </w:rPr>
          <w:tab/>
        </w:r>
        <w:r w:rsidR="00186DCA" w:rsidRPr="00A65D3C">
          <w:rPr>
            <w:b w:val="0"/>
            <w:bCs/>
            <w:webHidden/>
          </w:rPr>
          <w:fldChar w:fldCharType="begin"/>
        </w:r>
        <w:r w:rsidR="00186DCA" w:rsidRPr="00A65D3C">
          <w:rPr>
            <w:b w:val="0"/>
            <w:bCs/>
            <w:webHidden/>
          </w:rPr>
          <w:instrText xml:space="preserve"> PAGEREF _Toc166510198 \h </w:instrText>
        </w:r>
        <w:r w:rsidR="00186DCA" w:rsidRPr="00A65D3C">
          <w:rPr>
            <w:b w:val="0"/>
            <w:bCs/>
            <w:webHidden/>
          </w:rPr>
        </w:r>
        <w:r w:rsidR="00186DCA" w:rsidRPr="00A65D3C">
          <w:rPr>
            <w:b w:val="0"/>
            <w:bCs/>
            <w:webHidden/>
          </w:rPr>
          <w:fldChar w:fldCharType="separate"/>
        </w:r>
        <w:r w:rsidR="00186DCA" w:rsidRPr="00A65D3C">
          <w:rPr>
            <w:b w:val="0"/>
            <w:bCs/>
            <w:webHidden/>
          </w:rPr>
          <w:t>2</w:t>
        </w:r>
        <w:r w:rsidR="00186DCA" w:rsidRPr="00A65D3C">
          <w:rPr>
            <w:b w:val="0"/>
            <w:bCs/>
            <w:webHidden/>
          </w:rPr>
          <w:fldChar w:fldCharType="end"/>
        </w:r>
      </w:hyperlink>
    </w:p>
    <w:p w14:paraId="5DAB6B34" w14:textId="40A9BE39" w:rsidR="00186DCA" w:rsidRPr="00A65D3C" w:rsidRDefault="00000000">
      <w:pPr>
        <w:pStyle w:val="TOC1"/>
        <w:rPr>
          <w:rFonts w:asciiTheme="minorHAnsi" w:eastAsiaTheme="minorEastAsia" w:hAnsiTheme="minorHAnsi" w:cstheme="minorBidi"/>
          <w:b w:val="0"/>
          <w:bCs/>
          <w:kern w:val="2"/>
          <w:sz w:val="22"/>
          <w:szCs w:val="22"/>
          <w:lang w:eastAsia="en-AU"/>
          <w14:ligatures w14:val="standardContextual"/>
        </w:rPr>
      </w:pPr>
      <w:hyperlink w:anchor="_Toc166510203" w:history="1">
        <w:r w:rsidR="00186DCA" w:rsidRPr="00A65D3C">
          <w:rPr>
            <w:rStyle w:val="Hyperlink"/>
            <w:b w:val="0"/>
            <w:bCs/>
          </w:rPr>
          <w:t>Priority groupings</w:t>
        </w:r>
        <w:r w:rsidR="00186DCA" w:rsidRPr="00A65D3C">
          <w:rPr>
            <w:b w:val="0"/>
            <w:bCs/>
            <w:webHidden/>
          </w:rPr>
          <w:tab/>
        </w:r>
        <w:r w:rsidR="00186DCA" w:rsidRPr="00A65D3C">
          <w:rPr>
            <w:b w:val="0"/>
            <w:bCs/>
            <w:webHidden/>
          </w:rPr>
          <w:fldChar w:fldCharType="begin"/>
        </w:r>
        <w:r w:rsidR="00186DCA" w:rsidRPr="00A65D3C">
          <w:rPr>
            <w:b w:val="0"/>
            <w:bCs/>
            <w:webHidden/>
          </w:rPr>
          <w:instrText xml:space="preserve"> PAGEREF _Toc166510203 \h </w:instrText>
        </w:r>
        <w:r w:rsidR="00186DCA" w:rsidRPr="00A65D3C">
          <w:rPr>
            <w:b w:val="0"/>
            <w:bCs/>
            <w:webHidden/>
          </w:rPr>
        </w:r>
        <w:r w:rsidR="00186DCA" w:rsidRPr="00A65D3C">
          <w:rPr>
            <w:b w:val="0"/>
            <w:bCs/>
            <w:webHidden/>
          </w:rPr>
          <w:fldChar w:fldCharType="separate"/>
        </w:r>
        <w:r w:rsidR="00186DCA" w:rsidRPr="00A65D3C">
          <w:rPr>
            <w:b w:val="0"/>
            <w:bCs/>
            <w:webHidden/>
          </w:rPr>
          <w:t>3</w:t>
        </w:r>
        <w:r w:rsidR="00186DCA" w:rsidRPr="00A65D3C">
          <w:rPr>
            <w:b w:val="0"/>
            <w:bCs/>
            <w:webHidden/>
          </w:rPr>
          <w:fldChar w:fldCharType="end"/>
        </w:r>
      </w:hyperlink>
    </w:p>
    <w:p w14:paraId="7F07A7E4" w14:textId="142F522D" w:rsidR="00186DCA" w:rsidRPr="00A65D3C" w:rsidRDefault="00000000">
      <w:pPr>
        <w:pStyle w:val="TOC1"/>
        <w:rPr>
          <w:rFonts w:asciiTheme="minorHAnsi" w:eastAsiaTheme="minorEastAsia" w:hAnsiTheme="minorHAnsi" w:cstheme="minorBidi"/>
          <w:b w:val="0"/>
          <w:bCs/>
          <w:kern w:val="2"/>
          <w:sz w:val="22"/>
          <w:szCs w:val="22"/>
          <w:lang w:eastAsia="en-AU"/>
          <w14:ligatures w14:val="standardContextual"/>
        </w:rPr>
      </w:pPr>
      <w:hyperlink w:anchor="_Toc166510206" w:history="1">
        <w:r w:rsidR="00186DCA" w:rsidRPr="00A65D3C">
          <w:rPr>
            <w:rStyle w:val="Hyperlink"/>
            <w:b w:val="0"/>
            <w:bCs/>
          </w:rPr>
          <w:t>Priority stage process</w:t>
        </w:r>
        <w:r w:rsidR="00186DCA" w:rsidRPr="00A65D3C">
          <w:rPr>
            <w:b w:val="0"/>
            <w:bCs/>
            <w:webHidden/>
          </w:rPr>
          <w:tab/>
        </w:r>
        <w:r w:rsidR="00186DCA" w:rsidRPr="00A65D3C">
          <w:rPr>
            <w:b w:val="0"/>
            <w:bCs/>
            <w:webHidden/>
          </w:rPr>
          <w:fldChar w:fldCharType="begin"/>
        </w:r>
        <w:r w:rsidR="00186DCA" w:rsidRPr="00A65D3C">
          <w:rPr>
            <w:b w:val="0"/>
            <w:bCs/>
            <w:webHidden/>
          </w:rPr>
          <w:instrText xml:space="preserve"> PAGEREF _Toc166510206 \h </w:instrText>
        </w:r>
        <w:r w:rsidR="00186DCA" w:rsidRPr="00A65D3C">
          <w:rPr>
            <w:b w:val="0"/>
            <w:bCs/>
            <w:webHidden/>
          </w:rPr>
        </w:r>
        <w:r w:rsidR="00186DCA" w:rsidRPr="00A65D3C">
          <w:rPr>
            <w:b w:val="0"/>
            <w:bCs/>
            <w:webHidden/>
          </w:rPr>
          <w:fldChar w:fldCharType="separate"/>
        </w:r>
        <w:r w:rsidR="00186DCA" w:rsidRPr="00A65D3C">
          <w:rPr>
            <w:b w:val="0"/>
            <w:bCs/>
            <w:webHidden/>
          </w:rPr>
          <w:t>4</w:t>
        </w:r>
        <w:r w:rsidR="00186DCA" w:rsidRPr="00A65D3C">
          <w:rPr>
            <w:b w:val="0"/>
            <w:bCs/>
            <w:webHidden/>
          </w:rPr>
          <w:fldChar w:fldCharType="end"/>
        </w:r>
      </w:hyperlink>
    </w:p>
    <w:p w14:paraId="0D723913" w14:textId="10E72A9C" w:rsidR="007173CA" w:rsidRDefault="00AD784C" w:rsidP="00D079AA">
      <w:pPr>
        <w:pStyle w:val="Body"/>
      </w:pPr>
      <w:r>
        <w:fldChar w:fldCharType="end"/>
      </w:r>
    </w:p>
    <w:p w14:paraId="291BCF9B" w14:textId="281CAA52" w:rsidR="00EE29AD" w:rsidRDefault="00051461" w:rsidP="00E261B3">
      <w:pPr>
        <w:pStyle w:val="Heading1"/>
      </w:pPr>
      <w:bookmarkStart w:id="0" w:name="_Toc166510195"/>
      <w:r>
        <w:t>Background</w:t>
      </w:r>
      <w:bookmarkEnd w:id="0"/>
    </w:p>
    <w:p w14:paraId="594EB601" w14:textId="77777777" w:rsidR="00051461" w:rsidRPr="00B00864" w:rsidRDefault="00051461" w:rsidP="00051461">
      <w:pPr>
        <w:pStyle w:val="Body"/>
        <w:rPr>
          <w:sz w:val="22"/>
          <w:szCs w:val="24"/>
        </w:rPr>
      </w:pPr>
      <w:r w:rsidRPr="00B00864">
        <w:rPr>
          <w:sz w:val="22"/>
          <w:szCs w:val="24"/>
        </w:rPr>
        <w:t>The Victorian Government</w:t>
      </w:r>
      <w:r>
        <w:rPr>
          <w:sz w:val="22"/>
          <w:szCs w:val="24"/>
        </w:rPr>
        <w:t xml:space="preserve">’s $32 million </w:t>
      </w:r>
      <w:r w:rsidRPr="00B00864">
        <w:rPr>
          <w:sz w:val="22"/>
          <w:szCs w:val="24"/>
        </w:rPr>
        <w:t>GP grants program</w:t>
      </w:r>
      <w:r>
        <w:rPr>
          <w:sz w:val="22"/>
          <w:szCs w:val="24"/>
        </w:rPr>
        <w:t xml:space="preserve"> </w:t>
      </w:r>
      <w:r w:rsidRPr="00B00864">
        <w:rPr>
          <w:sz w:val="22"/>
          <w:szCs w:val="24"/>
        </w:rPr>
        <w:t xml:space="preserve">will deliver a total of up to 800 grants </w:t>
      </w:r>
      <w:r>
        <w:rPr>
          <w:sz w:val="22"/>
          <w:szCs w:val="24"/>
        </w:rPr>
        <w:t xml:space="preserve">(400 in 2024 and 400 in 2025) </w:t>
      </w:r>
      <w:r w:rsidRPr="00B00864">
        <w:rPr>
          <w:sz w:val="22"/>
          <w:szCs w:val="24"/>
        </w:rPr>
        <w:t xml:space="preserve">and $40,000 per </w:t>
      </w:r>
      <w:r>
        <w:rPr>
          <w:sz w:val="22"/>
          <w:szCs w:val="24"/>
        </w:rPr>
        <w:t>successful applicant</w:t>
      </w:r>
      <w:r w:rsidRPr="00B00864">
        <w:rPr>
          <w:sz w:val="22"/>
          <w:szCs w:val="24"/>
        </w:rPr>
        <w:t>. The grants aim to:</w:t>
      </w:r>
    </w:p>
    <w:p w14:paraId="3BA93967" w14:textId="77777777" w:rsidR="00051461" w:rsidRPr="00151E9E" w:rsidRDefault="00051461" w:rsidP="00051461">
      <w:pPr>
        <w:pStyle w:val="ListParagraph"/>
        <w:numPr>
          <w:ilvl w:val="0"/>
          <w:numId w:val="40"/>
        </w:numPr>
        <w:rPr>
          <w:rFonts w:ascii="Arial" w:hAnsi="Arial" w:cs="Arial"/>
        </w:rPr>
      </w:pPr>
      <w:r w:rsidRPr="00151E9E">
        <w:rPr>
          <w:rFonts w:ascii="Arial" w:hAnsi="Arial" w:cs="Arial"/>
        </w:rPr>
        <w:t xml:space="preserve">increase the number of GP trainee enrolments in 2024 and </w:t>
      </w:r>
      <w:proofErr w:type="gramStart"/>
      <w:r w:rsidRPr="00151E9E">
        <w:rPr>
          <w:rFonts w:ascii="Arial" w:hAnsi="Arial" w:cs="Arial"/>
        </w:rPr>
        <w:t>2025;</w:t>
      </w:r>
      <w:proofErr w:type="gramEnd"/>
      <w:r w:rsidRPr="00151E9E">
        <w:rPr>
          <w:rFonts w:ascii="Arial" w:hAnsi="Arial" w:cs="Arial"/>
        </w:rPr>
        <w:t xml:space="preserve"> </w:t>
      </w:r>
    </w:p>
    <w:p w14:paraId="660BF39D" w14:textId="77777777" w:rsidR="00051461" w:rsidRPr="00151E9E" w:rsidRDefault="00051461" w:rsidP="00051461">
      <w:pPr>
        <w:pStyle w:val="ListParagraph"/>
        <w:numPr>
          <w:ilvl w:val="0"/>
          <w:numId w:val="40"/>
        </w:numPr>
        <w:rPr>
          <w:rFonts w:ascii="Arial" w:hAnsi="Arial" w:cs="Arial"/>
        </w:rPr>
      </w:pPr>
      <w:r w:rsidRPr="00151E9E">
        <w:rPr>
          <w:rFonts w:ascii="Arial" w:hAnsi="Arial" w:cs="Arial"/>
        </w:rPr>
        <w:t xml:space="preserve">provide a top-up payment for first year trainees of $30,000; and </w:t>
      </w:r>
    </w:p>
    <w:p w14:paraId="738DCE03" w14:textId="77777777" w:rsidR="00051461" w:rsidRDefault="00051461" w:rsidP="00051461">
      <w:pPr>
        <w:pStyle w:val="ListParagraph"/>
        <w:numPr>
          <w:ilvl w:val="0"/>
          <w:numId w:val="40"/>
        </w:numPr>
        <w:rPr>
          <w:rFonts w:ascii="Arial" w:hAnsi="Arial" w:cs="Arial"/>
        </w:rPr>
      </w:pPr>
      <w:r w:rsidRPr="00151E9E">
        <w:rPr>
          <w:rFonts w:ascii="Arial" w:hAnsi="Arial" w:cs="Arial"/>
        </w:rPr>
        <w:t xml:space="preserve">provide $10,000 to support the costs of exams to be undertaken during GP training. </w:t>
      </w:r>
    </w:p>
    <w:p w14:paraId="1ECF7CAF" w14:textId="3B45EFB7" w:rsidR="00E97738" w:rsidRDefault="00E97738" w:rsidP="00E97738">
      <w:pPr>
        <w:pStyle w:val="Heading1"/>
      </w:pPr>
      <w:bookmarkStart w:id="1" w:name="_Toc166510196"/>
      <w:r>
        <w:t>Purpose</w:t>
      </w:r>
      <w:bookmarkEnd w:id="1"/>
    </w:p>
    <w:p w14:paraId="2621A82F" w14:textId="77777777" w:rsidR="00E97738" w:rsidRDefault="00E97738" w:rsidP="00E97738">
      <w:pPr>
        <w:rPr>
          <w:rFonts w:cs="Arial"/>
        </w:rPr>
      </w:pPr>
      <w:r>
        <w:rPr>
          <w:rFonts w:cs="Arial"/>
        </w:rPr>
        <w:t>The purpose of the eligibility framework is to:</w:t>
      </w:r>
      <w:r w:rsidRPr="003A6E18">
        <w:rPr>
          <w:rFonts w:cs="Arial"/>
        </w:rPr>
        <w:t xml:space="preserve"> </w:t>
      </w:r>
    </w:p>
    <w:p w14:paraId="743DE14C" w14:textId="77777777" w:rsidR="00E97738" w:rsidRPr="0058600C" w:rsidRDefault="00E97738" w:rsidP="00E97738">
      <w:pPr>
        <w:pStyle w:val="ListParagraph"/>
        <w:numPr>
          <w:ilvl w:val="0"/>
          <w:numId w:val="40"/>
        </w:numPr>
        <w:rPr>
          <w:rFonts w:ascii="Arial" w:hAnsi="Arial" w:cs="Arial"/>
        </w:rPr>
      </w:pPr>
      <w:r w:rsidRPr="008178AC">
        <w:rPr>
          <w:rFonts w:ascii="Arial" w:hAnsi="Arial" w:cs="Arial"/>
        </w:rPr>
        <w:t xml:space="preserve">prioritise grants when there is an oversubscription for the 400 grants in 2024 and </w:t>
      </w:r>
      <w:r>
        <w:rPr>
          <w:rFonts w:ascii="Arial" w:hAnsi="Arial" w:cs="Arial"/>
        </w:rPr>
        <w:t xml:space="preserve">when there is </w:t>
      </w:r>
      <w:r w:rsidRPr="008178AC">
        <w:rPr>
          <w:rFonts w:ascii="Arial" w:hAnsi="Arial" w:cs="Arial"/>
        </w:rPr>
        <w:t>an oversubscription for the 400 grants in 2025</w:t>
      </w:r>
      <w:r>
        <w:rPr>
          <w:rFonts w:ascii="Arial" w:hAnsi="Arial" w:cs="Arial"/>
        </w:rPr>
        <w:t>;</w:t>
      </w:r>
      <w:r w:rsidRPr="008178AC">
        <w:rPr>
          <w:rFonts w:ascii="Arial" w:hAnsi="Arial" w:cs="Arial"/>
        </w:rPr>
        <w:t xml:space="preserve"> </w:t>
      </w:r>
      <w:r>
        <w:rPr>
          <w:rFonts w:ascii="Arial" w:hAnsi="Arial" w:cs="Arial"/>
        </w:rPr>
        <w:t>and</w:t>
      </w:r>
    </w:p>
    <w:p w14:paraId="04F912BB" w14:textId="77777777" w:rsidR="00E97738" w:rsidRPr="008178AC" w:rsidRDefault="00E97738" w:rsidP="00E97738">
      <w:pPr>
        <w:pStyle w:val="ListParagraph"/>
        <w:numPr>
          <w:ilvl w:val="0"/>
          <w:numId w:val="40"/>
        </w:numPr>
        <w:rPr>
          <w:rFonts w:ascii="Arial" w:hAnsi="Arial" w:cs="Arial"/>
        </w:rPr>
      </w:pPr>
      <w:r>
        <w:rPr>
          <w:rFonts w:ascii="Arial" w:hAnsi="Arial" w:cs="Arial"/>
        </w:rPr>
        <w:t>successfully deliver 800 grants based on a prioritisation process.</w:t>
      </w:r>
    </w:p>
    <w:p w14:paraId="2FAD653A" w14:textId="5ACC702F" w:rsidR="00E97738" w:rsidRDefault="00E97738" w:rsidP="00E97738">
      <w:pPr>
        <w:pStyle w:val="Heading1"/>
      </w:pPr>
      <w:bookmarkStart w:id="2" w:name="_Toc166510197"/>
      <w:r>
        <w:t>Scope</w:t>
      </w:r>
      <w:bookmarkEnd w:id="2"/>
    </w:p>
    <w:p w14:paraId="2D611D19" w14:textId="77777777" w:rsidR="00E97738" w:rsidRDefault="00E97738" w:rsidP="00E97738">
      <w:pPr>
        <w:rPr>
          <w:rFonts w:cs="Arial"/>
        </w:rPr>
      </w:pPr>
      <w:r>
        <w:rPr>
          <w:rFonts w:cs="Arial"/>
        </w:rPr>
        <w:t>Eligible doctors who can apply for the Grant are:</w:t>
      </w:r>
    </w:p>
    <w:p w14:paraId="01A611D1" w14:textId="77777777" w:rsidR="00E97738" w:rsidRPr="00E421D6" w:rsidRDefault="00E97738" w:rsidP="00E97738">
      <w:pPr>
        <w:pStyle w:val="ListParagraph"/>
        <w:numPr>
          <w:ilvl w:val="0"/>
          <w:numId w:val="41"/>
        </w:numPr>
        <w:rPr>
          <w:rFonts w:ascii="Arial" w:hAnsi="Arial" w:cs="Arial"/>
        </w:rPr>
      </w:pPr>
      <w:r w:rsidRPr="00E421D6">
        <w:rPr>
          <w:rFonts w:ascii="Arial" w:hAnsi="Arial" w:cs="Arial"/>
        </w:rPr>
        <w:t>doctors who have been successfully accepted and commenced GP training in Victoria 2024 and 2025 (2024 cohort and 2025 cohort); and</w:t>
      </w:r>
    </w:p>
    <w:p w14:paraId="5B062836" w14:textId="77777777" w:rsidR="00E97738" w:rsidRPr="00E421D6" w:rsidRDefault="00E97738" w:rsidP="00E97738">
      <w:pPr>
        <w:pStyle w:val="ListParagraph"/>
        <w:numPr>
          <w:ilvl w:val="0"/>
          <w:numId w:val="41"/>
        </w:numPr>
        <w:rPr>
          <w:rFonts w:ascii="Arial" w:hAnsi="Arial" w:cs="Arial"/>
        </w:rPr>
      </w:pPr>
      <w:r w:rsidRPr="00E421D6">
        <w:rPr>
          <w:rFonts w:ascii="Arial" w:hAnsi="Arial" w:cs="Arial"/>
        </w:rPr>
        <w:t xml:space="preserve">doctors who have applied, </w:t>
      </w:r>
      <w:proofErr w:type="gramStart"/>
      <w:r w:rsidRPr="00E421D6">
        <w:rPr>
          <w:rFonts w:ascii="Arial" w:hAnsi="Arial" w:cs="Arial"/>
        </w:rPr>
        <w:t>enrolled</w:t>
      </w:r>
      <w:proofErr w:type="gramEnd"/>
      <w:r w:rsidRPr="00E421D6">
        <w:rPr>
          <w:rFonts w:ascii="Arial" w:hAnsi="Arial" w:cs="Arial"/>
        </w:rPr>
        <w:t xml:space="preserve"> and were accepted on or after 27 November 2022 and commenced GP training in Victoria in 2023 (2023 cohort).</w:t>
      </w:r>
    </w:p>
    <w:p w14:paraId="16417CAF" w14:textId="77777777" w:rsidR="00E97738" w:rsidRDefault="00E97738" w:rsidP="00E97738">
      <w:pPr>
        <w:rPr>
          <w:rFonts w:cs="Arial"/>
        </w:rPr>
      </w:pPr>
      <w:r>
        <w:rPr>
          <w:rFonts w:cs="Arial"/>
        </w:rPr>
        <w:lastRenderedPageBreak/>
        <w:t>Grants will be allocated to the cohorts as follows:</w:t>
      </w:r>
    </w:p>
    <w:p w14:paraId="6958F514" w14:textId="77777777" w:rsidR="00E97738" w:rsidRPr="00F669C5" w:rsidRDefault="00E97738" w:rsidP="00E97738">
      <w:pPr>
        <w:pStyle w:val="ListParagraph"/>
        <w:numPr>
          <w:ilvl w:val="0"/>
          <w:numId w:val="41"/>
        </w:numPr>
        <w:rPr>
          <w:rFonts w:ascii="Arial" w:hAnsi="Arial" w:cs="Arial"/>
        </w:rPr>
      </w:pPr>
      <w:r w:rsidRPr="00F669C5">
        <w:rPr>
          <w:rFonts w:ascii="Arial" w:hAnsi="Arial" w:cs="Arial"/>
        </w:rPr>
        <w:t>400 grants in 2024: 2023 cohort and 2024 cohort</w:t>
      </w:r>
    </w:p>
    <w:p w14:paraId="14BEE040" w14:textId="77777777" w:rsidR="00E97738" w:rsidRPr="0049606E" w:rsidRDefault="00E97738" w:rsidP="00E97738">
      <w:pPr>
        <w:pStyle w:val="ListParagraph"/>
        <w:numPr>
          <w:ilvl w:val="0"/>
          <w:numId w:val="41"/>
        </w:numPr>
        <w:rPr>
          <w:rFonts w:ascii="Arial" w:hAnsi="Arial" w:cs="Arial"/>
        </w:rPr>
      </w:pPr>
      <w:r w:rsidRPr="00F669C5">
        <w:rPr>
          <w:rFonts w:ascii="Arial" w:hAnsi="Arial" w:cs="Arial"/>
        </w:rPr>
        <w:t>400 grants in 2025: 2025 cohort, and</w:t>
      </w:r>
      <w:r>
        <w:rPr>
          <w:rFonts w:ascii="Arial" w:hAnsi="Arial" w:cs="Arial"/>
        </w:rPr>
        <w:t xml:space="preserve"> the</w:t>
      </w:r>
      <w:r w:rsidRPr="00F669C5">
        <w:rPr>
          <w:rFonts w:ascii="Arial" w:hAnsi="Arial" w:cs="Arial"/>
        </w:rPr>
        <w:t xml:space="preserve"> 202</w:t>
      </w:r>
      <w:r>
        <w:rPr>
          <w:rFonts w:ascii="Arial" w:hAnsi="Arial" w:cs="Arial"/>
        </w:rPr>
        <w:t>3</w:t>
      </w:r>
      <w:r w:rsidRPr="00F669C5">
        <w:rPr>
          <w:rFonts w:ascii="Arial" w:hAnsi="Arial" w:cs="Arial"/>
        </w:rPr>
        <w:t xml:space="preserve"> and 202</w:t>
      </w:r>
      <w:r>
        <w:rPr>
          <w:rFonts w:ascii="Arial" w:hAnsi="Arial" w:cs="Arial"/>
        </w:rPr>
        <w:t>4</w:t>
      </w:r>
      <w:r w:rsidRPr="00F669C5">
        <w:rPr>
          <w:rFonts w:ascii="Arial" w:hAnsi="Arial" w:cs="Arial"/>
        </w:rPr>
        <w:t xml:space="preserve"> cohorts </w:t>
      </w:r>
      <w:proofErr w:type="gramStart"/>
      <w:r>
        <w:rPr>
          <w:rFonts w:ascii="Arial" w:hAnsi="Arial" w:cs="Arial"/>
        </w:rPr>
        <w:t>where</w:t>
      </w:r>
      <w:proofErr w:type="gramEnd"/>
      <w:r w:rsidRPr="00F669C5">
        <w:rPr>
          <w:rFonts w:ascii="Arial" w:hAnsi="Arial" w:cs="Arial"/>
        </w:rPr>
        <w:t xml:space="preserve"> deemed applicable by the respective GP college. </w:t>
      </w:r>
    </w:p>
    <w:p w14:paraId="6288E19A" w14:textId="691A49F7" w:rsidR="00E97738" w:rsidRDefault="00E97738" w:rsidP="00E97738">
      <w:pPr>
        <w:pStyle w:val="Heading1"/>
      </w:pPr>
      <w:bookmarkStart w:id="3" w:name="_Toc166510198"/>
      <w:r>
        <w:t>Enrolment numbers</w:t>
      </w:r>
      <w:bookmarkEnd w:id="3"/>
    </w:p>
    <w:p w14:paraId="10CE552B" w14:textId="56BEC489" w:rsidR="00E97738" w:rsidRDefault="00E97738" w:rsidP="00E97738">
      <w:pPr>
        <w:spacing w:after="0" w:line="240" w:lineRule="auto"/>
        <w:rPr>
          <w:rStyle w:val="normaltextrun"/>
          <w:rFonts w:cs="Arial"/>
          <w:color w:val="000000"/>
          <w:shd w:val="clear" w:color="auto" w:fill="FFFFFF"/>
        </w:rPr>
      </w:pPr>
      <w:r>
        <w:rPr>
          <w:rStyle w:val="normaltextrun"/>
          <w:rFonts w:cs="Arial"/>
          <w:color w:val="000000"/>
          <w:shd w:val="clear" w:color="auto" w:fill="FFFFFF"/>
        </w:rPr>
        <w:t>Actual and projected numbers received</w:t>
      </w:r>
      <w:r w:rsidR="009859A5">
        <w:rPr>
          <w:rStyle w:val="normaltextrun"/>
          <w:rFonts w:cs="Arial"/>
          <w:color w:val="000000"/>
          <w:shd w:val="clear" w:color="auto" w:fill="FFFFFF"/>
        </w:rPr>
        <w:t xml:space="preserve"> in late 2023</w:t>
      </w:r>
      <w:r>
        <w:rPr>
          <w:rStyle w:val="normaltextrun"/>
          <w:rFonts w:cs="Arial"/>
          <w:color w:val="000000"/>
          <w:shd w:val="clear" w:color="auto" w:fill="FFFFFF"/>
        </w:rPr>
        <w:t xml:space="preserve"> from the GP Colleges </w:t>
      </w:r>
      <w:r w:rsidR="00F37398">
        <w:rPr>
          <w:rStyle w:val="normaltextrun"/>
          <w:rFonts w:cs="Arial"/>
          <w:color w:val="000000"/>
          <w:shd w:val="clear" w:color="auto" w:fill="FFFFFF"/>
        </w:rPr>
        <w:t xml:space="preserve">(The Australian College of Rural and Remote Medicine (ACRRM) and The Royal Australian College of General Practitioners (RACGP)) </w:t>
      </w:r>
      <w:r>
        <w:rPr>
          <w:rStyle w:val="normaltextrun"/>
          <w:rFonts w:cs="Arial"/>
          <w:color w:val="000000"/>
          <w:shd w:val="clear" w:color="auto" w:fill="FFFFFF"/>
        </w:rPr>
        <w:t xml:space="preserve">and </w:t>
      </w:r>
      <w:r w:rsidR="00F37398">
        <w:rPr>
          <w:rStyle w:val="normaltextrun"/>
          <w:rFonts w:cs="Arial"/>
          <w:color w:val="000000"/>
          <w:shd w:val="clear" w:color="auto" w:fill="FFFFFF"/>
        </w:rPr>
        <w:t xml:space="preserve">the </w:t>
      </w:r>
      <w:r>
        <w:rPr>
          <w:rStyle w:val="normaltextrun"/>
          <w:rFonts w:cs="Arial"/>
          <w:color w:val="000000"/>
          <w:shd w:val="clear" w:color="auto" w:fill="FFFFFF"/>
        </w:rPr>
        <w:t>R</w:t>
      </w:r>
      <w:r w:rsidR="00F37398">
        <w:rPr>
          <w:rStyle w:val="normaltextrun"/>
          <w:rFonts w:cs="Arial"/>
          <w:color w:val="000000"/>
          <w:shd w:val="clear" w:color="auto" w:fill="FFFFFF"/>
        </w:rPr>
        <w:t>emote Vocational Training Scheme (R</w:t>
      </w:r>
      <w:r>
        <w:rPr>
          <w:rStyle w:val="normaltextrun"/>
          <w:rFonts w:cs="Arial"/>
          <w:color w:val="000000"/>
          <w:shd w:val="clear" w:color="auto" w:fill="FFFFFF"/>
        </w:rPr>
        <w:t>VTS</w:t>
      </w:r>
      <w:r w:rsidR="00F37398">
        <w:rPr>
          <w:rStyle w:val="normaltextrun"/>
          <w:rFonts w:cs="Arial"/>
          <w:color w:val="000000"/>
          <w:shd w:val="clear" w:color="auto" w:fill="FFFFFF"/>
        </w:rPr>
        <w:t>)</w:t>
      </w:r>
      <w:r>
        <w:rPr>
          <w:rStyle w:val="normaltextrun"/>
          <w:rFonts w:cs="Arial"/>
          <w:color w:val="000000"/>
          <w:shd w:val="clear" w:color="auto" w:fill="FFFFFF"/>
        </w:rPr>
        <w:t xml:space="preserve"> as per Table 1 indicated that there would be an oversubscription for both the 2024 and 2025 batches. </w:t>
      </w:r>
    </w:p>
    <w:p w14:paraId="56A61C93" w14:textId="77777777" w:rsidR="00E97738" w:rsidRDefault="00E97738" w:rsidP="00E97738">
      <w:pPr>
        <w:spacing w:after="0" w:line="240" w:lineRule="auto"/>
        <w:rPr>
          <w:rStyle w:val="normaltextrun"/>
          <w:rFonts w:cs="Arial"/>
          <w:color w:val="000000"/>
          <w:shd w:val="clear" w:color="auto" w:fill="FFFFFF"/>
        </w:rPr>
      </w:pPr>
    </w:p>
    <w:p w14:paraId="3DA317F5" w14:textId="77777777" w:rsidR="00E97738" w:rsidRPr="00E5448B" w:rsidRDefault="00E97738" w:rsidP="000A4B32">
      <w:pPr>
        <w:pStyle w:val="Tablecaption"/>
        <w:rPr>
          <w:lang w:eastAsia="en-GB"/>
        </w:rPr>
      </w:pPr>
      <w:r w:rsidRPr="00E5448B">
        <w:rPr>
          <w:lang w:eastAsia="en-GB"/>
        </w:rPr>
        <w:t>Table 1. Actual and projected GP training numbers for RACGP</w:t>
      </w:r>
    </w:p>
    <w:tbl>
      <w:tblPr>
        <w:tblStyle w:val="TableGrid"/>
        <w:tblW w:w="0" w:type="auto"/>
        <w:tblLook w:val="04A0" w:firstRow="1" w:lastRow="0" w:firstColumn="1" w:lastColumn="0" w:noHBand="0" w:noVBand="1"/>
      </w:tblPr>
      <w:tblGrid>
        <w:gridCol w:w="2636"/>
        <w:gridCol w:w="2023"/>
        <w:gridCol w:w="2178"/>
        <w:gridCol w:w="2179"/>
      </w:tblGrid>
      <w:tr w:rsidR="00E97738" w:rsidRPr="004D3917" w14:paraId="5A4C1F06" w14:textId="77777777" w:rsidTr="008748C6">
        <w:tc>
          <w:tcPr>
            <w:tcW w:w="2636" w:type="dxa"/>
            <w:shd w:val="clear" w:color="auto" w:fill="D9D9D9" w:themeFill="background1" w:themeFillShade="D9"/>
          </w:tcPr>
          <w:p w14:paraId="34DAE2B4" w14:textId="77777777" w:rsidR="00E97738" w:rsidRPr="00A84202" w:rsidRDefault="00E97738" w:rsidP="008748C6">
            <w:pPr>
              <w:pStyle w:val="Heading2"/>
              <w:spacing w:line="259" w:lineRule="auto"/>
              <w:rPr>
                <w:rFonts w:cs="Arial"/>
                <w:b w:val="0"/>
                <w:bCs/>
                <w:color w:val="auto"/>
                <w:sz w:val="22"/>
                <w:szCs w:val="22"/>
              </w:rPr>
            </w:pPr>
            <w:bookmarkStart w:id="4" w:name="_Toc166510088"/>
            <w:bookmarkStart w:id="5" w:name="_Toc166510199"/>
            <w:r>
              <w:rPr>
                <w:rFonts w:cs="Arial"/>
                <w:bCs/>
                <w:color w:val="auto"/>
                <w:sz w:val="22"/>
                <w:szCs w:val="22"/>
              </w:rPr>
              <w:t>GP College</w:t>
            </w:r>
            <w:bookmarkEnd w:id="4"/>
            <w:bookmarkEnd w:id="5"/>
          </w:p>
        </w:tc>
        <w:tc>
          <w:tcPr>
            <w:tcW w:w="2023" w:type="dxa"/>
            <w:shd w:val="clear" w:color="auto" w:fill="D9D9D9" w:themeFill="background1" w:themeFillShade="D9"/>
          </w:tcPr>
          <w:p w14:paraId="4C37DEEB" w14:textId="77777777" w:rsidR="00E97738" w:rsidRPr="00A84202" w:rsidRDefault="00E97738" w:rsidP="008748C6">
            <w:pPr>
              <w:pStyle w:val="Heading2"/>
              <w:spacing w:line="259" w:lineRule="auto"/>
              <w:rPr>
                <w:rFonts w:cs="Arial"/>
                <w:b w:val="0"/>
                <w:bCs/>
                <w:color w:val="auto"/>
                <w:sz w:val="22"/>
                <w:szCs w:val="22"/>
              </w:rPr>
            </w:pPr>
            <w:bookmarkStart w:id="6" w:name="_Toc166510089"/>
            <w:bookmarkStart w:id="7" w:name="_Toc166510200"/>
            <w:r w:rsidRPr="00A84202">
              <w:rPr>
                <w:rFonts w:cs="Arial"/>
                <w:bCs/>
                <w:color w:val="auto"/>
                <w:sz w:val="22"/>
                <w:szCs w:val="22"/>
              </w:rPr>
              <w:t>2023 cohort</w:t>
            </w:r>
            <w:bookmarkEnd w:id="6"/>
            <w:bookmarkEnd w:id="7"/>
          </w:p>
        </w:tc>
        <w:tc>
          <w:tcPr>
            <w:tcW w:w="2178" w:type="dxa"/>
            <w:shd w:val="clear" w:color="auto" w:fill="D9D9D9" w:themeFill="background1" w:themeFillShade="D9"/>
          </w:tcPr>
          <w:p w14:paraId="166FBACF" w14:textId="77777777" w:rsidR="00E97738" w:rsidRPr="00A84202" w:rsidRDefault="00E97738" w:rsidP="008748C6">
            <w:pPr>
              <w:pStyle w:val="Heading2"/>
              <w:spacing w:line="259" w:lineRule="auto"/>
              <w:rPr>
                <w:rFonts w:cs="Arial"/>
                <w:b w:val="0"/>
                <w:bCs/>
                <w:color w:val="auto"/>
                <w:sz w:val="22"/>
                <w:szCs w:val="22"/>
              </w:rPr>
            </w:pPr>
            <w:bookmarkStart w:id="8" w:name="_Toc166510090"/>
            <w:bookmarkStart w:id="9" w:name="_Toc166510201"/>
            <w:r w:rsidRPr="00A84202">
              <w:rPr>
                <w:rFonts w:cs="Arial"/>
                <w:bCs/>
                <w:color w:val="auto"/>
                <w:sz w:val="22"/>
                <w:szCs w:val="22"/>
              </w:rPr>
              <w:t>2024 cohort</w:t>
            </w:r>
            <w:bookmarkEnd w:id="8"/>
            <w:bookmarkEnd w:id="9"/>
            <w:r w:rsidRPr="00A84202">
              <w:rPr>
                <w:rFonts w:cs="Arial"/>
                <w:bCs/>
                <w:color w:val="auto"/>
                <w:sz w:val="22"/>
                <w:szCs w:val="22"/>
              </w:rPr>
              <w:t xml:space="preserve"> </w:t>
            </w:r>
          </w:p>
        </w:tc>
        <w:tc>
          <w:tcPr>
            <w:tcW w:w="2179" w:type="dxa"/>
            <w:shd w:val="clear" w:color="auto" w:fill="D9D9D9" w:themeFill="background1" w:themeFillShade="D9"/>
          </w:tcPr>
          <w:p w14:paraId="575E5E15" w14:textId="77777777" w:rsidR="00E97738" w:rsidRPr="00A84202" w:rsidRDefault="00E97738" w:rsidP="008748C6">
            <w:pPr>
              <w:pStyle w:val="Heading2"/>
              <w:spacing w:line="259" w:lineRule="auto"/>
              <w:rPr>
                <w:rFonts w:cs="Arial"/>
                <w:b w:val="0"/>
                <w:bCs/>
                <w:color w:val="auto"/>
                <w:sz w:val="22"/>
                <w:szCs w:val="22"/>
              </w:rPr>
            </w:pPr>
            <w:bookmarkStart w:id="10" w:name="_Toc166510091"/>
            <w:bookmarkStart w:id="11" w:name="_Toc166510202"/>
            <w:r w:rsidRPr="00A84202">
              <w:rPr>
                <w:rFonts w:cs="Arial"/>
                <w:bCs/>
                <w:color w:val="auto"/>
                <w:sz w:val="22"/>
                <w:szCs w:val="22"/>
              </w:rPr>
              <w:t>2025 cohort</w:t>
            </w:r>
            <w:bookmarkEnd w:id="10"/>
            <w:bookmarkEnd w:id="11"/>
            <w:r>
              <w:rPr>
                <w:rFonts w:cs="Arial"/>
                <w:bCs/>
                <w:color w:val="auto"/>
                <w:sz w:val="22"/>
                <w:szCs w:val="22"/>
              </w:rPr>
              <w:t xml:space="preserve"> </w:t>
            </w:r>
          </w:p>
        </w:tc>
      </w:tr>
      <w:tr w:rsidR="00E97738" w:rsidRPr="004D3917" w14:paraId="1A1683A1" w14:textId="77777777" w:rsidTr="0071605D">
        <w:tc>
          <w:tcPr>
            <w:tcW w:w="2636" w:type="dxa"/>
            <w:vAlign w:val="center"/>
          </w:tcPr>
          <w:p w14:paraId="354F0963" w14:textId="77777777" w:rsidR="00E97738" w:rsidRPr="008F6B09" w:rsidRDefault="00E97738" w:rsidP="0071605D">
            <w:pPr>
              <w:spacing w:before="40" w:after="40" w:line="240" w:lineRule="auto"/>
              <w:rPr>
                <w:rStyle w:val="eop"/>
                <w:rFonts w:cs="Arial"/>
                <w:b/>
                <w:bCs/>
                <w:color w:val="000000"/>
                <w:shd w:val="clear" w:color="auto" w:fill="FFFFFF"/>
              </w:rPr>
            </w:pPr>
            <w:r w:rsidRPr="008F6B09">
              <w:rPr>
                <w:rStyle w:val="eop"/>
                <w:rFonts w:cs="Arial"/>
                <w:b/>
                <w:bCs/>
                <w:color w:val="000000"/>
                <w:shd w:val="clear" w:color="auto" w:fill="FFFFFF"/>
              </w:rPr>
              <w:t>RACGP total</w:t>
            </w:r>
          </w:p>
        </w:tc>
        <w:tc>
          <w:tcPr>
            <w:tcW w:w="2023" w:type="dxa"/>
            <w:vAlign w:val="center"/>
          </w:tcPr>
          <w:p w14:paraId="3427FD7F" w14:textId="77777777" w:rsidR="00E97738" w:rsidRPr="004D3917" w:rsidRDefault="00E97738" w:rsidP="000A4B32">
            <w:pPr>
              <w:pStyle w:val="Tabletext"/>
              <w:rPr>
                <w:rStyle w:val="eop"/>
                <w:rFonts w:cs="Arial"/>
                <w:color w:val="000000"/>
                <w:shd w:val="clear" w:color="auto" w:fill="FFFFFF"/>
              </w:rPr>
            </w:pPr>
            <w:r w:rsidRPr="004D3917">
              <w:rPr>
                <w:rStyle w:val="eop"/>
                <w:rFonts w:cs="Arial"/>
                <w:color w:val="000000"/>
                <w:shd w:val="clear" w:color="auto" w:fill="FFFFFF"/>
              </w:rPr>
              <w:t>65</w:t>
            </w:r>
          </w:p>
        </w:tc>
        <w:tc>
          <w:tcPr>
            <w:tcW w:w="2178" w:type="dxa"/>
            <w:vAlign w:val="center"/>
          </w:tcPr>
          <w:p w14:paraId="7D34C581" w14:textId="77777777" w:rsidR="00E97738" w:rsidRPr="004D3917" w:rsidRDefault="00E97738" w:rsidP="000A4B32">
            <w:pPr>
              <w:pStyle w:val="Tabletext"/>
              <w:rPr>
                <w:rStyle w:val="eop"/>
                <w:rFonts w:cs="Arial"/>
                <w:color w:val="000000"/>
                <w:shd w:val="clear" w:color="auto" w:fill="FFFFFF"/>
              </w:rPr>
            </w:pPr>
            <w:r w:rsidRPr="004D3917">
              <w:rPr>
                <w:rStyle w:val="eop"/>
                <w:rFonts w:cs="Arial"/>
                <w:color w:val="000000"/>
                <w:shd w:val="clear" w:color="auto" w:fill="FFFFFF"/>
              </w:rPr>
              <w:t>381</w:t>
            </w:r>
          </w:p>
        </w:tc>
        <w:tc>
          <w:tcPr>
            <w:tcW w:w="2179" w:type="dxa"/>
            <w:vAlign w:val="center"/>
          </w:tcPr>
          <w:p w14:paraId="7E944B37" w14:textId="7B0772FF" w:rsidR="00E97738" w:rsidRPr="004D3917" w:rsidRDefault="00E97738" w:rsidP="000A4B32">
            <w:pPr>
              <w:pStyle w:val="Tabletext"/>
              <w:rPr>
                <w:rStyle w:val="eop"/>
                <w:rFonts w:cs="Arial"/>
                <w:color w:val="000000"/>
                <w:shd w:val="clear" w:color="auto" w:fill="FFFFFF"/>
              </w:rPr>
            </w:pPr>
            <w:r w:rsidRPr="004D3917">
              <w:rPr>
                <w:rStyle w:val="eop"/>
                <w:rFonts w:cs="Arial"/>
                <w:color w:val="000000"/>
                <w:shd w:val="clear" w:color="auto" w:fill="FFFFFF"/>
              </w:rPr>
              <w:t>377</w:t>
            </w:r>
          </w:p>
        </w:tc>
      </w:tr>
      <w:tr w:rsidR="00E97738" w:rsidRPr="004D3917" w14:paraId="6609AED6" w14:textId="77777777" w:rsidTr="0071605D">
        <w:tc>
          <w:tcPr>
            <w:tcW w:w="2636" w:type="dxa"/>
            <w:vAlign w:val="center"/>
          </w:tcPr>
          <w:p w14:paraId="6CC47AB2" w14:textId="77777777" w:rsidR="00E97738" w:rsidRDefault="00E97738" w:rsidP="0071605D">
            <w:pPr>
              <w:spacing w:before="40" w:after="40" w:line="240" w:lineRule="auto"/>
              <w:rPr>
                <w:rStyle w:val="eop"/>
                <w:rFonts w:cs="Arial"/>
                <w:b/>
                <w:bCs/>
                <w:color w:val="000000"/>
                <w:shd w:val="clear" w:color="auto" w:fill="FFFFFF"/>
              </w:rPr>
            </w:pPr>
            <w:r>
              <w:rPr>
                <w:rStyle w:val="eop"/>
                <w:rFonts w:cs="Arial"/>
                <w:b/>
                <w:bCs/>
                <w:color w:val="000000"/>
                <w:shd w:val="clear" w:color="auto" w:fill="FFFFFF"/>
              </w:rPr>
              <w:t>RACGP total</w:t>
            </w:r>
            <w:r w:rsidRPr="004D3917">
              <w:rPr>
                <w:rStyle w:val="eop"/>
                <w:rFonts w:cs="Arial"/>
                <w:b/>
                <w:bCs/>
                <w:color w:val="000000"/>
                <w:shd w:val="clear" w:color="auto" w:fill="FFFFFF"/>
              </w:rPr>
              <w:t xml:space="preserve"> per batch</w:t>
            </w:r>
          </w:p>
        </w:tc>
        <w:tc>
          <w:tcPr>
            <w:tcW w:w="4201" w:type="dxa"/>
            <w:gridSpan w:val="2"/>
            <w:vAlign w:val="center"/>
          </w:tcPr>
          <w:p w14:paraId="48A3FC3E" w14:textId="77777777" w:rsidR="00E97738" w:rsidRPr="004D3917" w:rsidRDefault="00E97738" w:rsidP="000A4B32">
            <w:pPr>
              <w:pStyle w:val="Tabletext"/>
              <w:rPr>
                <w:rStyle w:val="eop"/>
                <w:rFonts w:cs="Arial"/>
                <w:color w:val="000000"/>
                <w:shd w:val="clear" w:color="auto" w:fill="FFFFFF"/>
              </w:rPr>
            </w:pPr>
            <w:r>
              <w:rPr>
                <w:rStyle w:val="eop"/>
                <w:rFonts w:cs="Arial"/>
                <w:color w:val="000000"/>
                <w:shd w:val="clear" w:color="auto" w:fill="FFFFFF"/>
              </w:rPr>
              <w:t>446</w:t>
            </w:r>
          </w:p>
        </w:tc>
        <w:tc>
          <w:tcPr>
            <w:tcW w:w="2179" w:type="dxa"/>
            <w:vAlign w:val="center"/>
          </w:tcPr>
          <w:p w14:paraId="5BC31501" w14:textId="28770A1F" w:rsidR="00E97738" w:rsidRPr="004D3917" w:rsidRDefault="00E97738" w:rsidP="000A4B32">
            <w:pPr>
              <w:pStyle w:val="Tabletext"/>
              <w:rPr>
                <w:rStyle w:val="eop"/>
                <w:rFonts w:cs="Arial"/>
                <w:color w:val="000000"/>
                <w:shd w:val="clear" w:color="auto" w:fill="FFFFFF"/>
              </w:rPr>
            </w:pPr>
            <w:r>
              <w:rPr>
                <w:rStyle w:val="eop"/>
                <w:rFonts w:cs="Arial"/>
                <w:color w:val="000000"/>
                <w:shd w:val="clear" w:color="auto" w:fill="FFFFFF"/>
              </w:rPr>
              <w:t>337</w:t>
            </w:r>
          </w:p>
        </w:tc>
      </w:tr>
      <w:tr w:rsidR="00E97738" w:rsidRPr="004D3917" w14:paraId="2682ADF0" w14:textId="77777777" w:rsidTr="0071605D">
        <w:tc>
          <w:tcPr>
            <w:tcW w:w="2636" w:type="dxa"/>
            <w:vAlign w:val="center"/>
          </w:tcPr>
          <w:p w14:paraId="1C854207" w14:textId="77777777" w:rsidR="00E97738" w:rsidRDefault="00E97738" w:rsidP="0071605D">
            <w:pPr>
              <w:spacing w:before="40" w:after="40" w:line="240" w:lineRule="auto"/>
              <w:rPr>
                <w:rStyle w:val="eop"/>
                <w:rFonts w:cs="Arial"/>
                <w:b/>
                <w:bCs/>
                <w:color w:val="000000"/>
                <w:shd w:val="clear" w:color="auto" w:fill="FFFFFF"/>
              </w:rPr>
            </w:pPr>
            <w:r>
              <w:rPr>
                <w:rStyle w:val="eop"/>
                <w:rFonts w:cs="Arial"/>
                <w:b/>
                <w:bCs/>
                <w:color w:val="000000"/>
                <w:shd w:val="clear" w:color="auto" w:fill="FFFFFF"/>
              </w:rPr>
              <w:t>ACRRM</w:t>
            </w:r>
          </w:p>
        </w:tc>
        <w:tc>
          <w:tcPr>
            <w:tcW w:w="2023" w:type="dxa"/>
            <w:vAlign w:val="center"/>
          </w:tcPr>
          <w:p w14:paraId="3F42CACE" w14:textId="77777777" w:rsidR="00E97738" w:rsidRPr="004D3917" w:rsidRDefault="00E97738" w:rsidP="000A4B32">
            <w:pPr>
              <w:pStyle w:val="Tabletext"/>
              <w:rPr>
                <w:rStyle w:val="eop"/>
                <w:rFonts w:cs="Arial"/>
                <w:color w:val="000000"/>
                <w:shd w:val="clear" w:color="auto" w:fill="FFFFFF"/>
              </w:rPr>
            </w:pPr>
            <w:r>
              <w:rPr>
                <w:rStyle w:val="eop"/>
                <w:rFonts w:cs="Arial"/>
                <w:color w:val="000000"/>
                <w:shd w:val="clear" w:color="auto" w:fill="FFFFFF"/>
              </w:rPr>
              <w:t>4</w:t>
            </w:r>
          </w:p>
        </w:tc>
        <w:tc>
          <w:tcPr>
            <w:tcW w:w="2178" w:type="dxa"/>
            <w:vAlign w:val="center"/>
          </w:tcPr>
          <w:p w14:paraId="006B0686" w14:textId="77777777" w:rsidR="00E97738" w:rsidRPr="004D3917" w:rsidRDefault="00E97738" w:rsidP="000A4B32">
            <w:pPr>
              <w:pStyle w:val="Tabletext"/>
              <w:rPr>
                <w:rStyle w:val="eop"/>
                <w:rFonts w:cs="Arial"/>
                <w:color w:val="000000"/>
                <w:shd w:val="clear" w:color="auto" w:fill="FFFFFF"/>
              </w:rPr>
            </w:pPr>
            <w:r>
              <w:rPr>
                <w:rStyle w:val="eop"/>
                <w:rFonts w:cs="Arial"/>
                <w:color w:val="000000"/>
                <w:shd w:val="clear" w:color="auto" w:fill="FFFFFF"/>
              </w:rPr>
              <w:t>39</w:t>
            </w:r>
          </w:p>
        </w:tc>
        <w:tc>
          <w:tcPr>
            <w:tcW w:w="2179" w:type="dxa"/>
            <w:vAlign w:val="center"/>
          </w:tcPr>
          <w:p w14:paraId="24B3F31F" w14:textId="2AE31712" w:rsidR="00E97738" w:rsidRPr="004D3917" w:rsidRDefault="00E97738" w:rsidP="000A4B32">
            <w:pPr>
              <w:pStyle w:val="Tabletext"/>
              <w:rPr>
                <w:rStyle w:val="eop"/>
                <w:rFonts w:cs="Arial"/>
                <w:color w:val="000000"/>
                <w:shd w:val="clear" w:color="auto" w:fill="FFFFFF"/>
              </w:rPr>
            </w:pPr>
            <w:r>
              <w:rPr>
                <w:rStyle w:val="eop"/>
                <w:rFonts w:cs="Arial"/>
                <w:color w:val="000000"/>
                <w:shd w:val="clear" w:color="auto" w:fill="FFFFFF"/>
              </w:rPr>
              <w:t>45</w:t>
            </w:r>
          </w:p>
        </w:tc>
      </w:tr>
      <w:tr w:rsidR="00E97738" w:rsidRPr="004D3917" w14:paraId="3E2ADF96" w14:textId="77777777" w:rsidTr="0071605D">
        <w:tc>
          <w:tcPr>
            <w:tcW w:w="2636" w:type="dxa"/>
            <w:vAlign w:val="center"/>
          </w:tcPr>
          <w:p w14:paraId="7E579ED2" w14:textId="77777777" w:rsidR="00E97738" w:rsidRDefault="00E97738" w:rsidP="0071605D">
            <w:pPr>
              <w:spacing w:before="40" w:after="40" w:line="240" w:lineRule="auto"/>
              <w:rPr>
                <w:rStyle w:val="eop"/>
                <w:rFonts w:cs="Arial"/>
                <w:b/>
                <w:bCs/>
                <w:color w:val="000000"/>
                <w:shd w:val="clear" w:color="auto" w:fill="FFFFFF"/>
              </w:rPr>
            </w:pPr>
            <w:r>
              <w:rPr>
                <w:rStyle w:val="eop"/>
                <w:rFonts w:cs="Arial"/>
                <w:b/>
                <w:bCs/>
                <w:color w:val="000000"/>
                <w:shd w:val="clear" w:color="auto" w:fill="FFFFFF"/>
              </w:rPr>
              <w:t>ACRRM total per batch</w:t>
            </w:r>
          </w:p>
        </w:tc>
        <w:tc>
          <w:tcPr>
            <w:tcW w:w="4201" w:type="dxa"/>
            <w:gridSpan w:val="2"/>
            <w:vAlign w:val="center"/>
          </w:tcPr>
          <w:p w14:paraId="0274E38E" w14:textId="77777777" w:rsidR="00E97738" w:rsidRPr="004D3917" w:rsidRDefault="00E97738" w:rsidP="000A4B32">
            <w:pPr>
              <w:pStyle w:val="Tabletext"/>
              <w:rPr>
                <w:rStyle w:val="eop"/>
                <w:rFonts w:cs="Arial"/>
                <w:color w:val="000000"/>
                <w:shd w:val="clear" w:color="auto" w:fill="FFFFFF"/>
              </w:rPr>
            </w:pPr>
            <w:r>
              <w:rPr>
                <w:rStyle w:val="eop"/>
                <w:rFonts w:cs="Arial"/>
                <w:color w:val="000000"/>
                <w:shd w:val="clear" w:color="auto" w:fill="FFFFFF"/>
              </w:rPr>
              <w:t>44</w:t>
            </w:r>
          </w:p>
        </w:tc>
        <w:tc>
          <w:tcPr>
            <w:tcW w:w="2179" w:type="dxa"/>
            <w:vAlign w:val="center"/>
          </w:tcPr>
          <w:p w14:paraId="15717F3C" w14:textId="188D7DE1" w:rsidR="00E97738" w:rsidRPr="004D3917" w:rsidRDefault="00E97738" w:rsidP="000A4B32">
            <w:pPr>
              <w:pStyle w:val="Tabletext"/>
              <w:rPr>
                <w:rStyle w:val="eop"/>
                <w:rFonts w:cs="Arial"/>
                <w:color w:val="000000"/>
                <w:shd w:val="clear" w:color="auto" w:fill="FFFFFF"/>
              </w:rPr>
            </w:pPr>
            <w:r>
              <w:rPr>
                <w:rStyle w:val="eop"/>
                <w:rFonts w:cs="Arial"/>
                <w:color w:val="000000"/>
                <w:shd w:val="clear" w:color="auto" w:fill="FFFFFF"/>
              </w:rPr>
              <w:t>45</w:t>
            </w:r>
          </w:p>
        </w:tc>
      </w:tr>
    </w:tbl>
    <w:p w14:paraId="526F9427" w14:textId="6CCEAD17" w:rsidR="00A62D44" w:rsidRDefault="00E97738" w:rsidP="000802B7">
      <w:pPr>
        <w:pStyle w:val="Heading1"/>
      </w:pPr>
      <w:bookmarkStart w:id="12" w:name="_Toc166510203"/>
      <w:r>
        <w:t>Priority groupings</w:t>
      </w:r>
      <w:bookmarkEnd w:id="12"/>
    </w:p>
    <w:p w14:paraId="74087034" w14:textId="77777777" w:rsidR="00E97738" w:rsidRDefault="00E97738" w:rsidP="00E97738">
      <w:pPr>
        <w:spacing w:after="0" w:line="240" w:lineRule="auto"/>
        <w:rPr>
          <w:rFonts w:cs="Arial"/>
        </w:rPr>
      </w:pPr>
      <w:r>
        <w:rPr>
          <w:rFonts w:cs="Arial"/>
        </w:rPr>
        <w:t xml:space="preserve">Grants will be prioritised by the priority groupings outlined in Table 2. </w:t>
      </w:r>
    </w:p>
    <w:p w14:paraId="02C5648B" w14:textId="77777777" w:rsidR="00E97738" w:rsidRDefault="00E97738" w:rsidP="00E97738">
      <w:pPr>
        <w:spacing w:after="0" w:line="240" w:lineRule="auto"/>
        <w:rPr>
          <w:rFonts w:cs="Arial"/>
        </w:rPr>
      </w:pPr>
    </w:p>
    <w:p w14:paraId="69AEE077" w14:textId="77777777" w:rsidR="00E97738" w:rsidRPr="000A4B32" w:rsidRDefault="00E97738" w:rsidP="000A4B32">
      <w:pPr>
        <w:pStyle w:val="Tablecaption"/>
        <w:rPr>
          <w:rFonts w:ascii="Calibri" w:hAnsi="Calibri" w:cs="Calibri"/>
          <w:lang w:eastAsia="en-GB"/>
        </w:rPr>
      </w:pPr>
      <w:r w:rsidRPr="000A4B32">
        <w:t xml:space="preserve"> </w:t>
      </w:r>
      <w:r w:rsidRPr="000A4B32">
        <w:rPr>
          <w:lang w:eastAsia="en-GB"/>
        </w:rPr>
        <w:t>Table 2. Priority groupings</w:t>
      </w:r>
    </w:p>
    <w:tbl>
      <w:tblPr>
        <w:tblW w:w="0" w:type="auto"/>
        <w:tblCellMar>
          <w:left w:w="0" w:type="dxa"/>
          <w:right w:w="0" w:type="dxa"/>
        </w:tblCellMar>
        <w:tblLook w:val="04A0" w:firstRow="1" w:lastRow="0" w:firstColumn="1" w:lastColumn="0" w:noHBand="0" w:noVBand="1"/>
      </w:tblPr>
      <w:tblGrid>
        <w:gridCol w:w="1266"/>
        <w:gridCol w:w="8789"/>
      </w:tblGrid>
      <w:tr w:rsidR="00E97738" w:rsidRPr="00E46012" w14:paraId="460253ED" w14:textId="77777777" w:rsidTr="00E37419">
        <w:trPr>
          <w:tblHeader/>
        </w:trPr>
        <w:tc>
          <w:tcPr>
            <w:tcW w:w="126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4E6295E" w14:textId="77777777" w:rsidR="00E97738" w:rsidRPr="00A84202" w:rsidRDefault="00E97738" w:rsidP="008748C6">
            <w:pPr>
              <w:pStyle w:val="Heading2"/>
              <w:rPr>
                <w:rFonts w:cs="Arial"/>
                <w:b w:val="0"/>
                <w:bCs/>
                <w:color w:val="auto"/>
                <w:sz w:val="22"/>
                <w:szCs w:val="22"/>
              </w:rPr>
            </w:pPr>
            <w:bookmarkStart w:id="13" w:name="_Toc166510093"/>
            <w:bookmarkStart w:id="14" w:name="_Toc166510204"/>
            <w:r w:rsidRPr="00A84202">
              <w:rPr>
                <w:rFonts w:cs="Arial"/>
                <w:bCs/>
                <w:color w:val="auto"/>
                <w:sz w:val="22"/>
                <w:szCs w:val="22"/>
              </w:rPr>
              <w:t>Priority</w:t>
            </w:r>
            <w:bookmarkEnd w:id="13"/>
            <w:bookmarkEnd w:id="14"/>
          </w:p>
        </w:tc>
        <w:tc>
          <w:tcPr>
            <w:tcW w:w="878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CCE00D2" w14:textId="77777777" w:rsidR="00E97738" w:rsidRPr="00A84202" w:rsidRDefault="00E97738" w:rsidP="008748C6">
            <w:pPr>
              <w:pStyle w:val="Heading2"/>
              <w:rPr>
                <w:rFonts w:cs="Arial"/>
                <w:b w:val="0"/>
                <w:bCs/>
                <w:color w:val="auto"/>
                <w:sz w:val="22"/>
                <w:szCs w:val="22"/>
              </w:rPr>
            </w:pPr>
            <w:bookmarkStart w:id="15" w:name="_Toc166510094"/>
            <w:bookmarkStart w:id="16" w:name="_Toc166510205"/>
            <w:r w:rsidRPr="00A84202">
              <w:rPr>
                <w:rFonts w:cs="Arial"/>
                <w:bCs/>
                <w:color w:val="auto"/>
                <w:sz w:val="22"/>
                <w:szCs w:val="22"/>
              </w:rPr>
              <w:t>Grouping</w:t>
            </w:r>
            <w:bookmarkEnd w:id="15"/>
            <w:bookmarkEnd w:id="16"/>
          </w:p>
        </w:tc>
      </w:tr>
      <w:tr w:rsidR="00E97738" w:rsidRPr="00E46012" w14:paraId="10BD231D"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5A8A8E"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825329"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Australian Citizens who are Australian Medical Graduates in MMM 7-6 location</w:t>
            </w:r>
          </w:p>
        </w:tc>
      </w:tr>
      <w:tr w:rsidR="00E97738" w:rsidRPr="00E46012" w14:paraId="65DEE12C"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F8D37F"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2</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D67F4F"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Australian Citizens who are Australian Medical Graduates in MMM 5 location</w:t>
            </w:r>
          </w:p>
        </w:tc>
      </w:tr>
      <w:tr w:rsidR="00E97738" w:rsidRPr="00E46012" w14:paraId="13CA3234"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714F45"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3</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FACE54"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Australian Citizens who are Australian Medical Graduates in MMM 4 location</w:t>
            </w:r>
          </w:p>
        </w:tc>
      </w:tr>
      <w:tr w:rsidR="00E97738" w:rsidRPr="00E46012" w14:paraId="09E86CD6"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F4A585"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4</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7EB4BD"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Australian Citizens who are Australian Medical Graduates in MMM 3 location</w:t>
            </w:r>
          </w:p>
        </w:tc>
      </w:tr>
      <w:tr w:rsidR="00E97738" w:rsidRPr="00E46012" w14:paraId="3036ED96"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4A40DBB"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5</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AF9D6C"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Australian Citizens who are Australian Medical Graduates in MMM 2 location</w:t>
            </w:r>
          </w:p>
        </w:tc>
      </w:tr>
      <w:tr w:rsidR="00E97738" w:rsidRPr="00E46012" w14:paraId="50DBDB39"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45538E"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6</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A35409"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Australian Citizens who are Australian Medical Graduates in MMM 1 location Distribution Priority Area (DPA)</w:t>
            </w:r>
          </w:p>
        </w:tc>
      </w:tr>
      <w:tr w:rsidR="00E97738" w:rsidRPr="00E46012" w14:paraId="718F1AC5"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D760096"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7</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013D07"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Australian Citizens who are Australian Medical Graduates in MMM 1 location (all other locations)</w:t>
            </w:r>
          </w:p>
        </w:tc>
      </w:tr>
      <w:tr w:rsidR="00E97738" w:rsidRPr="00E46012" w14:paraId="0D187714"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02E09E" w14:textId="77777777" w:rsidR="00E97738" w:rsidRPr="00F6198E" w:rsidRDefault="00E97738" w:rsidP="008748C6">
            <w:pPr>
              <w:spacing w:after="0" w:line="240" w:lineRule="auto"/>
              <w:rPr>
                <w:rFonts w:ascii="Calibri" w:hAnsi="Calibri" w:cs="Calibri"/>
                <w:color w:val="212121"/>
                <w:sz w:val="20"/>
                <w:lang w:eastAsia="en-GB"/>
              </w:rPr>
            </w:pPr>
            <w:r w:rsidRPr="00F6198E">
              <w:rPr>
                <w:rFonts w:cs="Arial"/>
                <w:color w:val="212121"/>
                <w:lang w:eastAsia="en-GB"/>
              </w:rPr>
              <w:t>Priority 8</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6FDA59" w14:textId="77777777" w:rsidR="00E97738" w:rsidRPr="00F6198E" w:rsidRDefault="00E97738" w:rsidP="008748C6">
            <w:pPr>
              <w:spacing w:after="0" w:line="240" w:lineRule="auto"/>
              <w:rPr>
                <w:rFonts w:ascii="Calibri" w:hAnsi="Calibri" w:cs="Calibri"/>
                <w:color w:val="212121"/>
                <w:sz w:val="20"/>
                <w:lang w:eastAsia="en-GB"/>
              </w:rPr>
            </w:pPr>
            <w:r w:rsidRPr="00F6198E">
              <w:rPr>
                <w:rFonts w:cs="Arial"/>
                <w:color w:val="212121"/>
                <w:lang w:eastAsia="en-GB"/>
              </w:rPr>
              <w:t>New Zealand Citizens who are Australian Medical Graduates in MMM 7-6 location</w:t>
            </w:r>
          </w:p>
        </w:tc>
      </w:tr>
      <w:tr w:rsidR="00E97738" w:rsidRPr="00E46012" w14:paraId="1355C2F7"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9CFFB8"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9</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0B44A8"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New Zealand Citizens who are Australian Medical Graduates in MMM 5 location</w:t>
            </w:r>
          </w:p>
        </w:tc>
      </w:tr>
      <w:tr w:rsidR="00E97738" w:rsidRPr="00E46012" w14:paraId="0ED6EFDC"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2540B7"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10</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309528"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New Zealand Citizens who are Australian Medical Graduates in MMM 4 location</w:t>
            </w:r>
          </w:p>
        </w:tc>
      </w:tr>
      <w:tr w:rsidR="00E97738" w:rsidRPr="00E46012" w14:paraId="6DA388B4"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BC739B"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11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ABF359"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New Zealand Citizens who are Australian Medical Graduates in MMM 3 location</w:t>
            </w:r>
          </w:p>
        </w:tc>
      </w:tr>
      <w:tr w:rsidR="00E97738" w:rsidRPr="00E46012" w14:paraId="7C7E3EE7"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C04665"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12</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5964D6"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New Zealand Citizens who are Australian Medical Graduates in MMM 2 location</w:t>
            </w:r>
          </w:p>
        </w:tc>
      </w:tr>
      <w:tr w:rsidR="00E97738" w:rsidRPr="00E46012" w14:paraId="2C73EF8F"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4029F8"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13</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96C0EC"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New Zealand Citizens who are Australian Medical Graduates in MMM 1 location Distribution Priority Area (DPA)</w:t>
            </w:r>
          </w:p>
        </w:tc>
      </w:tr>
      <w:tr w:rsidR="00E97738" w:rsidRPr="00E46012" w14:paraId="5F1F63EC"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BA01E9"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14</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E833FD"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 xml:space="preserve">New Zealand Citizens who are Australian Medical Graduates in MMM 1 location </w:t>
            </w:r>
          </w:p>
        </w:tc>
      </w:tr>
      <w:tr w:rsidR="00E97738" w:rsidRPr="00E46012" w14:paraId="1498F57C"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494DF8"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15</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40F8E3"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All other Australian Medical Graduates</w:t>
            </w:r>
            <w:r>
              <w:rPr>
                <w:rFonts w:cs="Arial"/>
                <w:color w:val="212121"/>
                <w:lang w:eastAsia="en-GB"/>
              </w:rPr>
              <w:t xml:space="preserve"> who are Permanent residents</w:t>
            </w:r>
            <w:r w:rsidRPr="00F6198E">
              <w:rPr>
                <w:rFonts w:cs="Arial"/>
                <w:color w:val="212121"/>
                <w:lang w:eastAsia="en-GB"/>
              </w:rPr>
              <w:t xml:space="preserve"> in MMM 7-6 location</w:t>
            </w:r>
          </w:p>
        </w:tc>
      </w:tr>
      <w:tr w:rsidR="00E97738" w:rsidRPr="00E46012" w14:paraId="439988E5"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0E416E"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16</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F0F951"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 xml:space="preserve">All other Australian Medical Graduates </w:t>
            </w:r>
            <w:r>
              <w:rPr>
                <w:rFonts w:cs="Arial"/>
                <w:color w:val="212121"/>
                <w:lang w:eastAsia="en-GB"/>
              </w:rPr>
              <w:t>who are Permanent residents</w:t>
            </w:r>
            <w:r w:rsidRPr="00F6198E">
              <w:rPr>
                <w:rFonts w:cs="Arial"/>
                <w:color w:val="212121"/>
                <w:lang w:eastAsia="en-GB"/>
              </w:rPr>
              <w:t xml:space="preserve"> in MMM 5 location</w:t>
            </w:r>
          </w:p>
        </w:tc>
      </w:tr>
      <w:tr w:rsidR="00E97738" w:rsidRPr="00E46012" w14:paraId="39CA9E0E"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258564"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lastRenderedPageBreak/>
              <w:t>Priority 17</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7B431D"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All other Australian Medical Graduates</w:t>
            </w:r>
            <w:r>
              <w:rPr>
                <w:rFonts w:cs="Arial"/>
                <w:color w:val="212121"/>
                <w:lang w:eastAsia="en-GB"/>
              </w:rPr>
              <w:t xml:space="preserve"> who are Permanent residents</w:t>
            </w:r>
            <w:r w:rsidRPr="00F6198E">
              <w:rPr>
                <w:rFonts w:cs="Arial"/>
                <w:color w:val="212121"/>
                <w:lang w:eastAsia="en-GB"/>
              </w:rPr>
              <w:t xml:space="preserve"> in MMM 4 location</w:t>
            </w:r>
          </w:p>
        </w:tc>
      </w:tr>
      <w:tr w:rsidR="00E97738" w:rsidRPr="00E46012" w14:paraId="7ADB626F"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1E55DB"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18</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D07311"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All other Australian Medical Graduates</w:t>
            </w:r>
            <w:r>
              <w:rPr>
                <w:rFonts w:cs="Arial"/>
                <w:color w:val="212121"/>
                <w:lang w:eastAsia="en-GB"/>
              </w:rPr>
              <w:t xml:space="preserve"> who are Permanent residents</w:t>
            </w:r>
            <w:r w:rsidRPr="00F6198E">
              <w:rPr>
                <w:rFonts w:cs="Arial"/>
                <w:color w:val="212121"/>
                <w:lang w:eastAsia="en-GB"/>
              </w:rPr>
              <w:t xml:space="preserve"> in MMM 3 location</w:t>
            </w:r>
          </w:p>
        </w:tc>
      </w:tr>
      <w:tr w:rsidR="00E97738" w:rsidRPr="00E46012" w14:paraId="717A7D1E"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5C47EA"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19</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3FC521"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 xml:space="preserve">All other Australian Medical Graduates </w:t>
            </w:r>
            <w:r>
              <w:rPr>
                <w:rFonts w:cs="Arial"/>
                <w:color w:val="212121"/>
                <w:lang w:eastAsia="en-GB"/>
              </w:rPr>
              <w:t>who are Permanent residents</w:t>
            </w:r>
            <w:r w:rsidRPr="00F6198E">
              <w:rPr>
                <w:rFonts w:cs="Arial"/>
                <w:color w:val="212121"/>
                <w:lang w:eastAsia="en-GB"/>
              </w:rPr>
              <w:t xml:space="preserve"> in MMM 2 location</w:t>
            </w:r>
          </w:p>
        </w:tc>
      </w:tr>
      <w:tr w:rsidR="00E97738" w:rsidRPr="00E46012" w14:paraId="26509302"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1EEAF4"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20</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283A47"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 xml:space="preserve">All other Australian Medical Graduates </w:t>
            </w:r>
            <w:r>
              <w:rPr>
                <w:rFonts w:cs="Arial"/>
                <w:color w:val="212121"/>
                <w:lang w:eastAsia="en-GB"/>
              </w:rPr>
              <w:t>who are Permanent residents</w:t>
            </w:r>
            <w:r w:rsidRPr="00F6198E">
              <w:rPr>
                <w:rFonts w:cs="Arial"/>
                <w:color w:val="212121"/>
                <w:lang w:eastAsia="en-GB"/>
              </w:rPr>
              <w:t xml:space="preserve"> in MMM 1 location Distribution Priority Area (DPA)</w:t>
            </w:r>
          </w:p>
        </w:tc>
      </w:tr>
      <w:tr w:rsidR="00E97738" w:rsidRPr="00E46012" w14:paraId="5357AF65"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247CB4"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Priority 21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D10273"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 xml:space="preserve">All other Australian Medical Graduates </w:t>
            </w:r>
            <w:r>
              <w:rPr>
                <w:rFonts w:cs="Arial"/>
                <w:color w:val="212121"/>
                <w:lang w:eastAsia="en-GB"/>
              </w:rPr>
              <w:t>who are Permanent residents</w:t>
            </w:r>
            <w:r w:rsidRPr="00F6198E">
              <w:rPr>
                <w:rFonts w:cs="Arial"/>
                <w:color w:val="212121"/>
                <w:lang w:eastAsia="en-GB"/>
              </w:rPr>
              <w:t xml:space="preserve"> in MMM 1 location</w:t>
            </w:r>
          </w:p>
        </w:tc>
      </w:tr>
      <w:tr w:rsidR="00E97738" w:rsidRPr="00E46012" w14:paraId="0E230280"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F0A9AE" w14:textId="77777777" w:rsidR="00E97738" w:rsidRPr="00F6198E" w:rsidRDefault="00E97738" w:rsidP="008748C6">
            <w:pPr>
              <w:spacing w:after="0" w:line="240" w:lineRule="auto"/>
              <w:rPr>
                <w:rFonts w:cs="Arial"/>
                <w:color w:val="212121"/>
                <w:lang w:eastAsia="en-GB"/>
              </w:rPr>
            </w:pPr>
            <w:r w:rsidRPr="00A6092C">
              <w:rPr>
                <w:rFonts w:cs="Arial"/>
                <w:color w:val="212121"/>
                <w:lang w:eastAsia="en-GB"/>
              </w:rPr>
              <w:t>Priority 22</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AA58F1"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All other Australian Medical Graduates</w:t>
            </w:r>
            <w:r>
              <w:rPr>
                <w:rFonts w:cs="Arial"/>
                <w:color w:val="212121"/>
                <w:lang w:eastAsia="en-GB"/>
              </w:rPr>
              <w:t xml:space="preserve"> who are Temporary residents</w:t>
            </w:r>
            <w:r w:rsidRPr="00F6198E">
              <w:rPr>
                <w:rFonts w:cs="Arial"/>
                <w:color w:val="212121"/>
                <w:lang w:eastAsia="en-GB"/>
              </w:rPr>
              <w:t xml:space="preserve"> in MMM 7-6 location</w:t>
            </w:r>
          </w:p>
        </w:tc>
      </w:tr>
      <w:tr w:rsidR="00E97738" w:rsidRPr="00E46012" w14:paraId="3051EC43"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23A005" w14:textId="77777777" w:rsidR="00E97738" w:rsidRPr="00F6198E" w:rsidRDefault="00E97738" w:rsidP="008748C6">
            <w:pPr>
              <w:spacing w:after="0" w:line="240" w:lineRule="auto"/>
              <w:rPr>
                <w:rFonts w:cs="Arial"/>
                <w:color w:val="212121"/>
                <w:lang w:eastAsia="en-GB"/>
              </w:rPr>
            </w:pPr>
            <w:r w:rsidRPr="00A6092C">
              <w:rPr>
                <w:rFonts w:cs="Arial"/>
                <w:color w:val="212121"/>
                <w:lang w:eastAsia="en-GB"/>
              </w:rPr>
              <w:t>Priority 23</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BED083"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 xml:space="preserve">All other Australian Medical Graduates </w:t>
            </w:r>
            <w:r>
              <w:rPr>
                <w:rFonts w:cs="Arial"/>
                <w:color w:val="212121"/>
                <w:lang w:eastAsia="en-GB"/>
              </w:rPr>
              <w:t>who are Temporary residents</w:t>
            </w:r>
            <w:r w:rsidRPr="00F6198E">
              <w:rPr>
                <w:rFonts w:cs="Arial"/>
                <w:color w:val="212121"/>
                <w:lang w:eastAsia="en-GB"/>
              </w:rPr>
              <w:t xml:space="preserve"> in MMM 5 location</w:t>
            </w:r>
          </w:p>
        </w:tc>
      </w:tr>
      <w:tr w:rsidR="00E97738" w:rsidRPr="00E46012" w14:paraId="185D1067"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1E1826E" w14:textId="77777777" w:rsidR="00E97738" w:rsidRPr="00F6198E" w:rsidRDefault="00E97738" w:rsidP="008748C6">
            <w:pPr>
              <w:spacing w:after="0" w:line="240" w:lineRule="auto"/>
              <w:rPr>
                <w:rFonts w:cs="Arial"/>
                <w:color w:val="212121"/>
                <w:lang w:eastAsia="en-GB"/>
              </w:rPr>
            </w:pPr>
            <w:r w:rsidRPr="00A6092C">
              <w:rPr>
                <w:rFonts w:cs="Arial"/>
                <w:color w:val="212121"/>
                <w:lang w:eastAsia="en-GB"/>
              </w:rPr>
              <w:t>Priority 24</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55A9B9"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All other Australian Medical Graduates</w:t>
            </w:r>
            <w:r>
              <w:rPr>
                <w:rFonts w:cs="Arial"/>
                <w:color w:val="212121"/>
                <w:lang w:eastAsia="en-GB"/>
              </w:rPr>
              <w:t xml:space="preserve"> who are Temporary residents</w:t>
            </w:r>
            <w:r w:rsidRPr="00F6198E">
              <w:rPr>
                <w:rFonts w:cs="Arial"/>
                <w:color w:val="212121"/>
                <w:lang w:eastAsia="en-GB"/>
              </w:rPr>
              <w:t xml:space="preserve"> in MMM 4 location</w:t>
            </w:r>
          </w:p>
        </w:tc>
      </w:tr>
      <w:tr w:rsidR="00E97738" w:rsidRPr="00E46012" w14:paraId="238D45BC"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4AEC00" w14:textId="77777777" w:rsidR="00E97738" w:rsidRPr="00F6198E" w:rsidRDefault="00E97738" w:rsidP="008748C6">
            <w:pPr>
              <w:spacing w:after="0" w:line="240" w:lineRule="auto"/>
              <w:rPr>
                <w:rFonts w:cs="Arial"/>
                <w:color w:val="212121"/>
                <w:lang w:eastAsia="en-GB"/>
              </w:rPr>
            </w:pPr>
            <w:r w:rsidRPr="00A6092C">
              <w:rPr>
                <w:rFonts w:cs="Arial"/>
                <w:color w:val="212121"/>
                <w:lang w:eastAsia="en-GB"/>
              </w:rPr>
              <w:t>Priority 25</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4C98C2"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All other Australian Medical Graduates</w:t>
            </w:r>
            <w:r>
              <w:rPr>
                <w:rFonts w:cs="Arial"/>
                <w:color w:val="212121"/>
                <w:lang w:eastAsia="en-GB"/>
              </w:rPr>
              <w:t xml:space="preserve"> who are Temporary residents</w:t>
            </w:r>
            <w:r w:rsidRPr="00F6198E">
              <w:rPr>
                <w:rFonts w:cs="Arial"/>
                <w:color w:val="212121"/>
                <w:lang w:eastAsia="en-GB"/>
              </w:rPr>
              <w:t xml:space="preserve"> in MMM 3 location</w:t>
            </w:r>
          </w:p>
        </w:tc>
      </w:tr>
      <w:tr w:rsidR="00E97738" w:rsidRPr="00E46012" w14:paraId="4604F3B1"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B90F6A" w14:textId="77777777" w:rsidR="00E97738" w:rsidRPr="00F6198E" w:rsidRDefault="00E97738" w:rsidP="008748C6">
            <w:pPr>
              <w:spacing w:after="0" w:line="240" w:lineRule="auto"/>
              <w:rPr>
                <w:rFonts w:cs="Arial"/>
                <w:color w:val="212121"/>
                <w:lang w:eastAsia="en-GB"/>
              </w:rPr>
            </w:pPr>
            <w:r w:rsidRPr="00A6092C">
              <w:rPr>
                <w:rFonts w:cs="Arial"/>
                <w:color w:val="212121"/>
                <w:lang w:eastAsia="en-GB"/>
              </w:rPr>
              <w:t>Priority 26</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9158B5"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 xml:space="preserve">All other Australian Medical Graduates </w:t>
            </w:r>
            <w:r>
              <w:rPr>
                <w:rFonts w:cs="Arial"/>
                <w:color w:val="212121"/>
                <w:lang w:eastAsia="en-GB"/>
              </w:rPr>
              <w:t>who are Temporary residents</w:t>
            </w:r>
            <w:r w:rsidRPr="00F6198E">
              <w:rPr>
                <w:rFonts w:cs="Arial"/>
                <w:color w:val="212121"/>
                <w:lang w:eastAsia="en-GB"/>
              </w:rPr>
              <w:t xml:space="preserve"> in MMM 2 location</w:t>
            </w:r>
          </w:p>
        </w:tc>
      </w:tr>
      <w:tr w:rsidR="00E97738" w:rsidRPr="00E46012" w14:paraId="2DA5793F"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05A245" w14:textId="77777777" w:rsidR="00E97738" w:rsidRPr="00F6198E" w:rsidRDefault="00E97738" w:rsidP="008748C6">
            <w:pPr>
              <w:spacing w:after="0" w:line="240" w:lineRule="auto"/>
              <w:rPr>
                <w:rFonts w:cs="Arial"/>
                <w:color w:val="212121"/>
                <w:lang w:eastAsia="en-GB"/>
              </w:rPr>
            </w:pPr>
            <w:r w:rsidRPr="00A6092C">
              <w:rPr>
                <w:rFonts w:cs="Arial"/>
                <w:color w:val="212121"/>
                <w:lang w:eastAsia="en-GB"/>
              </w:rPr>
              <w:t>Priority 27</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2F0A28"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 xml:space="preserve">All other Australian Medical Graduates </w:t>
            </w:r>
            <w:r>
              <w:rPr>
                <w:rFonts w:cs="Arial"/>
                <w:color w:val="212121"/>
                <w:lang w:eastAsia="en-GB"/>
              </w:rPr>
              <w:t>who are Temporary residents</w:t>
            </w:r>
            <w:r w:rsidRPr="00F6198E">
              <w:rPr>
                <w:rFonts w:cs="Arial"/>
                <w:color w:val="212121"/>
                <w:lang w:eastAsia="en-GB"/>
              </w:rPr>
              <w:t xml:space="preserve"> in MMM 1 location Distribution Priority Area (DPA)</w:t>
            </w:r>
          </w:p>
        </w:tc>
      </w:tr>
      <w:tr w:rsidR="00E97738" w:rsidRPr="00E46012" w14:paraId="20D7246B"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294220" w14:textId="77777777" w:rsidR="00E97738" w:rsidRPr="00F6198E" w:rsidRDefault="00E97738" w:rsidP="008748C6">
            <w:pPr>
              <w:spacing w:after="0" w:line="240" w:lineRule="auto"/>
              <w:rPr>
                <w:rFonts w:cs="Arial"/>
                <w:color w:val="212121"/>
                <w:lang w:eastAsia="en-GB"/>
              </w:rPr>
            </w:pPr>
            <w:r w:rsidRPr="00A6092C">
              <w:rPr>
                <w:rFonts w:cs="Arial"/>
                <w:color w:val="212121"/>
                <w:lang w:eastAsia="en-GB"/>
              </w:rPr>
              <w:t>Priority 28</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DA901B" w14:textId="77777777" w:rsidR="00E97738" w:rsidRPr="00F6198E" w:rsidRDefault="00E97738" w:rsidP="008748C6">
            <w:pPr>
              <w:spacing w:after="0" w:line="240" w:lineRule="auto"/>
              <w:rPr>
                <w:rFonts w:cs="Arial"/>
                <w:color w:val="212121"/>
                <w:lang w:eastAsia="en-GB"/>
              </w:rPr>
            </w:pPr>
            <w:r w:rsidRPr="00F6198E">
              <w:rPr>
                <w:rFonts w:cs="Arial"/>
                <w:color w:val="212121"/>
                <w:lang w:eastAsia="en-GB"/>
              </w:rPr>
              <w:t xml:space="preserve">All other Australian Medical Graduates </w:t>
            </w:r>
            <w:r>
              <w:rPr>
                <w:rFonts w:cs="Arial"/>
                <w:color w:val="212121"/>
                <w:lang w:eastAsia="en-GB"/>
              </w:rPr>
              <w:t>who are Temporary residents</w:t>
            </w:r>
            <w:r w:rsidRPr="00F6198E">
              <w:rPr>
                <w:rFonts w:cs="Arial"/>
                <w:color w:val="212121"/>
                <w:lang w:eastAsia="en-GB"/>
              </w:rPr>
              <w:t xml:space="preserve"> in MMM 1 location</w:t>
            </w:r>
          </w:p>
        </w:tc>
      </w:tr>
      <w:tr w:rsidR="00E97738" w:rsidRPr="00E46012" w14:paraId="258CE948"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9CD0B8"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Priority 2</w:t>
            </w:r>
            <w:r>
              <w:rPr>
                <w:rFonts w:cs="Arial"/>
                <w:color w:val="212121"/>
                <w:lang w:eastAsia="en-GB"/>
              </w:rPr>
              <w:t>9</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00175C"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Australian Citizens who are not Australian Medical Graduates in MMM 7-6 location</w:t>
            </w:r>
          </w:p>
        </w:tc>
      </w:tr>
      <w:tr w:rsidR="00E97738" w:rsidRPr="00E46012" w14:paraId="5253D222"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DE4639"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 xml:space="preserve">Priority </w:t>
            </w:r>
            <w:r>
              <w:rPr>
                <w:rFonts w:cs="Arial"/>
                <w:color w:val="212121"/>
                <w:lang w:eastAsia="en-GB"/>
              </w:rPr>
              <w:t>30</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38D518"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Australian Citizens who are not Australian Medical Graduates in MMM 5 location</w:t>
            </w:r>
          </w:p>
        </w:tc>
      </w:tr>
      <w:tr w:rsidR="00E97738" w:rsidRPr="00E46012" w14:paraId="434B21B1"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B14913"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 xml:space="preserve">Priority </w:t>
            </w:r>
            <w:r>
              <w:rPr>
                <w:rFonts w:cs="Arial"/>
                <w:color w:val="212121"/>
                <w:lang w:eastAsia="en-GB"/>
              </w:rPr>
              <w:t>31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4D5F3A"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Australian Citizens who are not Australian Medical Graduates in MMM 4 location</w:t>
            </w:r>
          </w:p>
        </w:tc>
      </w:tr>
      <w:tr w:rsidR="00E97738" w:rsidRPr="00E46012" w14:paraId="13403EAF"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458532D"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 xml:space="preserve">Priority </w:t>
            </w:r>
            <w:r>
              <w:rPr>
                <w:rFonts w:cs="Arial"/>
                <w:color w:val="212121"/>
                <w:lang w:eastAsia="en-GB"/>
              </w:rPr>
              <w:t>32</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7BB0F3"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Australian Citizens who are not Australian Medical Graduates in MMM 3 location</w:t>
            </w:r>
          </w:p>
        </w:tc>
      </w:tr>
      <w:tr w:rsidR="00E97738" w:rsidRPr="00E46012" w14:paraId="0CE7DCC8"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B18256"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 xml:space="preserve">Priority </w:t>
            </w:r>
            <w:r>
              <w:rPr>
                <w:rFonts w:cs="Arial"/>
                <w:color w:val="212121"/>
                <w:lang w:eastAsia="en-GB"/>
              </w:rPr>
              <w:t>33</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E1F104"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Australian Citizens who are not Australian Medical Graduates in MMM 2 location</w:t>
            </w:r>
          </w:p>
        </w:tc>
      </w:tr>
      <w:tr w:rsidR="00E97738" w:rsidRPr="00E46012" w14:paraId="7D7454F3"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0D8C38"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 xml:space="preserve">Priority </w:t>
            </w:r>
            <w:r>
              <w:rPr>
                <w:rFonts w:cs="Arial"/>
                <w:color w:val="212121"/>
                <w:lang w:eastAsia="en-GB"/>
              </w:rPr>
              <w:t>34</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C91696"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Australian Citizens who are not Australian Medical Graduates in MMM 1 location Distribution Priority Area (DPA)</w:t>
            </w:r>
          </w:p>
        </w:tc>
      </w:tr>
      <w:tr w:rsidR="00E97738" w:rsidRPr="00E46012" w14:paraId="7546164D"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EBF406"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 xml:space="preserve">Priority </w:t>
            </w:r>
            <w:r>
              <w:rPr>
                <w:rFonts w:cs="Arial"/>
                <w:color w:val="212121"/>
                <w:lang w:eastAsia="en-GB"/>
              </w:rPr>
              <w:t>35</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FD6CDC"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Australian Citizens who are not Australian Medical Graduates in MMM 1 location (all other locations)</w:t>
            </w:r>
          </w:p>
        </w:tc>
      </w:tr>
      <w:tr w:rsidR="00E97738" w:rsidRPr="00E46012" w14:paraId="4F008F86"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D274C5"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 xml:space="preserve">Priority </w:t>
            </w:r>
            <w:r>
              <w:rPr>
                <w:rFonts w:cs="Arial"/>
                <w:color w:val="212121"/>
                <w:lang w:eastAsia="en-GB"/>
              </w:rPr>
              <w:t>36</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D67984"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New Zealand Citizens who are not Australian Medical Graduates in MMM 7-6 location</w:t>
            </w:r>
          </w:p>
        </w:tc>
      </w:tr>
      <w:tr w:rsidR="00E97738" w:rsidRPr="00E46012" w14:paraId="646561E5"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8EE7F6"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 xml:space="preserve">Priority </w:t>
            </w:r>
            <w:r>
              <w:rPr>
                <w:rFonts w:cs="Arial"/>
                <w:color w:val="212121"/>
                <w:lang w:eastAsia="en-GB"/>
              </w:rPr>
              <w:t>37</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65B1DD"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New Zealand Citizens who are not Australian Medical Graduates in MMM 5 location</w:t>
            </w:r>
          </w:p>
        </w:tc>
      </w:tr>
      <w:tr w:rsidR="00E97738" w:rsidRPr="00E46012" w14:paraId="44474CFA"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697CB6"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Priority 3</w:t>
            </w:r>
            <w:r>
              <w:rPr>
                <w:rFonts w:cs="Arial"/>
                <w:color w:val="212121"/>
                <w:lang w:eastAsia="en-GB"/>
              </w:rPr>
              <w:t>8</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E228E3"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New Zealand Citizens who are not Australian Medical Graduates in MMM 4 location</w:t>
            </w:r>
          </w:p>
        </w:tc>
      </w:tr>
      <w:tr w:rsidR="00E97738" w:rsidRPr="00E46012" w14:paraId="130746AB"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60FBB7"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Priority 3</w:t>
            </w:r>
            <w:r>
              <w:rPr>
                <w:rFonts w:cs="Arial"/>
                <w:color w:val="212121"/>
                <w:lang w:eastAsia="en-GB"/>
              </w:rPr>
              <w:t>9</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A5A712"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New Zealand Citizens who are not Australian Medical Graduates in MMM 3 location</w:t>
            </w:r>
          </w:p>
        </w:tc>
      </w:tr>
      <w:tr w:rsidR="00E97738" w:rsidRPr="00E46012" w14:paraId="2A5801DC"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2EBB88"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 xml:space="preserve">Priority </w:t>
            </w:r>
            <w:r>
              <w:rPr>
                <w:rFonts w:cs="Arial"/>
                <w:color w:val="212121"/>
                <w:lang w:eastAsia="en-GB"/>
              </w:rPr>
              <w:t>40</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DD06BB"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New Zealand Citizens who are not Australian Medical Graduates in MMM 2 location</w:t>
            </w:r>
          </w:p>
        </w:tc>
      </w:tr>
      <w:tr w:rsidR="00E97738" w:rsidRPr="00E46012" w14:paraId="0A74603B"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4C2B2B"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 xml:space="preserve">Priority </w:t>
            </w:r>
            <w:r>
              <w:rPr>
                <w:rFonts w:cs="Arial"/>
                <w:color w:val="212121"/>
                <w:lang w:eastAsia="en-GB"/>
              </w:rPr>
              <w:t>41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20C6B8"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New Zealand Citizens who are not Australian Medical Graduates in MMM 1 location Distribution Priority Area (DPA)</w:t>
            </w:r>
          </w:p>
        </w:tc>
      </w:tr>
      <w:tr w:rsidR="00E97738" w:rsidRPr="00E46012" w14:paraId="5797E806"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9C73AD"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 xml:space="preserve">Priority </w:t>
            </w:r>
            <w:r>
              <w:rPr>
                <w:rFonts w:cs="Arial"/>
                <w:color w:val="212121"/>
                <w:lang w:eastAsia="en-GB"/>
              </w:rPr>
              <w:t>42</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0E8F2F" w14:textId="77777777" w:rsidR="00E97738" w:rsidRPr="00A6092C" w:rsidRDefault="00E97738" w:rsidP="008748C6">
            <w:pPr>
              <w:spacing w:after="0" w:line="240" w:lineRule="auto"/>
              <w:rPr>
                <w:rFonts w:cs="Arial"/>
                <w:color w:val="212121"/>
                <w:lang w:eastAsia="en-GB"/>
              </w:rPr>
            </w:pPr>
            <w:r w:rsidRPr="00A6092C">
              <w:rPr>
                <w:rFonts w:cs="Arial"/>
                <w:color w:val="212121"/>
                <w:lang w:eastAsia="en-GB"/>
              </w:rPr>
              <w:t>New Zealand Citizens who are not Australian Medical Graduates in MMM 1 location (all other locations)</w:t>
            </w:r>
          </w:p>
        </w:tc>
      </w:tr>
      <w:tr w:rsidR="00E97738" w:rsidRPr="00E46012" w14:paraId="5FC89EC3"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AD01DF" w14:textId="77777777" w:rsidR="00E97738" w:rsidRPr="00E46012" w:rsidRDefault="00E97738" w:rsidP="008748C6">
            <w:pPr>
              <w:spacing w:after="0" w:line="240" w:lineRule="auto"/>
              <w:rPr>
                <w:rFonts w:ascii="Calibri" w:hAnsi="Calibri" w:cs="Calibri"/>
                <w:color w:val="212121"/>
                <w:sz w:val="20"/>
                <w:lang w:eastAsia="en-GB"/>
              </w:rPr>
            </w:pPr>
            <w:r w:rsidRPr="00E46012">
              <w:rPr>
                <w:rFonts w:cs="Arial"/>
                <w:color w:val="212121"/>
                <w:lang w:eastAsia="en-GB"/>
              </w:rPr>
              <w:t xml:space="preserve">Priority </w:t>
            </w:r>
            <w:r>
              <w:rPr>
                <w:rFonts w:cs="Arial"/>
                <w:color w:val="212121"/>
                <w:lang w:eastAsia="en-GB"/>
              </w:rPr>
              <w:t>43</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2DC417" w14:textId="77777777" w:rsidR="00E97738" w:rsidRPr="00E46012" w:rsidRDefault="00E97738" w:rsidP="008748C6">
            <w:pPr>
              <w:spacing w:after="0" w:line="240" w:lineRule="auto"/>
              <w:rPr>
                <w:rFonts w:ascii="Calibri" w:hAnsi="Calibri" w:cs="Calibri"/>
                <w:color w:val="212121"/>
                <w:sz w:val="20"/>
                <w:lang w:eastAsia="en-GB"/>
              </w:rPr>
            </w:pPr>
            <w:r>
              <w:rPr>
                <w:rFonts w:cs="Arial"/>
                <w:color w:val="212121"/>
                <w:lang w:eastAsia="en-GB"/>
              </w:rPr>
              <w:t xml:space="preserve">Permanent residents who are not Australian Medical Graduates in </w:t>
            </w:r>
            <w:r w:rsidRPr="00E46012">
              <w:rPr>
                <w:rFonts w:cs="Arial"/>
                <w:color w:val="212121"/>
                <w:lang w:eastAsia="en-GB"/>
              </w:rPr>
              <w:t>MMM 7-6 location</w:t>
            </w:r>
          </w:p>
        </w:tc>
      </w:tr>
      <w:tr w:rsidR="00E97738" w:rsidRPr="00E46012" w14:paraId="0A5B0933"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7F9B26" w14:textId="77777777" w:rsidR="00E97738" w:rsidRPr="00E46012" w:rsidRDefault="00E97738" w:rsidP="008748C6">
            <w:pPr>
              <w:spacing w:after="0" w:line="240" w:lineRule="auto"/>
              <w:rPr>
                <w:rFonts w:ascii="Calibri" w:hAnsi="Calibri" w:cs="Calibri"/>
                <w:color w:val="212121"/>
                <w:sz w:val="20"/>
                <w:lang w:eastAsia="en-GB"/>
              </w:rPr>
            </w:pPr>
            <w:r w:rsidRPr="00E46012">
              <w:rPr>
                <w:rFonts w:cs="Arial"/>
                <w:color w:val="212121"/>
                <w:lang w:eastAsia="en-GB"/>
              </w:rPr>
              <w:t xml:space="preserve">Priority </w:t>
            </w:r>
            <w:r>
              <w:rPr>
                <w:rFonts w:cs="Arial"/>
                <w:color w:val="212121"/>
                <w:lang w:eastAsia="en-GB"/>
              </w:rPr>
              <w:t>44</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6FC164" w14:textId="77777777" w:rsidR="00E97738" w:rsidRPr="00E46012" w:rsidRDefault="00E97738" w:rsidP="008748C6">
            <w:pPr>
              <w:spacing w:after="0" w:line="240" w:lineRule="auto"/>
              <w:rPr>
                <w:rFonts w:ascii="Calibri" w:hAnsi="Calibri" w:cs="Calibri"/>
                <w:color w:val="212121"/>
                <w:sz w:val="20"/>
                <w:lang w:eastAsia="en-GB"/>
              </w:rPr>
            </w:pPr>
            <w:r>
              <w:rPr>
                <w:rFonts w:cs="Arial"/>
                <w:color w:val="212121"/>
                <w:lang w:eastAsia="en-GB"/>
              </w:rPr>
              <w:t xml:space="preserve">Permanent residents who are not Australian Medical Graduates in </w:t>
            </w:r>
            <w:r w:rsidRPr="00E46012">
              <w:rPr>
                <w:rFonts w:cs="Arial"/>
                <w:color w:val="212121"/>
                <w:lang w:eastAsia="en-GB"/>
              </w:rPr>
              <w:t>MMM 5 location</w:t>
            </w:r>
          </w:p>
        </w:tc>
      </w:tr>
      <w:tr w:rsidR="00E97738" w:rsidRPr="00E46012" w14:paraId="404918F2"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17CA458" w14:textId="77777777" w:rsidR="00E97738" w:rsidRPr="00E46012" w:rsidRDefault="00E97738" w:rsidP="008748C6">
            <w:pPr>
              <w:spacing w:after="0" w:line="240" w:lineRule="auto"/>
              <w:rPr>
                <w:rFonts w:ascii="Calibri" w:hAnsi="Calibri" w:cs="Calibri"/>
                <w:color w:val="212121"/>
                <w:sz w:val="20"/>
                <w:lang w:eastAsia="en-GB"/>
              </w:rPr>
            </w:pPr>
            <w:r w:rsidRPr="00E46012">
              <w:rPr>
                <w:rFonts w:cs="Arial"/>
                <w:color w:val="212121"/>
                <w:lang w:eastAsia="en-GB"/>
              </w:rPr>
              <w:t>Priority</w:t>
            </w:r>
            <w:r>
              <w:rPr>
                <w:rFonts w:cs="Arial"/>
                <w:color w:val="212121"/>
                <w:lang w:eastAsia="en-GB"/>
              </w:rPr>
              <w:t xml:space="preserve"> 45</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B9B45D" w14:textId="77777777" w:rsidR="00E97738" w:rsidRPr="00E46012" w:rsidRDefault="00E97738" w:rsidP="008748C6">
            <w:pPr>
              <w:spacing w:after="0" w:line="240" w:lineRule="auto"/>
              <w:rPr>
                <w:rFonts w:ascii="Calibri" w:hAnsi="Calibri" w:cs="Calibri"/>
                <w:color w:val="212121"/>
                <w:sz w:val="20"/>
                <w:lang w:eastAsia="en-GB"/>
              </w:rPr>
            </w:pPr>
            <w:r>
              <w:rPr>
                <w:rFonts w:cs="Arial"/>
                <w:color w:val="212121"/>
                <w:lang w:eastAsia="en-GB"/>
              </w:rPr>
              <w:t xml:space="preserve">Permanent residents who are not Australian Medical Graduates in </w:t>
            </w:r>
            <w:r w:rsidRPr="00E46012">
              <w:rPr>
                <w:rFonts w:cs="Arial"/>
                <w:color w:val="212121"/>
                <w:lang w:eastAsia="en-GB"/>
              </w:rPr>
              <w:t>MMM 4 location</w:t>
            </w:r>
          </w:p>
        </w:tc>
      </w:tr>
      <w:tr w:rsidR="00E97738" w:rsidRPr="00E46012" w14:paraId="4FD9A7C3"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F4EC87D" w14:textId="77777777" w:rsidR="00E97738" w:rsidRPr="00E46012" w:rsidRDefault="00E97738" w:rsidP="008748C6">
            <w:pPr>
              <w:spacing w:after="0" w:line="240" w:lineRule="auto"/>
              <w:rPr>
                <w:rFonts w:ascii="Calibri" w:hAnsi="Calibri" w:cs="Calibri"/>
                <w:color w:val="212121"/>
                <w:sz w:val="20"/>
                <w:lang w:eastAsia="en-GB"/>
              </w:rPr>
            </w:pPr>
            <w:r w:rsidRPr="00E46012">
              <w:rPr>
                <w:rFonts w:cs="Arial"/>
                <w:color w:val="212121"/>
                <w:lang w:eastAsia="en-GB"/>
              </w:rPr>
              <w:t xml:space="preserve">Priority </w:t>
            </w:r>
            <w:r>
              <w:rPr>
                <w:rFonts w:cs="Arial"/>
                <w:color w:val="212121"/>
                <w:lang w:eastAsia="en-GB"/>
              </w:rPr>
              <w:t>46</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6E55AE" w14:textId="77777777" w:rsidR="00E97738" w:rsidRPr="00E46012" w:rsidRDefault="00E97738" w:rsidP="008748C6">
            <w:pPr>
              <w:spacing w:after="0" w:line="240" w:lineRule="auto"/>
              <w:rPr>
                <w:rFonts w:ascii="Calibri" w:hAnsi="Calibri" w:cs="Calibri"/>
                <w:color w:val="212121"/>
                <w:sz w:val="20"/>
                <w:lang w:eastAsia="en-GB"/>
              </w:rPr>
            </w:pPr>
            <w:r>
              <w:rPr>
                <w:rFonts w:cs="Arial"/>
                <w:color w:val="212121"/>
                <w:lang w:eastAsia="en-GB"/>
              </w:rPr>
              <w:t xml:space="preserve">Permanent residents who are not Australian Medical Graduates in </w:t>
            </w:r>
            <w:r w:rsidRPr="00E46012">
              <w:rPr>
                <w:rFonts w:cs="Arial"/>
                <w:color w:val="212121"/>
                <w:lang w:eastAsia="en-GB"/>
              </w:rPr>
              <w:t>MMM 3 location</w:t>
            </w:r>
          </w:p>
        </w:tc>
      </w:tr>
      <w:tr w:rsidR="00E97738" w:rsidRPr="00E46012" w14:paraId="69CB5263"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05BC7A" w14:textId="77777777" w:rsidR="00E97738" w:rsidRPr="00E46012" w:rsidRDefault="00E97738" w:rsidP="008748C6">
            <w:pPr>
              <w:spacing w:after="0" w:line="240" w:lineRule="auto"/>
              <w:rPr>
                <w:rFonts w:ascii="Calibri" w:hAnsi="Calibri" w:cs="Calibri"/>
                <w:color w:val="212121"/>
                <w:sz w:val="20"/>
                <w:lang w:eastAsia="en-GB"/>
              </w:rPr>
            </w:pPr>
            <w:r w:rsidRPr="00E46012">
              <w:rPr>
                <w:rFonts w:cs="Arial"/>
                <w:color w:val="212121"/>
                <w:lang w:eastAsia="en-GB"/>
              </w:rPr>
              <w:t xml:space="preserve">Priority </w:t>
            </w:r>
            <w:r>
              <w:rPr>
                <w:rFonts w:cs="Arial"/>
                <w:color w:val="212121"/>
                <w:lang w:eastAsia="en-GB"/>
              </w:rPr>
              <w:t>47</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1C8FF4" w14:textId="77777777" w:rsidR="00E97738" w:rsidRPr="00E46012" w:rsidRDefault="00E97738" w:rsidP="008748C6">
            <w:pPr>
              <w:spacing w:after="0" w:line="240" w:lineRule="auto"/>
              <w:rPr>
                <w:rFonts w:ascii="Calibri" w:hAnsi="Calibri" w:cs="Calibri"/>
                <w:color w:val="212121"/>
                <w:sz w:val="20"/>
                <w:lang w:eastAsia="en-GB"/>
              </w:rPr>
            </w:pPr>
            <w:r>
              <w:rPr>
                <w:rFonts w:cs="Arial"/>
                <w:color w:val="212121"/>
                <w:lang w:eastAsia="en-GB"/>
              </w:rPr>
              <w:t xml:space="preserve">Permanent residents who are not Australian Medical Graduates in </w:t>
            </w:r>
            <w:r w:rsidRPr="00E46012">
              <w:rPr>
                <w:rFonts w:cs="Arial"/>
                <w:color w:val="212121"/>
                <w:lang w:eastAsia="en-GB"/>
              </w:rPr>
              <w:t>MMM 2 location</w:t>
            </w:r>
          </w:p>
        </w:tc>
      </w:tr>
      <w:tr w:rsidR="00E97738" w:rsidRPr="00E46012" w14:paraId="3070C8FF"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8249C7F" w14:textId="77777777" w:rsidR="00E97738" w:rsidRPr="00E46012" w:rsidRDefault="00E97738" w:rsidP="008748C6">
            <w:pPr>
              <w:spacing w:after="0" w:line="240" w:lineRule="auto"/>
              <w:rPr>
                <w:rFonts w:ascii="Calibri" w:hAnsi="Calibri" w:cs="Calibri"/>
                <w:color w:val="212121"/>
                <w:sz w:val="20"/>
                <w:lang w:eastAsia="en-GB"/>
              </w:rPr>
            </w:pPr>
            <w:r w:rsidRPr="00E46012">
              <w:rPr>
                <w:rFonts w:cs="Arial"/>
                <w:color w:val="212121"/>
                <w:lang w:eastAsia="en-GB"/>
              </w:rPr>
              <w:t xml:space="preserve">Priority </w:t>
            </w:r>
            <w:r>
              <w:rPr>
                <w:rFonts w:cs="Arial"/>
                <w:color w:val="212121"/>
                <w:lang w:eastAsia="en-GB"/>
              </w:rPr>
              <w:t>48</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9489A1" w14:textId="77777777" w:rsidR="00E97738" w:rsidRPr="00E46012" w:rsidRDefault="00E97738" w:rsidP="008748C6">
            <w:pPr>
              <w:spacing w:after="0" w:line="240" w:lineRule="auto"/>
              <w:rPr>
                <w:rFonts w:ascii="Calibri" w:hAnsi="Calibri" w:cs="Calibri"/>
                <w:color w:val="212121"/>
                <w:sz w:val="20"/>
                <w:lang w:eastAsia="en-GB"/>
              </w:rPr>
            </w:pPr>
            <w:r>
              <w:rPr>
                <w:rFonts w:cs="Arial"/>
                <w:color w:val="212121"/>
                <w:lang w:eastAsia="en-GB"/>
              </w:rPr>
              <w:t xml:space="preserve">Permanent residents who are not Australian Medical Graduates in </w:t>
            </w:r>
            <w:r w:rsidRPr="00E46012">
              <w:rPr>
                <w:rFonts w:cs="Arial"/>
                <w:color w:val="212121"/>
                <w:lang w:eastAsia="en-GB"/>
              </w:rPr>
              <w:t>MMM 1 location Distribution Priority Area (DPA)</w:t>
            </w:r>
          </w:p>
        </w:tc>
      </w:tr>
      <w:tr w:rsidR="00E97738" w:rsidRPr="00E46012" w14:paraId="298B028D"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DB9A80" w14:textId="77777777" w:rsidR="00E97738" w:rsidRPr="00E46012" w:rsidRDefault="00E97738" w:rsidP="008748C6">
            <w:pPr>
              <w:spacing w:after="0" w:line="240" w:lineRule="auto"/>
              <w:rPr>
                <w:rFonts w:cs="Arial"/>
                <w:color w:val="212121"/>
                <w:lang w:eastAsia="en-GB"/>
              </w:rPr>
            </w:pPr>
            <w:r w:rsidRPr="00E46012">
              <w:rPr>
                <w:rFonts w:cs="Arial"/>
                <w:color w:val="212121"/>
                <w:lang w:eastAsia="en-GB"/>
              </w:rPr>
              <w:t xml:space="preserve">Priority </w:t>
            </w:r>
            <w:r>
              <w:rPr>
                <w:rFonts w:cs="Arial"/>
                <w:color w:val="212121"/>
                <w:lang w:eastAsia="en-GB"/>
              </w:rPr>
              <w:t>49</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C325BA" w14:textId="77777777" w:rsidR="00E97738" w:rsidRDefault="00E97738" w:rsidP="008748C6">
            <w:pPr>
              <w:spacing w:after="0" w:line="240" w:lineRule="auto"/>
              <w:rPr>
                <w:rFonts w:cs="Arial"/>
                <w:color w:val="212121"/>
                <w:lang w:eastAsia="en-GB"/>
              </w:rPr>
            </w:pPr>
            <w:r>
              <w:rPr>
                <w:rFonts w:cs="Arial"/>
                <w:color w:val="212121"/>
                <w:lang w:eastAsia="en-GB"/>
              </w:rPr>
              <w:t xml:space="preserve">Permanent residents who are not Australian Medical Graduates in </w:t>
            </w:r>
            <w:r w:rsidRPr="00E46012">
              <w:rPr>
                <w:rFonts w:cs="Arial"/>
                <w:color w:val="212121"/>
                <w:lang w:eastAsia="en-GB"/>
              </w:rPr>
              <w:t>MMM 1 location (all other locations)</w:t>
            </w:r>
          </w:p>
        </w:tc>
      </w:tr>
      <w:tr w:rsidR="00E97738" w:rsidRPr="00E46012" w14:paraId="64FB6BC7"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4ED949E" w14:textId="77777777" w:rsidR="00E97738" w:rsidRPr="00E46012" w:rsidRDefault="00E97738" w:rsidP="008748C6">
            <w:pPr>
              <w:spacing w:after="0" w:line="240" w:lineRule="auto"/>
              <w:rPr>
                <w:rFonts w:cs="Arial"/>
                <w:color w:val="212121"/>
                <w:lang w:eastAsia="en-GB"/>
              </w:rPr>
            </w:pPr>
            <w:r>
              <w:rPr>
                <w:rFonts w:cs="Arial"/>
                <w:color w:val="212121"/>
                <w:lang w:eastAsia="en-GB"/>
              </w:rPr>
              <w:t>Priority 50</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6B507C" w14:textId="77777777" w:rsidR="00E97738" w:rsidRDefault="00E97738" w:rsidP="008748C6">
            <w:pPr>
              <w:spacing w:after="0" w:line="240" w:lineRule="auto"/>
              <w:rPr>
                <w:rFonts w:cs="Arial"/>
                <w:color w:val="212121"/>
                <w:lang w:eastAsia="en-GB"/>
              </w:rPr>
            </w:pPr>
            <w:r>
              <w:rPr>
                <w:rFonts w:cs="Arial"/>
                <w:color w:val="212121"/>
                <w:lang w:eastAsia="en-GB"/>
              </w:rPr>
              <w:t xml:space="preserve">Temporary residents who are not Australian Medical Graduates in MMM </w:t>
            </w:r>
            <w:r w:rsidRPr="00E46012">
              <w:rPr>
                <w:rFonts w:cs="Arial"/>
                <w:color w:val="212121"/>
                <w:lang w:eastAsia="en-GB"/>
              </w:rPr>
              <w:t>7-6 location</w:t>
            </w:r>
          </w:p>
        </w:tc>
      </w:tr>
      <w:tr w:rsidR="00E97738" w:rsidRPr="00E46012" w14:paraId="3A4D2A54"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629D1E" w14:textId="77777777" w:rsidR="00E97738" w:rsidRPr="00E46012" w:rsidRDefault="00E97738" w:rsidP="008748C6">
            <w:pPr>
              <w:spacing w:after="0" w:line="240" w:lineRule="auto"/>
              <w:rPr>
                <w:rFonts w:cs="Arial"/>
                <w:color w:val="212121"/>
                <w:lang w:eastAsia="en-GB"/>
              </w:rPr>
            </w:pPr>
            <w:r>
              <w:rPr>
                <w:rFonts w:cs="Arial"/>
                <w:color w:val="212121"/>
                <w:lang w:eastAsia="en-GB"/>
              </w:rPr>
              <w:t>Priority 51</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3249FD" w14:textId="77777777" w:rsidR="00E97738" w:rsidRDefault="00E97738" w:rsidP="008748C6">
            <w:pPr>
              <w:spacing w:after="0" w:line="240" w:lineRule="auto"/>
              <w:rPr>
                <w:rFonts w:cs="Arial"/>
                <w:color w:val="212121"/>
                <w:lang w:eastAsia="en-GB"/>
              </w:rPr>
            </w:pPr>
            <w:r>
              <w:rPr>
                <w:rFonts w:cs="Arial"/>
                <w:color w:val="212121"/>
                <w:lang w:eastAsia="en-GB"/>
              </w:rPr>
              <w:t>Temporary residents who are not Australian Medical Graduates in MMM 5</w:t>
            </w:r>
            <w:r w:rsidRPr="00E46012">
              <w:rPr>
                <w:rFonts w:cs="Arial"/>
                <w:color w:val="212121"/>
                <w:lang w:eastAsia="en-GB"/>
              </w:rPr>
              <w:t xml:space="preserve"> location</w:t>
            </w:r>
          </w:p>
        </w:tc>
      </w:tr>
      <w:tr w:rsidR="00E97738" w:rsidRPr="00E46012" w14:paraId="15BE7508"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5DB3EE" w14:textId="77777777" w:rsidR="00E97738" w:rsidRPr="00E46012" w:rsidRDefault="00E97738" w:rsidP="008748C6">
            <w:pPr>
              <w:spacing w:after="0" w:line="240" w:lineRule="auto"/>
              <w:rPr>
                <w:rFonts w:cs="Arial"/>
                <w:color w:val="212121"/>
                <w:lang w:eastAsia="en-GB"/>
              </w:rPr>
            </w:pPr>
            <w:r>
              <w:rPr>
                <w:rFonts w:cs="Arial"/>
                <w:color w:val="212121"/>
                <w:lang w:eastAsia="en-GB"/>
              </w:rPr>
              <w:t>Priority 52</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CC7C04" w14:textId="77777777" w:rsidR="00E97738" w:rsidRDefault="00E97738" w:rsidP="008748C6">
            <w:pPr>
              <w:spacing w:after="0" w:line="240" w:lineRule="auto"/>
              <w:rPr>
                <w:rFonts w:cs="Arial"/>
                <w:color w:val="212121"/>
                <w:lang w:eastAsia="en-GB"/>
              </w:rPr>
            </w:pPr>
            <w:r>
              <w:rPr>
                <w:rFonts w:cs="Arial"/>
                <w:color w:val="212121"/>
                <w:lang w:eastAsia="en-GB"/>
              </w:rPr>
              <w:t xml:space="preserve">Temporary residents who are not Australian Medical Graduates in MMM 4 </w:t>
            </w:r>
            <w:r w:rsidRPr="00E46012">
              <w:rPr>
                <w:rFonts w:cs="Arial"/>
                <w:color w:val="212121"/>
                <w:lang w:eastAsia="en-GB"/>
              </w:rPr>
              <w:t>location</w:t>
            </w:r>
          </w:p>
        </w:tc>
      </w:tr>
      <w:tr w:rsidR="00E97738" w:rsidRPr="00E46012" w14:paraId="41526449"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9C63A3" w14:textId="77777777" w:rsidR="00E97738" w:rsidRPr="00E46012" w:rsidRDefault="00E97738" w:rsidP="008748C6">
            <w:pPr>
              <w:spacing w:after="0" w:line="240" w:lineRule="auto"/>
              <w:rPr>
                <w:rFonts w:cs="Arial"/>
                <w:color w:val="212121"/>
                <w:lang w:eastAsia="en-GB"/>
              </w:rPr>
            </w:pPr>
            <w:r>
              <w:rPr>
                <w:rFonts w:cs="Arial"/>
                <w:color w:val="212121"/>
                <w:lang w:eastAsia="en-GB"/>
              </w:rPr>
              <w:t>Priority 53</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A732BD" w14:textId="77777777" w:rsidR="00E97738" w:rsidRDefault="00E97738" w:rsidP="008748C6">
            <w:pPr>
              <w:spacing w:after="0" w:line="240" w:lineRule="auto"/>
              <w:rPr>
                <w:rFonts w:cs="Arial"/>
                <w:color w:val="212121"/>
                <w:lang w:eastAsia="en-GB"/>
              </w:rPr>
            </w:pPr>
            <w:r>
              <w:rPr>
                <w:rFonts w:cs="Arial"/>
                <w:color w:val="212121"/>
                <w:lang w:eastAsia="en-GB"/>
              </w:rPr>
              <w:t xml:space="preserve">Temporary residents who are not Australian Medical Graduates in MMM 3 </w:t>
            </w:r>
            <w:r w:rsidRPr="00E46012">
              <w:rPr>
                <w:rFonts w:cs="Arial"/>
                <w:color w:val="212121"/>
                <w:lang w:eastAsia="en-GB"/>
              </w:rPr>
              <w:t>location</w:t>
            </w:r>
          </w:p>
        </w:tc>
      </w:tr>
      <w:tr w:rsidR="00E97738" w:rsidRPr="00E46012" w14:paraId="08FCFB4E"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DE2674" w14:textId="77777777" w:rsidR="00E97738" w:rsidRPr="00E46012" w:rsidRDefault="00E97738" w:rsidP="008748C6">
            <w:pPr>
              <w:spacing w:after="0" w:line="240" w:lineRule="auto"/>
              <w:rPr>
                <w:rFonts w:cs="Arial"/>
                <w:color w:val="212121"/>
                <w:lang w:eastAsia="en-GB"/>
              </w:rPr>
            </w:pPr>
            <w:r>
              <w:rPr>
                <w:rFonts w:cs="Arial"/>
                <w:color w:val="212121"/>
                <w:lang w:eastAsia="en-GB"/>
              </w:rPr>
              <w:t>Priority 54</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75F321" w14:textId="77777777" w:rsidR="00E97738" w:rsidRDefault="00E97738" w:rsidP="008748C6">
            <w:pPr>
              <w:spacing w:after="0" w:line="240" w:lineRule="auto"/>
              <w:rPr>
                <w:rFonts w:cs="Arial"/>
                <w:color w:val="212121"/>
                <w:lang w:eastAsia="en-GB"/>
              </w:rPr>
            </w:pPr>
            <w:r>
              <w:rPr>
                <w:rFonts w:cs="Arial"/>
                <w:color w:val="212121"/>
                <w:lang w:eastAsia="en-GB"/>
              </w:rPr>
              <w:t xml:space="preserve">Temporary residents who are not Australian Medical Graduates in MMM 2 </w:t>
            </w:r>
            <w:r w:rsidRPr="00E46012">
              <w:rPr>
                <w:rFonts w:cs="Arial"/>
                <w:color w:val="212121"/>
                <w:lang w:eastAsia="en-GB"/>
              </w:rPr>
              <w:t>location</w:t>
            </w:r>
          </w:p>
        </w:tc>
      </w:tr>
      <w:tr w:rsidR="00E97738" w:rsidRPr="00E46012" w14:paraId="22F5DA26"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41894B" w14:textId="77777777" w:rsidR="00E97738" w:rsidRDefault="00E97738" w:rsidP="008748C6">
            <w:pPr>
              <w:spacing w:after="0" w:line="240" w:lineRule="auto"/>
              <w:rPr>
                <w:rFonts w:cs="Arial"/>
                <w:color w:val="212121"/>
                <w:lang w:eastAsia="en-GB"/>
              </w:rPr>
            </w:pPr>
            <w:r>
              <w:rPr>
                <w:rFonts w:cs="Arial"/>
                <w:color w:val="212121"/>
                <w:lang w:eastAsia="en-GB"/>
              </w:rPr>
              <w:t>Priority 55</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3CF7A9" w14:textId="77777777" w:rsidR="00E97738" w:rsidRDefault="00E97738" w:rsidP="008748C6">
            <w:pPr>
              <w:spacing w:after="0" w:line="240" w:lineRule="auto"/>
              <w:rPr>
                <w:rFonts w:cs="Arial"/>
                <w:color w:val="212121"/>
                <w:lang w:eastAsia="en-GB"/>
              </w:rPr>
            </w:pPr>
            <w:r>
              <w:rPr>
                <w:rFonts w:cs="Arial"/>
                <w:color w:val="212121"/>
                <w:lang w:eastAsia="en-GB"/>
              </w:rPr>
              <w:t xml:space="preserve">Temporary residents who are not Australian Medical Graduates in MMM </w:t>
            </w:r>
            <w:r w:rsidRPr="00E46012">
              <w:rPr>
                <w:rFonts w:cs="Arial"/>
                <w:color w:val="212121"/>
                <w:lang w:eastAsia="en-GB"/>
              </w:rPr>
              <w:t>1 location Distribution Priority Area (DPA)</w:t>
            </w:r>
          </w:p>
        </w:tc>
      </w:tr>
      <w:tr w:rsidR="00E97738" w:rsidRPr="00E46012" w14:paraId="6FD2BEA6" w14:textId="77777777" w:rsidTr="0071605D">
        <w:tc>
          <w:tcPr>
            <w:tcW w:w="12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BEAFC8" w14:textId="77777777" w:rsidR="00E97738" w:rsidRDefault="00E97738" w:rsidP="008748C6">
            <w:pPr>
              <w:spacing w:after="0" w:line="240" w:lineRule="auto"/>
              <w:rPr>
                <w:rFonts w:cs="Arial"/>
                <w:color w:val="212121"/>
                <w:lang w:eastAsia="en-GB"/>
              </w:rPr>
            </w:pPr>
            <w:r>
              <w:rPr>
                <w:rFonts w:cs="Arial"/>
                <w:color w:val="212121"/>
                <w:lang w:eastAsia="en-GB"/>
              </w:rPr>
              <w:t>Priority 56</w:t>
            </w:r>
          </w:p>
        </w:tc>
        <w:tc>
          <w:tcPr>
            <w:tcW w:w="8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6A6C8A" w14:textId="77777777" w:rsidR="00E97738" w:rsidRDefault="00E97738" w:rsidP="008748C6">
            <w:pPr>
              <w:spacing w:after="0" w:line="240" w:lineRule="auto"/>
              <w:rPr>
                <w:rFonts w:cs="Arial"/>
                <w:color w:val="212121"/>
                <w:lang w:eastAsia="en-GB"/>
              </w:rPr>
            </w:pPr>
            <w:r>
              <w:rPr>
                <w:rFonts w:cs="Arial"/>
                <w:color w:val="212121"/>
                <w:lang w:eastAsia="en-GB"/>
              </w:rPr>
              <w:t xml:space="preserve">Temporary residents who are not Australian Medical Graduates in MMM </w:t>
            </w:r>
            <w:r w:rsidRPr="00E46012">
              <w:rPr>
                <w:rFonts w:cs="Arial"/>
                <w:color w:val="212121"/>
                <w:lang w:eastAsia="en-GB"/>
              </w:rPr>
              <w:t>1 location (all other locations)</w:t>
            </w:r>
          </w:p>
        </w:tc>
      </w:tr>
    </w:tbl>
    <w:p w14:paraId="02E8E251" w14:textId="77777777" w:rsidR="00E97738" w:rsidRPr="00E46012" w:rsidRDefault="00E97738" w:rsidP="00E97738">
      <w:pPr>
        <w:spacing w:after="0" w:line="240" w:lineRule="auto"/>
        <w:rPr>
          <w:rFonts w:ascii="Calibri" w:hAnsi="Calibri" w:cs="Calibri"/>
          <w:color w:val="212121"/>
          <w:sz w:val="20"/>
          <w:lang w:eastAsia="en-GB"/>
        </w:rPr>
      </w:pPr>
      <w:r w:rsidRPr="00E46012">
        <w:rPr>
          <w:rFonts w:cs="Arial"/>
          <w:color w:val="212121"/>
          <w:lang w:eastAsia="en-GB"/>
        </w:rPr>
        <w:t> </w:t>
      </w:r>
    </w:p>
    <w:p w14:paraId="3B3EE237" w14:textId="77777777" w:rsidR="00E97738" w:rsidRDefault="00E97738" w:rsidP="00E97738">
      <w:pPr>
        <w:rPr>
          <w:rFonts w:cs="Arial"/>
        </w:rPr>
      </w:pPr>
      <w:r w:rsidRPr="00BA2F70">
        <w:rPr>
          <w:rFonts w:cs="Arial"/>
          <w:color w:val="212121"/>
          <w:lang w:eastAsia="en-GB"/>
        </w:rPr>
        <w:lastRenderedPageBreak/>
        <w:t>If the cut-off point falls within a priority group, successful applicants will be determined based on the population size of the placement location, prioritised from smallest to largest population based on ABS postcode population data, whereby locations with smaller populations are generally further away from cities and large centres. This will then be followed by time of grant application received from earliest to latest.</w:t>
      </w:r>
    </w:p>
    <w:p w14:paraId="539F0178" w14:textId="4E1CFD74" w:rsidR="00E97738" w:rsidRDefault="00E97738" w:rsidP="00494033">
      <w:pPr>
        <w:pStyle w:val="Heading1"/>
      </w:pPr>
      <w:bookmarkStart w:id="17" w:name="_Toc166510206"/>
      <w:r>
        <w:t>Priority stage process</w:t>
      </w:r>
      <w:bookmarkEnd w:id="17"/>
    </w:p>
    <w:p w14:paraId="20E81957" w14:textId="2BB86E53" w:rsidR="00364508" w:rsidRDefault="00364508" w:rsidP="00364508">
      <w:pPr>
        <w:pStyle w:val="Heading2"/>
      </w:pPr>
      <w:bookmarkStart w:id="18" w:name="_Toc166510207"/>
      <w:r>
        <w:t>Prioritisation</w:t>
      </w:r>
      <w:bookmarkEnd w:id="18"/>
    </w:p>
    <w:p w14:paraId="423D2B4A" w14:textId="0320D6BB" w:rsidR="00E97738" w:rsidRDefault="00E97738" w:rsidP="00E97738">
      <w:pPr>
        <w:spacing w:after="0" w:line="240" w:lineRule="auto"/>
        <w:rPr>
          <w:rFonts w:cs="Arial"/>
        </w:rPr>
      </w:pPr>
      <w:r>
        <w:rPr>
          <w:rFonts w:cs="Arial"/>
        </w:rPr>
        <w:t>A proposed number of grants will be allocated to RACGP and ACRRM for the delivery of the 2024 and 2025 batches, as per Table 3. This is inclusive of g</w:t>
      </w:r>
      <w:r w:rsidRPr="31F16A59">
        <w:rPr>
          <w:rFonts w:cs="Arial"/>
        </w:rPr>
        <w:t xml:space="preserve">rants for RVTS trainees. </w:t>
      </w:r>
      <w:r>
        <w:rPr>
          <w:rFonts w:cs="Arial"/>
        </w:rPr>
        <w:t>The GP Colleges will be required to allocate their set number of grants based on the priority groupings.</w:t>
      </w:r>
      <w:r w:rsidRPr="000267B5">
        <w:rPr>
          <w:rFonts w:cs="Arial"/>
        </w:rPr>
        <w:t xml:space="preserve"> </w:t>
      </w:r>
    </w:p>
    <w:p w14:paraId="3FB28CBA" w14:textId="77777777" w:rsidR="00E97738" w:rsidRDefault="00E97738" w:rsidP="00E97738">
      <w:pPr>
        <w:spacing w:after="0" w:line="240" w:lineRule="auto"/>
        <w:rPr>
          <w:rFonts w:cs="Arial"/>
        </w:rPr>
      </w:pPr>
    </w:p>
    <w:p w14:paraId="3FCD830D" w14:textId="77777777" w:rsidR="00E97738" w:rsidRPr="000A4B32" w:rsidRDefault="00E97738" w:rsidP="000A4B32">
      <w:pPr>
        <w:pStyle w:val="Tablecaption"/>
      </w:pPr>
      <w:r w:rsidRPr="000A4B32">
        <w:t>Table 3. Grant allocation to GP Colleges</w:t>
      </w:r>
    </w:p>
    <w:tbl>
      <w:tblPr>
        <w:tblStyle w:val="TableGrid"/>
        <w:tblW w:w="0" w:type="auto"/>
        <w:tblLook w:val="04A0" w:firstRow="1" w:lastRow="0" w:firstColumn="1" w:lastColumn="0" w:noHBand="0" w:noVBand="1"/>
      </w:tblPr>
      <w:tblGrid>
        <w:gridCol w:w="2189"/>
        <w:gridCol w:w="2318"/>
        <w:gridCol w:w="2319"/>
        <w:gridCol w:w="2190"/>
      </w:tblGrid>
      <w:tr w:rsidR="00E97738" w14:paraId="54E85B22" w14:textId="77777777" w:rsidTr="008748C6">
        <w:tc>
          <w:tcPr>
            <w:tcW w:w="2189" w:type="dxa"/>
            <w:shd w:val="clear" w:color="auto" w:fill="D9D9D9" w:themeFill="background1" w:themeFillShade="D9"/>
          </w:tcPr>
          <w:p w14:paraId="4A296E80" w14:textId="77777777" w:rsidR="00E97738" w:rsidRPr="00A84202" w:rsidRDefault="00E97738" w:rsidP="008748C6">
            <w:pPr>
              <w:pStyle w:val="Heading2"/>
              <w:spacing w:line="259" w:lineRule="auto"/>
              <w:rPr>
                <w:rFonts w:cs="Arial"/>
                <w:b w:val="0"/>
                <w:bCs/>
                <w:color w:val="auto"/>
                <w:sz w:val="22"/>
                <w:szCs w:val="22"/>
              </w:rPr>
            </w:pPr>
            <w:bookmarkStart w:id="19" w:name="_Toc166510208"/>
            <w:r>
              <w:rPr>
                <w:rFonts w:cs="Arial"/>
                <w:bCs/>
                <w:color w:val="auto"/>
                <w:sz w:val="22"/>
                <w:szCs w:val="22"/>
              </w:rPr>
              <w:t>GP</w:t>
            </w:r>
            <w:r>
              <w:rPr>
                <w:bCs/>
                <w:sz w:val="22"/>
                <w:szCs w:val="22"/>
              </w:rPr>
              <w:t xml:space="preserve"> </w:t>
            </w:r>
            <w:r>
              <w:rPr>
                <w:rFonts w:cs="Arial"/>
                <w:bCs/>
                <w:color w:val="auto"/>
                <w:sz w:val="22"/>
                <w:szCs w:val="22"/>
              </w:rPr>
              <w:t>C</w:t>
            </w:r>
            <w:r w:rsidRPr="00047A1B">
              <w:rPr>
                <w:rFonts w:cs="Arial"/>
                <w:bCs/>
                <w:color w:val="auto"/>
                <w:sz w:val="22"/>
                <w:szCs w:val="22"/>
              </w:rPr>
              <w:t>ollege</w:t>
            </w:r>
            <w:bookmarkEnd w:id="19"/>
          </w:p>
        </w:tc>
        <w:tc>
          <w:tcPr>
            <w:tcW w:w="2318" w:type="dxa"/>
            <w:shd w:val="clear" w:color="auto" w:fill="D9D9D9" w:themeFill="background1" w:themeFillShade="D9"/>
          </w:tcPr>
          <w:p w14:paraId="32810A1B" w14:textId="77777777" w:rsidR="00E97738" w:rsidRPr="00A84202" w:rsidRDefault="00E97738" w:rsidP="008748C6">
            <w:pPr>
              <w:pStyle w:val="Heading2"/>
              <w:spacing w:line="259" w:lineRule="auto"/>
              <w:rPr>
                <w:rFonts w:cs="Arial"/>
                <w:b w:val="0"/>
                <w:bCs/>
                <w:color w:val="auto"/>
                <w:sz w:val="22"/>
                <w:szCs w:val="22"/>
              </w:rPr>
            </w:pPr>
            <w:bookmarkStart w:id="20" w:name="_Toc166510209"/>
            <w:r w:rsidRPr="00A84202">
              <w:rPr>
                <w:rFonts w:cs="Arial"/>
                <w:bCs/>
                <w:color w:val="auto"/>
                <w:sz w:val="22"/>
                <w:szCs w:val="22"/>
              </w:rPr>
              <w:t>2024</w:t>
            </w:r>
            <w:bookmarkEnd w:id="20"/>
          </w:p>
        </w:tc>
        <w:tc>
          <w:tcPr>
            <w:tcW w:w="2319" w:type="dxa"/>
            <w:shd w:val="clear" w:color="auto" w:fill="D9D9D9" w:themeFill="background1" w:themeFillShade="D9"/>
          </w:tcPr>
          <w:p w14:paraId="1B6D6CFA" w14:textId="77777777" w:rsidR="00E97738" w:rsidRPr="00A84202" w:rsidRDefault="00E97738" w:rsidP="008748C6">
            <w:pPr>
              <w:pStyle w:val="Heading2"/>
              <w:spacing w:line="259" w:lineRule="auto"/>
              <w:rPr>
                <w:rFonts w:cs="Arial"/>
                <w:b w:val="0"/>
                <w:bCs/>
                <w:color w:val="auto"/>
                <w:sz w:val="22"/>
                <w:szCs w:val="22"/>
              </w:rPr>
            </w:pPr>
            <w:bookmarkStart w:id="21" w:name="_Toc166510210"/>
            <w:r w:rsidRPr="00A84202">
              <w:rPr>
                <w:rFonts w:cs="Arial"/>
                <w:bCs/>
                <w:color w:val="auto"/>
                <w:sz w:val="22"/>
                <w:szCs w:val="22"/>
              </w:rPr>
              <w:t>2025</w:t>
            </w:r>
            <w:bookmarkEnd w:id="21"/>
          </w:p>
        </w:tc>
        <w:tc>
          <w:tcPr>
            <w:tcW w:w="2190" w:type="dxa"/>
            <w:shd w:val="clear" w:color="auto" w:fill="D9D9D9" w:themeFill="background1" w:themeFillShade="D9"/>
          </w:tcPr>
          <w:p w14:paraId="4FFA6B04" w14:textId="77777777" w:rsidR="00E97738" w:rsidRPr="00A84202" w:rsidRDefault="00E97738" w:rsidP="008748C6">
            <w:pPr>
              <w:pStyle w:val="Heading2"/>
              <w:spacing w:line="259" w:lineRule="auto"/>
              <w:rPr>
                <w:rFonts w:cs="Arial"/>
                <w:b w:val="0"/>
                <w:bCs/>
                <w:color w:val="auto"/>
                <w:sz w:val="22"/>
                <w:szCs w:val="22"/>
              </w:rPr>
            </w:pPr>
            <w:bookmarkStart w:id="22" w:name="_Toc166510211"/>
            <w:r w:rsidRPr="00A84202">
              <w:rPr>
                <w:rFonts w:cs="Arial"/>
                <w:bCs/>
                <w:color w:val="auto"/>
                <w:sz w:val="22"/>
                <w:szCs w:val="22"/>
              </w:rPr>
              <w:t>Total</w:t>
            </w:r>
            <w:bookmarkEnd w:id="22"/>
          </w:p>
        </w:tc>
      </w:tr>
      <w:tr w:rsidR="00E97738" w14:paraId="5C42794A" w14:textId="77777777" w:rsidTr="008748C6">
        <w:tc>
          <w:tcPr>
            <w:tcW w:w="2189" w:type="dxa"/>
          </w:tcPr>
          <w:p w14:paraId="70FD09A8" w14:textId="77777777" w:rsidR="00E97738" w:rsidRDefault="00E97738" w:rsidP="000A4B32">
            <w:pPr>
              <w:pStyle w:val="Tabletext"/>
            </w:pPr>
            <w:r>
              <w:t>RACGP</w:t>
            </w:r>
          </w:p>
        </w:tc>
        <w:tc>
          <w:tcPr>
            <w:tcW w:w="2318" w:type="dxa"/>
          </w:tcPr>
          <w:p w14:paraId="366857DC" w14:textId="77777777" w:rsidR="00E97738" w:rsidRDefault="00E97738" w:rsidP="000A4B32">
            <w:pPr>
              <w:pStyle w:val="Tabletext"/>
            </w:pPr>
            <w:r>
              <w:t>356</w:t>
            </w:r>
          </w:p>
        </w:tc>
        <w:tc>
          <w:tcPr>
            <w:tcW w:w="2319" w:type="dxa"/>
          </w:tcPr>
          <w:p w14:paraId="5BFF6711" w14:textId="77777777" w:rsidR="00E97738" w:rsidRDefault="00E97738" w:rsidP="000A4B32">
            <w:pPr>
              <w:pStyle w:val="Tabletext"/>
            </w:pPr>
            <w:r>
              <w:t>355</w:t>
            </w:r>
          </w:p>
        </w:tc>
        <w:tc>
          <w:tcPr>
            <w:tcW w:w="2190" w:type="dxa"/>
          </w:tcPr>
          <w:p w14:paraId="7021D056" w14:textId="77777777" w:rsidR="00E97738" w:rsidRPr="00133ED6" w:rsidRDefault="00E97738" w:rsidP="000A4B32">
            <w:pPr>
              <w:pStyle w:val="Tabletext"/>
              <w:rPr>
                <w:b/>
                <w:bCs/>
              </w:rPr>
            </w:pPr>
            <w:r>
              <w:rPr>
                <w:b/>
                <w:bCs/>
              </w:rPr>
              <w:t>711</w:t>
            </w:r>
          </w:p>
        </w:tc>
      </w:tr>
      <w:tr w:rsidR="00E97738" w14:paraId="12EDC7C5" w14:textId="77777777" w:rsidTr="008748C6">
        <w:tc>
          <w:tcPr>
            <w:tcW w:w="2189" w:type="dxa"/>
          </w:tcPr>
          <w:p w14:paraId="7D33E412" w14:textId="77777777" w:rsidR="00E97738" w:rsidRDefault="00E97738" w:rsidP="000A4B32">
            <w:pPr>
              <w:pStyle w:val="Tabletext"/>
            </w:pPr>
            <w:r>
              <w:t>ACRRM</w:t>
            </w:r>
          </w:p>
        </w:tc>
        <w:tc>
          <w:tcPr>
            <w:tcW w:w="2318" w:type="dxa"/>
          </w:tcPr>
          <w:p w14:paraId="4AC17EB9" w14:textId="77777777" w:rsidR="00E97738" w:rsidRDefault="00E97738" w:rsidP="000A4B32">
            <w:pPr>
              <w:pStyle w:val="Tabletext"/>
            </w:pPr>
            <w:r>
              <w:t>44</w:t>
            </w:r>
          </w:p>
        </w:tc>
        <w:tc>
          <w:tcPr>
            <w:tcW w:w="2319" w:type="dxa"/>
          </w:tcPr>
          <w:p w14:paraId="7C276688" w14:textId="77777777" w:rsidR="00E97738" w:rsidRDefault="00E97738" w:rsidP="000A4B32">
            <w:pPr>
              <w:pStyle w:val="Tabletext"/>
            </w:pPr>
            <w:r>
              <w:t>45</w:t>
            </w:r>
          </w:p>
        </w:tc>
        <w:tc>
          <w:tcPr>
            <w:tcW w:w="2190" w:type="dxa"/>
          </w:tcPr>
          <w:p w14:paraId="0E955BC2" w14:textId="77777777" w:rsidR="00E97738" w:rsidRPr="00133ED6" w:rsidRDefault="00E97738" w:rsidP="000A4B32">
            <w:pPr>
              <w:pStyle w:val="Tabletext"/>
              <w:rPr>
                <w:b/>
                <w:bCs/>
              </w:rPr>
            </w:pPr>
            <w:r>
              <w:rPr>
                <w:b/>
                <w:bCs/>
              </w:rPr>
              <w:t>89</w:t>
            </w:r>
          </w:p>
        </w:tc>
      </w:tr>
      <w:tr w:rsidR="00E97738" w14:paraId="77774B5C" w14:textId="77777777" w:rsidTr="008748C6">
        <w:tc>
          <w:tcPr>
            <w:tcW w:w="2189" w:type="dxa"/>
          </w:tcPr>
          <w:p w14:paraId="47157D13" w14:textId="77777777" w:rsidR="00E97738" w:rsidRPr="00627EA0" w:rsidRDefault="00E97738" w:rsidP="000A4B32">
            <w:pPr>
              <w:pStyle w:val="Tabletext"/>
              <w:rPr>
                <w:b/>
                <w:bCs/>
              </w:rPr>
            </w:pPr>
            <w:r w:rsidRPr="00627EA0">
              <w:rPr>
                <w:b/>
                <w:bCs/>
              </w:rPr>
              <w:t>Total</w:t>
            </w:r>
          </w:p>
        </w:tc>
        <w:tc>
          <w:tcPr>
            <w:tcW w:w="2318" w:type="dxa"/>
          </w:tcPr>
          <w:p w14:paraId="1E6C17B3" w14:textId="77777777" w:rsidR="00E97738" w:rsidRPr="00627EA0" w:rsidRDefault="00E97738" w:rsidP="000A4B32">
            <w:pPr>
              <w:pStyle w:val="Tabletext"/>
              <w:rPr>
                <w:b/>
                <w:bCs/>
              </w:rPr>
            </w:pPr>
            <w:r w:rsidRPr="00627EA0">
              <w:rPr>
                <w:b/>
                <w:bCs/>
              </w:rPr>
              <w:t>400</w:t>
            </w:r>
          </w:p>
        </w:tc>
        <w:tc>
          <w:tcPr>
            <w:tcW w:w="2319" w:type="dxa"/>
          </w:tcPr>
          <w:p w14:paraId="33D5E0AE" w14:textId="77777777" w:rsidR="00E97738" w:rsidRPr="00627EA0" w:rsidRDefault="00E97738" w:rsidP="000A4B32">
            <w:pPr>
              <w:pStyle w:val="Tabletext"/>
              <w:rPr>
                <w:b/>
                <w:bCs/>
              </w:rPr>
            </w:pPr>
            <w:r w:rsidRPr="00627EA0">
              <w:rPr>
                <w:b/>
                <w:bCs/>
              </w:rPr>
              <w:t>400</w:t>
            </w:r>
          </w:p>
        </w:tc>
        <w:tc>
          <w:tcPr>
            <w:tcW w:w="2190" w:type="dxa"/>
          </w:tcPr>
          <w:p w14:paraId="2F1944F6" w14:textId="77777777" w:rsidR="00E97738" w:rsidRPr="00133ED6" w:rsidRDefault="00E97738" w:rsidP="000A4B32">
            <w:pPr>
              <w:pStyle w:val="Tabletext"/>
              <w:rPr>
                <w:b/>
                <w:bCs/>
              </w:rPr>
            </w:pPr>
            <w:r>
              <w:rPr>
                <w:b/>
                <w:bCs/>
              </w:rPr>
              <w:t>800</w:t>
            </w:r>
          </w:p>
        </w:tc>
      </w:tr>
    </w:tbl>
    <w:p w14:paraId="3692F8E4" w14:textId="77777777" w:rsidR="00E97738" w:rsidRDefault="00E97738" w:rsidP="00E97738">
      <w:pPr>
        <w:spacing w:after="0" w:line="240" w:lineRule="auto"/>
        <w:rPr>
          <w:rFonts w:cs="Arial"/>
        </w:rPr>
      </w:pPr>
    </w:p>
    <w:p w14:paraId="3F630F08" w14:textId="77777777" w:rsidR="00E97738" w:rsidRDefault="00E97738" w:rsidP="00E97738">
      <w:pPr>
        <w:spacing w:after="0" w:line="240" w:lineRule="auto"/>
        <w:rPr>
          <w:rFonts w:cs="Arial"/>
        </w:rPr>
      </w:pPr>
      <w:r w:rsidRPr="31F16A59">
        <w:rPr>
          <w:rFonts w:cs="Arial"/>
        </w:rPr>
        <w:t xml:space="preserve">Prioritisation </w:t>
      </w:r>
      <w:r>
        <w:rPr>
          <w:rFonts w:cs="Arial"/>
        </w:rPr>
        <w:t>will occur in two rounds per year</w:t>
      </w:r>
      <w:r w:rsidRPr="31F16A59">
        <w:rPr>
          <w:rFonts w:cs="Arial"/>
        </w:rPr>
        <w:t xml:space="preserve">, which will inform the allocation of grants to trainees as per Table </w:t>
      </w:r>
      <w:r>
        <w:rPr>
          <w:rFonts w:cs="Arial"/>
        </w:rPr>
        <w:t>4</w:t>
      </w:r>
      <w:r w:rsidRPr="31F16A59">
        <w:rPr>
          <w:rFonts w:cs="Arial"/>
        </w:rPr>
        <w:t xml:space="preserve">. </w:t>
      </w:r>
      <w:r>
        <w:rPr>
          <w:rFonts w:cs="Arial"/>
        </w:rPr>
        <w:t xml:space="preserve">This is to accommodate for multiple intakes within each enrolment year for </w:t>
      </w:r>
      <w:proofErr w:type="gramStart"/>
      <w:r>
        <w:rPr>
          <w:rFonts w:cs="Arial"/>
        </w:rPr>
        <w:t>a number of</w:t>
      </w:r>
      <w:proofErr w:type="gramEnd"/>
      <w:r>
        <w:rPr>
          <w:rFonts w:cs="Arial"/>
        </w:rPr>
        <w:t xml:space="preserve"> GP training programs. To strive for </w:t>
      </w:r>
      <w:r w:rsidRPr="004B089B">
        <w:rPr>
          <w:rFonts w:cs="Arial"/>
        </w:rPr>
        <w:t>e</w:t>
      </w:r>
      <w:r>
        <w:rPr>
          <w:rFonts w:cs="Arial"/>
        </w:rPr>
        <w:t xml:space="preserve">quitable allocation of grants according to the priority groupings, </w:t>
      </w:r>
      <w:r w:rsidRPr="31F16A59">
        <w:rPr>
          <w:rFonts w:cs="Arial"/>
        </w:rPr>
        <w:t xml:space="preserve">GP Colleges </w:t>
      </w:r>
      <w:r>
        <w:rPr>
          <w:rFonts w:cs="Arial"/>
        </w:rPr>
        <w:t xml:space="preserve">can quarantine a portion of grants, as well as be able to refer a portion/all unsuccessful applicants, for later rounds as outlined in Table 4. </w:t>
      </w:r>
    </w:p>
    <w:p w14:paraId="56447554" w14:textId="77777777" w:rsidR="00E97738" w:rsidRDefault="00E97738" w:rsidP="00E97738">
      <w:pPr>
        <w:spacing w:after="0" w:line="240" w:lineRule="auto"/>
        <w:rPr>
          <w:rFonts w:cs="Arial"/>
        </w:rPr>
      </w:pPr>
    </w:p>
    <w:p w14:paraId="1B56060A" w14:textId="77777777" w:rsidR="00E97738" w:rsidRPr="000A4B32" w:rsidRDefault="00E97738" w:rsidP="000A4B32">
      <w:pPr>
        <w:pStyle w:val="Tablecaption"/>
        <w:rPr>
          <w:rFonts w:ascii="Times New Roman" w:hAnsi="Times New Roman"/>
          <w:sz w:val="24"/>
          <w:szCs w:val="24"/>
          <w:lang w:eastAsia="en-GB"/>
        </w:rPr>
      </w:pPr>
      <w:r w:rsidRPr="000A4B32">
        <w:rPr>
          <w:lang w:eastAsia="en-GB"/>
        </w:rPr>
        <w:t>Table 4. Prioritisation rounds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4"/>
        <w:gridCol w:w="2410"/>
        <w:gridCol w:w="4110"/>
      </w:tblGrid>
      <w:tr w:rsidR="00E97738" w:rsidRPr="00437975" w14:paraId="0BE228D6" w14:textId="77777777" w:rsidTr="00E37419">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325E09" w14:textId="77777777" w:rsidR="00E97738" w:rsidRPr="00A84202" w:rsidRDefault="00E97738" w:rsidP="008748C6">
            <w:pPr>
              <w:pStyle w:val="Heading2"/>
              <w:rPr>
                <w:rFonts w:cs="Arial"/>
                <w:b w:val="0"/>
                <w:bCs/>
                <w:color w:val="auto"/>
                <w:sz w:val="22"/>
                <w:szCs w:val="22"/>
              </w:rPr>
            </w:pPr>
            <w:bookmarkStart w:id="23" w:name="_Toc166510212"/>
            <w:r w:rsidRPr="00A84202">
              <w:rPr>
                <w:rFonts w:cs="Arial"/>
                <w:bCs/>
                <w:color w:val="auto"/>
                <w:sz w:val="22"/>
                <w:szCs w:val="22"/>
              </w:rPr>
              <w:t>Stage</w:t>
            </w:r>
            <w:bookmarkEnd w:id="23"/>
            <w:r w:rsidRPr="00A84202">
              <w:rPr>
                <w:rFonts w:cs="Arial"/>
                <w:bCs/>
                <w:color w:val="auto"/>
                <w:sz w:val="22"/>
                <w:szCs w:val="22"/>
              </w:rPr>
              <w:t> </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D4E6625" w14:textId="77777777" w:rsidR="00E97738" w:rsidRPr="00A84202" w:rsidRDefault="00E97738" w:rsidP="008748C6">
            <w:pPr>
              <w:pStyle w:val="Heading2"/>
              <w:rPr>
                <w:rFonts w:cs="Arial"/>
                <w:b w:val="0"/>
                <w:bCs/>
                <w:color w:val="auto"/>
                <w:sz w:val="22"/>
                <w:szCs w:val="22"/>
              </w:rPr>
            </w:pPr>
            <w:bookmarkStart w:id="24" w:name="_Toc166510213"/>
            <w:r w:rsidRPr="00A84202">
              <w:rPr>
                <w:rFonts w:cs="Arial"/>
                <w:bCs/>
                <w:color w:val="auto"/>
                <w:sz w:val="22"/>
                <w:szCs w:val="22"/>
              </w:rPr>
              <w:t>Date of prioritisation</w:t>
            </w:r>
            <w:bookmarkEnd w:id="24"/>
            <w:r w:rsidRPr="00A84202">
              <w:rPr>
                <w:rFonts w:cs="Arial"/>
                <w:bCs/>
                <w:color w:val="auto"/>
                <w:sz w:val="22"/>
                <w:szCs w:val="22"/>
              </w:rPr>
              <w:t> </w:t>
            </w:r>
          </w:p>
        </w:tc>
        <w:tc>
          <w:tcPr>
            <w:tcW w:w="4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3B18257" w14:textId="77777777" w:rsidR="00E97738" w:rsidRPr="00A84202" w:rsidRDefault="00E97738" w:rsidP="008748C6">
            <w:pPr>
              <w:pStyle w:val="Heading2"/>
              <w:rPr>
                <w:rFonts w:cs="Arial"/>
                <w:b w:val="0"/>
                <w:bCs/>
                <w:color w:val="auto"/>
                <w:sz w:val="22"/>
                <w:szCs w:val="22"/>
              </w:rPr>
            </w:pPr>
            <w:bookmarkStart w:id="25" w:name="_Toc166510214"/>
            <w:r w:rsidRPr="00A84202">
              <w:rPr>
                <w:rFonts w:cs="Arial"/>
                <w:bCs/>
                <w:color w:val="auto"/>
                <w:sz w:val="22"/>
                <w:szCs w:val="22"/>
              </w:rPr>
              <w:t>Cohorts being prioritised</w:t>
            </w:r>
            <w:bookmarkEnd w:id="25"/>
            <w:r w:rsidRPr="00A84202">
              <w:rPr>
                <w:rFonts w:cs="Arial"/>
                <w:bCs/>
                <w:color w:val="auto"/>
                <w:sz w:val="22"/>
                <w:szCs w:val="22"/>
              </w:rPr>
              <w:t> </w:t>
            </w:r>
          </w:p>
        </w:tc>
      </w:tr>
      <w:tr w:rsidR="00E97738" w:rsidRPr="00437975" w14:paraId="2D824971" w14:textId="77777777" w:rsidTr="00A6795C">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7E455C6D" w14:textId="77777777" w:rsidR="00E97738" w:rsidRPr="00C07F24" w:rsidRDefault="00E97738" w:rsidP="000A4B32">
            <w:pPr>
              <w:pStyle w:val="Tabletext"/>
              <w:rPr>
                <w:lang w:eastAsia="en-GB"/>
              </w:rPr>
            </w:pPr>
            <w:r w:rsidRPr="00C07F24">
              <w:rPr>
                <w:lang w:eastAsia="en-GB"/>
              </w:rPr>
              <w:t>2024 Round 1</w:t>
            </w:r>
          </w:p>
          <w:p w14:paraId="45F7B4C3" w14:textId="77777777" w:rsidR="00E97738" w:rsidRPr="00C07F24" w:rsidRDefault="00E97738" w:rsidP="000A4B32">
            <w:pPr>
              <w:pStyle w:val="Tabletext"/>
              <w:rPr>
                <w:lang w:eastAsia="en-GB"/>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4ADE7DB9" w14:textId="77777777" w:rsidR="00E97738" w:rsidRPr="00C07F24" w:rsidRDefault="00E97738" w:rsidP="000A4B32">
            <w:pPr>
              <w:pStyle w:val="Tabletext"/>
              <w:rPr>
                <w:rFonts w:ascii="Times New Roman" w:hAnsi="Times New Roman"/>
                <w:lang w:eastAsia="en-GB"/>
              </w:rPr>
            </w:pPr>
            <w:r w:rsidRPr="00C07F24">
              <w:rPr>
                <w:lang w:eastAsia="en-GB"/>
              </w:rPr>
              <w:t>By February 2024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5489F6BA" w14:textId="77777777" w:rsidR="00E97738" w:rsidRPr="006A5C47" w:rsidRDefault="00E97738" w:rsidP="000A4B32">
            <w:pPr>
              <w:pStyle w:val="Tabletext"/>
              <w:rPr>
                <w:lang w:eastAsia="en-GB"/>
              </w:rPr>
            </w:pPr>
            <w:r w:rsidRPr="006A5C47">
              <w:rPr>
                <w:lang w:eastAsia="en-GB"/>
              </w:rPr>
              <w:t>Eligible 2023 cohort </w:t>
            </w:r>
          </w:p>
          <w:p w14:paraId="4BCB1337" w14:textId="77777777" w:rsidR="00E97738" w:rsidRPr="006A5C47" w:rsidRDefault="00E97738" w:rsidP="000A4B32">
            <w:pPr>
              <w:pStyle w:val="Tabletext"/>
              <w:rPr>
                <w:lang w:eastAsia="en-GB"/>
              </w:rPr>
            </w:pPr>
            <w:r w:rsidRPr="006A5C47">
              <w:rPr>
                <w:lang w:eastAsia="en-GB"/>
              </w:rPr>
              <w:t>2024 cohort</w:t>
            </w:r>
          </w:p>
          <w:p w14:paraId="48ACF00F" w14:textId="77777777" w:rsidR="00E97738" w:rsidRPr="00437975" w:rsidRDefault="00E97738" w:rsidP="000A4B32">
            <w:pPr>
              <w:pStyle w:val="Tabletext"/>
              <w:rPr>
                <w:lang w:eastAsia="en-GB"/>
              </w:rPr>
            </w:pPr>
          </w:p>
        </w:tc>
      </w:tr>
      <w:tr w:rsidR="00E97738" w:rsidRPr="00437975" w14:paraId="7E00210E" w14:textId="77777777" w:rsidTr="00A6795C">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7A482D4B" w14:textId="77777777" w:rsidR="00E97738" w:rsidRPr="00C07F24" w:rsidRDefault="00E97738" w:rsidP="000A4B32">
            <w:pPr>
              <w:pStyle w:val="Tabletext"/>
              <w:rPr>
                <w:rFonts w:ascii="Times New Roman" w:hAnsi="Times New Roman"/>
                <w:lang w:eastAsia="en-GB"/>
              </w:rPr>
            </w:pPr>
            <w:r w:rsidRPr="00C07F24">
              <w:rPr>
                <w:lang w:eastAsia="en-GB"/>
              </w:rPr>
              <w:t>2024 Round 2 (quarantined grants if applicable)</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3DFE8DC2" w14:textId="77777777" w:rsidR="00E97738" w:rsidRPr="00C07F24" w:rsidRDefault="00E97738" w:rsidP="000A4B32">
            <w:pPr>
              <w:pStyle w:val="Tabletext"/>
              <w:rPr>
                <w:rFonts w:ascii="Times New Roman" w:hAnsi="Times New Roman"/>
                <w:lang w:eastAsia="en-GB"/>
              </w:rPr>
            </w:pPr>
            <w:r w:rsidRPr="00C07F24">
              <w:rPr>
                <w:lang w:eastAsia="en-GB"/>
              </w:rPr>
              <w:t>By August 2024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69911A86" w14:textId="77777777" w:rsidR="00E97738" w:rsidRDefault="00E97738" w:rsidP="000A4B32">
            <w:pPr>
              <w:pStyle w:val="Tabletext"/>
              <w:rPr>
                <w:lang w:eastAsia="en-GB"/>
              </w:rPr>
            </w:pPr>
            <w:r w:rsidRPr="006A5C47">
              <w:rPr>
                <w:lang w:eastAsia="en-GB"/>
              </w:rPr>
              <w:t xml:space="preserve">2024 cohort (unsuccessful </w:t>
            </w:r>
            <w:r>
              <w:rPr>
                <w:lang w:eastAsia="en-GB"/>
              </w:rPr>
              <w:t>R</w:t>
            </w:r>
            <w:r w:rsidRPr="006A5C47">
              <w:rPr>
                <w:lang w:eastAsia="en-GB"/>
              </w:rPr>
              <w:t xml:space="preserve">ound </w:t>
            </w:r>
            <w:r>
              <w:rPr>
                <w:lang w:eastAsia="en-GB"/>
              </w:rPr>
              <w:t>1</w:t>
            </w:r>
            <w:r w:rsidRPr="006A5C47">
              <w:rPr>
                <w:lang w:eastAsia="en-GB"/>
              </w:rPr>
              <w:t xml:space="preserve"> applicants</w:t>
            </w:r>
            <w:r>
              <w:rPr>
                <w:lang w:eastAsia="en-GB"/>
              </w:rPr>
              <w:t xml:space="preserve"> if applicable)</w:t>
            </w:r>
          </w:p>
          <w:p w14:paraId="7EB378B8" w14:textId="77777777" w:rsidR="00E97738" w:rsidRDefault="00E97738" w:rsidP="000A4B32">
            <w:pPr>
              <w:pStyle w:val="Tabletext"/>
              <w:rPr>
                <w:lang w:eastAsia="en-GB"/>
              </w:rPr>
            </w:pPr>
            <w:r>
              <w:rPr>
                <w:lang w:eastAsia="en-GB"/>
              </w:rPr>
              <w:t>2024 cohort (</w:t>
            </w:r>
            <w:r w:rsidRPr="006A5C47">
              <w:rPr>
                <w:lang w:eastAsia="en-GB"/>
              </w:rPr>
              <w:t>new applicants commencing mid 2024) </w:t>
            </w:r>
          </w:p>
          <w:p w14:paraId="462B1637" w14:textId="77777777" w:rsidR="00E97738" w:rsidRPr="008F1864" w:rsidRDefault="00E97738" w:rsidP="000A4B32">
            <w:pPr>
              <w:pStyle w:val="Tabletext"/>
              <w:rPr>
                <w:lang w:eastAsia="en-GB"/>
              </w:rPr>
            </w:pPr>
            <w:r w:rsidRPr="008F1864">
              <w:rPr>
                <w:lang w:eastAsia="en-GB"/>
              </w:rPr>
              <w:t>2023 cohort (unsuccessful Round 1 applicants</w:t>
            </w:r>
            <w:r>
              <w:rPr>
                <w:lang w:eastAsia="en-GB"/>
              </w:rPr>
              <w:t>)</w:t>
            </w:r>
          </w:p>
        </w:tc>
      </w:tr>
      <w:tr w:rsidR="00E97738" w:rsidRPr="00437975" w14:paraId="57D260EC" w14:textId="77777777" w:rsidTr="00A6795C">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6601178F" w14:textId="77777777" w:rsidR="00E97738" w:rsidRPr="00C07F24" w:rsidRDefault="00E97738" w:rsidP="000A4B32">
            <w:pPr>
              <w:pStyle w:val="Tabletext"/>
              <w:rPr>
                <w:rFonts w:ascii="Times New Roman" w:hAnsi="Times New Roman"/>
                <w:lang w:eastAsia="en-GB"/>
              </w:rPr>
            </w:pPr>
            <w:r w:rsidRPr="00C07F24">
              <w:rPr>
                <w:lang w:eastAsia="en-GB"/>
              </w:rPr>
              <w:t>2025 Round 1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52F1C45B" w14:textId="77777777" w:rsidR="00E97738" w:rsidRPr="00C07F24" w:rsidRDefault="00E97738" w:rsidP="000A4B32">
            <w:pPr>
              <w:pStyle w:val="Tabletext"/>
              <w:rPr>
                <w:rFonts w:ascii="Times New Roman" w:hAnsi="Times New Roman"/>
                <w:lang w:eastAsia="en-GB"/>
              </w:rPr>
            </w:pPr>
            <w:r w:rsidRPr="00C07F24">
              <w:rPr>
                <w:lang w:eastAsia="en-GB"/>
              </w:rPr>
              <w:t>By February 2025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2006B71E" w14:textId="77777777" w:rsidR="00E97738" w:rsidRDefault="00E97738" w:rsidP="000A4B32">
            <w:pPr>
              <w:pStyle w:val="Tabletext"/>
              <w:rPr>
                <w:lang w:eastAsia="en-GB"/>
              </w:rPr>
            </w:pPr>
            <w:r w:rsidRPr="008F1864">
              <w:rPr>
                <w:lang w:eastAsia="en-GB"/>
              </w:rPr>
              <w:t xml:space="preserve">2025 </w:t>
            </w:r>
            <w:r>
              <w:rPr>
                <w:lang w:eastAsia="en-GB"/>
              </w:rPr>
              <w:t>cohort</w:t>
            </w:r>
          </w:p>
          <w:p w14:paraId="3CABCE7E" w14:textId="77777777" w:rsidR="00E97738" w:rsidRPr="008F1864" w:rsidRDefault="00E97738" w:rsidP="000A4B32">
            <w:pPr>
              <w:pStyle w:val="Tabletext"/>
              <w:rPr>
                <w:lang w:eastAsia="en-GB"/>
              </w:rPr>
            </w:pPr>
            <w:r>
              <w:rPr>
                <w:lang w:eastAsia="en-GB"/>
              </w:rPr>
              <w:t>2024 cohorts (unsuccessful 2024 Rounds 1 and 2 applicants, if applicable)</w:t>
            </w:r>
          </w:p>
          <w:p w14:paraId="261D9463" w14:textId="77777777" w:rsidR="00E97738" w:rsidRPr="00437975" w:rsidRDefault="00E97738" w:rsidP="000A4B32">
            <w:pPr>
              <w:pStyle w:val="Tabletext"/>
              <w:rPr>
                <w:lang w:eastAsia="en-GB"/>
              </w:rPr>
            </w:pPr>
          </w:p>
        </w:tc>
      </w:tr>
      <w:tr w:rsidR="00E97738" w:rsidRPr="00437975" w14:paraId="7796964A" w14:textId="77777777" w:rsidTr="00A6795C">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auto"/>
            <w:hideMark/>
          </w:tcPr>
          <w:p w14:paraId="3CDD1819" w14:textId="77777777" w:rsidR="00E97738" w:rsidRPr="00C07F24" w:rsidRDefault="00E97738" w:rsidP="000A4B32">
            <w:pPr>
              <w:pStyle w:val="Tabletext"/>
              <w:rPr>
                <w:lang w:eastAsia="en-GB"/>
              </w:rPr>
            </w:pPr>
            <w:r w:rsidRPr="00C07F24">
              <w:rPr>
                <w:lang w:eastAsia="en-GB"/>
              </w:rPr>
              <w:t>2025 Round 2 (quarantined grants if applicable)</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8F2532C" w14:textId="77777777" w:rsidR="00E97738" w:rsidRPr="00C07F24" w:rsidRDefault="00E97738" w:rsidP="000A4B32">
            <w:pPr>
              <w:pStyle w:val="Tabletext"/>
              <w:rPr>
                <w:rFonts w:ascii="Times New Roman" w:hAnsi="Times New Roman"/>
                <w:lang w:eastAsia="en-GB"/>
              </w:rPr>
            </w:pPr>
            <w:r w:rsidRPr="00C07F24">
              <w:rPr>
                <w:lang w:eastAsia="en-GB"/>
              </w:rPr>
              <w:t>By August 2025 </w:t>
            </w:r>
          </w:p>
        </w:tc>
        <w:tc>
          <w:tcPr>
            <w:tcW w:w="4110" w:type="dxa"/>
            <w:tcBorders>
              <w:top w:val="single" w:sz="6" w:space="0" w:color="auto"/>
              <w:left w:val="single" w:sz="6" w:space="0" w:color="auto"/>
              <w:bottom w:val="single" w:sz="6" w:space="0" w:color="auto"/>
              <w:right w:val="single" w:sz="6" w:space="0" w:color="auto"/>
            </w:tcBorders>
            <w:shd w:val="clear" w:color="auto" w:fill="auto"/>
            <w:hideMark/>
          </w:tcPr>
          <w:p w14:paraId="536D7B87" w14:textId="77777777" w:rsidR="00E97738" w:rsidRDefault="00E97738" w:rsidP="000A4B32">
            <w:pPr>
              <w:pStyle w:val="Tabletext"/>
              <w:rPr>
                <w:lang w:eastAsia="en-GB"/>
              </w:rPr>
            </w:pPr>
            <w:r w:rsidRPr="006A5C47">
              <w:rPr>
                <w:lang w:eastAsia="en-GB"/>
              </w:rPr>
              <w:t>202</w:t>
            </w:r>
            <w:r>
              <w:rPr>
                <w:lang w:eastAsia="en-GB"/>
              </w:rPr>
              <w:t>5</w:t>
            </w:r>
            <w:r w:rsidRPr="006A5C47">
              <w:rPr>
                <w:lang w:eastAsia="en-GB"/>
              </w:rPr>
              <w:t xml:space="preserve"> cohort (unsuccessful </w:t>
            </w:r>
            <w:r>
              <w:rPr>
                <w:lang w:eastAsia="en-GB"/>
              </w:rPr>
              <w:t>R</w:t>
            </w:r>
            <w:r w:rsidRPr="006A5C47">
              <w:rPr>
                <w:lang w:eastAsia="en-GB"/>
              </w:rPr>
              <w:t xml:space="preserve">ound </w:t>
            </w:r>
            <w:r>
              <w:rPr>
                <w:lang w:eastAsia="en-GB"/>
              </w:rPr>
              <w:t>1</w:t>
            </w:r>
            <w:r w:rsidRPr="006A5C47">
              <w:rPr>
                <w:lang w:eastAsia="en-GB"/>
              </w:rPr>
              <w:t xml:space="preserve"> applicants</w:t>
            </w:r>
            <w:r>
              <w:rPr>
                <w:lang w:eastAsia="en-GB"/>
              </w:rPr>
              <w:t>)</w:t>
            </w:r>
          </w:p>
          <w:p w14:paraId="2A28BAE4" w14:textId="77777777" w:rsidR="00E97738" w:rsidRPr="00217A87" w:rsidRDefault="00E97738" w:rsidP="000A4B32">
            <w:pPr>
              <w:pStyle w:val="Tabletext"/>
              <w:rPr>
                <w:lang w:eastAsia="en-GB"/>
              </w:rPr>
            </w:pPr>
            <w:r>
              <w:rPr>
                <w:lang w:eastAsia="en-GB"/>
              </w:rPr>
              <w:t>2025 cohort (</w:t>
            </w:r>
            <w:r w:rsidRPr="006A5C47">
              <w:rPr>
                <w:lang w:eastAsia="en-GB"/>
              </w:rPr>
              <w:t>new applicants commencing mid 202</w:t>
            </w:r>
            <w:r>
              <w:rPr>
                <w:lang w:eastAsia="en-GB"/>
              </w:rPr>
              <w:t>5</w:t>
            </w:r>
            <w:r w:rsidRPr="006A5C47">
              <w:rPr>
                <w:lang w:eastAsia="en-GB"/>
              </w:rPr>
              <w:t>) </w:t>
            </w:r>
          </w:p>
        </w:tc>
      </w:tr>
    </w:tbl>
    <w:p w14:paraId="2B51994A" w14:textId="3B6E519F" w:rsidR="00E97738" w:rsidRDefault="00E97738" w:rsidP="00E97738">
      <w:pPr>
        <w:pStyle w:val="Heading2"/>
      </w:pPr>
      <w:bookmarkStart w:id="26" w:name="_Toc166510215"/>
      <w:r>
        <w:lastRenderedPageBreak/>
        <w:t>Grant allocation</w:t>
      </w:r>
      <w:bookmarkEnd w:id="26"/>
    </w:p>
    <w:p w14:paraId="063CEA79" w14:textId="008842CB" w:rsidR="00E97738" w:rsidRDefault="00E97738" w:rsidP="00E97738">
      <w:pPr>
        <w:spacing w:after="0" w:line="240" w:lineRule="auto"/>
        <w:rPr>
          <w:rFonts w:cs="Arial"/>
        </w:rPr>
      </w:pPr>
      <w:r>
        <w:rPr>
          <w:rFonts w:cs="Arial"/>
        </w:rPr>
        <w:t xml:space="preserve">At the end of each stage, applicants will be notified if they are successful or not successful for a </w:t>
      </w:r>
      <w:r w:rsidRPr="31F16A59">
        <w:rPr>
          <w:rFonts w:cs="Arial"/>
        </w:rPr>
        <w:t xml:space="preserve">Grant. </w:t>
      </w:r>
      <w:r>
        <w:rPr>
          <w:rFonts w:cs="Arial"/>
        </w:rPr>
        <w:t>Successful applicants of the total 800 grants will be allocated three instalment payments totalling $40,000.</w:t>
      </w:r>
    </w:p>
    <w:p w14:paraId="24233975" w14:textId="09256236" w:rsidR="00E97738" w:rsidRDefault="00E97738" w:rsidP="00E97738">
      <w:pPr>
        <w:pStyle w:val="Heading2"/>
      </w:pPr>
      <w:bookmarkStart w:id="27" w:name="_Toc166510216"/>
      <w:r>
        <w:t>Reporting</w:t>
      </w:r>
      <w:bookmarkEnd w:id="27"/>
    </w:p>
    <w:p w14:paraId="68F63D83" w14:textId="77777777" w:rsidR="00E97738" w:rsidRDefault="00E97738" w:rsidP="00E97738">
      <w:pPr>
        <w:spacing w:before="100" w:beforeAutospacing="1" w:after="100" w:afterAutospacing="1" w:line="240" w:lineRule="auto"/>
        <w:textAlignment w:val="baseline"/>
        <w:rPr>
          <w:rFonts w:cs="Arial"/>
          <w:lang w:eastAsia="en-GB"/>
        </w:rPr>
      </w:pPr>
      <w:r>
        <w:rPr>
          <w:rFonts w:cs="Arial"/>
        </w:rPr>
        <w:t xml:space="preserve">GP Colleges </w:t>
      </w:r>
      <w:r w:rsidRPr="00B21B8D">
        <w:rPr>
          <w:rFonts w:cs="Arial"/>
          <w:lang w:eastAsia="en-GB"/>
        </w:rPr>
        <w:t xml:space="preserve">are required to </w:t>
      </w:r>
      <w:r>
        <w:rPr>
          <w:rFonts w:cs="Arial"/>
          <w:lang w:eastAsia="en-GB"/>
        </w:rPr>
        <w:t xml:space="preserve">keep the department abreast of their prioritisation process </w:t>
      </w:r>
      <w:r w:rsidRPr="00B21B8D">
        <w:rPr>
          <w:rFonts w:cs="Arial"/>
          <w:lang w:eastAsia="en-GB"/>
        </w:rPr>
        <w:t>as part of reporting requirements stipulated in the Service Plan.</w:t>
      </w:r>
    </w:p>
    <w:tbl>
      <w:tblPr>
        <w:tblStyle w:val="TableGrid"/>
        <w:tblW w:w="0" w:type="auto"/>
        <w:tblCellMar>
          <w:bottom w:w="108" w:type="dxa"/>
        </w:tblCellMar>
        <w:tblLook w:val="0600" w:firstRow="0" w:lastRow="0" w:firstColumn="0" w:lastColumn="0" w:noHBand="1" w:noVBand="1"/>
      </w:tblPr>
      <w:tblGrid>
        <w:gridCol w:w="10194"/>
      </w:tblGrid>
      <w:tr w:rsidR="00E97738" w14:paraId="068DE182" w14:textId="77777777" w:rsidTr="008748C6">
        <w:tc>
          <w:tcPr>
            <w:tcW w:w="10194" w:type="dxa"/>
          </w:tcPr>
          <w:p w14:paraId="218660CF" w14:textId="77777777" w:rsidR="00E97738" w:rsidRPr="0055119B" w:rsidRDefault="00E97738" w:rsidP="008748C6">
            <w:pPr>
              <w:pStyle w:val="Accessibilitypara"/>
            </w:pPr>
            <w:r w:rsidRPr="0055119B">
              <w:t>To receive this document in another format</w:t>
            </w:r>
            <w:r>
              <w:t>,</w:t>
            </w:r>
            <w:r w:rsidRPr="0055119B">
              <w:t xml:space="preserve"> phone </w:t>
            </w:r>
            <w:r>
              <w:t>95004516</w:t>
            </w:r>
            <w:r w:rsidRPr="0055119B">
              <w:t xml:space="preserve">, using the National Relay Service 13 36 77 if required, or email </w:t>
            </w:r>
            <w:r>
              <w:t>Medical Workforce at &lt;</w:t>
            </w:r>
            <w:hyperlink r:id="rId15" w:history="1">
              <w:r w:rsidRPr="00034046">
                <w:rPr>
                  <w:rStyle w:val="Hyperlink"/>
                </w:rPr>
                <w:t>gpgrantsprogram@health.vic.gov.au</w:t>
              </w:r>
            </w:hyperlink>
            <w:r w:rsidRPr="0055119B">
              <w:t>&gt;.</w:t>
            </w:r>
          </w:p>
          <w:p w14:paraId="3B3CB72C" w14:textId="77777777" w:rsidR="00E97738" w:rsidRPr="0055119B" w:rsidRDefault="00E97738" w:rsidP="008748C6">
            <w:pPr>
              <w:pStyle w:val="Imprint"/>
            </w:pPr>
            <w:r w:rsidRPr="0055119B">
              <w:t>Authorised and published by the Victorian Government, 1 Treasury Place, Melbourne.</w:t>
            </w:r>
          </w:p>
          <w:p w14:paraId="234BE1E3" w14:textId="77777777" w:rsidR="00E97738" w:rsidRDefault="00E97738" w:rsidP="008748C6">
            <w:pPr>
              <w:pStyle w:val="Imprint"/>
            </w:pPr>
            <w:r>
              <w:t>© State of Victoria, Australia, Department of Health, May 2024.</w:t>
            </w:r>
          </w:p>
          <w:p w14:paraId="31257F35" w14:textId="77777777" w:rsidR="00E97738" w:rsidRDefault="00E97738" w:rsidP="008748C6">
            <w:pPr>
              <w:pStyle w:val="Imprint"/>
            </w:pPr>
            <w:r>
              <w:t>GP grants program: &lt;</w:t>
            </w:r>
            <w:hyperlink r:id="rId16" w:history="1">
              <w:r w:rsidRPr="00D56318">
                <w:rPr>
                  <w:rStyle w:val="Hyperlink"/>
                </w:rPr>
                <w:t>www.health.vic.gov.au/general-practitioners-gp-grant-program</w:t>
              </w:r>
            </w:hyperlink>
            <w:r>
              <w:t>&gt;.</w:t>
            </w:r>
          </w:p>
        </w:tc>
      </w:tr>
    </w:tbl>
    <w:p w14:paraId="6E0F4C40" w14:textId="77777777" w:rsidR="00200176" w:rsidRDefault="00200176" w:rsidP="00200176">
      <w:pPr>
        <w:pStyle w:val="Body"/>
      </w:pPr>
    </w:p>
    <w:sectPr w:rsidR="00200176" w:rsidSect="0071605D">
      <w:footerReference w:type="default" r:id="rId17"/>
      <w:type w:val="continuous"/>
      <w:pgSz w:w="11906" w:h="16838"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57D5C" w14:textId="77777777" w:rsidR="00653FAB" w:rsidRDefault="00653FAB">
      <w:r>
        <w:separator/>
      </w:r>
    </w:p>
  </w:endnote>
  <w:endnote w:type="continuationSeparator" w:id="0">
    <w:p w14:paraId="6A46D35F" w14:textId="77777777" w:rsidR="00653FAB" w:rsidRDefault="00653FAB">
      <w:r>
        <w:continuationSeparator/>
      </w:r>
    </w:p>
  </w:endnote>
  <w:endnote w:type="continuationNotice" w:id="1">
    <w:p w14:paraId="234CE3B6" w14:textId="77777777" w:rsidR="00653FAB" w:rsidRDefault="00653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0E5F"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1EACB701" wp14:editId="62F561BA">
          <wp:simplePos x="542260" y="9324753"/>
          <wp:positionH relativeFrom="page">
            <wp:align>left</wp:align>
          </wp:positionH>
          <wp:positionV relativeFrom="page">
            <wp:align>bottom</wp:align>
          </wp:positionV>
          <wp:extent cx="7560000" cy="964800"/>
          <wp:effectExtent l="0" t="0" r="3175" b="6985"/>
          <wp:wrapNone/>
          <wp:docPr id="1541437102" name="Picture 154143710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7AB2F788" wp14:editId="3ECF09E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145F8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B2F78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F145F8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057C"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27BABEC0" wp14:editId="4234A690">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75A65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BABEC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B75A65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E549"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78E6C1D8" wp14:editId="47A76C0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7668A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E6C1D8"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77668A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4A8B" w14:textId="77777777" w:rsidR="00653FAB" w:rsidRDefault="00653FAB" w:rsidP="002862F1">
      <w:pPr>
        <w:spacing w:before="120"/>
      </w:pPr>
      <w:r>
        <w:separator/>
      </w:r>
    </w:p>
  </w:footnote>
  <w:footnote w:type="continuationSeparator" w:id="0">
    <w:p w14:paraId="76D3AFF6" w14:textId="77777777" w:rsidR="00653FAB" w:rsidRDefault="00653FAB">
      <w:r>
        <w:continuationSeparator/>
      </w:r>
    </w:p>
  </w:footnote>
  <w:footnote w:type="continuationNotice" w:id="1">
    <w:p w14:paraId="0613FE35" w14:textId="77777777" w:rsidR="00653FAB" w:rsidRDefault="00653F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CEF0" w14:textId="0FDC0276" w:rsidR="00A6795C" w:rsidRDefault="00A6795C" w:rsidP="00A6795C">
    <w:pPr>
      <w:pStyle w:val="Header"/>
    </w:pPr>
    <w:r>
      <w:t>GP grants program eligibility framework</w:t>
    </w:r>
    <w:r>
      <w:tab/>
    </w:r>
    <w:r>
      <w:tab/>
    </w:r>
    <w:r>
      <w:tab/>
    </w:r>
    <w:r>
      <w:tab/>
    </w:r>
    <w:r>
      <w:tab/>
    </w:r>
    <w:r>
      <w:tab/>
    </w:r>
    <w:r>
      <w:tab/>
    </w:r>
    <w:r>
      <w:tab/>
    </w:r>
    <w:r>
      <w:tab/>
    </w:r>
    <w:r>
      <w:tab/>
    </w:r>
    <w:sdt>
      <w:sdtPr>
        <w:id w:val="-11582241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A4C084E" w14:textId="7D2D247D"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A91E3F"/>
    <w:multiLevelType w:val="hybridMultilevel"/>
    <w:tmpl w:val="0F6AAE34"/>
    <w:lvl w:ilvl="0" w:tplc="AC6C39F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71657E9"/>
    <w:multiLevelType w:val="hybridMultilevel"/>
    <w:tmpl w:val="9C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6DE39E7"/>
    <w:multiLevelType w:val="hybridMultilevel"/>
    <w:tmpl w:val="A028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62175F"/>
    <w:multiLevelType w:val="hybridMultilevel"/>
    <w:tmpl w:val="9AF0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DC440FB"/>
    <w:multiLevelType w:val="hybridMultilevel"/>
    <w:tmpl w:val="87F8AD84"/>
    <w:lvl w:ilvl="0" w:tplc="6C0EF64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6359175">
    <w:abstractNumId w:val="10"/>
  </w:num>
  <w:num w:numId="2" w16cid:durableId="211505533">
    <w:abstractNumId w:val="18"/>
  </w:num>
  <w:num w:numId="3" w16cid:durableId="18437353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98250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38807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043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1821270">
    <w:abstractNumId w:val="23"/>
  </w:num>
  <w:num w:numId="8" w16cid:durableId="367142791">
    <w:abstractNumId w:val="17"/>
  </w:num>
  <w:num w:numId="9" w16cid:durableId="2045324270">
    <w:abstractNumId w:val="22"/>
  </w:num>
  <w:num w:numId="10" w16cid:durableId="10493754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7011821">
    <w:abstractNumId w:val="25"/>
  </w:num>
  <w:num w:numId="12" w16cid:durableId="19788021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086374">
    <w:abstractNumId w:val="19"/>
  </w:num>
  <w:num w:numId="14" w16cid:durableId="722435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81327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19130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59544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5379340">
    <w:abstractNumId w:val="28"/>
  </w:num>
  <w:num w:numId="19" w16cid:durableId="3150376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0965674">
    <w:abstractNumId w:val="14"/>
  </w:num>
  <w:num w:numId="21" w16cid:durableId="1801074756">
    <w:abstractNumId w:val="12"/>
  </w:num>
  <w:num w:numId="22" w16cid:durableId="1103963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1900614">
    <w:abstractNumId w:val="15"/>
  </w:num>
  <w:num w:numId="24" w16cid:durableId="1063723271">
    <w:abstractNumId w:val="30"/>
  </w:num>
  <w:num w:numId="25" w16cid:durableId="1160275264">
    <w:abstractNumId w:val="27"/>
  </w:num>
  <w:num w:numId="26" w16cid:durableId="1383945278">
    <w:abstractNumId w:val="21"/>
  </w:num>
  <w:num w:numId="27" w16cid:durableId="791021881">
    <w:abstractNumId w:val="11"/>
  </w:num>
  <w:num w:numId="28" w16cid:durableId="789713760">
    <w:abstractNumId w:val="31"/>
  </w:num>
  <w:num w:numId="29" w16cid:durableId="1301306657">
    <w:abstractNumId w:val="9"/>
  </w:num>
  <w:num w:numId="30" w16cid:durableId="1722243261">
    <w:abstractNumId w:val="7"/>
  </w:num>
  <w:num w:numId="31" w16cid:durableId="483350751">
    <w:abstractNumId w:val="6"/>
  </w:num>
  <w:num w:numId="32" w16cid:durableId="1511873466">
    <w:abstractNumId w:val="5"/>
  </w:num>
  <w:num w:numId="33" w16cid:durableId="1721322176">
    <w:abstractNumId w:val="4"/>
  </w:num>
  <w:num w:numId="34" w16cid:durableId="1476680621">
    <w:abstractNumId w:val="8"/>
  </w:num>
  <w:num w:numId="35" w16cid:durableId="1545173248">
    <w:abstractNumId w:val="3"/>
  </w:num>
  <w:num w:numId="36" w16cid:durableId="1382024580">
    <w:abstractNumId w:val="2"/>
  </w:num>
  <w:num w:numId="37" w16cid:durableId="1111587529">
    <w:abstractNumId w:val="1"/>
  </w:num>
  <w:num w:numId="38" w16cid:durableId="1791432546">
    <w:abstractNumId w:val="0"/>
  </w:num>
  <w:num w:numId="39" w16cid:durableId="1613606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3046470">
    <w:abstractNumId w:val="16"/>
  </w:num>
  <w:num w:numId="41" w16cid:durableId="1013073325">
    <w:abstractNumId w:val="29"/>
  </w:num>
  <w:num w:numId="42" w16cid:durableId="1231965817">
    <w:abstractNumId w:val="20"/>
  </w:num>
  <w:num w:numId="43" w16cid:durableId="1970668009">
    <w:abstractNumId w:val="26"/>
  </w:num>
  <w:num w:numId="44" w16cid:durableId="57783597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61"/>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1461"/>
    <w:rsid w:val="000527DD"/>
    <w:rsid w:val="000578B2"/>
    <w:rsid w:val="00060959"/>
    <w:rsid w:val="00060C8F"/>
    <w:rsid w:val="0006298A"/>
    <w:rsid w:val="000663CD"/>
    <w:rsid w:val="0006674A"/>
    <w:rsid w:val="000733FE"/>
    <w:rsid w:val="00074219"/>
    <w:rsid w:val="00074ED5"/>
    <w:rsid w:val="000802B7"/>
    <w:rsid w:val="000835C6"/>
    <w:rsid w:val="0008508E"/>
    <w:rsid w:val="00087951"/>
    <w:rsid w:val="0009113B"/>
    <w:rsid w:val="00093402"/>
    <w:rsid w:val="00094DA3"/>
    <w:rsid w:val="00096CD1"/>
    <w:rsid w:val="000A012C"/>
    <w:rsid w:val="000A0EB9"/>
    <w:rsid w:val="000A186C"/>
    <w:rsid w:val="000A1EA4"/>
    <w:rsid w:val="000A2476"/>
    <w:rsid w:val="000A4B32"/>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86DCA"/>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0D73"/>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4508"/>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5DD8"/>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2F8"/>
    <w:rsid w:val="004743DD"/>
    <w:rsid w:val="00474CEA"/>
    <w:rsid w:val="00482FD1"/>
    <w:rsid w:val="00483968"/>
    <w:rsid w:val="00484F86"/>
    <w:rsid w:val="00490746"/>
    <w:rsid w:val="00490852"/>
    <w:rsid w:val="00491C9C"/>
    <w:rsid w:val="00492F30"/>
    <w:rsid w:val="00494033"/>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E744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3FAB"/>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C15C1"/>
    <w:rsid w:val="006D0F16"/>
    <w:rsid w:val="006D2A3F"/>
    <w:rsid w:val="006D2FBC"/>
    <w:rsid w:val="006E0541"/>
    <w:rsid w:val="006E138B"/>
    <w:rsid w:val="006F0330"/>
    <w:rsid w:val="006F1FDC"/>
    <w:rsid w:val="006F6B8C"/>
    <w:rsid w:val="007013EF"/>
    <w:rsid w:val="007055BD"/>
    <w:rsid w:val="0071605D"/>
    <w:rsid w:val="007173CA"/>
    <w:rsid w:val="007216AA"/>
    <w:rsid w:val="00721AB5"/>
    <w:rsid w:val="00721CFB"/>
    <w:rsid w:val="00721DEF"/>
    <w:rsid w:val="0072251A"/>
    <w:rsid w:val="00724A43"/>
    <w:rsid w:val="007273AC"/>
    <w:rsid w:val="00731AD4"/>
    <w:rsid w:val="007346E4"/>
    <w:rsid w:val="00734FCA"/>
    <w:rsid w:val="00734FD6"/>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4B98"/>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59A5"/>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3412"/>
    <w:rsid w:val="00A24442"/>
    <w:rsid w:val="00A330BB"/>
    <w:rsid w:val="00A44882"/>
    <w:rsid w:val="00A45125"/>
    <w:rsid w:val="00A54715"/>
    <w:rsid w:val="00A6061C"/>
    <w:rsid w:val="00A62D44"/>
    <w:rsid w:val="00A65D3C"/>
    <w:rsid w:val="00A67263"/>
    <w:rsid w:val="00A6795C"/>
    <w:rsid w:val="00A7161C"/>
    <w:rsid w:val="00A77AA3"/>
    <w:rsid w:val="00A8236D"/>
    <w:rsid w:val="00A854EB"/>
    <w:rsid w:val="00A872E5"/>
    <w:rsid w:val="00A91406"/>
    <w:rsid w:val="00A96E65"/>
    <w:rsid w:val="00A97C72"/>
    <w:rsid w:val="00AA0098"/>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B7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7419"/>
    <w:rsid w:val="00E40181"/>
    <w:rsid w:val="00E421D6"/>
    <w:rsid w:val="00E5448B"/>
    <w:rsid w:val="00E54950"/>
    <w:rsid w:val="00E56A01"/>
    <w:rsid w:val="00E62622"/>
    <w:rsid w:val="00E629A1"/>
    <w:rsid w:val="00E6794C"/>
    <w:rsid w:val="00E67DEF"/>
    <w:rsid w:val="00E71591"/>
    <w:rsid w:val="00E71CEB"/>
    <w:rsid w:val="00E7474F"/>
    <w:rsid w:val="00E80DE3"/>
    <w:rsid w:val="00E82C55"/>
    <w:rsid w:val="00E8787E"/>
    <w:rsid w:val="00E92AC3"/>
    <w:rsid w:val="00E97738"/>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77F"/>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37398"/>
    <w:rsid w:val="00F40A70"/>
    <w:rsid w:val="00F43689"/>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960CDB"/>
  <w15:docId w15:val="{0ECC82CB-BBD2-4367-A4C6-927B14A0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styleId="ListParagraph">
    <w:name w:val="List Paragraph"/>
    <w:aliases w:val="List Paragraph1,List Paragraph11,L,Bulleted Para,NFP GP Bulleted List,FooterText,numbered,Paragraphe de liste1,Bulletr List Paragraph,列出段落,列出段落1,List Paragraph2,List Paragraph21,Listeafsnit1,Parágrafo da Lista1,リスト段落1,CV t,Bullet point,列"/>
    <w:basedOn w:val="Normal"/>
    <w:link w:val="ListParagraphChar"/>
    <w:uiPriority w:val="34"/>
    <w:qFormat/>
    <w:rsid w:val="0005146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1 Char,List Paragraph11 Char,L Char,Bulleted Para Char,NFP GP Bulleted List Char,FooterText Char,numbered Char,Paragraphe de liste1 Char,Bulletr List Paragraph Char,列出段落 Char,列出段落1 Char,List Paragraph2 Char,リスト段落1 Char"/>
    <w:basedOn w:val="DefaultParagraphFont"/>
    <w:link w:val="ListParagraph"/>
    <w:uiPriority w:val="34"/>
    <w:locked/>
    <w:rsid w:val="00051461"/>
    <w:rPr>
      <w:rFonts w:asciiTheme="minorHAnsi" w:eastAsiaTheme="minorHAnsi" w:hAnsiTheme="minorHAnsi" w:cstheme="minorBidi"/>
      <w:sz w:val="22"/>
      <w:szCs w:val="22"/>
      <w:lang w:eastAsia="en-US"/>
    </w:rPr>
  </w:style>
  <w:style w:type="character" w:customStyle="1" w:styleId="normaltextrun">
    <w:name w:val="normaltextrun"/>
    <w:basedOn w:val="DefaultParagraphFont"/>
    <w:rsid w:val="00E97738"/>
  </w:style>
  <w:style w:type="character" w:customStyle="1" w:styleId="eop">
    <w:name w:val="eop"/>
    <w:basedOn w:val="DefaultParagraphFont"/>
    <w:rsid w:val="00E97738"/>
  </w:style>
  <w:style w:type="character" w:customStyle="1" w:styleId="HeaderChar">
    <w:name w:val="Header Char"/>
    <w:basedOn w:val="DefaultParagraphFont"/>
    <w:link w:val="Header"/>
    <w:uiPriority w:val="99"/>
    <w:rsid w:val="00A6795C"/>
    <w:rPr>
      <w:rFonts w:ascii="Arial" w:hAnsi="Arial"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health.vic.gov.au/general-practitioners-gp-grant-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pgrantsprogram@healt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8" ma:contentTypeDescription="Create a new document." ma:contentTypeScope="" ma:versionID="aeaa465f81ad9abd8f9f185b2445fa91">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8fb657ca9c4868a748c3bf64d9e3fe42"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lcf76f155ced4ddcb4097134ff3c332f" minOccurs="0"/>
                <xsd:element ref="ns4: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b297867-a690-4848-a706-4b3b283433f1}"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0C28C80E-BD44-457C-8063-F993B651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GP grants program eligibility framework</vt:lpstr>
    </vt:vector>
  </TitlesOfParts>
  <Manager/>
  <Company/>
  <LinksUpToDate>false</LinksUpToDate>
  <CharactersWithSpaces>11114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grants program eligibility framework</dc:title>
  <dc:subject>GP grants program</dc:subject>
  <dc:creator>Victoria State Government, Department of Health</dc:creator>
  <cp:keywords/>
  <dc:description/>
  <cp:lastModifiedBy>Claire East (Health)</cp:lastModifiedBy>
  <cp:revision>6</cp:revision>
  <cp:lastPrinted>2020-03-30T03:28:00Z</cp:lastPrinted>
  <dcterms:created xsi:type="dcterms:W3CDTF">2024-05-13T06:50:00Z</dcterms:created>
  <dcterms:modified xsi:type="dcterms:W3CDTF">2024-05-27T07:12:00Z</dcterms:modified>
  <cp:category>Health, GP grants program, GP, medicine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