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09B1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F79A6F9" wp14:editId="39077B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AC2F" w14:textId="77777777" w:rsidR="00A62D44" w:rsidRPr="004C6EEE" w:rsidRDefault="00A62D44" w:rsidP="00EC40D5">
      <w:pPr>
        <w:pStyle w:val="Sectionbreakfirstpage"/>
        <w:sectPr w:rsidR="00A62D44" w:rsidRPr="004C6EEE" w:rsidSect="00AC6D83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3352ABDD" w14:textId="77777777" w:rsidTr="00F440E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3FC5B97" w14:textId="08582BF4" w:rsidR="003B5733" w:rsidRPr="003B5733" w:rsidRDefault="00710FF4" w:rsidP="003B5733">
            <w:pPr>
              <w:pStyle w:val="Documenttitle"/>
            </w:pPr>
            <w:r>
              <w:t>Comparison of Prothrombinex</w:t>
            </w:r>
            <w:r w:rsidRPr="00710FF4">
              <w:rPr>
                <w:rFonts w:cs="Arial"/>
                <w:vertAlign w:val="superscript"/>
              </w:rPr>
              <w:t>®</w:t>
            </w:r>
            <w:r>
              <w:t>-VF and Beriplex</w:t>
            </w:r>
            <w:r w:rsidRPr="00710FF4">
              <w:rPr>
                <w:rFonts w:cs="Arial"/>
                <w:vertAlign w:val="superscript"/>
              </w:rPr>
              <w:t>®</w:t>
            </w:r>
            <w:r>
              <w:t xml:space="preserve"> P/N</w:t>
            </w:r>
          </w:p>
        </w:tc>
      </w:tr>
      <w:tr w:rsidR="003B5733" w14:paraId="348891A5" w14:textId="77777777" w:rsidTr="00F440E0">
        <w:tc>
          <w:tcPr>
            <w:tcW w:w="10348" w:type="dxa"/>
          </w:tcPr>
          <w:p w14:paraId="05980871" w14:textId="0FAED8BC" w:rsidR="003B5733" w:rsidRPr="00A1389F" w:rsidRDefault="00710FF4" w:rsidP="005F44C0">
            <w:pPr>
              <w:pStyle w:val="Documentsubtitle"/>
            </w:pPr>
            <w:r>
              <w:t>Blood Matters</w:t>
            </w:r>
          </w:p>
        </w:tc>
      </w:tr>
      <w:tr w:rsidR="003B5733" w14:paraId="4D29477C" w14:textId="77777777" w:rsidTr="00F440E0">
        <w:tc>
          <w:tcPr>
            <w:tcW w:w="10348" w:type="dxa"/>
          </w:tcPr>
          <w:p w14:paraId="7648426D" w14:textId="77777777" w:rsidR="003B5733" w:rsidRPr="001E5058" w:rsidRDefault="00000000" w:rsidP="001E5058">
            <w:pPr>
              <w:pStyle w:val="Bannermarking"/>
            </w:pPr>
            <w:fldSimple w:instr=" FILLIN  &quot;Type the protective marking&quot; \d OFFICIAL \o  \* MERGEFORMAT ">
              <w:r w:rsidR="00710FF4">
                <w:t>OFFICIAL</w:t>
              </w:r>
            </w:fldSimple>
          </w:p>
        </w:tc>
      </w:tr>
    </w:tbl>
    <w:p w14:paraId="30FBC643" w14:textId="77777777" w:rsidR="00F440E0" w:rsidRDefault="00F440E0" w:rsidP="00F440E0">
      <w:pPr>
        <w:rPr>
          <w:rFonts w:cs="Arial"/>
          <w:b/>
          <w:bCs/>
          <w:sz w:val="24"/>
          <w:szCs w:val="24"/>
        </w:rPr>
      </w:pPr>
    </w:p>
    <w:p w14:paraId="1848FCFB" w14:textId="2D97BB5E" w:rsidR="00F440E0" w:rsidRPr="00A62EC1" w:rsidRDefault="00F440E0" w:rsidP="00F440E0">
      <w:pPr>
        <w:rPr>
          <w:rFonts w:cs="Arial"/>
          <w:b/>
          <w:bCs/>
          <w:sz w:val="24"/>
          <w:szCs w:val="24"/>
        </w:rPr>
      </w:pPr>
      <w:r w:rsidRPr="00A62EC1">
        <w:rPr>
          <w:rFonts w:cs="Arial"/>
          <w:b/>
          <w:bCs/>
          <w:sz w:val="24"/>
          <w:szCs w:val="24"/>
        </w:rPr>
        <w:t>Comparison of Prothrombinex</w:t>
      </w:r>
      <w:r w:rsidRPr="00A62EC1">
        <w:rPr>
          <w:rFonts w:cs="Arial"/>
          <w:b/>
          <w:bCs/>
          <w:sz w:val="24"/>
          <w:szCs w:val="24"/>
          <w:vertAlign w:val="superscript"/>
        </w:rPr>
        <w:t>®</w:t>
      </w:r>
      <w:r w:rsidRPr="00A62EC1">
        <w:rPr>
          <w:rFonts w:cs="Arial"/>
          <w:b/>
          <w:bCs/>
          <w:sz w:val="24"/>
          <w:szCs w:val="24"/>
        </w:rPr>
        <w:t>-VF, Beriplex</w:t>
      </w:r>
      <w:r w:rsidRPr="00A62EC1">
        <w:rPr>
          <w:rFonts w:cs="Arial"/>
          <w:b/>
          <w:bCs/>
          <w:sz w:val="24"/>
          <w:szCs w:val="24"/>
          <w:vertAlign w:val="superscript"/>
        </w:rPr>
        <w:t>®</w:t>
      </w:r>
      <w:r w:rsidRPr="00A62EC1">
        <w:rPr>
          <w:rFonts w:cs="Arial"/>
          <w:b/>
          <w:bCs/>
          <w:sz w:val="24"/>
          <w:szCs w:val="24"/>
        </w:rPr>
        <w:t xml:space="preserve"> P/N </w:t>
      </w:r>
    </w:p>
    <w:p w14:paraId="431DE9C6" w14:textId="77777777" w:rsidR="00F440E0" w:rsidRPr="00A62EC1" w:rsidRDefault="00F440E0" w:rsidP="00F440E0">
      <w:pPr>
        <w:rPr>
          <w:rFonts w:cs="Arial"/>
          <w:sz w:val="20"/>
          <w:szCs w:val="18"/>
        </w:rPr>
      </w:pPr>
      <w:r w:rsidRPr="00A62EC1">
        <w:rPr>
          <w:rFonts w:cs="Arial"/>
          <w:sz w:val="20"/>
          <w:szCs w:val="18"/>
        </w:rPr>
        <w:t>Both products are sterile freeze-dried powders - prothrombin complex concentrates (PCC) of purified human coagulation factors.</w:t>
      </w:r>
    </w:p>
    <w:p w14:paraId="6D9E316F" w14:textId="77777777" w:rsidR="00F440E0" w:rsidRPr="00A62EC1" w:rsidRDefault="00F440E0" w:rsidP="00F440E0">
      <w:pPr>
        <w:rPr>
          <w:rFonts w:cs="Arial"/>
          <w:sz w:val="20"/>
          <w:szCs w:val="18"/>
        </w:rPr>
      </w:pPr>
      <w:r w:rsidRPr="00A62EC1">
        <w:rPr>
          <w:rFonts w:cs="Arial"/>
          <w:sz w:val="20"/>
          <w:szCs w:val="18"/>
        </w:rPr>
        <w:t>This is not complete information on these products.</w:t>
      </w:r>
    </w:p>
    <w:p w14:paraId="68DB6DBA" w14:textId="4CB08C6E" w:rsidR="00F440E0" w:rsidRPr="00A62EC1" w:rsidRDefault="00F440E0" w:rsidP="00F440E0">
      <w:pPr>
        <w:rPr>
          <w:rFonts w:cs="Arial"/>
          <w:sz w:val="20"/>
          <w:szCs w:val="18"/>
        </w:rPr>
      </w:pPr>
      <w:r w:rsidRPr="00A62EC1">
        <w:rPr>
          <w:rFonts w:cs="Arial"/>
          <w:sz w:val="20"/>
          <w:szCs w:val="18"/>
        </w:rPr>
        <w:t xml:space="preserve">Please use the product information contained with the product, or on </w:t>
      </w:r>
      <w:hyperlink r:id="rId15" w:history="1">
        <w:r w:rsidRPr="00A62EC1">
          <w:rPr>
            <w:rStyle w:val="Hyperlink"/>
            <w:rFonts w:eastAsia="MS Gothic"/>
            <w:sz w:val="20"/>
            <w:szCs w:val="18"/>
          </w:rPr>
          <w:t>CSL Behring website</w:t>
        </w:r>
      </w:hyperlink>
      <w:r w:rsidR="00944F03">
        <w:rPr>
          <w:rStyle w:val="Hyperlink"/>
          <w:rFonts w:eastAsia="MS Gothic"/>
          <w:sz w:val="20"/>
          <w:szCs w:val="18"/>
        </w:rPr>
        <w:t xml:space="preserve"> &lt;</w:t>
      </w:r>
      <w:r w:rsidR="00944F03" w:rsidRPr="00944F03">
        <w:rPr>
          <w:rStyle w:val="Hyperlink"/>
          <w:rFonts w:eastAsia="MS Gothic"/>
          <w:sz w:val="20"/>
          <w:szCs w:val="18"/>
        </w:rPr>
        <w:t>https://www.cslbehring.com.au/products/products-list</w:t>
      </w:r>
      <w:r w:rsidR="00944F03">
        <w:rPr>
          <w:rStyle w:val="Hyperlink"/>
          <w:rFonts w:eastAsia="MS Gothic"/>
          <w:sz w:val="20"/>
          <w:szCs w:val="18"/>
        </w:rPr>
        <w:t>&gt;</w:t>
      </w:r>
      <w:r w:rsidRPr="00A62EC1">
        <w:rPr>
          <w:rFonts w:cs="Arial"/>
          <w:sz w:val="20"/>
          <w:szCs w:val="18"/>
        </w:rPr>
        <w:t>, or in MIMS.</w:t>
      </w:r>
    </w:p>
    <w:p w14:paraId="277B0010" w14:textId="29C3D0B1" w:rsidR="00710FF4" w:rsidRDefault="00F440E0" w:rsidP="00F440E0">
      <w:pPr>
        <w:pStyle w:val="Body"/>
      </w:pPr>
      <w:r w:rsidRPr="00A62EC1">
        <w:rPr>
          <w:rFonts w:cs="Arial"/>
          <w:b/>
          <w:bCs/>
          <w:sz w:val="20"/>
          <w:szCs w:val="18"/>
        </w:rPr>
        <w:t xml:space="preserve">NOTE: </w:t>
      </w:r>
      <w:r w:rsidRPr="00A62EC1">
        <w:rPr>
          <w:rFonts w:cs="Arial"/>
          <w:sz w:val="20"/>
          <w:szCs w:val="18"/>
        </w:rPr>
        <w:t xml:space="preserve">Further information on Beriplex® AU will be available closer to its implementation date, anticipated to be late 2024 or early 2025. </w:t>
      </w:r>
      <w:r w:rsidR="005811B7">
        <w:rPr>
          <w:rFonts w:cs="Arial"/>
          <w:sz w:val="20"/>
          <w:szCs w:val="18"/>
        </w:rPr>
        <w:t>Please refer</w:t>
      </w:r>
      <w:r w:rsidRPr="00A62EC1">
        <w:rPr>
          <w:rFonts w:cs="Arial"/>
          <w:sz w:val="20"/>
          <w:szCs w:val="18"/>
        </w:rPr>
        <w:t xml:space="preserve"> to the </w:t>
      </w:r>
      <w:hyperlink r:id="rId16" w:history="1">
        <w:r w:rsidR="00543B02" w:rsidRPr="00AF5931">
          <w:rPr>
            <w:rStyle w:val="Hyperlink"/>
            <w:rFonts w:cs="Arial"/>
            <w:sz w:val="20"/>
            <w:szCs w:val="18"/>
          </w:rPr>
          <w:t>National Blood Authority website &lt;https://www.blood.gov.au&gt;.</w:t>
        </w:r>
      </w:hyperlink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916"/>
        <w:gridCol w:w="4033"/>
        <w:gridCol w:w="4252"/>
      </w:tblGrid>
      <w:tr w:rsidR="00710FF4" w:rsidRPr="00946989" w14:paraId="7FE55843" w14:textId="77777777" w:rsidTr="00767F15">
        <w:trPr>
          <w:tblHeader/>
        </w:trPr>
        <w:tc>
          <w:tcPr>
            <w:tcW w:w="1916" w:type="dxa"/>
          </w:tcPr>
          <w:p w14:paraId="4676A1DA" w14:textId="40B7E85D" w:rsidR="00710FF4" w:rsidRPr="00944F03" w:rsidRDefault="00710FF4" w:rsidP="00710FF4">
            <w:pPr>
              <w:rPr>
                <w:rFonts w:cs="Arial"/>
                <w:b/>
                <w:bCs/>
                <w:szCs w:val="21"/>
              </w:rPr>
            </w:pPr>
            <w:r w:rsidRPr="00944F03">
              <w:rPr>
                <w:rFonts w:cs="Arial"/>
                <w:b/>
                <w:bCs/>
                <w:szCs w:val="21"/>
              </w:rPr>
              <w:t xml:space="preserve">Product </w:t>
            </w:r>
          </w:p>
        </w:tc>
        <w:tc>
          <w:tcPr>
            <w:tcW w:w="4033" w:type="dxa"/>
          </w:tcPr>
          <w:p w14:paraId="502BF42C" w14:textId="77777777" w:rsidR="00710FF4" w:rsidRPr="00A62EC1" w:rsidRDefault="00710FF4" w:rsidP="00710FF4">
            <w:pPr>
              <w:rPr>
                <w:rFonts w:cs="Arial"/>
                <w:b/>
                <w:bCs/>
                <w:szCs w:val="21"/>
              </w:rPr>
            </w:pPr>
            <w:r w:rsidRPr="00A62EC1">
              <w:rPr>
                <w:rFonts w:cs="Arial"/>
                <w:b/>
                <w:bCs/>
                <w:szCs w:val="21"/>
              </w:rPr>
              <w:t>Prothrombinex</w:t>
            </w:r>
            <w:r w:rsidRPr="00A62EC1">
              <w:rPr>
                <w:rFonts w:cs="Arial"/>
                <w:b/>
                <w:bCs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b/>
                <w:bCs/>
                <w:szCs w:val="21"/>
              </w:rPr>
              <w:t>-VF</w:t>
            </w:r>
          </w:p>
        </w:tc>
        <w:tc>
          <w:tcPr>
            <w:tcW w:w="4252" w:type="dxa"/>
          </w:tcPr>
          <w:p w14:paraId="41431CDE" w14:textId="77777777" w:rsidR="00710FF4" w:rsidRPr="00A62EC1" w:rsidRDefault="00710FF4" w:rsidP="00710FF4">
            <w:pPr>
              <w:rPr>
                <w:rFonts w:cs="Arial"/>
                <w:b/>
                <w:bCs/>
                <w:szCs w:val="21"/>
              </w:rPr>
            </w:pPr>
            <w:r w:rsidRPr="00A62EC1">
              <w:rPr>
                <w:rFonts w:cs="Arial"/>
                <w:b/>
                <w:bCs/>
                <w:szCs w:val="21"/>
              </w:rPr>
              <w:t>Beriplex</w:t>
            </w:r>
            <w:r w:rsidRPr="00A62EC1">
              <w:rPr>
                <w:rFonts w:cs="Arial"/>
                <w:b/>
                <w:bCs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b/>
                <w:bCs/>
                <w:szCs w:val="21"/>
              </w:rPr>
              <w:t xml:space="preserve"> P/N</w:t>
            </w:r>
          </w:p>
        </w:tc>
      </w:tr>
      <w:tr w:rsidR="00710FF4" w:rsidRPr="005A35CC" w14:paraId="71026196" w14:textId="77777777" w:rsidTr="00767F15">
        <w:trPr>
          <w:tblHeader/>
        </w:trPr>
        <w:tc>
          <w:tcPr>
            <w:tcW w:w="1916" w:type="dxa"/>
          </w:tcPr>
          <w:p w14:paraId="1C77F3C9" w14:textId="77777777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Composition </w:t>
            </w:r>
          </w:p>
        </w:tc>
        <w:tc>
          <w:tcPr>
            <w:tcW w:w="4033" w:type="dxa"/>
          </w:tcPr>
          <w:p w14:paraId="40D019CC" w14:textId="77777777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Prothrombinex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>-VF is a three-factor PCC.</w:t>
            </w:r>
          </w:p>
          <w:p w14:paraId="0A7A6E4B" w14:textId="46661C1F" w:rsidR="00710FF4" w:rsidRPr="00A62EC1" w:rsidRDefault="00710FF4" w:rsidP="008876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contains </w:t>
            </w:r>
            <w:r w:rsidR="00E46B69" w:rsidRPr="00A62EC1">
              <w:rPr>
                <w:rFonts w:ascii="Arial" w:hAnsi="Arial" w:cs="Arial"/>
                <w:sz w:val="21"/>
                <w:szCs w:val="21"/>
              </w:rPr>
              <w:t xml:space="preserve">human coagulation </w:t>
            </w:r>
            <w:r w:rsidRPr="00A62EC1">
              <w:rPr>
                <w:rFonts w:ascii="Arial" w:hAnsi="Arial" w:cs="Arial"/>
                <w:sz w:val="21"/>
                <w:szCs w:val="21"/>
              </w:rPr>
              <w:t>factors II, IX and X and low levels of factors V and VII.</w:t>
            </w:r>
          </w:p>
          <w:p w14:paraId="15E5FC27" w14:textId="77777777" w:rsidR="00710FF4" w:rsidRPr="00A62EC1" w:rsidRDefault="00710FF4" w:rsidP="008876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Manufactured from human plasma collected by Australian Red Cross Lifeblood.</w:t>
            </w:r>
          </w:p>
        </w:tc>
        <w:tc>
          <w:tcPr>
            <w:tcW w:w="4252" w:type="dxa"/>
          </w:tcPr>
          <w:p w14:paraId="330733E5" w14:textId="18DFE121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B</w:t>
            </w:r>
            <w:r w:rsidR="00DA30A4">
              <w:rPr>
                <w:rFonts w:cs="Arial"/>
                <w:szCs w:val="21"/>
              </w:rPr>
              <w:t>eriplex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 P/N is a four-factor PCC</w:t>
            </w:r>
            <w:r w:rsidR="001A6E6A" w:rsidRPr="00A62EC1">
              <w:rPr>
                <w:rFonts w:cs="Arial"/>
                <w:szCs w:val="21"/>
              </w:rPr>
              <w:t>.</w:t>
            </w:r>
            <w:r w:rsidRPr="00A62EC1">
              <w:rPr>
                <w:rFonts w:cs="Arial"/>
                <w:szCs w:val="21"/>
              </w:rPr>
              <w:t xml:space="preserve"> </w:t>
            </w:r>
          </w:p>
          <w:p w14:paraId="365E95DC" w14:textId="35D04F9D" w:rsidR="00710FF4" w:rsidRPr="00A62EC1" w:rsidRDefault="00710FF4" w:rsidP="008876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9" w:hanging="284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contains human coagulation factors II, VII, IX, and X</w:t>
            </w:r>
            <w:r w:rsidR="001C1645" w:rsidRPr="00A62EC1">
              <w:rPr>
                <w:rFonts w:ascii="Arial" w:hAnsi="Arial" w:cs="Arial"/>
                <w:sz w:val="21"/>
                <w:szCs w:val="21"/>
              </w:rPr>
              <w:t>, prot</w:t>
            </w:r>
            <w:r w:rsidR="001C0DA2" w:rsidRPr="00A62EC1">
              <w:rPr>
                <w:rFonts w:ascii="Arial" w:hAnsi="Arial" w:cs="Arial"/>
                <w:sz w:val="21"/>
                <w:szCs w:val="21"/>
              </w:rPr>
              <w:t>ein</w:t>
            </w:r>
            <w:r w:rsidR="001C1645" w:rsidRPr="00A62EC1">
              <w:rPr>
                <w:rFonts w:ascii="Arial" w:hAnsi="Arial" w:cs="Arial"/>
                <w:sz w:val="21"/>
                <w:szCs w:val="21"/>
              </w:rPr>
              <w:t xml:space="preserve"> S and prot</w:t>
            </w:r>
            <w:r w:rsidR="001C0DA2" w:rsidRPr="00A62EC1">
              <w:rPr>
                <w:rFonts w:ascii="Arial" w:hAnsi="Arial" w:cs="Arial"/>
                <w:sz w:val="21"/>
                <w:szCs w:val="21"/>
              </w:rPr>
              <w:t>ein</w:t>
            </w:r>
            <w:r w:rsidR="001C1645" w:rsidRPr="00A62EC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C4425" w:rsidRPr="00A62EC1">
              <w:rPr>
                <w:rFonts w:ascii="Arial" w:hAnsi="Arial" w:cs="Arial"/>
                <w:sz w:val="21"/>
                <w:szCs w:val="21"/>
              </w:rPr>
              <w:t>C.</w:t>
            </w:r>
            <w:r w:rsidRPr="00A62EC1">
              <w:rPr>
                <w:rFonts w:ascii="Arial" w:hAnsi="Arial" w:cs="Arial"/>
                <w:sz w:val="21"/>
                <w:szCs w:val="21"/>
              </w:rPr>
              <w:t> </w:t>
            </w:r>
          </w:p>
          <w:p w14:paraId="3B55819D" w14:textId="77777777" w:rsidR="00710FF4" w:rsidRPr="00A62EC1" w:rsidRDefault="00710FF4" w:rsidP="008876A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9" w:hanging="284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Manufactured from overseas sourced human plasma.</w:t>
            </w:r>
          </w:p>
          <w:p w14:paraId="65A7DF34" w14:textId="26D1744A" w:rsidR="00401073" w:rsidRPr="00A62EC1" w:rsidRDefault="00401073" w:rsidP="00BD20A1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Beriplex</w:t>
            </w:r>
            <w:r w:rsidRPr="00A62EC1">
              <w:rPr>
                <w:rFonts w:ascii="Arial" w:hAnsi="Arial" w:cs="Arial"/>
                <w:sz w:val="21"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 P/N contains up to 343 mg sodium (approximately 15 mmol) per 100 mL.</w:t>
            </w:r>
          </w:p>
        </w:tc>
      </w:tr>
      <w:tr w:rsidR="00710FF4" w:rsidRPr="006B5371" w14:paraId="40B04DA2" w14:textId="77777777" w:rsidTr="00767F15">
        <w:trPr>
          <w:trHeight w:val="545"/>
          <w:tblHeader/>
        </w:trPr>
        <w:tc>
          <w:tcPr>
            <w:tcW w:w="1916" w:type="dxa"/>
          </w:tcPr>
          <w:p w14:paraId="0366B0F4" w14:textId="77777777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Active ingredient</w:t>
            </w:r>
          </w:p>
        </w:tc>
        <w:tc>
          <w:tcPr>
            <w:tcW w:w="4033" w:type="dxa"/>
          </w:tcPr>
          <w:p w14:paraId="159F450E" w14:textId="12C49DE2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Factors II, IX and X </w:t>
            </w:r>
          </w:p>
        </w:tc>
        <w:tc>
          <w:tcPr>
            <w:tcW w:w="4252" w:type="dxa"/>
          </w:tcPr>
          <w:p w14:paraId="2BDA19B8" w14:textId="1138418D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Factors II, VII, IX, and X. </w:t>
            </w:r>
          </w:p>
        </w:tc>
      </w:tr>
      <w:tr w:rsidR="00710FF4" w14:paraId="203444B8" w14:textId="77777777" w:rsidTr="00767F15">
        <w:trPr>
          <w:tblHeader/>
        </w:trPr>
        <w:tc>
          <w:tcPr>
            <w:tcW w:w="1916" w:type="dxa"/>
          </w:tcPr>
          <w:p w14:paraId="469F2215" w14:textId="77777777" w:rsidR="00710FF4" w:rsidRPr="00A62EC1" w:rsidRDefault="00710FF4" w:rsidP="00710FF4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Indications</w:t>
            </w:r>
          </w:p>
        </w:tc>
        <w:tc>
          <w:tcPr>
            <w:tcW w:w="4033" w:type="dxa"/>
          </w:tcPr>
          <w:p w14:paraId="61EB5E7D" w14:textId="77777777" w:rsidR="00710FF4" w:rsidRPr="00A62EC1" w:rsidRDefault="00710FF4" w:rsidP="008876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86" w:hanging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Treatment and perioperative prophylaxis of bleeding in acquired deficiency of prothrombin complex factors, such as:</w:t>
            </w:r>
          </w:p>
          <w:p w14:paraId="1D94B99A" w14:textId="78F15251" w:rsidR="00710FF4" w:rsidRPr="00A62EC1" w:rsidRDefault="00710FF4" w:rsidP="008876A2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811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deficiency caused by treatment with vitamin K antagonists, </w:t>
            </w:r>
            <w:r w:rsidR="004056C8" w:rsidRPr="00A62EC1">
              <w:rPr>
                <w:rFonts w:ascii="Arial" w:hAnsi="Arial" w:cs="Arial"/>
                <w:sz w:val="21"/>
                <w:szCs w:val="21"/>
              </w:rPr>
              <w:t xml:space="preserve">or in case of overdose of vitamin K antagonists, where rapid correction of the deficiency is required. </w:t>
            </w:r>
          </w:p>
          <w:p w14:paraId="588CB887" w14:textId="77777777" w:rsidR="00710FF4" w:rsidRPr="00A62EC1" w:rsidRDefault="00710FF4" w:rsidP="00BD20A1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85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Treatment and prophylaxis of bleeding in patients with single or multiple congenital deficiency of factor IX, II or X when purified specific coagulation factor product is not available.</w:t>
            </w:r>
          </w:p>
        </w:tc>
        <w:tc>
          <w:tcPr>
            <w:tcW w:w="4252" w:type="dxa"/>
          </w:tcPr>
          <w:p w14:paraId="298FFF77" w14:textId="33D6D025" w:rsidR="00710FF4" w:rsidRPr="00A62EC1" w:rsidRDefault="00710FF4" w:rsidP="008876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9" w:hanging="2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Treatment and perioperative prophylaxis of bleeding in acquired deficiency of prothrombin complex coagulation factors, such as: </w:t>
            </w:r>
          </w:p>
          <w:p w14:paraId="14484BB4" w14:textId="581EB0F4" w:rsidR="00710FF4" w:rsidRPr="00A62EC1" w:rsidRDefault="00710FF4" w:rsidP="008876A2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744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deficiency caused by treatment with vitamin K antagonists, </w:t>
            </w:r>
            <w:r w:rsidR="004056C8" w:rsidRPr="00A62EC1">
              <w:rPr>
                <w:rFonts w:ascii="Arial" w:hAnsi="Arial" w:cs="Arial"/>
                <w:sz w:val="21"/>
                <w:szCs w:val="21"/>
              </w:rPr>
              <w:t xml:space="preserve">or in case of overdose of vitamin K antagonists, where rapid correction of the deficiency is required. </w:t>
            </w:r>
          </w:p>
          <w:p w14:paraId="348CF934" w14:textId="41FA3A23" w:rsidR="006311F0" w:rsidRPr="00A62EC1" w:rsidRDefault="00E1715B" w:rsidP="00A647EF">
            <w:pPr>
              <w:spacing w:after="0" w:line="240" w:lineRule="auto"/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Use is generally restricted to circumstances where</w:t>
            </w:r>
            <w:r w:rsidR="00B01FE7" w:rsidRPr="00A62EC1">
              <w:rPr>
                <w:szCs w:val="21"/>
              </w:rPr>
              <w:t xml:space="preserve"> rapid correction of the prothrombin complex levels is necessary, such as</w:t>
            </w:r>
            <w:r w:rsidRPr="00A62EC1">
              <w:rPr>
                <w:szCs w:val="21"/>
              </w:rPr>
              <w:t xml:space="preserve"> in</w:t>
            </w:r>
            <w:r w:rsidR="00B01FE7" w:rsidRPr="00A62EC1">
              <w:rPr>
                <w:szCs w:val="21"/>
              </w:rPr>
              <w:t xml:space="preserve"> major bleeding or </w:t>
            </w:r>
            <w:r w:rsidRPr="00A62EC1">
              <w:rPr>
                <w:szCs w:val="21"/>
              </w:rPr>
              <w:t>urgent surgical care</w:t>
            </w:r>
            <w:r w:rsidR="00B01FE7" w:rsidRPr="00A62EC1">
              <w:rPr>
                <w:szCs w:val="21"/>
              </w:rPr>
              <w:t>.</w:t>
            </w:r>
          </w:p>
        </w:tc>
      </w:tr>
    </w:tbl>
    <w:p w14:paraId="587E3A37" w14:textId="77777777" w:rsidR="00BD20A1" w:rsidRDefault="00BD20A1">
      <w:r>
        <w:br w:type="page"/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4252"/>
      </w:tblGrid>
      <w:tr w:rsidR="003171CE" w14:paraId="51F4E77C" w14:textId="77777777" w:rsidTr="00767F15">
        <w:trPr>
          <w:tblHeader/>
        </w:trPr>
        <w:tc>
          <w:tcPr>
            <w:tcW w:w="2122" w:type="dxa"/>
          </w:tcPr>
          <w:p w14:paraId="3FBCF668" w14:textId="5607B3BA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lastRenderedPageBreak/>
              <w:t xml:space="preserve">Product </w:t>
            </w:r>
          </w:p>
        </w:tc>
        <w:tc>
          <w:tcPr>
            <w:tcW w:w="3827" w:type="dxa"/>
          </w:tcPr>
          <w:p w14:paraId="4F45DB7B" w14:textId="0086D23F" w:rsidR="003171CE" w:rsidRPr="003171CE" w:rsidRDefault="003171CE" w:rsidP="003171CE">
            <w:pPr>
              <w:spacing w:after="0" w:line="240" w:lineRule="auto"/>
              <w:ind w:left="26"/>
              <w:rPr>
                <w:rFonts w:cs="Arial"/>
                <w:szCs w:val="21"/>
              </w:rPr>
            </w:pPr>
            <w:proofErr w:type="spellStart"/>
            <w:r w:rsidRPr="003171CE">
              <w:rPr>
                <w:rFonts w:cs="Arial"/>
                <w:b/>
                <w:bCs/>
                <w:szCs w:val="21"/>
              </w:rPr>
              <w:t>Prothrombinex</w:t>
            </w:r>
            <w:proofErr w:type="spellEnd"/>
            <w:r w:rsidRPr="003171CE">
              <w:rPr>
                <w:rFonts w:cs="Arial"/>
                <w:b/>
                <w:bCs/>
                <w:szCs w:val="21"/>
                <w:vertAlign w:val="superscript"/>
              </w:rPr>
              <w:t>®</w:t>
            </w:r>
            <w:r w:rsidRPr="003171CE">
              <w:rPr>
                <w:rFonts w:cs="Arial"/>
                <w:b/>
                <w:bCs/>
                <w:szCs w:val="21"/>
              </w:rPr>
              <w:t>-VF</w:t>
            </w:r>
          </w:p>
        </w:tc>
        <w:tc>
          <w:tcPr>
            <w:tcW w:w="4252" w:type="dxa"/>
          </w:tcPr>
          <w:p w14:paraId="4601E682" w14:textId="4F3C6F09" w:rsidR="003171CE" w:rsidRPr="003171CE" w:rsidRDefault="003171CE" w:rsidP="003171CE">
            <w:pPr>
              <w:spacing w:after="0" w:line="240" w:lineRule="auto"/>
              <w:ind w:left="-41"/>
              <w:rPr>
                <w:rFonts w:cs="Arial"/>
                <w:szCs w:val="21"/>
              </w:rPr>
            </w:pPr>
            <w:proofErr w:type="spellStart"/>
            <w:r w:rsidRPr="003171CE">
              <w:rPr>
                <w:rFonts w:cs="Arial"/>
                <w:b/>
                <w:bCs/>
                <w:szCs w:val="21"/>
              </w:rPr>
              <w:t>Beriplex</w:t>
            </w:r>
            <w:proofErr w:type="spellEnd"/>
            <w:r w:rsidRPr="003171CE">
              <w:rPr>
                <w:rFonts w:cs="Arial"/>
                <w:b/>
                <w:bCs/>
                <w:szCs w:val="21"/>
                <w:vertAlign w:val="superscript"/>
              </w:rPr>
              <w:t>®</w:t>
            </w:r>
            <w:r w:rsidRPr="003171CE">
              <w:rPr>
                <w:rFonts w:cs="Arial"/>
                <w:b/>
                <w:bCs/>
                <w:szCs w:val="21"/>
              </w:rPr>
              <w:t xml:space="preserve"> P/N</w:t>
            </w:r>
          </w:p>
        </w:tc>
      </w:tr>
      <w:tr w:rsidR="003171CE" w14:paraId="4BAC54D7" w14:textId="77777777" w:rsidTr="00767F15">
        <w:tc>
          <w:tcPr>
            <w:tcW w:w="2122" w:type="dxa"/>
          </w:tcPr>
          <w:p w14:paraId="103D0B08" w14:textId="2FFEAEA2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Dosage</w:t>
            </w:r>
          </w:p>
        </w:tc>
        <w:tc>
          <w:tcPr>
            <w:tcW w:w="3827" w:type="dxa"/>
          </w:tcPr>
          <w:p w14:paraId="10DCF0A0" w14:textId="77777777" w:rsidR="003171CE" w:rsidRPr="00A62EC1" w:rsidRDefault="003171CE" w:rsidP="003171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It is recommended that specialist guidelines are referred to when administering </w:t>
            </w:r>
            <w:proofErr w:type="spellStart"/>
            <w:r w:rsidRPr="00A62EC1">
              <w:rPr>
                <w:rFonts w:ascii="Arial" w:hAnsi="Arial" w:cs="Arial"/>
                <w:sz w:val="21"/>
                <w:szCs w:val="21"/>
              </w:rPr>
              <w:t>Prothrombinex</w:t>
            </w:r>
            <w:proofErr w:type="spellEnd"/>
            <w:r w:rsidRPr="00A62EC1">
              <w:rPr>
                <w:rFonts w:ascii="Arial" w:hAnsi="Arial" w:cs="Arial"/>
                <w:sz w:val="21"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>-VF.</w:t>
            </w:r>
          </w:p>
          <w:p w14:paraId="0707DEE1" w14:textId="77777777" w:rsidR="003171CE" w:rsidRPr="00A62EC1" w:rsidRDefault="00000000" w:rsidP="003171CE">
            <w:pPr>
              <w:ind w:left="386"/>
              <w:rPr>
                <w:rFonts w:cs="Arial"/>
                <w:szCs w:val="21"/>
              </w:rPr>
            </w:pPr>
            <w:hyperlink r:id="rId17" w:history="1">
              <w:r w:rsidR="003171CE" w:rsidRPr="00A62EC1">
                <w:rPr>
                  <w:rStyle w:val="Hyperlink"/>
                  <w:rFonts w:eastAsia="MS Gothic"/>
                  <w:szCs w:val="21"/>
                </w:rPr>
                <w:t>Warfarin reversal guidelines</w:t>
              </w:r>
            </w:hyperlink>
            <w:r w:rsidR="003171CE" w:rsidRPr="00A62EC1">
              <w:rPr>
                <w:rFonts w:cs="Arial"/>
                <w:szCs w:val="21"/>
              </w:rPr>
              <w:t>.</w:t>
            </w:r>
          </w:p>
        </w:tc>
        <w:tc>
          <w:tcPr>
            <w:tcW w:w="4252" w:type="dxa"/>
          </w:tcPr>
          <w:p w14:paraId="690D7710" w14:textId="55561A49" w:rsidR="003171CE" w:rsidRPr="00A62EC1" w:rsidRDefault="003171CE" w:rsidP="003171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General dosage guidelines are </w:t>
            </w:r>
            <w:r w:rsidR="002C4425">
              <w:rPr>
                <w:rFonts w:ascii="Arial" w:hAnsi="Arial" w:cs="Arial"/>
                <w:sz w:val="21"/>
                <w:szCs w:val="21"/>
              </w:rPr>
              <w:t>p</w:t>
            </w:r>
            <w:r w:rsidR="002C4425">
              <w:rPr>
                <w:sz w:val="21"/>
                <w:szCs w:val="21"/>
              </w:rPr>
              <w:t>rovided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 below</w:t>
            </w:r>
            <w:r w:rsidR="002C4425" w:rsidRPr="00A62EC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It is recommended that specialist guidelines are referred to when administering </w:t>
            </w:r>
            <w:proofErr w:type="spellStart"/>
            <w:r w:rsidRPr="00A62EC1">
              <w:rPr>
                <w:rFonts w:ascii="Arial" w:hAnsi="Arial" w:cs="Arial"/>
                <w:sz w:val="21"/>
                <w:szCs w:val="21"/>
              </w:rPr>
              <w:t>Beriplex</w:t>
            </w:r>
            <w:proofErr w:type="spellEnd"/>
            <w:r w:rsidRPr="00A62EC1">
              <w:rPr>
                <w:rFonts w:cs="Arial"/>
                <w:b/>
                <w:bCs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 P</w:t>
            </w:r>
            <w:r>
              <w:rPr>
                <w:rFonts w:ascii="Arial" w:hAnsi="Arial" w:cs="Arial"/>
                <w:sz w:val="21"/>
                <w:szCs w:val="21"/>
              </w:rPr>
              <w:t>/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N. </w:t>
            </w:r>
          </w:p>
          <w:p w14:paraId="53FE0C6B" w14:textId="2DD54038" w:rsidR="003171CE" w:rsidRPr="00A62EC1" w:rsidRDefault="003171CE" w:rsidP="003171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Treatment should be initiated under the supervision of a physician experienced in the treatment of coagulation disorders.</w:t>
            </w:r>
          </w:p>
          <w:p w14:paraId="542F44EE" w14:textId="77777777" w:rsidR="003171CE" w:rsidRPr="00A62EC1" w:rsidRDefault="003171CE" w:rsidP="003171C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The dosage and duration of the substitution therapy depend on the severity of the disorder, on the location and extent of bleeding and on the patient’s clinical condition.</w:t>
            </w:r>
          </w:p>
          <w:p w14:paraId="7549E4D8" w14:textId="633B3E88" w:rsidR="003171CE" w:rsidRPr="00A62EC1" w:rsidRDefault="003171CE" w:rsidP="003171C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Dosing depends on pretreatment INR (which should be taken as close as possible to administration)</w:t>
            </w:r>
            <w:r w:rsidR="002C4425" w:rsidRPr="00A62EC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A62EC1">
              <w:rPr>
                <w:rFonts w:ascii="Arial" w:hAnsi="Arial" w:cs="Arial"/>
                <w:sz w:val="21"/>
                <w:szCs w:val="21"/>
              </w:rPr>
              <w:t>Precise monitoring of the substitution therapy by means of coagulation assays is essential.</w:t>
            </w:r>
          </w:p>
          <w:p w14:paraId="68D77CB2" w14:textId="444DBC9E" w:rsidR="003171CE" w:rsidRPr="00A62EC1" w:rsidRDefault="003171CE" w:rsidP="003171C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Dose is based on body weight up to but not exceeding 100 kg. For patients weighing more than 100 kg see PI for maximum dose dependant on initial INR. </w:t>
            </w:r>
          </w:p>
          <w:p w14:paraId="2DD7A5FC" w14:textId="14AFC86C" w:rsidR="003171CE" w:rsidRPr="00A62EC1" w:rsidRDefault="003171CE" w:rsidP="003171C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Consider simultaneous administration of Vitamin K in patients receiving </w:t>
            </w:r>
            <w:proofErr w:type="spellStart"/>
            <w:r w:rsidRPr="00A62EC1">
              <w:rPr>
                <w:rFonts w:ascii="Arial" w:hAnsi="Arial" w:cs="Arial"/>
                <w:sz w:val="21"/>
                <w:szCs w:val="21"/>
              </w:rPr>
              <w:t>Beriplex</w:t>
            </w:r>
            <w:proofErr w:type="spellEnd"/>
            <w:r w:rsidRPr="00A62EC1">
              <w:rPr>
                <w:rFonts w:ascii="Arial" w:hAnsi="Arial" w:cs="Arial"/>
                <w:sz w:val="21"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 P/N for urgent reversal of vitamin K antagonists. </w:t>
            </w:r>
          </w:p>
          <w:p w14:paraId="44EF047E" w14:textId="77777777" w:rsidR="003171CE" w:rsidRPr="00A62EC1" w:rsidRDefault="003171CE" w:rsidP="003171C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Repeat dosing for reversal of Vitamin K antagonists is not recommended.</w:t>
            </w:r>
          </w:p>
          <w:p w14:paraId="45078EE9" w14:textId="3A7CAA41" w:rsidR="003171CE" w:rsidRPr="00A62EC1" w:rsidRDefault="003171CE" w:rsidP="00543B02">
            <w:pPr>
              <w:pStyle w:val="ListParagraph"/>
              <w:numPr>
                <w:ilvl w:val="0"/>
                <w:numId w:val="17"/>
              </w:numPr>
              <w:spacing w:after="120" w:line="240" w:lineRule="auto"/>
              <w:ind w:left="-76" w:hanging="1669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The correction of the vitamin K antagonist-induced impairment of haemostasis is commonly reached approximately 30 minutes after the injection.</w:t>
            </w:r>
          </w:p>
        </w:tc>
      </w:tr>
      <w:tr w:rsidR="003171CE" w14:paraId="7F717325" w14:textId="77777777" w:rsidTr="00767F15">
        <w:tc>
          <w:tcPr>
            <w:tcW w:w="2122" w:type="dxa"/>
          </w:tcPr>
          <w:p w14:paraId="2D3F8CF4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Administration</w:t>
            </w:r>
          </w:p>
        </w:tc>
        <w:tc>
          <w:tcPr>
            <w:tcW w:w="3827" w:type="dxa"/>
          </w:tcPr>
          <w:p w14:paraId="7A0F461A" w14:textId="77777777" w:rsidR="003171CE" w:rsidRPr="00A62EC1" w:rsidRDefault="003171CE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Give the dose slowly (approximately 3 mL per minute or as tolerated by the patient) intravenously. </w:t>
            </w:r>
          </w:p>
          <w:p w14:paraId="37014F01" w14:textId="77777777" w:rsidR="003171CE" w:rsidRPr="00A62EC1" w:rsidRDefault="003171CE" w:rsidP="003171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When the contents of more than one vial are to be given, it may be convenient to pool the total amount prior to administration in a large syringe or sterile bag. This must be done aseptically.</w:t>
            </w:r>
          </w:p>
          <w:p w14:paraId="4840A112" w14:textId="77777777" w:rsidR="003171CE" w:rsidRPr="00A62EC1" w:rsidRDefault="003171CE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To reduce microbiological hazard, use as soon as practicable after reconstitution/preparation. </w:t>
            </w:r>
          </w:p>
          <w:p w14:paraId="727002DB" w14:textId="61230C6C" w:rsidR="003171CE" w:rsidRPr="00A62EC1" w:rsidRDefault="003171CE" w:rsidP="003171CE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ind w:left="385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The solution must not be stored, and infusion should be completed </w:t>
            </w:r>
            <w:r w:rsidRPr="00A62EC1">
              <w:rPr>
                <w:rFonts w:ascii="Arial" w:hAnsi="Arial" w:cs="Arial"/>
                <w:sz w:val="21"/>
                <w:szCs w:val="21"/>
              </w:rPr>
              <w:lastRenderedPageBreak/>
              <w:t>within three hours of reconstitution.</w:t>
            </w:r>
          </w:p>
        </w:tc>
        <w:tc>
          <w:tcPr>
            <w:tcW w:w="4252" w:type="dxa"/>
          </w:tcPr>
          <w:p w14:paraId="4E2A8B29" w14:textId="77777777" w:rsidR="003171CE" w:rsidRPr="00A62EC1" w:rsidRDefault="003171CE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62EC1">
              <w:rPr>
                <w:rFonts w:ascii="Arial" w:hAnsi="Arial" w:cs="Arial"/>
                <w:sz w:val="21"/>
                <w:szCs w:val="21"/>
              </w:rPr>
              <w:lastRenderedPageBreak/>
              <w:t>Beriplex</w:t>
            </w:r>
            <w:proofErr w:type="spellEnd"/>
            <w:r w:rsidRPr="00A62EC1">
              <w:rPr>
                <w:rFonts w:ascii="Arial" w:hAnsi="Arial" w:cs="Arial"/>
                <w:sz w:val="21"/>
                <w:szCs w:val="21"/>
              </w:rPr>
              <w:t>® P/N should be reconstituted according to the instructions provided.</w:t>
            </w:r>
          </w:p>
          <w:p w14:paraId="51298A9F" w14:textId="77777777" w:rsidR="003171CE" w:rsidRPr="00A62EC1" w:rsidRDefault="003171CE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The reconstituted solution should be administered by a separate injection/infusion line by slow intravenous injection, at a rate not exceeding 3 IU/kg body weight/minute, max. 210 IU/minute, approximately 8 mL/minute.</w:t>
            </w:r>
          </w:p>
          <w:p w14:paraId="5F43FE9A" w14:textId="2565BD0F" w:rsidR="003171CE" w:rsidRDefault="003171CE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bookmarkStart w:id="0" w:name="_Hlk175729833"/>
            <w:r w:rsidRPr="00A62EC1">
              <w:rPr>
                <w:rFonts w:ascii="Arial" w:hAnsi="Arial" w:cs="Arial"/>
                <w:sz w:val="21"/>
                <w:szCs w:val="21"/>
              </w:rPr>
              <w:t>Whilst the stability of the reconstituted solution has been demonstrated for 24 hours at room temperature (max. 25°C)</w:t>
            </w:r>
            <w:r w:rsidR="00DF32FA">
              <w:rPr>
                <w:rFonts w:ascii="Arial" w:hAnsi="Arial" w:cs="Arial"/>
                <w:sz w:val="21"/>
                <w:szCs w:val="21"/>
              </w:rPr>
              <w:t>,</w:t>
            </w:r>
            <w:r w:rsidR="00944F03" w:rsidRPr="00A62EC1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944F03" w:rsidRPr="00A62EC1">
              <w:rPr>
                <w:rFonts w:ascii="Arial" w:hAnsi="Arial" w:cs="Arial"/>
                <w:sz w:val="21"/>
                <w:szCs w:val="21"/>
              </w:rPr>
              <w:t>Beriplex</w:t>
            </w:r>
            <w:proofErr w:type="spellEnd"/>
            <w:r w:rsidR="00944F03" w:rsidRPr="00A62EC1">
              <w:rPr>
                <w:rFonts w:ascii="Arial" w:hAnsi="Arial" w:cs="Arial"/>
                <w:sz w:val="21"/>
                <w:szCs w:val="21"/>
              </w:rPr>
              <w:t>® P/N</w:t>
            </w:r>
            <w:r w:rsidR="00944F03">
              <w:rPr>
                <w:rFonts w:ascii="Arial" w:hAnsi="Arial" w:cs="Arial"/>
                <w:sz w:val="21"/>
                <w:szCs w:val="21"/>
              </w:rPr>
              <w:t xml:space="preserve"> contains no antimicrobial preservative</w:t>
            </w:r>
            <w:r w:rsidR="00DF32FA">
              <w:rPr>
                <w:rFonts w:ascii="Arial" w:hAnsi="Arial" w:cs="Arial"/>
                <w:sz w:val="21"/>
                <w:szCs w:val="21"/>
              </w:rPr>
              <w:t>, therefore i</w:t>
            </w:r>
            <w:r w:rsidR="00944F03">
              <w:rPr>
                <w:rFonts w:ascii="Arial" w:hAnsi="Arial" w:cs="Arial"/>
                <w:sz w:val="21"/>
                <w:szCs w:val="21"/>
              </w:rPr>
              <w:t>t is recommended that the product is used immediately after reconstitution.</w:t>
            </w:r>
          </w:p>
          <w:bookmarkEnd w:id="0"/>
          <w:p w14:paraId="41B7D0BA" w14:textId="074EEB62" w:rsidR="00944F03" w:rsidRPr="00A62EC1" w:rsidRDefault="00944F03" w:rsidP="003171C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Use in one patient only. Any unused solution should be discarded appropriately. If a clot or gel forms, do not use the product.</w:t>
            </w:r>
          </w:p>
        </w:tc>
      </w:tr>
      <w:tr w:rsidR="003171CE" w14:paraId="6B9D963F" w14:textId="77777777" w:rsidTr="00767F15">
        <w:tc>
          <w:tcPr>
            <w:tcW w:w="2122" w:type="dxa"/>
          </w:tcPr>
          <w:p w14:paraId="3E5B4CA6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lastRenderedPageBreak/>
              <w:t>Contraindications</w:t>
            </w:r>
          </w:p>
        </w:tc>
        <w:tc>
          <w:tcPr>
            <w:tcW w:w="3827" w:type="dxa"/>
          </w:tcPr>
          <w:p w14:paraId="4F986009" w14:textId="77777777" w:rsidR="003171CE" w:rsidRPr="00A62EC1" w:rsidRDefault="003171CE" w:rsidP="003171C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Hypersensitivity to the active substances or to any of the excipients including known allergy to heparin or history of heparin-induced thrombocytopenia (HIT).</w:t>
            </w:r>
          </w:p>
          <w:p w14:paraId="23A90A0B" w14:textId="77777777" w:rsidR="003171CE" w:rsidRPr="00A62EC1" w:rsidRDefault="003171CE" w:rsidP="003171C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Prothrombinex</w:t>
            </w:r>
            <w:r w:rsidRPr="00A62EC1">
              <w:rPr>
                <w:rFonts w:ascii="Arial" w:hAnsi="Arial" w:cs="Arial"/>
                <w:sz w:val="21"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>-VF is also contraindicated in patients who have evidence of active thrombosis or disseminated intravascular coagulation (DIC).</w:t>
            </w:r>
          </w:p>
        </w:tc>
        <w:tc>
          <w:tcPr>
            <w:tcW w:w="4252" w:type="dxa"/>
          </w:tcPr>
          <w:p w14:paraId="26F31A7E" w14:textId="77777777" w:rsidR="003171CE" w:rsidRPr="00A62EC1" w:rsidRDefault="003171CE" w:rsidP="003171C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Hypersensitivity to the active substance or to any of the excipients. </w:t>
            </w:r>
          </w:p>
          <w:p w14:paraId="574C2D16" w14:textId="77777777" w:rsidR="003171CE" w:rsidRPr="00A62EC1" w:rsidRDefault="003171CE" w:rsidP="003171C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9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In the case of disseminated intravascular coagulation, prothrombin complex-preparations may only be applied after termination of the consumptive state. </w:t>
            </w:r>
          </w:p>
          <w:p w14:paraId="206A929D" w14:textId="77777777" w:rsidR="003171CE" w:rsidRPr="00A62EC1" w:rsidRDefault="003171CE" w:rsidP="003171CE">
            <w:pPr>
              <w:pStyle w:val="ListParagraph"/>
              <w:numPr>
                <w:ilvl w:val="0"/>
                <w:numId w:val="19"/>
              </w:numPr>
              <w:spacing w:after="120" w:line="240" w:lineRule="auto"/>
              <w:ind w:left="31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Known history of Heparin-Induced Thrombocytopenia (HIT). Beriplex</w:t>
            </w:r>
            <w:r w:rsidRPr="00A62EC1">
              <w:rPr>
                <w:rFonts w:ascii="Arial" w:hAnsi="Arial" w:cs="Arial"/>
                <w:sz w:val="21"/>
                <w:szCs w:val="21"/>
                <w:vertAlign w:val="superscript"/>
              </w:rPr>
              <w:t>®</w:t>
            </w:r>
            <w:r w:rsidRPr="00A62EC1">
              <w:rPr>
                <w:rFonts w:ascii="Arial" w:hAnsi="Arial" w:cs="Arial"/>
                <w:sz w:val="21"/>
                <w:szCs w:val="21"/>
              </w:rPr>
              <w:t xml:space="preserve"> P/N contains heparin.</w:t>
            </w:r>
          </w:p>
        </w:tc>
      </w:tr>
      <w:tr w:rsidR="003171CE" w14:paraId="57B6F435" w14:textId="77777777" w:rsidTr="00767F15">
        <w:tc>
          <w:tcPr>
            <w:tcW w:w="2122" w:type="dxa"/>
          </w:tcPr>
          <w:p w14:paraId="1799D34B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Interactions with other medications</w:t>
            </w:r>
          </w:p>
        </w:tc>
        <w:tc>
          <w:tcPr>
            <w:tcW w:w="3827" w:type="dxa"/>
          </w:tcPr>
          <w:p w14:paraId="034BA703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The interaction of Prothrombinex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-VF with other medicines has not been established in specific studies. </w:t>
            </w:r>
          </w:p>
          <w:p w14:paraId="6B55A3D3" w14:textId="72DAC35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The use of Prothrombinex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-VF with tranexamic acid is not recommended </w:t>
            </w:r>
            <w:r w:rsidR="005811B7">
              <w:rPr>
                <w:rFonts w:cs="Arial"/>
                <w:szCs w:val="21"/>
              </w:rPr>
              <w:t>a</w:t>
            </w:r>
            <w:r w:rsidR="005811B7">
              <w:rPr>
                <w:szCs w:val="21"/>
              </w:rPr>
              <w:t xml:space="preserve">s </w:t>
            </w:r>
            <w:r w:rsidRPr="00A62EC1">
              <w:rPr>
                <w:rFonts w:cs="Arial"/>
                <w:szCs w:val="21"/>
              </w:rPr>
              <w:t>only limited data are available on the concomitant administration of prothrombin complex products and antifibrinolytic agents.</w:t>
            </w:r>
          </w:p>
          <w:p w14:paraId="3254575F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The reconstituted solution must not be added to or mixed with any other fluids to be given, including whole blood.</w:t>
            </w:r>
          </w:p>
        </w:tc>
        <w:tc>
          <w:tcPr>
            <w:tcW w:w="4252" w:type="dxa"/>
          </w:tcPr>
          <w:p w14:paraId="68A8934D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Human prothrombin complex products neutralise the effect of vitamin K antagonist treatment, but no interactions with other medicinal products are known.</w:t>
            </w:r>
          </w:p>
          <w:p w14:paraId="65116061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Do not mix Beriplex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 P/N with other medicinal products; administer through a separate injection/infusion line.</w:t>
            </w:r>
          </w:p>
        </w:tc>
      </w:tr>
      <w:tr w:rsidR="003171CE" w14:paraId="57A78951" w14:textId="77777777" w:rsidTr="00767F15">
        <w:tc>
          <w:tcPr>
            <w:tcW w:w="2122" w:type="dxa"/>
          </w:tcPr>
          <w:p w14:paraId="20C36FD8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Storage</w:t>
            </w:r>
          </w:p>
        </w:tc>
        <w:tc>
          <w:tcPr>
            <w:tcW w:w="3827" w:type="dxa"/>
          </w:tcPr>
          <w:p w14:paraId="04A67C1A" w14:textId="7E85702C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Store at 2°C to 8°C.Do not freeze. </w:t>
            </w:r>
          </w:p>
          <w:p w14:paraId="01F3A1A1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Prothrombinex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>-VF can be stored below 25°C for a single period of 6 months. The product must not be returned to refrigeration after storage below 25°C. Protect from light. Do not use after the expiry date.</w:t>
            </w:r>
          </w:p>
          <w:p w14:paraId="72DD12FB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The product does not contain an antimicrobial preservative. It must, therefore, be used immediately after reconstitution.</w:t>
            </w:r>
          </w:p>
        </w:tc>
        <w:tc>
          <w:tcPr>
            <w:tcW w:w="4252" w:type="dxa"/>
          </w:tcPr>
          <w:p w14:paraId="262E224B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Store below 25°C. Do not freeze. </w:t>
            </w:r>
          </w:p>
          <w:p w14:paraId="52E65B81" w14:textId="4D84DBF0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Keep the vial in the outer carton, </w:t>
            </w:r>
            <w:r w:rsidR="002C4425" w:rsidRPr="00A62EC1">
              <w:rPr>
                <w:rFonts w:cs="Arial"/>
                <w:szCs w:val="21"/>
              </w:rPr>
              <w:t>to</w:t>
            </w:r>
            <w:r w:rsidRPr="00A62EC1">
              <w:rPr>
                <w:rFonts w:cs="Arial"/>
                <w:szCs w:val="21"/>
              </w:rPr>
              <w:t xml:space="preserve"> protect from light. </w:t>
            </w:r>
          </w:p>
          <w:p w14:paraId="6A514FE8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Do not use after the expiry date.</w:t>
            </w:r>
          </w:p>
          <w:p w14:paraId="044E66A3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Beriplex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 P/N contains no antimicrobial preservative. Therefore, it is recommended that the product should be used immediately after reconstitution.</w:t>
            </w:r>
          </w:p>
        </w:tc>
      </w:tr>
      <w:tr w:rsidR="003171CE" w14:paraId="6CB6E868" w14:textId="77777777" w:rsidTr="00767F15">
        <w:tc>
          <w:tcPr>
            <w:tcW w:w="2122" w:type="dxa"/>
          </w:tcPr>
          <w:p w14:paraId="514BC6E9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Packaging and vial size</w:t>
            </w:r>
          </w:p>
        </w:tc>
        <w:tc>
          <w:tcPr>
            <w:tcW w:w="3827" w:type="dxa"/>
          </w:tcPr>
          <w:p w14:paraId="631AB45B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Prothrombinex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>-VF comes in one concentration.</w:t>
            </w:r>
          </w:p>
          <w:p w14:paraId="1285ED7D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 xml:space="preserve">Each package contains: </w:t>
            </w:r>
          </w:p>
          <w:p w14:paraId="36F49380" w14:textId="14170224" w:rsidR="003171CE" w:rsidRPr="00A62EC1" w:rsidRDefault="003171CE" w:rsidP="003171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One glass vial containing 500 IU of factor IX, approximately 500 IU of factor II and approximately 500 IU of factor X, with a rubber </w:t>
            </w:r>
            <w:r w:rsidRPr="00A62EC1">
              <w:rPr>
                <w:rFonts w:ascii="Arial" w:hAnsi="Arial" w:cs="Arial"/>
                <w:sz w:val="21"/>
                <w:szCs w:val="21"/>
              </w:rPr>
              <w:lastRenderedPageBreak/>
              <w:t>stopper closed with an aluminium seal and plastic flip-top cap.</w:t>
            </w:r>
          </w:p>
          <w:p w14:paraId="5FCB6D17" w14:textId="3E479E64" w:rsidR="003171CE" w:rsidRPr="00A62EC1" w:rsidRDefault="003171CE" w:rsidP="003171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One glass vial of 20 mL Water for Injections with a rubber stopper closed with an aluminium seal and plastic flip-top cap.</w:t>
            </w:r>
          </w:p>
          <w:p w14:paraId="1A24F229" w14:textId="77777777" w:rsidR="003171CE" w:rsidRPr="00A62EC1" w:rsidRDefault="003171CE" w:rsidP="003171CE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85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One Mix2Vial™ filter transfer set.</w:t>
            </w:r>
          </w:p>
        </w:tc>
        <w:tc>
          <w:tcPr>
            <w:tcW w:w="4252" w:type="dxa"/>
          </w:tcPr>
          <w:p w14:paraId="166ACA77" w14:textId="6DA4EE6F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lastRenderedPageBreak/>
              <w:t>Beriplex</w:t>
            </w:r>
            <w:r w:rsidRPr="00A62EC1">
              <w:rPr>
                <w:rFonts w:cs="Arial"/>
                <w:szCs w:val="21"/>
                <w:vertAlign w:val="superscript"/>
              </w:rPr>
              <w:t>®</w:t>
            </w:r>
            <w:r w:rsidRPr="00A62EC1">
              <w:rPr>
                <w:rFonts w:cs="Arial"/>
                <w:szCs w:val="21"/>
              </w:rPr>
              <w:t xml:space="preserve"> P/N is available in one concentration. </w:t>
            </w:r>
          </w:p>
          <w:p w14:paraId="19E5FA38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t>Each package contains:</w:t>
            </w:r>
          </w:p>
          <w:p w14:paraId="26BCF8A8" w14:textId="754E1992" w:rsidR="003171CE" w:rsidRPr="00A62EC1" w:rsidRDefault="003171CE" w:rsidP="003171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 xml:space="preserve">One glass vial containing 500IU of factor concentrate in powder form, with a rubber stopper closed with an </w:t>
            </w:r>
            <w:r w:rsidRPr="00A62EC1">
              <w:rPr>
                <w:rFonts w:ascii="Arial" w:hAnsi="Arial" w:cs="Arial"/>
                <w:sz w:val="21"/>
                <w:szCs w:val="21"/>
              </w:rPr>
              <w:lastRenderedPageBreak/>
              <w:t>aluminium seal and plastic flip-top cap.</w:t>
            </w:r>
          </w:p>
          <w:p w14:paraId="3A9C155B" w14:textId="57A37D3C" w:rsidR="003171CE" w:rsidRPr="00A62EC1" w:rsidRDefault="003171CE" w:rsidP="003171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One glass 20mL vial Water for Injections with a rubber stopper, closed with an aluminium seal and plastic flip-top cap.</w:t>
            </w:r>
          </w:p>
          <w:p w14:paraId="33CA63E5" w14:textId="77777777" w:rsidR="003171CE" w:rsidRPr="00A62EC1" w:rsidRDefault="003171CE" w:rsidP="003171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Arial" w:hAnsi="Arial" w:cs="Arial"/>
                <w:sz w:val="21"/>
                <w:szCs w:val="21"/>
              </w:rPr>
            </w:pPr>
            <w:r w:rsidRPr="00A62EC1">
              <w:rPr>
                <w:rFonts w:ascii="Arial" w:hAnsi="Arial" w:cs="Arial"/>
                <w:sz w:val="21"/>
                <w:szCs w:val="21"/>
              </w:rPr>
              <w:t>One Mix2Vial™ filter transfer set.</w:t>
            </w:r>
          </w:p>
        </w:tc>
      </w:tr>
      <w:tr w:rsidR="003171CE" w14:paraId="1C18CE3B" w14:textId="77777777" w:rsidTr="00767F15">
        <w:tc>
          <w:tcPr>
            <w:tcW w:w="2122" w:type="dxa"/>
          </w:tcPr>
          <w:p w14:paraId="3FFEBD9D" w14:textId="77777777" w:rsidR="003171CE" w:rsidRPr="00A62EC1" w:rsidRDefault="003171CE" w:rsidP="003171CE">
            <w:pPr>
              <w:rPr>
                <w:rFonts w:cs="Arial"/>
                <w:szCs w:val="21"/>
              </w:rPr>
            </w:pPr>
            <w:r w:rsidRPr="00A62EC1">
              <w:rPr>
                <w:rFonts w:cs="Arial"/>
                <w:szCs w:val="21"/>
              </w:rPr>
              <w:lastRenderedPageBreak/>
              <w:t xml:space="preserve">References </w:t>
            </w:r>
          </w:p>
        </w:tc>
        <w:tc>
          <w:tcPr>
            <w:tcW w:w="3827" w:type="dxa"/>
          </w:tcPr>
          <w:p w14:paraId="2ABD162A" w14:textId="71C7B5F5" w:rsidR="003171CE" w:rsidRPr="00A62EC1" w:rsidRDefault="00000000" w:rsidP="003171CE">
            <w:pPr>
              <w:rPr>
                <w:rFonts w:cs="Arial"/>
                <w:szCs w:val="21"/>
              </w:rPr>
            </w:pPr>
            <w:hyperlink r:id="rId18" w:history="1">
              <w:r w:rsidR="003171CE" w:rsidRPr="00A62EC1">
                <w:rPr>
                  <w:rStyle w:val="Hyperlink"/>
                  <w:rFonts w:eastAsia="MS Gothic"/>
                  <w:szCs w:val="21"/>
                </w:rPr>
                <w:t>CSL Behring Product information Prothrombinex</w:t>
              </w:r>
              <w:r w:rsidR="003171CE" w:rsidRPr="00A62EC1">
                <w:rPr>
                  <w:rStyle w:val="Hyperlink"/>
                  <w:rFonts w:eastAsia="MS Gothic"/>
                  <w:szCs w:val="21"/>
                  <w:vertAlign w:val="superscript"/>
                </w:rPr>
                <w:t>®</w:t>
              </w:r>
              <w:r w:rsidR="003171CE" w:rsidRPr="00A62EC1">
                <w:rPr>
                  <w:rStyle w:val="Hyperlink"/>
                  <w:rFonts w:eastAsia="MS Gothic"/>
                  <w:szCs w:val="21"/>
                </w:rPr>
                <w:t>-VF</w:t>
              </w:r>
            </w:hyperlink>
            <w:r w:rsidR="003171CE" w:rsidRPr="00A62EC1">
              <w:rPr>
                <w:rFonts w:cs="Arial"/>
                <w:szCs w:val="21"/>
              </w:rPr>
              <w:t xml:space="preserve">, </w:t>
            </w:r>
            <w:r w:rsidR="00944F03">
              <w:rPr>
                <w:rFonts w:cs="Arial"/>
                <w:szCs w:val="21"/>
              </w:rPr>
              <w:t>&lt;</w:t>
            </w:r>
            <w:r w:rsidR="00944F03">
              <w:t xml:space="preserve"> </w:t>
            </w:r>
            <w:r w:rsidR="00944F03" w:rsidRPr="00944F03">
              <w:rPr>
                <w:rFonts w:cs="Arial"/>
                <w:szCs w:val="21"/>
              </w:rPr>
              <w:t>https://labeling.cslbehring.com/PI/AU/PROTHROMBINEX-VF/EN/PROTHROMBINEX-VF-Product-Information.pdf</w:t>
            </w:r>
            <w:r w:rsidR="00944F03">
              <w:rPr>
                <w:rFonts w:cs="Arial"/>
                <w:szCs w:val="21"/>
              </w:rPr>
              <w:t xml:space="preserve">&gt; </w:t>
            </w:r>
            <w:r w:rsidR="003171CE" w:rsidRPr="00A62EC1">
              <w:rPr>
                <w:rFonts w:cs="Arial"/>
                <w:szCs w:val="21"/>
              </w:rPr>
              <w:t xml:space="preserve">revised March 2020, accessed </w:t>
            </w:r>
            <w:r w:rsidR="003E024E">
              <w:rPr>
                <w:rFonts w:cs="Arial"/>
                <w:szCs w:val="21"/>
              </w:rPr>
              <w:t>August</w:t>
            </w:r>
            <w:r w:rsidR="003171CE" w:rsidRPr="00A62EC1">
              <w:rPr>
                <w:rFonts w:cs="Arial"/>
                <w:szCs w:val="21"/>
              </w:rPr>
              <w:t xml:space="preserve"> 2024. </w:t>
            </w:r>
          </w:p>
        </w:tc>
        <w:tc>
          <w:tcPr>
            <w:tcW w:w="4252" w:type="dxa"/>
          </w:tcPr>
          <w:p w14:paraId="330812D7" w14:textId="06997429" w:rsidR="003171CE" w:rsidRPr="00A62EC1" w:rsidRDefault="00000000" w:rsidP="003171CE">
            <w:pPr>
              <w:rPr>
                <w:rFonts w:cs="Arial"/>
                <w:szCs w:val="21"/>
              </w:rPr>
            </w:pPr>
            <w:hyperlink r:id="rId19" w:history="1">
              <w:r w:rsidR="003171CE" w:rsidRPr="00A62EC1">
                <w:rPr>
                  <w:rStyle w:val="Hyperlink"/>
                  <w:rFonts w:eastAsia="MS Gothic"/>
                  <w:szCs w:val="21"/>
                </w:rPr>
                <w:t>CSL Behring Product information Beriplex</w:t>
              </w:r>
              <w:r w:rsidR="003171CE" w:rsidRPr="00A62EC1">
                <w:rPr>
                  <w:rStyle w:val="Hyperlink"/>
                  <w:rFonts w:eastAsia="MS Gothic"/>
                  <w:szCs w:val="21"/>
                  <w:vertAlign w:val="superscript"/>
                </w:rPr>
                <w:t>®</w:t>
              </w:r>
              <w:r w:rsidR="003171CE" w:rsidRPr="00A62EC1">
                <w:rPr>
                  <w:rStyle w:val="Hyperlink"/>
                  <w:rFonts w:eastAsia="MS Gothic"/>
                  <w:szCs w:val="21"/>
                </w:rPr>
                <w:t xml:space="preserve"> P/N</w:t>
              </w:r>
            </w:hyperlink>
            <w:r w:rsidR="003171CE" w:rsidRPr="00A62EC1">
              <w:rPr>
                <w:rFonts w:cs="Arial"/>
                <w:szCs w:val="21"/>
              </w:rPr>
              <w:t xml:space="preserve">, </w:t>
            </w:r>
            <w:r w:rsidR="003E024E">
              <w:rPr>
                <w:rFonts w:cs="Arial"/>
                <w:szCs w:val="21"/>
              </w:rPr>
              <w:t>&lt;</w:t>
            </w:r>
            <w:r w:rsidR="003E024E">
              <w:t xml:space="preserve"> </w:t>
            </w:r>
            <w:r w:rsidR="003E024E" w:rsidRPr="003E024E">
              <w:rPr>
                <w:rFonts w:cs="Arial"/>
                <w:szCs w:val="21"/>
              </w:rPr>
              <w:t>https://www.cslbehring.com.au/-/media/cslb-australia/documents/aus-pis-and-cmis/beriplex-pn-pi-600.pdf</w:t>
            </w:r>
            <w:r w:rsidR="003E024E">
              <w:rPr>
                <w:rFonts w:cs="Arial"/>
                <w:szCs w:val="21"/>
              </w:rPr>
              <w:t xml:space="preserve">&gt; </w:t>
            </w:r>
            <w:r w:rsidR="003171CE" w:rsidRPr="00A62EC1">
              <w:rPr>
                <w:rFonts w:cs="Arial"/>
                <w:szCs w:val="21"/>
              </w:rPr>
              <w:t xml:space="preserve">January 2022, accessed </w:t>
            </w:r>
            <w:r w:rsidR="003E024E">
              <w:rPr>
                <w:rFonts w:cs="Arial"/>
                <w:szCs w:val="21"/>
              </w:rPr>
              <w:t>August</w:t>
            </w:r>
            <w:r w:rsidR="003171CE" w:rsidRPr="00A62EC1">
              <w:rPr>
                <w:rFonts w:cs="Arial"/>
                <w:szCs w:val="21"/>
              </w:rPr>
              <w:t xml:space="preserve"> 2024.</w:t>
            </w:r>
          </w:p>
        </w:tc>
      </w:tr>
    </w:tbl>
    <w:p w14:paraId="1DAAE1A2" w14:textId="77777777" w:rsidR="00580394" w:rsidRPr="00B519CD" w:rsidRDefault="00580394" w:rsidP="007173CA">
      <w:pPr>
        <w:pStyle w:val="Body"/>
        <w:sectPr w:rsidR="00580394" w:rsidRPr="00B519CD" w:rsidSect="00BD20A1">
          <w:headerReference w:type="default" r:id="rId20"/>
          <w:type w:val="continuous"/>
          <w:pgSz w:w="11906" w:h="16838" w:code="9"/>
          <w:pgMar w:top="1418" w:right="851" w:bottom="2127" w:left="851" w:header="851" w:footer="851" w:gutter="0"/>
          <w:cols w:space="340"/>
          <w:titlePg/>
          <w:docGrid w:linePitch="360"/>
        </w:sectPr>
      </w:pPr>
    </w:p>
    <w:p w14:paraId="1F271B73" w14:textId="77777777" w:rsidR="003E024E" w:rsidRDefault="003E024E" w:rsidP="00BD20A1">
      <w:pPr>
        <w:pStyle w:val="Quotetext"/>
        <w:ind w:left="0"/>
        <w:rPr>
          <w:b/>
          <w:bCs/>
        </w:rPr>
      </w:pPr>
    </w:p>
    <w:p w14:paraId="461AD5F8" w14:textId="16F70FD5" w:rsidR="00710FF4" w:rsidRPr="00710FF4" w:rsidRDefault="00710FF4" w:rsidP="00BD20A1">
      <w:pPr>
        <w:pStyle w:val="Quotetext"/>
        <w:ind w:left="0"/>
        <w:rPr>
          <w:b/>
          <w:bCs/>
        </w:rPr>
      </w:pPr>
      <w:r w:rsidRPr="00710FF4">
        <w:rPr>
          <w:b/>
          <w:bCs/>
        </w:rPr>
        <w:t xml:space="preserve">Example of </w:t>
      </w:r>
      <w:proofErr w:type="spellStart"/>
      <w:r w:rsidRPr="00710FF4">
        <w:rPr>
          <w:b/>
          <w:bCs/>
        </w:rPr>
        <w:t>Beriplex</w:t>
      </w:r>
      <w:proofErr w:type="spellEnd"/>
      <w:r w:rsidRPr="00710FF4">
        <w:rPr>
          <w:b/>
          <w:bCs/>
          <w:vertAlign w:val="superscript"/>
        </w:rPr>
        <w:t>®</w:t>
      </w:r>
      <w:r w:rsidRPr="00710FF4">
        <w:rPr>
          <w:b/>
          <w:bCs/>
        </w:rPr>
        <w:t xml:space="preserve"> P/N dosing: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2460"/>
        <w:gridCol w:w="2460"/>
        <w:gridCol w:w="2481"/>
      </w:tblGrid>
      <w:tr w:rsidR="00710FF4" w:rsidRPr="00710FF4" w14:paraId="42E1FEBB" w14:textId="77777777" w:rsidTr="00AA7D3C">
        <w:tc>
          <w:tcPr>
            <w:tcW w:w="3487" w:type="dxa"/>
          </w:tcPr>
          <w:p w14:paraId="0E8F598C" w14:textId="77777777" w:rsidR="00710FF4" w:rsidRPr="00710FF4" w:rsidRDefault="00710FF4" w:rsidP="00710FF4">
            <w:pPr>
              <w:pStyle w:val="Quotetext"/>
            </w:pPr>
            <w:r w:rsidRPr="00710FF4">
              <w:t>Pre-treatment INR</w:t>
            </w:r>
          </w:p>
        </w:tc>
        <w:tc>
          <w:tcPr>
            <w:tcW w:w="3487" w:type="dxa"/>
          </w:tcPr>
          <w:p w14:paraId="2C6B0A28" w14:textId="77777777" w:rsidR="00710FF4" w:rsidRPr="00710FF4" w:rsidRDefault="00710FF4" w:rsidP="00710FF4">
            <w:pPr>
              <w:pStyle w:val="Quotetext"/>
            </w:pPr>
            <w:r w:rsidRPr="00710FF4">
              <w:t>2.0-3.9</w:t>
            </w:r>
          </w:p>
        </w:tc>
        <w:tc>
          <w:tcPr>
            <w:tcW w:w="3487" w:type="dxa"/>
          </w:tcPr>
          <w:p w14:paraId="21716026" w14:textId="77777777" w:rsidR="00710FF4" w:rsidRPr="00710FF4" w:rsidRDefault="00710FF4" w:rsidP="00710FF4">
            <w:pPr>
              <w:pStyle w:val="Quotetext"/>
            </w:pPr>
            <w:r w:rsidRPr="00710FF4">
              <w:t>4.0-6.0</w:t>
            </w:r>
          </w:p>
        </w:tc>
        <w:tc>
          <w:tcPr>
            <w:tcW w:w="3487" w:type="dxa"/>
          </w:tcPr>
          <w:p w14:paraId="15824D73" w14:textId="77777777" w:rsidR="00710FF4" w:rsidRPr="00710FF4" w:rsidRDefault="00710FF4" w:rsidP="00710FF4">
            <w:pPr>
              <w:pStyle w:val="Quotetext"/>
            </w:pPr>
            <w:r w:rsidRPr="00710FF4">
              <w:t>&gt;6.0</w:t>
            </w:r>
          </w:p>
        </w:tc>
      </w:tr>
      <w:tr w:rsidR="00710FF4" w:rsidRPr="00710FF4" w14:paraId="525A8701" w14:textId="77777777" w:rsidTr="00AA7D3C">
        <w:tc>
          <w:tcPr>
            <w:tcW w:w="3487" w:type="dxa"/>
          </w:tcPr>
          <w:p w14:paraId="72F6307C" w14:textId="77777777" w:rsidR="00710FF4" w:rsidRPr="00710FF4" w:rsidRDefault="00710FF4" w:rsidP="00710FF4">
            <w:pPr>
              <w:pStyle w:val="Quotetext"/>
            </w:pPr>
            <w:r w:rsidRPr="00710FF4">
              <w:t>Approximate dose mL/kg body weight</w:t>
            </w:r>
          </w:p>
        </w:tc>
        <w:tc>
          <w:tcPr>
            <w:tcW w:w="3487" w:type="dxa"/>
          </w:tcPr>
          <w:p w14:paraId="69AEFC1B" w14:textId="77777777" w:rsidR="00710FF4" w:rsidRPr="00710FF4" w:rsidRDefault="00710FF4" w:rsidP="00710FF4">
            <w:pPr>
              <w:pStyle w:val="Quotetext"/>
            </w:pPr>
            <w:r w:rsidRPr="00710FF4">
              <w:t>1</w:t>
            </w:r>
          </w:p>
        </w:tc>
        <w:tc>
          <w:tcPr>
            <w:tcW w:w="3487" w:type="dxa"/>
          </w:tcPr>
          <w:p w14:paraId="790A89C5" w14:textId="77777777" w:rsidR="00710FF4" w:rsidRPr="00710FF4" w:rsidRDefault="00710FF4" w:rsidP="00710FF4">
            <w:pPr>
              <w:pStyle w:val="Quotetext"/>
            </w:pPr>
            <w:r w:rsidRPr="00710FF4">
              <w:t>1.4</w:t>
            </w:r>
          </w:p>
        </w:tc>
        <w:tc>
          <w:tcPr>
            <w:tcW w:w="3487" w:type="dxa"/>
          </w:tcPr>
          <w:p w14:paraId="24545556" w14:textId="77777777" w:rsidR="00710FF4" w:rsidRPr="00710FF4" w:rsidRDefault="00710FF4" w:rsidP="00710FF4">
            <w:pPr>
              <w:pStyle w:val="Quotetext"/>
            </w:pPr>
            <w:r w:rsidRPr="00710FF4">
              <w:t>2</w:t>
            </w:r>
          </w:p>
        </w:tc>
      </w:tr>
      <w:tr w:rsidR="00710FF4" w:rsidRPr="00710FF4" w14:paraId="41DBA527" w14:textId="77777777" w:rsidTr="00AA7D3C">
        <w:tc>
          <w:tcPr>
            <w:tcW w:w="3487" w:type="dxa"/>
          </w:tcPr>
          <w:p w14:paraId="75FA0521" w14:textId="77777777" w:rsidR="00710FF4" w:rsidRPr="00710FF4" w:rsidRDefault="00710FF4" w:rsidP="00710FF4">
            <w:pPr>
              <w:pStyle w:val="Quotetext"/>
            </w:pPr>
            <w:r w:rsidRPr="00710FF4">
              <w:t>Approximate dose IU (Factor IX)/kg body weight</w:t>
            </w:r>
          </w:p>
        </w:tc>
        <w:tc>
          <w:tcPr>
            <w:tcW w:w="3487" w:type="dxa"/>
          </w:tcPr>
          <w:p w14:paraId="13A3C60A" w14:textId="77777777" w:rsidR="00710FF4" w:rsidRPr="00710FF4" w:rsidRDefault="00710FF4" w:rsidP="00710FF4">
            <w:pPr>
              <w:pStyle w:val="Quotetext"/>
            </w:pPr>
            <w:r w:rsidRPr="00710FF4">
              <w:t>25</w:t>
            </w:r>
          </w:p>
        </w:tc>
        <w:tc>
          <w:tcPr>
            <w:tcW w:w="3487" w:type="dxa"/>
          </w:tcPr>
          <w:p w14:paraId="0CF13BA3" w14:textId="77777777" w:rsidR="00710FF4" w:rsidRPr="00710FF4" w:rsidRDefault="00710FF4" w:rsidP="00710FF4">
            <w:pPr>
              <w:pStyle w:val="Quotetext"/>
            </w:pPr>
            <w:r w:rsidRPr="00710FF4">
              <w:t>35</w:t>
            </w:r>
          </w:p>
        </w:tc>
        <w:tc>
          <w:tcPr>
            <w:tcW w:w="3487" w:type="dxa"/>
          </w:tcPr>
          <w:p w14:paraId="1D899311" w14:textId="77777777" w:rsidR="00710FF4" w:rsidRPr="00710FF4" w:rsidRDefault="00710FF4" w:rsidP="00710FF4">
            <w:pPr>
              <w:pStyle w:val="Quotetext"/>
            </w:pPr>
            <w:r w:rsidRPr="00710FF4">
              <w:t>50</w:t>
            </w:r>
          </w:p>
        </w:tc>
      </w:tr>
    </w:tbl>
    <w:p w14:paraId="316C6B2F" w14:textId="77777777" w:rsidR="00710FF4" w:rsidRDefault="00710FF4" w:rsidP="00A62EC1">
      <w:pPr>
        <w:pStyle w:val="Quotetext"/>
        <w:ind w:left="0"/>
      </w:pPr>
      <w:r w:rsidRPr="00710FF4">
        <w:t>e.g. a 70kg person with pre-treatment INR of 4.9 would receive a dose of 98mL (round up to 100mL) or 2500 IU.</w:t>
      </w:r>
    </w:p>
    <w:p w14:paraId="7ED7C42B" w14:textId="77777777" w:rsidR="00401073" w:rsidRPr="00710FF4" w:rsidRDefault="00401073" w:rsidP="00710FF4">
      <w:pPr>
        <w:pStyle w:val="Quotetext"/>
      </w:pPr>
    </w:p>
    <w:p w14:paraId="6916B896" w14:textId="46CADFF4" w:rsidR="00E261B3" w:rsidRPr="00710FF4" w:rsidRDefault="00710FF4" w:rsidP="00710FF4">
      <w:pPr>
        <w:pStyle w:val="Quotetext"/>
        <w:ind w:left="0"/>
      </w:pPr>
      <w:r w:rsidRPr="00710FF4">
        <w:rPr>
          <w:b/>
          <w:bCs/>
        </w:rPr>
        <w:t>NOTE:</w:t>
      </w:r>
      <w:r>
        <w:rPr>
          <w:b/>
          <w:bCs/>
        </w:rPr>
        <w:t xml:space="preserve"> </w:t>
      </w:r>
      <w:r>
        <w:t>There is a product with a similar name available from CSL, Berinert</w:t>
      </w:r>
      <w:r w:rsidRPr="00710FF4">
        <w:rPr>
          <w:rFonts w:cs="Arial"/>
          <w:vertAlign w:val="superscript"/>
        </w:rPr>
        <w:t>®</w:t>
      </w:r>
      <w:r>
        <w:t xml:space="preserve"> IV or SC (Human C1 esterase inhibitor).</w:t>
      </w:r>
    </w:p>
    <w:p w14:paraId="0E1B2E09" w14:textId="48F6492A" w:rsidR="00A478E4" w:rsidRDefault="00797A3B" w:rsidP="00A478E4">
      <w:pPr>
        <w:pStyle w:val="Body"/>
      </w:pPr>
      <w:r>
        <w:t>The following is modified f</w:t>
      </w:r>
      <w:r w:rsidR="00A478E4">
        <w:t>rom CSL Behring</w:t>
      </w:r>
      <w:r w:rsidR="00A478E4" w:rsidRPr="0046536F">
        <w:t xml:space="preserve"> Australia’s Prothrombin Complex Concentrate is transitioning</w:t>
      </w:r>
      <w:r w:rsidR="00A478E4">
        <w:t xml:space="preserve"> Brochure: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3818"/>
      </w:tblGrid>
      <w:tr w:rsidR="00797A3B" w14:paraId="4DDD3F2E" w14:textId="77777777" w:rsidTr="00543B02">
        <w:trPr>
          <w:trHeight w:val="683"/>
        </w:trPr>
        <w:tc>
          <w:tcPr>
            <w:tcW w:w="2547" w:type="dxa"/>
          </w:tcPr>
          <w:p w14:paraId="2554E0CD" w14:textId="6C8689C8" w:rsidR="00797A3B" w:rsidRPr="0096035F" w:rsidRDefault="00797A3B" w:rsidP="00200176">
            <w:pPr>
              <w:pStyle w:val="Body"/>
              <w:rPr>
                <w:b/>
                <w:bCs/>
              </w:rPr>
            </w:pPr>
            <w:r w:rsidRPr="0096035F">
              <w:rPr>
                <w:b/>
                <w:bCs/>
              </w:rPr>
              <w:t>Differences</w:t>
            </w:r>
          </w:p>
        </w:tc>
        <w:tc>
          <w:tcPr>
            <w:tcW w:w="3827" w:type="dxa"/>
          </w:tcPr>
          <w:p w14:paraId="4440D7B6" w14:textId="60135076" w:rsidR="00797A3B" w:rsidRPr="0096035F" w:rsidRDefault="00797A3B" w:rsidP="00200176">
            <w:pPr>
              <w:pStyle w:val="Body"/>
              <w:rPr>
                <w:b/>
                <w:bCs/>
              </w:rPr>
            </w:pPr>
            <w:proofErr w:type="spellStart"/>
            <w:r w:rsidRPr="0096035F">
              <w:rPr>
                <w:b/>
                <w:bCs/>
              </w:rPr>
              <w:t>Prothrombinex</w:t>
            </w:r>
            <w:proofErr w:type="spellEnd"/>
            <w:r w:rsidRPr="0096035F">
              <w:rPr>
                <w:b/>
                <w:bCs/>
              </w:rPr>
              <w:t>®-VF</w:t>
            </w:r>
          </w:p>
        </w:tc>
        <w:tc>
          <w:tcPr>
            <w:tcW w:w="3818" w:type="dxa"/>
          </w:tcPr>
          <w:p w14:paraId="06A046A6" w14:textId="69CEDAC8" w:rsidR="00797A3B" w:rsidRPr="0096035F" w:rsidRDefault="00797A3B" w:rsidP="00200176">
            <w:pPr>
              <w:pStyle w:val="Body"/>
              <w:rPr>
                <w:b/>
                <w:bCs/>
              </w:rPr>
            </w:pPr>
            <w:proofErr w:type="spellStart"/>
            <w:r w:rsidRPr="0096035F">
              <w:rPr>
                <w:b/>
                <w:bCs/>
              </w:rPr>
              <w:t>Beriplex</w:t>
            </w:r>
            <w:proofErr w:type="spellEnd"/>
            <w:r w:rsidRPr="0096035F">
              <w:rPr>
                <w:b/>
                <w:bCs/>
              </w:rPr>
              <w:t xml:space="preserve">® P/N and </w:t>
            </w:r>
            <w:proofErr w:type="spellStart"/>
            <w:r w:rsidRPr="0096035F">
              <w:rPr>
                <w:b/>
                <w:bCs/>
              </w:rPr>
              <w:t>Beriplex</w:t>
            </w:r>
            <w:proofErr w:type="spellEnd"/>
            <w:r w:rsidRPr="0096035F">
              <w:rPr>
                <w:b/>
                <w:bCs/>
              </w:rPr>
              <w:t>® AU</w:t>
            </w:r>
          </w:p>
        </w:tc>
      </w:tr>
      <w:tr w:rsidR="00797A3B" w14:paraId="4C53FE82" w14:textId="77777777" w:rsidTr="00543B02">
        <w:trPr>
          <w:trHeight w:val="394"/>
        </w:trPr>
        <w:tc>
          <w:tcPr>
            <w:tcW w:w="2547" w:type="dxa"/>
          </w:tcPr>
          <w:p w14:paraId="3BCDAA04" w14:textId="3348DE96" w:rsidR="00797A3B" w:rsidRDefault="00797A3B" w:rsidP="00200176">
            <w:pPr>
              <w:pStyle w:val="Body"/>
            </w:pPr>
            <w:r>
              <w:t>Presentation</w:t>
            </w:r>
          </w:p>
        </w:tc>
        <w:tc>
          <w:tcPr>
            <w:tcW w:w="3827" w:type="dxa"/>
          </w:tcPr>
          <w:p w14:paraId="5C004147" w14:textId="089C38B8" w:rsidR="00797A3B" w:rsidRDefault="00797A3B" w:rsidP="00200176">
            <w:pPr>
              <w:pStyle w:val="Body"/>
            </w:pPr>
            <w:r>
              <w:t>500 IU</w:t>
            </w:r>
          </w:p>
        </w:tc>
        <w:tc>
          <w:tcPr>
            <w:tcW w:w="3818" w:type="dxa"/>
          </w:tcPr>
          <w:p w14:paraId="10D53B3B" w14:textId="65697F17" w:rsidR="00797A3B" w:rsidRDefault="00797A3B" w:rsidP="00200176">
            <w:pPr>
              <w:pStyle w:val="Body"/>
            </w:pPr>
            <w:r>
              <w:t>500 IU</w:t>
            </w:r>
          </w:p>
        </w:tc>
      </w:tr>
      <w:tr w:rsidR="00797A3B" w14:paraId="4D46303F" w14:textId="77777777" w:rsidTr="00543B02">
        <w:trPr>
          <w:trHeight w:val="410"/>
        </w:trPr>
        <w:tc>
          <w:tcPr>
            <w:tcW w:w="2547" w:type="dxa"/>
          </w:tcPr>
          <w:p w14:paraId="4D5798F8" w14:textId="5FC44B60" w:rsidR="00797A3B" w:rsidRDefault="00797A3B" w:rsidP="00200176">
            <w:pPr>
              <w:pStyle w:val="Body"/>
            </w:pPr>
            <w:r>
              <w:t>Active ingredients</w:t>
            </w:r>
          </w:p>
        </w:tc>
        <w:tc>
          <w:tcPr>
            <w:tcW w:w="3827" w:type="dxa"/>
          </w:tcPr>
          <w:p w14:paraId="1EDE1ABB" w14:textId="25A32228" w:rsidR="00797A3B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IX (500 IU)</w:t>
            </w:r>
          </w:p>
          <w:p w14:paraId="7A6B4AC1" w14:textId="77777777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II (approx. 500 IU)</w:t>
            </w:r>
          </w:p>
          <w:p w14:paraId="34943078" w14:textId="0AADFB3D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X (approx. 500 IU)</w:t>
            </w:r>
          </w:p>
        </w:tc>
        <w:tc>
          <w:tcPr>
            <w:tcW w:w="3818" w:type="dxa"/>
          </w:tcPr>
          <w:p w14:paraId="4CB1B008" w14:textId="7C6DE058" w:rsidR="00797A3B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II (400-960 IU)</w:t>
            </w:r>
          </w:p>
          <w:p w14:paraId="4194FA54" w14:textId="60CF81E1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VII (200-500 IU)</w:t>
            </w:r>
          </w:p>
          <w:p w14:paraId="2E332D90" w14:textId="1D5E410A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IX (400-620 IU)</w:t>
            </w:r>
          </w:p>
          <w:p w14:paraId="17EB5B6B" w14:textId="792FCBF9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Factor X (440-1200 IU)</w:t>
            </w:r>
          </w:p>
          <w:p w14:paraId="24B1F9C7" w14:textId="3CB520C7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Protein C (300-900 IU)</w:t>
            </w:r>
          </w:p>
          <w:p w14:paraId="34144549" w14:textId="70A15EFF" w:rsidR="00B342DF" w:rsidRDefault="00B342DF" w:rsidP="00B342DF">
            <w:pPr>
              <w:pStyle w:val="Body"/>
              <w:numPr>
                <w:ilvl w:val="0"/>
                <w:numId w:val="21"/>
              </w:numPr>
              <w:spacing w:after="0"/>
            </w:pPr>
            <w:r>
              <w:t>Protein S (240-760 IU)</w:t>
            </w:r>
          </w:p>
        </w:tc>
      </w:tr>
      <w:tr w:rsidR="00797A3B" w14:paraId="4967C6AA" w14:textId="77777777" w:rsidTr="00543B02">
        <w:trPr>
          <w:trHeight w:val="394"/>
        </w:trPr>
        <w:tc>
          <w:tcPr>
            <w:tcW w:w="2547" w:type="dxa"/>
          </w:tcPr>
          <w:p w14:paraId="18B5AE5E" w14:textId="23B42BF1" w:rsidR="00797A3B" w:rsidRDefault="00B342DF" w:rsidP="00200176">
            <w:pPr>
              <w:pStyle w:val="Body"/>
            </w:pPr>
            <w:r>
              <w:lastRenderedPageBreak/>
              <w:t>Rate of administration</w:t>
            </w:r>
          </w:p>
        </w:tc>
        <w:tc>
          <w:tcPr>
            <w:tcW w:w="3827" w:type="dxa"/>
          </w:tcPr>
          <w:p w14:paraId="0CEEF896" w14:textId="2C894282" w:rsidR="00797A3B" w:rsidRDefault="00B342DF" w:rsidP="00200176">
            <w:pPr>
              <w:pStyle w:val="Body"/>
            </w:pPr>
            <w:r>
              <w:t>Approx. 3mL per minute or as tolerated by the patient</w:t>
            </w:r>
          </w:p>
        </w:tc>
        <w:tc>
          <w:tcPr>
            <w:tcW w:w="3818" w:type="dxa"/>
          </w:tcPr>
          <w:p w14:paraId="46C33AF4" w14:textId="5C9CB3E3" w:rsidR="00797A3B" w:rsidRDefault="00B342DF" w:rsidP="00200176">
            <w:pPr>
              <w:pStyle w:val="Body"/>
            </w:pPr>
            <w:r>
              <w:t>Not exceeding 3</w:t>
            </w:r>
            <w:r w:rsidR="00543B02">
              <w:t xml:space="preserve"> </w:t>
            </w:r>
            <w:r>
              <w:t xml:space="preserve">IU/kg body weight/minute. Max. 210 IU/minute, </w:t>
            </w:r>
            <w:proofErr w:type="gramStart"/>
            <w:r>
              <w:t>approx..</w:t>
            </w:r>
            <w:proofErr w:type="gramEnd"/>
            <w:r>
              <w:t xml:space="preserve"> 8mL</w:t>
            </w:r>
            <w:r w:rsidR="00543B02">
              <w:t xml:space="preserve"> per </w:t>
            </w:r>
            <w:r>
              <w:t>minute</w:t>
            </w:r>
          </w:p>
        </w:tc>
      </w:tr>
      <w:tr w:rsidR="00797A3B" w14:paraId="048C270F" w14:textId="77777777" w:rsidTr="00543B02">
        <w:trPr>
          <w:trHeight w:val="394"/>
        </w:trPr>
        <w:tc>
          <w:tcPr>
            <w:tcW w:w="2547" w:type="dxa"/>
          </w:tcPr>
          <w:p w14:paraId="2D3D4BA4" w14:textId="7352AA05" w:rsidR="00797A3B" w:rsidRDefault="0096035F" w:rsidP="00200176">
            <w:pPr>
              <w:pStyle w:val="Body"/>
            </w:pPr>
            <w:r>
              <w:t>Storage conditions</w:t>
            </w:r>
          </w:p>
        </w:tc>
        <w:tc>
          <w:tcPr>
            <w:tcW w:w="3827" w:type="dxa"/>
          </w:tcPr>
          <w:p w14:paraId="34306F90" w14:textId="77777777" w:rsidR="00797A3B" w:rsidRDefault="0096035F" w:rsidP="00200176">
            <w:pPr>
              <w:pStyle w:val="Body"/>
            </w:pPr>
            <w:r>
              <w:t>Store 2-8</w:t>
            </w:r>
            <w:r w:rsidRPr="0096035F">
              <w:rPr>
                <w:vertAlign w:val="superscript"/>
              </w:rPr>
              <w:t>o</w:t>
            </w:r>
            <w:r>
              <w:t>C (do not freeze)</w:t>
            </w:r>
          </w:p>
          <w:p w14:paraId="238B8AED" w14:textId="155BD77D" w:rsidR="0096035F" w:rsidRDefault="0096035F" w:rsidP="00200176">
            <w:pPr>
              <w:pStyle w:val="Body"/>
            </w:pPr>
            <w:r>
              <w:t>Can be stored below 25</w:t>
            </w:r>
            <w:r w:rsidRPr="0096035F">
              <w:rPr>
                <w:vertAlign w:val="superscript"/>
              </w:rPr>
              <w:t>o</w:t>
            </w:r>
            <w:r>
              <w:t>C for a single continuous period of 6 months</w:t>
            </w:r>
          </w:p>
        </w:tc>
        <w:tc>
          <w:tcPr>
            <w:tcW w:w="3818" w:type="dxa"/>
          </w:tcPr>
          <w:p w14:paraId="3B5D705A" w14:textId="4F303187" w:rsidR="00797A3B" w:rsidRDefault="0096035F" w:rsidP="00200176">
            <w:pPr>
              <w:pStyle w:val="Body"/>
            </w:pPr>
            <w:r>
              <w:t>Store below 25</w:t>
            </w:r>
            <w:r w:rsidRPr="0096035F">
              <w:rPr>
                <w:vertAlign w:val="superscript"/>
              </w:rPr>
              <w:t>o</w:t>
            </w:r>
            <w:r>
              <w:t>C (do not freeze)</w:t>
            </w:r>
          </w:p>
        </w:tc>
      </w:tr>
      <w:tr w:rsidR="00797A3B" w14:paraId="7E5A3C16" w14:textId="77777777" w:rsidTr="00543B02">
        <w:trPr>
          <w:trHeight w:val="410"/>
        </w:trPr>
        <w:tc>
          <w:tcPr>
            <w:tcW w:w="2547" w:type="dxa"/>
          </w:tcPr>
          <w:p w14:paraId="0FC3111E" w14:textId="6BFC53CD" w:rsidR="00797A3B" w:rsidRDefault="0096035F" w:rsidP="00200176">
            <w:pPr>
              <w:pStyle w:val="Body"/>
            </w:pPr>
            <w:r>
              <w:t xml:space="preserve">Shelf life </w:t>
            </w:r>
          </w:p>
        </w:tc>
        <w:tc>
          <w:tcPr>
            <w:tcW w:w="3827" w:type="dxa"/>
          </w:tcPr>
          <w:p w14:paraId="497454E2" w14:textId="4CF3568A" w:rsidR="00797A3B" w:rsidRDefault="0096035F" w:rsidP="00200176">
            <w:pPr>
              <w:pStyle w:val="Body"/>
            </w:pPr>
            <w:r>
              <w:t>3 years</w:t>
            </w:r>
          </w:p>
        </w:tc>
        <w:tc>
          <w:tcPr>
            <w:tcW w:w="3818" w:type="dxa"/>
          </w:tcPr>
          <w:p w14:paraId="0EE949A8" w14:textId="2722D8D0" w:rsidR="00797A3B" w:rsidRDefault="0096035F" w:rsidP="00200176">
            <w:pPr>
              <w:pStyle w:val="Body"/>
            </w:pPr>
            <w:r>
              <w:t>3 Years</w:t>
            </w:r>
          </w:p>
        </w:tc>
      </w:tr>
      <w:tr w:rsidR="00797A3B" w14:paraId="4998240C" w14:textId="77777777" w:rsidTr="00543B02">
        <w:trPr>
          <w:trHeight w:val="394"/>
        </w:trPr>
        <w:tc>
          <w:tcPr>
            <w:tcW w:w="2547" w:type="dxa"/>
          </w:tcPr>
          <w:p w14:paraId="66C00469" w14:textId="7E494F2B" w:rsidR="00797A3B" w:rsidRDefault="0096035F" w:rsidP="00200176">
            <w:pPr>
              <w:pStyle w:val="Body"/>
            </w:pPr>
            <w:r>
              <w:t>Plasma source</w:t>
            </w:r>
          </w:p>
        </w:tc>
        <w:tc>
          <w:tcPr>
            <w:tcW w:w="3827" w:type="dxa"/>
          </w:tcPr>
          <w:p w14:paraId="6F762A0D" w14:textId="1D6D0C2E" w:rsidR="00797A3B" w:rsidRDefault="0096035F" w:rsidP="00200176">
            <w:pPr>
              <w:pStyle w:val="Body"/>
            </w:pPr>
            <w:r>
              <w:t>Australia</w:t>
            </w:r>
          </w:p>
        </w:tc>
        <w:tc>
          <w:tcPr>
            <w:tcW w:w="3818" w:type="dxa"/>
          </w:tcPr>
          <w:p w14:paraId="1A029F63" w14:textId="07173A87" w:rsidR="00797A3B" w:rsidRDefault="0096035F" w:rsidP="00200176">
            <w:pPr>
              <w:pStyle w:val="Body"/>
            </w:pPr>
            <w:proofErr w:type="spellStart"/>
            <w:r w:rsidRPr="00797A3B">
              <w:t>Beriplex</w:t>
            </w:r>
            <w:proofErr w:type="spellEnd"/>
            <w:r w:rsidRPr="00797A3B">
              <w:t>® P/N</w:t>
            </w:r>
            <w:r>
              <w:t xml:space="preserve"> – International</w:t>
            </w:r>
          </w:p>
          <w:p w14:paraId="233822DF" w14:textId="47AB795F" w:rsidR="0096035F" w:rsidRDefault="0096035F" w:rsidP="00200176">
            <w:pPr>
              <w:pStyle w:val="Body"/>
            </w:pPr>
            <w:proofErr w:type="spellStart"/>
            <w:r w:rsidRPr="00797A3B">
              <w:t>Beriplex</w:t>
            </w:r>
            <w:proofErr w:type="spellEnd"/>
            <w:r w:rsidRPr="00797A3B">
              <w:t xml:space="preserve">® </w:t>
            </w:r>
            <w:r>
              <w:t>AU - Australia</w:t>
            </w:r>
          </w:p>
        </w:tc>
      </w:tr>
      <w:tr w:rsidR="00797A3B" w14:paraId="4DC95DB0" w14:textId="77777777" w:rsidTr="00543B02">
        <w:trPr>
          <w:trHeight w:val="394"/>
        </w:trPr>
        <w:tc>
          <w:tcPr>
            <w:tcW w:w="2547" w:type="dxa"/>
          </w:tcPr>
          <w:p w14:paraId="6CABBF24" w14:textId="5067E5AD" w:rsidR="00797A3B" w:rsidRDefault="0096035F" w:rsidP="00200176">
            <w:pPr>
              <w:pStyle w:val="Body"/>
            </w:pPr>
            <w:r>
              <w:t>Estimated available date</w:t>
            </w:r>
          </w:p>
        </w:tc>
        <w:tc>
          <w:tcPr>
            <w:tcW w:w="3827" w:type="dxa"/>
          </w:tcPr>
          <w:p w14:paraId="13D0BFAB" w14:textId="3142B6E2" w:rsidR="00797A3B" w:rsidRDefault="0096035F" w:rsidP="00200176">
            <w:pPr>
              <w:pStyle w:val="Body"/>
            </w:pPr>
            <w:r>
              <w:t xml:space="preserve">Until </w:t>
            </w:r>
            <w:proofErr w:type="spellStart"/>
            <w:r>
              <w:t>mid 2024</w:t>
            </w:r>
            <w:proofErr w:type="spellEnd"/>
          </w:p>
        </w:tc>
        <w:tc>
          <w:tcPr>
            <w:tcW w:w="3818" w:type="dxa"/>
          </w:tcPr>
          <w:p w14:paraId="48E3B48D" w14:textId="4FB01FEF" w:rsidR="0096035F" w:rsidRDefault="0096035F" w:rsidP="0096035F">
            <w:pPr>
              <w:pStyle w:val="Body"/>
            </w:pPr>
            <w:proofErr w:type="spellStart"/>
            <w:r w:rsidRPr="00797A3B">
              <w:t>Beriplex</w:t>
            </w:r>
            <w:proofErr w:type="spellEnd"/>
            <w:r w:rsidRPr="00797A3B">
              <w:t>® P/N</w:t>
            </w:r>
            <w:r>
              <w:t xml:space="preserve"> – From </w:t>
            </w:r>
            <w:r w:rsidR="00543B02">
              <w:t>mid-2024</w:t>
            </w:r>
          </w:p>
          <w:p w14:paraId="4A55B2B3" w14:textId="730F5F81" w:rsidR="00797A3B" w:rsidRDefault="0096035F" w:rsidP="0096035F">
            <w:pPr>
              <w:pStyle w:val="Body"/>
            </w:pPr>
            <w:proofErr w:type="spellStart"/>
            <w:r w:rsidRPr="00797A3B">
              <w:t>Beriplex</w:t>
            </w:r>
            <w:proofErr w:type="spellEnd"/>
            <w:r w:rsidRPr="00797A3B">
              <w:t xml:space="preserve">® </w:t>
            </w:r>
            <w:r>
              <w:t>AU – From late 2024 to early 2025*</w:t>
            </w:r>
          </w:p>
        </w:tc>
      </w:tr>
    </w:tbl>
    <w:p w14:paraId="27B43D6B" w14:textId="7EE051F8" w:rsidR="00200176" w:rsidRDefault="0096035F" w:rsidP="00200176">
      <w:pPr>
        <w:pStyle w:val="Body"/>
      </w:pPr>
      <w:r>
        <w:t>* Variation to manufacturing using Australian plasma pending regulatory approval.</w:t>
      </w:r>
    </w:p>
    <w:p w14:paraId="170435BC" w14:textId="77777777" w:rsidR="0096035F" w:rsidRPr="00200176" w:rsidRDefault="0096035F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0F938E94" w14:textId="77777777" w:rsidTr="00F440E0">
        <w:tc>
          <w:tcPr>
            <w:tcW w:w="10194" w:type="dxa"/>
          </w:tcPr>
          <w:p w14:paraId="48A4ED10" w14:textId="41FDF750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A14508">
              <w:t xml:space="preserve"> </w:t>
            </w:r>
            <w:r w:rsidR="00A14508"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email </w:t>
            </w:r>
            <w:r w:rsidR="00A14508">
              <w:t>Blood Matters</w:t>
            </w:r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A14508">
              <w:rPr>
                <w:color w:val="004C97"/>
              </w:rPr>
              <w:t>Bloodmatters@redcrossblood.org.au</w:t>
            </w:r>
            <w:r w:rsidRPr="0055119B">
              <w:t>&gt;.</w:t>
            </w:r>
          </w:p>
          <w:p w14:paraId="7A276BAE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5AEF7D" w14:textId="783C3403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9612C2">
              <w:t>August</w:t>
            </w:r>
            <w:r w:rsidR="00A14508">
              <w:t xml:space="preserve"> 2024</w:t>
            </w:r>
            <w:r w:rsidRPr="0055119B">
              <w:t>.</w:t>
            </w:r>
          </w:p>
          <w:p w14:paraId="53148FC3" w14:textId="0AF60760" w:rsidR="0055119B" w:rsidRPr="0055119B" w:rsidRDefault="0055119B" w:rsidP="00E33237">
            <w:pPr>
              <w:pStyle w:val="Imprint"/>
            </w:pPr>
            <w:r w:rsidRPr="009D7E06">
              <w:rPr>
                <w:b/>
                <w:bCs/>
              </w:rPr>
              <w:t xml:space="preserve">ISBN </w:t>
            </w:r>
            <w:r w:rsidR="007B5EB8" w:rsidRPr="007B5EB8">
              <w:t xml:space="preserve">978-1-76131-582-4 </w:t>
            </w:r>
            <w:r w:rsidRPr="009D7E06">
              <w:rPr>
                <w:b/>
                <w:bCs/>
              </w:rPr>
              <w:t xml:space="preserve">(online/PDF/Word) </w:t>
            </w:r>
          </w:p>
          <w:p w14:paraId="56DC0DD8" w14:textId="54A4E9B5" w:rsidR="0055119B" w:rsidRP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1" w:history="1">
              <w:r w:rsidR="00A14508" w:rsidRPr="00A14508">
                <w:rPr>
                  <w:rStyle w:val="Hyperlink"/>
                </w:rPr>
                <w:t>Blood Matters</w:t>
              </w:r>
            </w:hyperlink>
            <w:r w:rsidRPr="0055119B">
              <w:t xml:space="preserve"> &lt;</w:t>
            </w:r>
            <w:r w:rsidR="00A14508">
              <w:t>www.health.vic.gov.au/patient-care/blood-matters-program</w:t>
            </w:r>
            <w:r w:rsidRPr="0055119B">
              <w:t>&gt;</w:t>
            </w:r>
          </w:p>
          <w:p w14:paraId="530C07C9" w14:textId="22CA640C" w:rsidR="0055119B" w:rsidRDefault="0055119B" w:rsidP="00E33237">
            <w:pPr>
              <w:pStyle w:val="Imprint"/>
            </w:pPr>
          </w:p>
        </w:tc>
      </w:tr>
      <w:bookmarkEnd w:id="1"/>
    </w:tbl>
    <w:p w14:paraId="2AD16E1A" w14:textId="77777777" w:rsidR="00162CA9" w:rsidRDefault="00162CA9" w:rsidP="00162CA9">
      <w:pPr>
        <w:pStyle w:val="Body"/>
      </w:pPr>
    </w:p>
    <w:p w14:paraId="5071DB3A" w14:textId="77777777" w:rsidR="0046536F" w:rsidRDefault="0046536F" w:rsidP="00162CA9">
      <w:pPr>
        <w:pStyle w:val="Body"/>
      </w:pPr>
    </w:p>
    <w:p w14:paraId="452D87CE" w14:textId="77777777" w:rsidR="0046536F" w:rsidRDefault="0046536F" w:rsidP="00162CA9">
      <w:pPr>
        <w:pStyle w:val="Body"/>
      </w:pPr>
    </w:p>
    <w:p w14:paraId="1AEB563E" w14:textId="77777777" w:rsidR="0046536F" w:rsidRDefault="0046536F" w:rsidP="00162CA9">
      <w:pPr>
        <w:pStyle w:val="Body"/>
      </w:pPr>
    </w:p>
    <w:p w14:paraId="41F9D28D" w14:textId="77777777" w:rsidR="0046536F" w:rsidRDefault="0046536F" w:rsidP="00162CA9">
      <w:pPr>
        <w:pStyle w:val="Body"/>
      </w:pPr>
    </w:p>
    <w:p w14:paraId="6B695909" w14:textId="77777777" w:rsidR="0046536F" w:rsidRDefault="0046536F" w:rsidP="00162CA9">
      <w:pPr>
        <w:pStyle w:val="Body"/>
      </w:pPr>
    </w:p>
    <w:p w14:paraId="1275FB09" w14:textId="77777777" w:rsidR="0046536F" w:rsidRDefault="0046536F" w:rsidP="00162CA9">
      <w:pPr>
        <w:pStyle w:val="Body"/>
      </w:pPr>
    </w:p>
    <w:p w14:paraId="663B9AAE" w14:textId="77777777" w:rsidR="0046536F" w:rsidRDefault="0046536F" w:rsidP="00162CA9">
      <w:pPr>
        <w:pStyle w:val="Body"/>
      </w:pPr>
    </w:p>
    <w:p w14:paraId="5C1B35C0" w14:textId="33278E7E" w:rsidR="00C240B2" w:rsidRDefault="0046536F" w:rsidP="00162CA9">
      <w:pPr>
        <w:pStyle w:val="Body"/>
      </w:pPr>
      <w:r>
        <w:rPr>
          <w:noProof/>
        </w:rPr>
        <w:lastRenderedPageBreak/>
        <w:drawing>
          <wp:inline distT="0" distB="0" distL="0" distR="0" wp14:anchorId="0F9247A6" wp14:editId="4BC82585">
            <wp:extent cx="6479540" cy="4612005"/>
            <wp:effectExtent l="0" t="0" r="0" b="0"/>
            <wp:docPr id="1889672944" name="Picture 1" descr="Comparison of Prothrombinex®-VF and Beriplex® P/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72944" name="Picture 1" descr="Comparison of Prothrombinex®-VF and Beriplex® P/N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85F5" w14:textId="77777777" w:rsidR="0046536F" w:rsidRDefault="0046536F" w:rsidP="00162CA9">
      <w:pPr>
        <w:pStyle w:val="Body"/>
      </w:pPr>
    </w:p>
    <w:sectPr w:rsidR="0046536F" w:rsidSect="00AC6D83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420AD" w14:textId="77777777" w:rsidR="00BB706F" w:rsidRDefault="00BB706F">
      <w:r>
        <w:separator/>
      </w:r>
    </w:p>
  </w:endnote>
  <w:endnote w:type="continuationSeparator" w:id="0">
    <w:p w14:paraId="291EAB83" w14:textId="77777777" w:rsidR="00BB706F" w:rsidRDefault="00BB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AC6AB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60AE70DC" wp14:editId="3FF08370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0E0CD2E1" wp14:editId="1D02BF7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F88E6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CD2E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6F88E6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ACF6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0D789EF0" wp14:editId="67761B1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6E5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89EF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646E5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69C0E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8F9A974" wp14:editId="5CE6A3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CF6DC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9A97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5CF6DC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E230" w14:textId="77777777" w:rsidR="00BB706F" w:rsidRDefault="00BB706F" w:rsidP="002862F1">
      <w:pPr>
        <w:spacing w:before="120"/>
      </w:pPr>
      <w:r>
        <w:separator/>
      </w:r>
    </w:p>
  </w:footnote>
  <w:footnote w:type="continuationSeparator" w:id="0">
    <w:p w14:paraId="4399979C" w14:textId="77777777" w:rsidR="00BB706F" w:rsidRDefault="00BB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EE55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DC1F3" w14:textId="0752D152" w:rsidR="00E261B3" w:rsidRPr="0051568D" w:rsidRDefault="00401073" w:rsidP="0011701A">
    <w:pPr>
      <w:pStyle w:val="Header"/>
    </w:pPr>
    <w:r>
      <w:t>Comparison of Prothrombinex</w:t>
    </w:r>
    <w:r w:rsidRPr="00401073">
      <w:rPr>
        <w:vertAlign w:val="superscript"/>
      </w:rPr>
      <w:t>®</w:t>
    </w:r>
    <w:r>
      <w:t>-VF and Beriplex</w:t>
    </w:r>
    <w:r w:rsidRPr="00401073">
      <w:rPr>
        <w:vertAlign w:val="superscript"/>
      </w:rPr>
      <w:t>®</w:t>
    </w:r>
    <w:r>
      <w:t xml:space="preserve"> P/N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4259"/>
    <w:multiLevelType w:val="hybridMultilevel"/>
    <w:tmpl w:val="34283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311360"/>
    <w:multiLevelType w:val="hybridMultilevel"/>
    <w:tmpl w:val="A91C3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3DF5"/>
    <w:multiLevelType w:val="hybridMultilevel"/>
    <w:tmpl w:val="E3C8057C"/>
    <w:lvl w:ilvl="0" w:tplc="3228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0240"/>
    <w:multiLevelType w:val="hybridMultilevel"/>
    <w:tmpl w:val="73E82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07E65C0"/>
    <w:multiLevelType w:val="hybridMultilevel"/>
    <w:tmpl w:val="07B03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6E18"/>
    <w:multiLevelType w:val="hybridMultilevel"/>
    <w:tmpl w:val="D8141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F4B41"/>
    <w:multiLevelType w:val="hybridMultilevel"/>
    <w:tmpl w:val="F4C000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8A16A2"/>
    <w:multiLevelType w:val="hybridMultilevel"/>
    <w:tmpl w:val="ECDEC4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89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6186A"/>
    <w:multiLevelType w:val="hybridMultilevel"/>
    <w:tmpl w:val="AE66E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7428AE"/>
    <w:multiLevelType w:val="hybridMultilevel"/>
    <w:tmpl w:val="0C8A5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11C17"/>
    <w:multiLevelType w:val="hybridMultilevel"/>
    <w:tmpl w:val="B64612FE"/>
    <w:lvl w:ilvl="0" w:tplc="3228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3C5F"/>
    <w:multiLevelType w:val="hybridMultilevel"/>
    <w:tmpl w:val="B3BA8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3264C"/>
    <w:multiLevelType w:val="hybridMultilevel"/>
    <w:tmpl w:val="2AE85F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89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442F"/>
    <w:multiLevelType w:val="hybridMultilevel"/>
    <w:tmpl w:val="ADF2C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A232B"/>
    <w:multiLevelType w:val="hybridMultilevel"/>
    <w:tmpl w:val="FF9C89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89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4603">
    <w:abstractNumId w:val="5"/>
  </w:num>
  <w:num w:numId="2" w16cid:durableId="365644812">
    <w:abstractNumId w:val="11"/>
  </w:num>
  <w:num w:numId="3" w16cid:durableId="1849981010">
    <w:abstractNumId w:val="10"/>
  </w:num>
  <w:num w:numId="4" w16cid:durableId="1952662434">
    <w:abstractNumId w:val="14"/>
  </w:num>
  <w:num w:numId="5" w16cid:durableId="2134324778">
    <w:abstractNumId w:val="6"/>
  </w:num>
  <w:num w:numId="6" w16cid:durableId="477235777">
    <w:abstractNumId w:val="1"/>
  </w:num>
  <w:num w:numId="7" w16cid:durableId="1582521965">
    <w:abstractNumId w:val="8"/>
  </w:num>
  <w:num w:numId="8" w16cid:durableId="816724257">
    <w:abstractNumId w:val="19"/>
  </w:num>
  <w:num w:numId="9" w16cid:durableId="233054004">
    <w:abstractNumId w:val="7"/>
  </w:num>
  <w:num w:numId="10" w16cid:durableId="379785983">
    <w:abstractNumId w:val="17"/>
  </w:num>
  <w:num w:numId="11" w16cid:durableId="50808702">
    <w:abstractNumId w:val="0"/>
  </w:num>
  <w:num w:numId="12" w16cid:durableId="32732448">
    <w:abstractNumId w:val="3"/>
  </w:num>
  <w:num w:numId="13" w16cid:durableId="70931267">
    <w:abstractNumId w:val="12"/>
  </w:num>
  <w:num w:numId="14" w16cid:durableId="1788349613">
    <w:abstractNumId w:val="20"/>
  </w:num>
  <w:num w:numId="15" w16cid:durableId="879781289">
    <w:abstractNumId w:val="13"/>
  </w:num>
  <w:num w:numId="16" w16cid:durableId="1291278305">
    <w:abstractNumId w:val="16"/>
  </w:num>
  <w:num w:numId="17" w16cid:durableId="99683290">
    <w:abstractNumId w:val="2"/>
  </w:num>
  <w:num w:numId="18" w16cid:durableId="1632130816">
    <w:abstractNumId w:val="15"/>
  </w:num>
  <w:num w:numId="19" w16cid:durableId="247269570">
    <w:abstractNumId w:val="4"/>
  </w:num>
  <w:num w:numId="20" w16cid:durableId="2002272100">
    <w:abstractNumId w:val="18"/>
  </w:num>
  <w:num w:numId="21" w16cid:durableId="94977635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F4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54F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1C5"/>
    <w:rsid w:val="00093402"/>
    <w:rsid w:val="00093796"/>
    <w:rsid w:val="00094D29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113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17566"/>
    <w:rsid w:val="00120BD3"/>
    <w:rsid w:val="00122FEA"/>
    <w:rsid w:val="001232BD"/>
    <w:rsid w:val="00124ED5"/>
    <w:rsid w:val="001276FA"/>
    <w:rsid w:val="0014255B"/>
    <w:rsid w:val="001447B3"/>
    <w:rsid w:val="00152073"/>
    <w:rsid w:val="0015340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4185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E6A"/>
    <w:rsid w:val="001B058F"/>
    <w:rsid w:val="001B738B"/>
    <w:rsid w:val="001C09DB"/>
    <w:rsid w:val="001C0DA2"/>
    <w:rsid w:val="001C1645"/>
    <w:rsid w:val="001C277E"/>
    <w:rsid w:val="001C2A72"/>
    <w:rsid w:val="001C31B7"/>
    <w:rsid w:val="001C4F10"/>
    <w:rsid w:val="001D0B75"/>
    <w:rsid w:val="001D39A5"/>
    <w:rsid w:val="001D3C09"/>
    <w:rsid w:val="001D44E8"/>
    <w:rsid w:val="001D583B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4F50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6B1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32D6"/>
    <w:rsid w:val="002862F1"/>
    <w:rsid w:val="00291373"/>
    <w:rsid w:val="00292F08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425"/>
    <w:rsid w:val="002D1E0D"/>
    <w:rsid w:val="002D5006"/>
    <w:rsid w:val="002E01D0"/>
    <w:rsid w:val="002E161D"/>
    <w:rsid w:val="002E3100"/>
    <w:rsid w:val="002E4F0B"/>
    <w:rsid w:val="002E6C95"/>
    <w:rsid w:val="002E7C36"/>
    <w:rsid w:val="002F0107"/>
    <w:rsid w:val="002F3D32"/>
    <w:rsid w:val="002F5F31"/>
    <w:rsid w:val="002F5F46"/>
    <w:rsid w:val="002F6CDB"/>
    <w:rsid w:val="00302216"/>
    <w:rsid w:val="00303E53"/>
    <w:rsid w:val="00305CC1"/>
    <w:rsid w:val="00306E5F"/>
    <w:rsid w:val="00307E14"/>
    <w:rsid w:val="00314054"/>
    <w:rsid w:val="00315BD8"/>
    <w:rsid w:val="00316F27"/>
    <w:rsid w:val="003171CE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B790D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24E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073"/>
    <w:rsid w:val="004013C7"/>
    <w:rsid w:val="00401FCF"/>
    <w:rsid w:val="0040248F"/>
    <w:rsid w:val="004027D0"/>
    <w:rsid w:val="004056C8"/>
    <w:rsid w:val="00406285"/>
    <w:rsid w:val="004112C6"/>
    <w:rsid w:val="004148F9"/>
    <w:rsid w:val="00414D4A"/>
    <w:rsid w:val="0042084E"/>
    <w:rsid w:val="00421EEF"/>
    <w:rsid w:val="00424D65"/>
    <w:rsid w:val="00433CA7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36F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1103"/>
    <w:rsid w:val="004F2133"/>
    <w:rsid w:val="004F5398"/>
    <w:rsid w:val="004F55F1"/>
    <w:rsid w:val="004F6936"/>
    <w:rsid w:val="00503DC6"/>
    <w:rsid w:val="00506C20"/>
    <w:rsid w:val="00506F5D"/>
    <w:rsid w:val="00510C37"/>
    <w:rsid w:val="005126D0"/>
    <w:rsid w:val="0051568D"/>
    <w:rsid w:val="00526AC7"/>
    <w:rsid w:val="00526C15"/>
    <w:rsid w:val="00536395"/>
    <w:rsid w:val="00536499"/>
    <w:rsid w:val="005413B2"/>
    <w:rsid w:val="00543903"/>
    <w:rsid w:val="00543B02"/>
    <w:rsid w:val="00543F11"/>
    <w:rsid w:val="00546305"/>
    <w:rsid w:val="005478B1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11B7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4515"/>
    <w:rsid w:val="005D6597"/>
    <w:rsid w:val="005E14E7"/>
    <w:rsid w:val="005E1EF4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1F0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26EF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0FF4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318"/>
    <w:rsid w:val="00767F15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A3B"/>
    <w:rsid w:val="00797C32"/>
    <w:rsid w:val="007A11E8"/>
    <w:rsid w:val="007B0914"/>
    <w:rsid w:val="007B1374"/>
    <w:rsid w:val="007B2FFB"/>
    <w:rsid w:val="007B32E5"/>
    <w:rsid w:val="007B3DB9"/>
    <w:rsid w:val="007B589F"/>
    <w:rsid w:val="007B5EB8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593E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3F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6A2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64F7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6721"/>
    <w:rsid w:val="009111B2"/>
    <w:rsid w:val="00911AEA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F03"/>
    <w:rsid w:val="00950E2C"/>
    <w:rsid w:val="00951D50"/>
    <w:rsid w:val="009525EB"/>
    <w:rsid w:val="0095470B"/>
    <w:rsid w:val="00954874"/>
    <w:rsid w:val="0095615A"/>
    <w:rsid w:val="0096035F"/>
    <w:rsid w:val="009612C2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6539"/>
    <w:rsid w:val="009B70AA"/>
    <w:rsid w:val="009C5E77"/>
    <w:rsid w:val="009C7A7E"/>
    <w:rsid w:val="009D02E8"/>
    <w:rsid w:val="009D51D0"/>
    <w:rsid w:val="009D5F0A"/>
    <w:rsid w:val="009D70A4"/>
    <w:rsid w:val="009D7B14"/>
    <w:rsid w:val="009D7E06"/>
    <w:rsid w:val="009E08D1"/>
    <w:rsid w:val="009E1B95"/>
    <w:rsid w:val="009E496F"/>
    <w:rsid w:val="009E4B0D"/>
    <w:rsid w:val="009E5250"/>
    <w:rsid w:val="009E7F92"/>
    <w:rsid w:val="009F02A3"/>
    <w:rsid w:val="009F17BE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4508"/>
    <w:rsid w:val="00A157B1"/>
    <w:rsid w:val="00A22229"/>
    <w:rsid w:val="00A24442"/>
    <w:rsid w:val="00A330BB"/>
    <w:rsid w:val="00A44882"/>
    <w:rsid w:val="00A45125"/>
    <w:rsid w:val="00A478E4"/>
    <w:rsid w:val="00A50034"/>
    <w:rsid w:val="00A54715"/>
    <w:rsid w:val="00A6061C"/>
    <w:rsid w:val="00A62D44"/>
    <w:rsid w:val="00A62EC1"/>
    <w:rsid w:val="00A647EF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C6D83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1FE7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2DF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28A"/>
    <w:rsid w:val="00B90729"/>
    <w:rsid w:val="00B907DA"/>
    <w:rsid w:val="00B94CD5"/>
    <w:rsid w:val="00B950BC"/>
    <w:rsid w:val="00B9714C"/>
    <w:rsid w:val="00B9774E"/>
    <w:rsid w:val="00BA29AD"/>
    <w:rsid w:val="00BA33CF"/>
    <w:rsid w:val="00BA3F8D"/>
    <w:rsid w:val="00BB0822"/>
    <w:rsid w:val="00BB706F"/>
    <w:rsid w:val="00BB7A10"/>
    <w:rsid w:val="00BC3E8F"/>
    <w:rsid w:val="00BC60BE"/>
    <w:rsid w:val="00BC7468"/>
    <w:rsid w:val="00BC7D4F"/>
    <w:rsid w:val="00BC7ED7"/>
    <w:rsid w:val="00BD20A1"/>
    <w:rsid w:val="00BD2850"/>
    <w:rsid w:val="00BD2AC5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40B2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6CCD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5C6A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30A3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D0B"/>
    <w:rsid w:val="00D21BAE"/>
    <w:rsid w:val="00D23316"/>
    <w:rsid w:val="00D3185C"/>
    <w:rsid w:val="00D3205F"/>
    <w:rsid w:val="00D3318E"/>
    <w:rsid w:val="00D33E72"/>
    <w:rsid w:val="00D35BD6"/>
    <w:rsid w:val="00D361B5"/>
    <w:rsid w:val="00D405AC"/>
    <w:rsid w:val="00D411A2"/>
    <w:rsid w:val="00D44BFC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30A4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335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32FA"/>
    <w:rsid w:val="00DF50FC"/>
    <w:rsid w:val="00DF68C7"/>
    <w:rsid w:val="00DF731A"/>
    <w:rsid w:val="00E06B75"/>
    <w:rsid w:val="00E11332"/>
    <w:rsid w:val="00E11352"/>
    <w:rsid w:val="00E170DC"/>
    <w:rsid w:val="00E1715B"/>
    <w:rsid w:val="00E17546"/>
    <w:rsid w:val="00E210B5"/>
    <w:rsid w:val="00E261B3"/>
    <w:rsid w:val="00E26818"/>
    <w:rsid w:val="00E27FFC"/>
    <w:rsid w:val="00E30B15"/>
    <w:rsid w:val="00E33237"/>
    <w:rsid w:val="00E40181"/>
    <w:rsid w:val="00E46B69"/>
    <w:rsid w:val="00E54950"/>
    <w:rsid w:val="00E56A01"/>
    <w:rsid w:val="00E61EFF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370"/>
    <w:rsid w:val="00F43A37"/>
    <w:rsid w:val="00F440E0"/>
    <w:rsid w:val="00F451AB"/>
    <w:rsid w:val="00F4641B"/>
    <w:rsid w:val="00F46EB8"/>
    <w:rsid w:val="00F50CD1"/>
    <w:rsid w:val="00F511E4"/>
    <w:rsid w:val="00F51C16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86B85"/>
  <w15:docId w15:val="{F500817A-97A6-4F27-BB04-387DBFCC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710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labeling.cslbehring.com/PI/AU/PROTHROMBINEX-VF/EN/PROTHROMBINEX-VF-Product-Informatio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blood-matters-progra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mja.com.au/journal/2013/198/4/update-consensus-guidelines-warfarin-revers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clhennessy\AppData\Local\Microsoft\Windows\INetCache\Content.Outlook\I7CHXBP6\National%20Blood%20Authority%20website%20%3chttps:\www.blood.gov.au%3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slbehring.com.au/products/products-lis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cslbehring.com.au/-/media/cslb-australia/documents/aus-pis-and-cmis/beriplex-pn-pi-60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9262fe-586d-4d19-94d3-2a13903414dc}" enabled="1" method="Privileged" siteId="{957b3627-a629-4769-908d-ff92d7d332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 Prothrombinex Beriplex factsheet</vt:lpstr>
    </vt:vector>
  </TitlesOfParts>
  <Manager/>
  <Company>Victoria State Government, Department of Health, Blood Matters</Company>
  <LinksUpToDate>false</LinksUpToDate>
  <CharactersWithSpaces>10575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Prothrombinex Beriplex factsheet</dc:title>
  <dc:subject>Comparison Prothrombinex Beriplex</dc:subject>
  <dc:creator>Blood Matters</dc:creator>
  <cp:keywords>Prothrombinex-VF;Beriplex P/N;Prothrombin Complex Concentrate</cp:keywords>
  <dc:description/>
  <cp:lastModifiedBy>Claire East (Health)</cp:lastModifiedBy>
  <cp:revision>3</cp:revision>
  <cp:lastPrinted>2020-03-30T03:28:00Z</cp:lastPrinted>
  <dcterms:created xsi:type="dcterms:W3CDTF">2024-08-27T23:31:00Z</dcterms:created>
  <dcterms:modified xsi:type="dcterms:W3CDTF">2024-09-03T02:26:00Z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