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BAC44"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30F86892" wp14:editId="6EB32498">
            <wp:simplePos x="0" y="0"/>
            <wp:positionH relativeFrom="page">
              <wp:align>right</wp:align>
            </wp:positionH>
            <wp:positionV relativeFrom="page">
              <wp:posOffset>8255</wp:posOffset>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5967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8CA82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W w:w="10348" w:type="dxa"/>
        <w:tblLook w:val="04A0" w:firstRow="1" w:lastRow="0" w:firstColumn="1" w:lastColumn="0" w:noHBand="0" w:noVBand="1"/>
      </w:tblPr>
      <w:tblGrid>
        <w:gridCol w:w="10348"/>
      </w:tblGrid>
      <w:tr w:rsidR="003B5733" w14:paraId="30B387EB" w14:textId="77777777" w:rsidTr="00194BBC">
        <w:trPr>
          <w:trHeight w:val="622"/>
        </w:trPr>
        <w:tc>
          <w:tcPr>
            <w:tcW w:w="10348" w:type="dxa"/>
          </w:tcPr>
          <w:p w14:paraId="4A4CC4BF" w14:textId="77777777" w:rsidR="003A5D81" w:rsidRDefault="003A5D81" w:rsidP="003B5733">
            <w:pPr>
              <w:pStyle w:val="Documenttitle"/>
            </w:pPr>
          </w:p>
          <w:p w14:paraId="60137BDF" w14:textId="77777777" w:rsidR="003A5D81" w:rsidRDefault="003A5D81" w:rsidP="003B5733">
            <w:pPr>
              <w:pStyle w:val="Documenttitle"/>
            </w:pPr>
          </w:p>
          <w:p w14:paraId="561CFA19" w14:textId="7E24AD26" w:rsidR="003B5733" w:rsidRPr="003B5733" w:rsidRDefault="008F7E3A" w:rsidP="003B5733">
            <w:pPr>
              <w:pStyle w:val="Documenttitle"/>
            </w:pPr>
            <w:r>
              <w:t xml:space="preserve">Blood administration competency template </w:t>
            </w:r>
          </w:p>
        </w:tc>
      </w:tr>
      <w:tr w:rsidR="003B5733" w14:paraId="1F29CFDC" w14:textId="77777777" w:rsidTr="00194BBC">
        <w:tc>
          <w:tcPr>
            <w:tcW w:w="10348" w:type="dxa"/>
          </w:tcPr>
          <w:p w14:paraId="72721F5B" w14:textId="45257882" w:rsidR="003B5733" w:rsidRPr="00A1389F" w:rsidRDefault="003B5733" w:rsidP="005F44C0">
            <w:pPr>
              <w:pStyle w:val="Documentsubtitle"/>
            </w:pPr>
          </w:p>
        </w:tc>
      </w:tr>
      <w:tr w:rsidR="003B5733" w14:paraId="0B79212D" w14:textId="77777777" w:rsidTr="00194BBC">
        <w:tc>
          <w:tcPr>
            <w:tcW w:w="10348" w:type="dxa"/>
          </w:tcPr>
          <w:p w14:paraId="2217F0AF" w14:textId="77777777" w:rsidR="003B5733" w:rsidRPr="001E5058" w:rsidRDefault="005C5BE4" w:rsidP="001E5058">
            <w:pPr>
              <w:pStyle w:val="Bannermarking"/>
            </w:pPr>
            <w:fldSimple w:instr=" FILLIN  &quot;Type the protective marking&quot; \d OFFICIAL \o  \* MERGEFORMAT ">
              <w:r>
                <w:t>OFFICIAL</w:t>
              </w:r>
            </w:fldSimple>
          </w:p>
        </w:tc>
      </w:tr>
    </w:tbl>
    <w:p w14:paraId="177D76C1" w14:textId="5EA2BC62" w:rsidR="007173CA" w:rsidRDefault="007173CA" w:rsidP="00D079AA">
      <w:pPr>
        <w:pStyle w:val="Body"/>
      </w:pPr>
    </w:p>
    <w:p w14:paraId="21FA186D" w14:textId="2990BE7F" w:rsidR="00EE29AD" w:rsidRDefault="008F7E3A" w:rsidP="00E261B3">
      <w:pPr>
        <w:pStyle w:val="Heading1"/>
      </w:pPr>
      <w:r>
        <w:t xml:space="preserve">How to use the template </w:t>
      </w:r>
    </w:p>
    <w:p w14:paraId="1287CA98" w14:textId="38985C74" w:rsidR="00855920" w:rsidRDefault="00477BBB" w:rsidP="00855920">
      <w:pPr>
        <w:pStyle w:val="Introtext"/>
      </w:pPr>
      <w:r>
        <w:t xml:space="preserve">This is an “example only” template </w:t>
      </w:r>
      <w:r w:rsidR="001B4392">
        <w:t>to provide</w:t>
      </w:r>
      <w:r w:rsidR="001B4392" w:rsidRPr="001B4392">
        <w:t xml:space="preserve"> a structure for those assessing blood administration competency.</w:t>
      </w:r>
      <w:r>
        <w:t xml:space="preserve"> I</w:t>
      </w:r>
      <w:r w:rsidR="003F26E5">
        <w:t>t</w:t>
      </w:r>
      <w:r>
        <w:t xml:space="preserve"> should be modified to suit the local health service policy. </w:t>
      </w:r>
    </w:p>
    <w:p w14:paraId="0EAD8AA7" w14:textId="1C2566AF" w:rsidR="00477BBB" w:rsidRDefault="00477BBB" w:rsidP="00855920">
      <w:pPr>
        <w:pStyle w:val="Introtext"/>
      </w:pPr>
      <w:r>
        <w:t xml:space="preserve">For further information contact </w:t>
      </w:r>
      <w:hyperlink r:id="rId15" w:history="1">
        <w:r w:rsidRPr="00477BBB">
          <w:rPr>
            <w:rStyle w:val="Hyperlink"/>
          </w:rPr>
          <w:t>Blood Matters</w:t>
        </w:r>
      </w:hyperlink>
      <w:r>
        <w:t xml:space="preserve"> &lt;bloodmatters@redcrossblood.org.au&gt; </w:t>
      </w:r>
    </w:p>
    <w:p w14:paraId="385F92EB" w14:textId="77777777" w:rsidR="007354ED" w:rsidRPr="007354ED" w:rsidRDefault="007354ED" w:rsidP="007354ED">
      <w:pPr>
        <w:pStyle w:val="Heading4"/>
        <w:rPr>
          <w:b w:val="0"/>
          <w:bCs w:val="0"/>
          <w:smallCaps/>
        </w:rPr>
      </w:pPr>
      <w:r w:rsidRPr="007354ED">
        <w:t>Background</w:t>
      </w:r>
    </w:p>
    <w:p w14:paraId="4CBD8072" w14:textId="3B16DA96" w:rsidR="007354ED" w:rsidRDefault="007354ED" w:rsidP="007354ED">
      <w:pPr>
        <w:pStyle w:val="Body"/>
      </w:pPr>
      <w:r w:rsidRPr="007354ED">
        <w:t xml:space="preserve">In accordance with </w:t>
      </w:r>
      <w:hyperlink r:id="rId16" w:history="1">
        <w:r w:rsidR="00490B88" w:rsidRPr="00490B88">
          <w:rPr>
            <w:rStyle w:val="Hyperlink"/>
          </w:rPr>
          <w:t>Australian and New Zealand Society of Blood Transfusion (ANZSBT) Guidelines for the administration of blood products, 3rd edition (2024)</w:t>
        </w:r>
      </w:hyperlink>
      <w:r w:rsidRPr="007354ED">
        <w:t xml:space="preserve"> </w:t>
      </w:r>
      <w:r w:rsidR="00870119">
        <w:t>&lt;</w:t>
      </w:r>
      <w:r w:rsidR="00870119" w:rsidRPr="00D6314C">
        <w:t>https://anzsbt.org.au/wp-content/uploads/2024/02/Guidelines-for-the-Administration-of-Blood-Products-revised-Feb-2024.pdf</w:t>
      </w:r>
      <w:r w:rsidR="00870119">
        <w:rPr>
          <w:rStyle w:val="Hyperlink"/>
        </w:rPr>
        <w:t>&gt;</w:t>
      </w:r>
      <w:r w:rsidR="00490B88">
        <w:t xml:space="preserve"> </w:t>
      </w:r>
      <w:r w:rsidRPr="007354ED">
        <w:t>the pre-administration check of blood</w:t>
      </w:r>
      <w:r>
        <w:t xml:space="preserve"> </w:t>
      </w:r>
      <w:r w:rsidRPr="007354ED">
        <w:t xml:space="preserve">must be conducted </w:t>
      </w:r>
      <w:r>
        <w:t xml:space="preserve">independently </w:t>
      </w:r>
      <w:r w:rsidRPr="007354ED">
        <w:t>by two authorised staff members</w:t>
      </w:r>
      <w:r w:rsidR="00A543F4">
        <w:t>, known as double independent checking,</w:t>
      </w:r>
      <w:r>
        <w:t xml:space="preserve"> (a</w:t>
      </w:r>
      <w:r w:rsidR="001B4392">
        <w:t>nd in accordance with local</w:t>
      </w:r>
      <w:r>
        <w:t xml:space="preserve"> health service policy)</w:t>
      </w:r>
      <w:r w:rsidRPr="007354ED">
        <w:t xml:space="preserve"> at the </w:t>
      </w:r>
      <w:r w:rsidR="001B4392">
        <w:t>patient’s</w:t>
      </w:r>
      <w:r w:rsidRPr="007354ED">
        <w:t xml:space="preserve"> side </w:t>
      </w:r>
      <w:r>
        <w:t>immediately prior to transfusion.</w:t>
      </w:r>
      <w:r w:rsidRPr="007354ED">
        <w:t xml:space="preserve"> </w:t>
      </w:r>
    </w:p>
    <w:p w14:paraId="615DB083" w14:textId="77777777" w:rsidR="00A543F4" w:rsidRDefault="00A543F4" w:rsidP="00A543F4">
      <w:pPr>
        <w:pStyle w:val="Body"/>
      </w:pPr>
      <w:r>
        <w:t>Double independent check is defined as:</w:t>
      </w:r>
    </w:p>
    <w:p w14:paraId="624972FF" w14:textId="72E952BB" w:rsidR="00A543F4" w:rsidRDefault="00A543F4" w:rsidP="00E136EC">
      <w:pPr>
        <w:pStyle w:val="Body"/>
        <w:numPr>
          <w:ilvl w:val="0"/>
          <w:numId w:val="18"/>
        </w:numPr>
      </w:pPr>
      <w:r>
        <w:t xml:space="preserve">Two clinicians individually and without requiring direct involvement of each other, check the prescription, patient and blood component identification, and blood component characteristics (including expiry, </w:t>
      </w:r>
      <w:r w:rsidR="009F623C">
        <w:t>compatibility,</w:t>
      </w:r>
      <w:r>
        <w:t xml:space="preserve"> and special requirements, if any). </w:t>
      </w:r>
    </w:p>
    <w:p w14:paraId="6CB19590" w14:textId="23D3FA2E" w:rsidR="00BB4464" w:rsidRDefault="00A543F4" w:rsidP="00A543F4">
      <w:pPr>
        <w:pStyle w:val="Body"/>
      </w:pPr>
      <w:r>
        <w:t>This process must ensure that each clinician is individually satisfied that, and responsible for, the correct component is transfused in the correct way to the correct patient</w:t>
      </w:r>
      <w:r w:rsidR="004E3C83">
        <w:t>.</w:t>
      </w:r>
      <w:r>
        <w:t xml:space="preserve"> The clinicians must agree before the transfusion is commenced. </w:t>
      </w:r>
    </w:p>
    <w:p w14:paraId="1BAAE2B9" w14:textId="5AEA07EC" w:rsidR="00A543F4" w:rsidRDefault="00A543F4" w:rsidP="00A543F4">
      <w:pPr>
        <w:pStyle w:val="Body"/>
      </w:pPr>
      <w:r>
        <w:t>In a teaching environment the teacher may indicate what needs to be checked and where to find it, but the learner must still independently view each item and confirm the match to the patient (ANZSBT Guidelines for the administration of blood products</w:t>
      </w:r>
      <w:r w:rsidR="00490B88">
        <w:t>,</w:t>
      </w:r>
      <w:r>
        <w:t xml:space="preserve"> 3rd edition,</w:t>
      </w:r>
      <w:r w:rsidR="00490B88">
        <w:t xml:space="preserve"> </w:t>
      </w:r>
      <w:r>
        <w:t>2024)</w:t>
      </w:r>
      <w:r w:rsidR="004E3C83">
        <w:t>.</w:t>
      </w:r>
    </w:p>
    <w:p w14:paraId="2FC6A8DC" w14:textId="1DA21339" w:rsidR="00BA648B" w:rsidRDefault="00BA648B" w:rsidP="007354ED">
      <w:pPr>
        <w:pStyle w:val="Body"/>
      </w:pPr>
      <w:r>
        <w:t>One of these two staff members must then commence the transfusion.</w:t>
      </w:r>
    </w:p>
    <w:p w14:paraId="5EDBED2A" w14:textId="57AC14D2" w:rsidR="007354ED" w:rsidRPr="007354ED" w:rsidRDefault="007354ED" w:rsidP="007354ED">
      <w:pPr>
        <w:pStyle w:val="Body"/>
      </w:pPr>
      <w:r>
        <w:t>Authorised staff are</w:t>
      </w:r>
      <w:r w:rsidR="001B4392">
        <w:t xml:space="preserve"> as</w:t>
      </w:r>
      <w:r>
        <w:t xml:space="preserve"> determined by health service policy</w:t>
      </w:r>
      <w:r w:rsidR="00CA07C3">
        <w:t>.</w:t>
      </w:r>
      <w:r>
        <w:t xml:space="preserve"> </w:t>
      </w:r>
    </w:p>
    <w:p w14:paraId="7878E517" w14:textId="77777777" w:rsidR="007354ED" w:rsidRPr="007354ED" w:rsidRDefault="007354ED" w:rsidP="007354ED">
      <w:pPr>
        <w:pStyle w:val="Heading4"/>
      </w:pPr>
      <w:r w:rsidRPr="007354ED">
        <w:t>Purpose</w:t>
      </w:r>
    </w:p>
    <w:p w14:paraId="51465F8E" w14:textId="6BDD6B81" w:rsidR="00490B88" w:rsidRDefault="007354ED" w:rsidP="00CA07C3">
      <w:pPr>
        <w:pStyle w:val="Body"/>
      </w:pPr>
      <w:r w:rsidRPr="00CA07C3">
        <w:t>The purpose of this competency assessment</w:t>
      </w:r>
      <w:r w:rsidR="00B0259A">
        <w:t xml:space="preserve"> template is to provide health services with a structure</w:t>
      </w:r>
      <w:r w:rsidRPr="00CA07C3">
        <w:t xml:space="preserve"> </w:t>
      </w:r>
      <w:r w:rsidR="00B0259A">
        <w:t xml:space="preserve">that can be adapted for local needs </w:t>
      </w:r>
      <w:r w:rsidRPr="00CA07C3">
        <w:t>to</w:t>
      </w:r>
      <w:r w:rsidR="001B4392">
        <w:t xml:space="preserve"> assess </w:t>
      </w:r>
      <w:r w:rsidR="00B0259A">
        <w:t>a</w:t>
      </w:r>
      <w:r w:rsidR="001B4392">
        <w:t xml:space="preserve"> staff member’s competency to undertake the pretransfusion check and blood administration by demonstrating and articulating the key principles as outlined by the ANZSBT </w:t>
      </w:r>
      <w:r w:rsidR="00B0259A">
        <w:t>Guidelines</w:t>
      </w:r>
      <w:r w:rsidR="001B4392">
        <w:t xml:space="preserve"> for the Administration of Blood and Blood Produc</w:t>
      </w:r>
      <w:r w:rsidR="00490B88">
        <w:t>ts</w:t>
      </w:r>
      <w:r w:rsidR="00B0259A">
        <w:t>.</w:t>
      </w:r>
    </w:p>
    <w:p w14:paraId="65BB0C7B" w14:textId="77777777" w:rsidR="00BA648B" w:rsidRDefault="00BA648B" w:rsidP="007D5A7D">
      <w:pPr>
        <w:pStyle w:val="Body"/>
        <w:rPr>
          <w:b/>
          <w:bCs/>
        </w:rPr>
      </w:pPr>
    </w:p>
    <w:p w14:paraId="7B6AFE4E" w14:textId="77777777" w:rsidR="00756164" w:rsidRDefault="00756164">
      <w:pPr>
        <w:spacing w:after="0" w:line="240" w:lineRule="auto"/>
        <w:rPr>
          <w:rFonts w:eastAsia="Times"/>
          <w:b/>
          <w:bCs/>
          <w:sz w:val="24"/>
          <w:szCs w:val="24"/>
        </w:rPr>
      </w:pPr>
      <w:r>
        <w:rPr>
          <w:b/>
          <w:bCs/>
          <w:sz w:val="24"/>
          <w:szCs w:val="24"/>
        </w:rPr>
        <w:br w:type="page"/>
      </w:r>
    </w:p>
    <w:p w14:paraId="2E93DF9D" w14:textId="16DB702C" w:rsidR="00324103" w:rsidRPr="00490B88" w:rsidRDefault="00E53FAE" w:rsidP="00490B88">
      <w:pPr>
        <w:pStyle w:val="Body"/>
        <w:spacing w:before="240"/>
        <w:rPr>
          <w:b/>
          <w:bCs/>
          <w:sz w:val="24"/>
          <w:szCs w:val="24"/>
        </w:rPr>
      </w:pPr>
      <w:r w:rsidRPr="00490B88">
        <w:rPr>
          <w:b/>
          <w:bCs/>
          <w:sz w:val="24"/>
          <w:szCs w:val="24"/>
        </w:rPr>
        <w:lastRenderedPageBreak/>
        <w:t>Demonstrates sound knowledge of blood product administration</w:t>
      </w:r>
    </w:p>
    <w:tbl>
      <w:tblPr>
        <w:tblStyle w:val="TableGrid"/>
        <w:tblW w:w="0" w:type="auto"/>
        <w:tblLook w:val="04A0" w:firstRow="1" w:lastRow="0" w:firstColumn="1" w:lastColumn="0" w:noHBand="0" w:noVBand="1"/>
      </w:tblPr>
      <w:tblGrid>
        <w:gridCol w:w="2901"/>
        <w:gridCol w:w="5599"/>
        <w:gridCol w:w="1694"/>
      </w:tblGrid>
      <w:tr w:rsidR="00B0259A" w14:paraId="08024FD0" w14:textId="0D977CB7" w:rsidTr="00490B88">
        <w:trPr>
          <w:tblHeader/>
        </w:trPr>
        <w:tc>
          <w:tcPr>
            <w:tcW w:w="2901" w:type="dxa"/>
          </w:tcPr>
          <w:p w14:paraId="658CBF18" w14:textId="15DA31F1" w:rsidR="00B0259A" w:rsidRDefault="00B0259A" w:rsidP="00E9719C">
            <w:pPr>
              <w:pStyle w:val="Tablecolhead"/>
              <w:rPr>
                <w:b w:val="0"/>
                <w:bCs/>
              </w:rPr>
            </w:pPr>
            <w:r>
              <w:t>Criteria</w:t>
            </w:r>
            <w:r w:rsidRPr="00AF690E">
              <w:t xml:space="preserve"> </w:t>
            </w:r>
            <w:r w:rsidR="00C91117">
              <w:t>/ understands each element</w:t>
            </w:r>
          </w:p>
        </w:tc>
        <w:tc>
          <w:tcPr>
            <w:tcW w:w="5599" w:type="dxa"/>
          </w:tcPr>
          <w:p w14:paraId="638BDF4C" w14:textId="2B9E41B9" w:rsidR="00B0259A" w:rsidRDefault="00B0259A" w:rsidP="00E9719C">
            <w:pPr>
              <w:pStyle w:val="Tablecolhead"/>
              <w:rPr>
                <w:b w:val="0"/>
                <w:bCs/>
              </w:rPr>
            </w:pPr>
            <w:r w:rsidRPr="00AF690E">
              <w:t>Evidence</w:t>
            </w:r>
            <w:r w:rsidR="00C91117">
              <w:t xml:space="preserve"> / able to state:</w:t>
            </w:r>
          </w:p>
        </w:tc>
        <w:tc>
          <w:tcPr>
            <w:tcW w:w="1694" w:type="dxa"/>
          </w:tcPr>
          <w:p w14:paraId="2E133926" w14:textId="4003110A" w:rsidR="00B0259A" w:rsidRDefault="00490B88" w:rsidP="00E9719C">
            <w:pPr>
              <w:pStyle w:val="Tablecolhead"/>
            </w:pPr>
            <w:r>
              <w:t>Criteria met</w:t>
            </w:r>
          </w:p>
          <w:p w14:paraId="07982225" w14:textId="419E1628" w:rsidR="00490B88" w:rsidRPr="00AF690E" w:rsidRDefault="00490B88" w:rsidP="00E9719C">
            <w:pPr>
              <w:pStyle w:val="Tablecolhead"/>
            </w:pPr>
            <w:r>
              <w:t>Yes (Y)/ No (N)</w:t>
            </w:r>
          </w:p>
        </w:tc>
      </w:tr>
      <w:tr w:rsidR="00B0259A" w14:paraId="67778F69" w14:textId="7262989D" w:rsidTr="00490B88">
        <w:tc>
          <w:tcPr>
            <w:tcW w:w="2901" w:type="dxa"/>
          </w:tcPr>
          <w:p w14:paraId="5BBC92F0" w14:textId="79421147" w:rsidR="00B0259A" w:rsidRDefault="00C91117" w:rsidP="00490B88">
            <w:pPr>
              <w:pStyle w:val="Body"/>
              <w:rPr>
                <w:b/>
                <w:bCs/>
              </w:rPr>
            </w:pPr>
            <w:r>
              <w:t>B</w:t>
            </w:r>
            <w:r w:rsidR="00B0259A" w:rsidRPr="00E53FAE">
              <w:t>lood</w:t>
            </w:r>
            <w:r w:rsidR="00B0259A">
              <w:t xml:space="preserve"> compatibility requirements</w:t>
            </w:r>
          </w:p>
        </w:tc>
        <w:tc>
          <w:tcPr>
            <w:tcW w:w="5599" w:type="dxa"/>
          </w:tcPr>
          <w:p w14:paraId="5B0E9F5D" w14:textId="0E6F80FD" w:rsidR="00B0259A" w:rsidRDefault="00C91117" w:rsidP="00C91117">
            <w:pPr>
              <w:pStyle w:val="Body"/>
              <w:numPr>
                <w:ilvl w:val="0"/>
                <w:numId w:val="7"/>
              </w:numPr>
            </w:pPr>
            <w:r>
              <w:t>The</w:t>
            </w:r>
            <w:r w:rsidR="00B0259A">
              <w:t xml:space="preserve"> importance of ensuring ABO &amp; Rh</w:t>
            </w:r>
            <w:r w:rsidR="00A37C9C">
              <w:t xml:space="preserve"> </w:t>
            </w:r>
            <w:r w:rsidR="00B0259A">
              <w:t>compatibility</w:t>
            </w:r>
          </w:p>
          <w:p w14:paraId="6C5DD9C0" w14:textId="28A41BF2" w:rsidR="00B0259A" w:rsidRDefault="00C91117" w:rsidP="00C91117">
            <w:pPr>
              <w:pStyle w:val="Body"/>
              <w:numPr>
                <w:ilvl w:val="0"/>
                <w:numId w:val="7"/>
              </w:numPr>
              <w:rPr>
                <w:b/>
                <w:bCs/>
              </w:rPr>
            </w:pPr>
            <w:r>
              <w:t>C</w:t>
            </w:r>
            <w:r w:rsidR="00B0259A">
              <w:t xml:space="preserve">ompatibility testing requirements e.g. </w:t>
            </w:r>
            <w:r>
              <w:t xml:space="preserve">RBC </w:t>
            </w:r>
            <w:r w:rsidR="00B0259A">
              <w:t>crossmatch, patient blood group on record for platelets/FFP/cryoprecipitate</w:t>
            </w:r>
          </w:p>
        </w:tc>
        <w:tc>
          <w:tcPr>
            <w:tcW w:w="1694" w:type="dxa"/>
          </w:tcPr>
          <w:p w14:paraId="4B85C18F" w14:textId="77777777" w:rsidR="00B0259A" w:rsidRDefault="00B0259A" w:rsidP="00490B88">
            <w:pPr>
              <w:pStyle w:val="Body"/>
            </w:pPr>
          </w:p>
        </w:tc>
      </w:tr>
      <w:tr w:rsidR="00B0259A" w14:paraId="08E80D22" w14:textId="655F74F9" w:rsidTr="00490B88">
        <w:tc>
          <w:tcPr>
            <w:tcW w:w="2901" w:type="dxa"/>
          </w:tcPr>
          <w:p w14:paraId="62E2E256" w14:textId="026C7F42" w:rsidR="00B0259A" w:rsidRPr="00E53FAE" w:rsidRDefault="00C91117" w:rsidP="00490B88">
            <w:pPr>
              <w:pStyle w:val="Body"/>
            </w:pPr>
            <w:r>
              <w:rPr>
                <w:rFonts w:cs="Arial"/>
                <w:szCs w:val="21"/>
                <w:lang w:eastAsia="en-AU"/>
              </w:rPr>
              <w:t>S</w:t>
            </w:r>
            <w:r w:rsidR="00B0259A" w:rsidRPr="00C61384">
              <w:rPr>
                <w:rFonts w:cs="Arial"/>
                <w:szCs w:val="21"/>
                <w:lang w:eastAsia="en-AU"/>
              </w:rPr>
              <w:t>torage and handling</w:t>
            </w:r>
            <w:r w:rsidR="006B2FD6">
              <w:rPr>
                <w:rFonts w:cs="Arial"/>
                <w:szCs w:val="21"/>
                <w:lang w:eastAsia="en-AU"/>
              </w:rPr>
              <w:t xml:space="preserve"> requirements for blood components</w:t>
            </w:r>
          </w:p>
        </w:tc>
        <w:tc>
          <w:tcPr>
            <w:tcW w:w="5599" w:type="dxa"/>
          </w:tcPr>
          <w:p w14:paraId="68C6A619" w14:textId="3853DCB5" w:rsidR="00B0259A" w:rsidRPr="00C61384" w:rsidRDefault="00C91117" w:rsidP="00E136EC">
            <w:pPr>
              <w:pStyle w:val="Body"/>
              <w:numPr>
                <w:ilvl w:val="0"/>
                <w:numId w:val="7"/>
              </w:numPr>
            </w:pPr>
            <w:r>
              <w:t>H</w:t>
            </w:r>
            <w:r w:rsidR="00B0259A">
              <w:t xml:space="preserve">ealth service </w:t>
            </w:r>
            <w:r w:rsidR="00B0259A" w:rsidRPr="00C61384">
              <w:t>process for blood</w:t>
            </w:r>
            <w:r w:rsidR="00B0259A">
              <w:t xml:space="preserve"> and blood product</w:t>
            </w:r>
            <w:r w:rsidR="00B0259A" w:rsidRPr="00C61384">
              <w:t xml:space="preserve"> storage and handling</w:t>
            </w:r>
          </w:p>
          <w:p w14:paraId="27DEFC6D" w14:textId="0C50A8A2" w:rsidR="00B0259A" w:rsidRPr="00C61384" w:rsidRDefault="00C91117" w:rsidP="00E136EC">
            <w:pPr>
              <w:pStyle w:val="Body"/>
              <w:numPr>
                <w:ilvl w:val="0"/>
                <w:numId w:val="7"/>
              </w:numPr>
            </w:pPr>
            <w:r>
              <w:t>T</w:t>
            </w:r>
            <w:r w:rsidR="00B0259A">
              <w:t xml:space="preserve">he </w:t>
            </w:r>
            <w:r w:rsidR="00B0259A" w:rsidRPr="00C61384">
              <w:t>documentation</w:t>
            </w:r>
            <w:r w:rsidR="00B0259A">
              <w:t xml:space="preserve"> required including the use of a</w:t>
            </w:r>
            <w:r w:rsidR="00B0259A" w:rsidRPr="00C61384">
              <w:t xml:space="preserve"> blood</w:t>
            </w:r>
            <w:r w:rsidR="00B0259A">
              <w:t xml:space="preserve"> fridge</w:t>
            </w:r>
            <w:r w:rsidR="00B0259A" w:rsidRPr="00C61384">
              <w:t xml:space="preserve"> register and </w:t>
            </w:r>
            <w:r>
              <w:t xml:space="preserve">patient and product </w:t>
            </w:r>
            <w:r w:rsidR="00B0259A" w:rsidRPr="00C61384">
              <w:t>identifiers</w:t>
            </w:r>
          </w:p>
          <w:p w14:paraId="3086B84A" w14:textId="288EFB7B" w:rsidR="00B0259A" w:rsidRPr="00C61384" w:rsidRDefault="00C91117" w:rsidP="00E136EC">
            <w:pPr>
              <w:pStyle w:val="Body"/>
              <w:numPr>
                <w:ilvl w:val="0"/>
                <w:numId w:val="7"/>
              </w:numPr>
            </w:pPr>
            <w:r>
              <w:t>Requirements to collect</w:t>
            </w:r>
            <w:r w:rsidR="00B0259A" w:rsidRPr="00C61384">
              <w:t xml:space="preserve"> blood </w:t>
            </w:r>
            <w:r w:rsidR="00B0259A">
              <w:t xml:space="preserve">/ blood product </w:t>
            </w:r>
            <w:r w:rsidR="00B0259A" w:rsidRPr="00C61384">
              <w:t>from pathology or remote fridge</w:t>
            </w:r>
          </w:p>
          <w:p w14:paraId="3511DA14" w14:textId="50B504E9" w:rsidR="00B0259A" w:rsidRDefault="00C91117" w:rsidP="00E136EC">
            <w:pPr>
              <w:pStyle w:val="Body"/>
              <w:numPr>
                <w:ilvl w:val="0"/>
                <w:numId w:val="7"/>
              </w:numPr>
            </w:pPr>
            <w:r>
              <w:t xml:space="preserve">Staff </w:t>
            </w:r>
            <w:r w:rsidR="00B0259A" w:rsidRPr="00C61384">
              <w:t xml:space="preserve">who can collect blood </w:t>
            </w:r>
            <w:r w:rsidR="00A37C9C">
              <w:t>(</w:t>
            </w:r>
            <w:r>
              <w:t>as per</w:t>
            </w:r>
            <w:r w:rsidR="00173970">
              <w:t xml:space="preserve"> local policy</w:t>
            </w:r>
            <w:r w:rsidR="00A37C9C">
              <w:t>)</w:t>
            </w:r>
          </w:p>
        </w:tc>
        <w:tc>
          <w:tcPr>
            <w:tcW w:w="1694" w:type="dxa"/>
          </w:tcPr>
          <w:p w14:paraId="1A174F1F" w14:textId="77777777" w:rsidR="00B0259A" w:rsidRDefault="00B0259A" w:rsidP="00490B88">
            <w:pPr>
              <w:pStyle w:val="Body"/>
            </w:pPr>
          </w:p>
        </w:tc>
      </w:tr>
      <w:tr w:rsidR="00B0259A" w14:paraId="54709464" w14:textId="4AB89551" w:rsidTr="00490B88">
        <w:tc>
          <w:tcPr>
            <w:tcW w:w="2901" w:type="dxa"/>
          </w:tcPr>
          <w:p w14:paraId="72CE2ED6" w14:textId="2DFC148F" w:rsidR="00B0259A" w:rsidRPr="00E53FAE" w:rsidRDefault="00C91117" w:rsidP="00490B88">
            <w:pPr>
              <w:pStyle w:val="Body"/>
            </w:pPr>
            <w:r>
              <w:t>B</w:t>
            </w:r>
            <w:r w:rsidR="00B0259A" w:rsidRPr="00A72B6B">
              <w:t xml:space="preserve">lood product prescription requirements </w:t>
            </w:r>
          </w:p>
        </w:tc>
        <w:tc>
          <w:tcPr>
            <w:tcW w:w="5599" w:type="dxa"/>
          </w:tcPr>
          <w:p w14:paraId="2204AF99" w14:textId="5CE81D33" w:rsidR="00B0259A" w:rsidRDefault="00B0259A" w:rsidP="00E136EC">
            <w:pPr>
              <w:pStyle w:val="Body"/>
              <w:numPr>
                <w:ilvl w:val="0"/>
                <w:numId w:val="8"/>
              </w:numPr>
            </w:pPr>
            <w:r>
              <w:t>Use of health service approved f</w:t>
            </w:r>
            <w:r w:rsidR="005E534B">
              <w:t>or</w:t>
            </w:r>
            <w:r>
              <w:t>m</w:t>
            </w:r>
            <w:r w:rsidR="005E534B">
              <w:t xml:space="preserve"> or EMR</w:t>
            </w:r>
            <w:r>
              <w:t xml:space="preserve"> </w:t>
            </w:r>
          </w:p>
          <w:p w14:paraId="4F8EAC80" w14:textId="77777777" w:rsidR="00A630B3" w:rsidRDefault="00C91117" w:rsidP="00E136EC">
            <w:pPr>
              <w:pStyle w:val="Body"/>
              <w:numPr>
                <w:ilvl w:val="0"/>
                <w:numId w:val="8"/>
              </w:numPr>
            </w:pPr>
            <w:r>
              <w:t>P</w:t>
            </w:r>
            <w:r w:rsidR="00AF6576">
              <w:t xml:space="preserve">rescription </w:t>
            </w:r>
            <w:r w:rsidR="00A630B3">
              <w:t>requirements:</w:t>
            </w:r>
          </w:p>
          <w:p w14:paraId="602337FD" w14:textId="77777777" w:rsidR="00A630B3" w:rsidRDefault="00A630B3" w:rsidP="00A630B3">
            <w:pPr>
              <w:pStyle w:val="Body"/>
              <w:numPr>
                <w:ilvl w:val="1"/>
                <w:numId w:val="8"/>
              </w:numPr>
            </w:pPr>
            <w:r>
              <w:t>patient identification details (full name, gender, DOB and MRN)</w:t>
            </w:r>
          </w:p>
          <w:p w14:paraId="4227BFB9" w14:textId="77777777" w:rsidR="00A630B3" w:rsidRDefault="00A630B3" w:rsidP="00A630B3">
            <w:pPr>
              <w:pStyle w:val="Body"/>
              <w:numPr>
                <w:ilvl w:val="1"/>
                <w:numId w:val="8"/>
              </w:numPr>
            </w:pPr>
            <w:r>
              <w:t>date, timing and urgency of transfusion</w:t>
            </w:r>
          </w:p>
          <w:p w14:paraId="09F2FBBF" w14:textId="77777777" w:rsidR="00A630B3" w:rsidRDefault="00A630B3" w:rsidP="00A630B3">
            <w:pPr>
              <w:pStyle w:val="Body"/>
              <w:numPr>
                <w:ilvl w:val="1"/>
                <w:numId w:val="8"/>
              </w:numPr>
            </w:pPr>
            <w:r>
              <w:t>blood/blood product required</w:t>
            </w:r>
          </w:p>
          <w:p w14:paraId="49B07234" w14:textId="77777777" w:rsidR="00A630B3" w:rsidRDefault="00A630B3" w:rsidP="00A630B3">
            <w:pPr>
              <w:pStyle w:val="Body"/>
              <w:numPr>
                <w:ilvl w:val="1"/>
                <w:numId w:val="8"/>
              </w:numPr>
            </w:pPr>
            <w:r>
              <w:t>special blood product requirements</w:t>
            </w:r>
          </w:p>
          <w:p w14:paraId="111A07FD" w14:textId="77777777" w:rsidR="00A630B3" w:rsidRDefault="00A630B3" w:rsidP="00A630B3">
            <w:pPr>
              <w:pStyle w:val="Body"/>
              <w:numPr>
                <w:ilvl w:val="1"/>
                <w:numId w:val="8"/>
              </w:numPr>
            </w:pPr>
            <w:r>
              <w:t>route of administration</w:t>
            </w:r>
          </w:p>
          <w:p w14:paraId="2EB1393F" w14:textId="77777777" w:rsidR="00A630B3" w:rsidRDefault="00A630B3" w:rsidP="00A630B3">
            <w:pPr>
              <w:pStyle w:val="Body"/>
              <w:numPr>
                <w:ilvl w:val="1"/>
                <w:numId w:val="8"/>
              </w:numPr>
            </w:pPr>
            <w:r>
              <w:t>dose (pack/unit)</w:t>
            </w:r>
          </w:p>
          <w:p w14:paraId="5FEDF289" w14:textId="77777777" w:rsidR="00A630B3" w:rsidRDefault="00A630B3" w:rsidP="00A630B3">
            <w:pPr>
              <w:pStyle w:val="Body"/>
              <w:numPr>
                <w:ilvl w:val="1"/>
                <w:numId w:val="7"/>
              </w:numPr>
            </w:pPr>
            <w:r>
              <w:t>rate of administration</w:t>
            </w:r>
          </w:p>
          <w:p w14:paraId="5F73668B" w14:textId="2D779C6A" w:rsidR="00A630B3" w:rsidRDefault="00A630B3" w:rsidP="00A630B3">
            <w:pPr>
              <w:pStyle w:val="Body"/>
              <w:numPr>
                <w:ilvl w:val="1"/>
                <w:numId w:val="8"/>
              </w:numPr>
            </w:pPr>
            <w:r>
              <w:t>legible name and signature of prescriber and contact number</w:t>
            </w:r>
          </w:p>
          <w:p w14:paraId="5F360639" w14:textId="086E2657" w:rsidR="00A630B3" w:rsidRDefault="009F623C" w:rsidP="00A630B3">
            <w:pPr>
              <w:pStyle w:val="Body"/>
              <w:numPr>
                <w:ilvl w:val="1"/>
                <w:numId w:val="8"/>
              </w:numPr>
            </w:pPr>
            <w:r>
              <w:t>must</w:t>
            </w:r>
            <w:r w:rsidR="00AF6576">
              <w:t xml:space="preserve"> be available to check at the patient’s side when the transfusion is administered</w:t>
            </w:r>
          </w:p>
          <w:p w14:paraId="6AE7A9F9" w14:textId="63BB6CD5" w:rsidR="00AF6576" w:rsidRDefault="00AF6576" w:rsidP="00A630B3">
            <w:pPr>
              <w:pStyle w:val="Body"/>
              <w:numPr>
                <w:ilvl w:val="1"/>
                <w:numId w:val="8"/>
              </w:numPr>
            </w:pPr>
            <w:r>
              <w:t xml:space="preserve">must form part of the pretransfusion check </w:t>
            </w:r>
          </w:p>
        </w:tc>
        <w:tc>
          <w:tcPr>
            <w:tcW w:w="1694" w:type="dxa"/>
          </w:tcPr>
          <w:p w14:paraId="26450FCE" w14:textId="77777777" w:rsidR="00B0259A" w:rsidRDefault="00B0259A" w:rsidP="00490B88">
            <w:pPr>
              <w:pStyle w:val="Body"/>
            </w:pPr>
          </w:p>
        </w:tc>
      </w:tr>
      <w:tr w:rsidR="00B0259A" w14:paraId="15054B72" w14:textId="427C2156" w:rsidTr="00490B88">
        <w:tc>
          <w:tcPr>
            <w:tcW w:w="2901" w:type="dxa"/>
          </w:tcPr>
          <w:p w14:paraId="58D82E23" w14:textId="3FFB83DE" w:rsidR="00A630B3" w:rsidRDefault="00A630B3" w:rsidP="00490B88">
            <w:pPr>
              <w:pStyle w:val="Body"/>
            </w:pPr>
            <w:r>
              <w:t>Importance of</w:t>
            </w:r>
            <w:r w:rsidR="00B0259A">
              <w:t xml:space="preserve"> </w:t>
            </w:r>
            <w:r w:rsidR="007D5A7D">
              <w:t xml:space="preserve">consent for </w:t>
            </w:r>
            <w:r w:rsidR="00B0259A">
              <w:t>blood and blood product</w:t>
            </w:r>
            <w:r w:rsidR="007D5A7D">
              <w:t>s</w:t>
            </w:r>
            <w:r w:rsidR="00B0259A">
              <w:t xml:space="preserve"> prior to transfusion</w:t>
            </w:r>
          </w:p>
          <w:p w14:paraId="2AC64202" w14:textId="2EFEB796" w:rsidR="00B0259A" w:rsidRPr="00A72B6B" w:rsidRDefault="00A630B3" w:rsidP="00490B88">
            <w:pPr>
              <w:pStyle w:val="Body"/>
            </w:pPr>
            <w:r>
              <w:t>D</w:t>
            </w:r>
            <w:r w:rsidR="00B0259A">
              <w:t xml:space="preserve">ocumentation required </w:t>
            </w:r>
          </w:p>
        </w:tc>
        <w:tc>
          <w:tcPr>
            <w:tcW w:w="5599" w:type="dxa"/>
          </w:tcPr>
          <w:p w14:paraId="13021463" w14:textId="76E83BC4" w:rsidR="002C3B62" w:rsidRPr="005A6A62" w:rsidRDefault="002C3B62" w:rsidP="00E136EC">
            <w:pPr>
              <w:pStyle w:val="ListParagraph"/>
              <w:numPr>
                <w:ilvl w:val="0"/>
                <w:numId w:val="20"/>
              </w:numPr>
              <w:rPr>
                <w:rFonts w:eastAsia="Times"/>
              </w:rPr>
            </w:pPr>
            <w:r w:rsidRPr="005A6A62">
              <w:rPr>
                <w:rFonts w:eastAsia="Times"/>
              </w:rPr>
              <w:t>Use of health service approved form (e.g. generic or blood consent form) or in health care record</w:t>
            </w:r>
          </w:p>
          <w:p w14:paraId="64286125" w14:textId="6B8906B7" w:rsidR="00E43DE5" w:rsidRDefault="00D6314C" w:rsidP="00E136EC">
            <w:pPr>
              <w:pStyle w:val="Body"/>
              <w:numPr>
                <w:ilvl w:val="0"/>
                <w:numId w:val="19"/>
              </w:numPr>
            </w:pPr>
            <w:r>
              <w:t>U</w:t>
            </w:r>
            <w:r w:rsidR="00E43DE5">
              <w:t>se of a health service approved interpreter where the patient has limited proficiency in English</w:t>
            </w:r>
          </w:p>
          <w:p w14:paraId="12DF2118" w14:textId="30B396A0" w:rsidR="00B0259A" w:rsidRDefault="00B0259A" w:rsidP="00E136EC">
            <w:pPr>
              <w:pStyle w:val="Body"/>
              <w:numPr>
                <w:ilvl w:val="0"/>
                <w:numId w:val="8"/>
              </w:numPr>
            </w:pPr>
            <w:r>
              <w:t>Documentation required if the patient refuses blood / blood product transfusion</w:t>
            </w:r>
          </w:p>
        </w:tc>
        <w:tc>
          <w:tcPr>
            <w:tcW w:w="1694" w:type="dxa"/>
          </w:tcPr>
          <w:p w14:paraId="2F17AF5E" w14:textId="77777777" w:rsidR="00B0259A" w:rsidRDefault="00B0259A" w:rsidP="00490B88">
            <w:pPr>
              <w:pStyle w:val="Body"/>
            </w:pPr>
          </w:p>
        </w:tc>
      </w:tr>
      <w:tr w:rsidR="00B0259A" w14:paraId="22F94790" w14:textId="3AAF7BCC" w:rsidTr="00490B88">
        <w:tc>
          <w:tcPr>
            <w:tcW w:w="2901" w:type="dxa"/>
          </w:tcPr>
          <w:p w14:paraId="6F9E1FA8" w14:textId="5DDD80FF" w:rsidR="00B0259A" w:rsidRPr="00A72B6B" w:rsidRDefault="00A630B3" w:rsidP="00490B88">
            <w:pPr>
              <w:pStyle w:val="Body"/>
            </w:pPr>
            <w:r>
              <w:t xml:space="preserve">The </w:t>
            </w:r>
            <w:r w:rsidR="00B0259A">
              <w:t>actions to take if blood and blood product consent has not been documented.</w:t>
            </w:r>
          </w:p>
        </w:tc>
        <w:tc>
          <w:tcPr>
            <w:tcW w:w="5599" w:type="dxa"/>
          </w:tcPr>
          <w:p w14:paraId="0F88BEC3" w14:textId="77777777" w:rsidR="00B0259A" w:rsidRDefault="00B0259A" w:rsidP="00E136EC">
            <w:pPr>
              <w:pStyle w:val="Body"/>
              <w:numPr>
                <w:ilvl w:val="0"/>
                <w:numId w:val="9"/>
              </w:numPr>
            </w:pPr>
            <w:r>
              <w:t>Unless the transfusion is an emergency the transfusion cannot go ahead until consent is obtained</w:t>
            </w:r>
          </w:p>
          <w:p w14:paraId="20316B97" w14:textId="74A63351" w:rsidR="00B0259A" w:rsidRDefault="00B0259A" w:rsidP="00E136EC">
            <w:pPr>
              <w:pStyle w:val="Body"/>
              <w:numPr>
                <w:ilvl w:val="0"/>
                <w:numId w:val="8"/>
              </w:numPr>
            </w:pPr>
            <w:r>
              <w:lastRenderedPageBreak/>
              <w:t>Contact treating team to obtain consent</w:t>
            </w:r>
          </w:p>
        </w:tc>
        <w:tc>
          <w:tcPr>
            <w:tcW w:w="1694" w:type="dxa"/>
          </w:tcPr>
          <w:p w14:paraId="792D01FE" w14:textId="77777777" w:rsidR="00B0259A" w:rsidRDefault="00B0259A" w:rsidP="00490B88">
            <w:pPr>
              <w:pStyle w:val="Body"/>
            </w:pPr>
          </w:p>
        </w:tc>
      </w:tr>
      <w:tr w:rsidR="00B0259A" w14:paraId="14637783" w14:textId="4EB27904" w:rsidTr="00490B88">
        <w:tc>
          <w:tcPr>
            <w:tcW w:w="2901" w:type="dxa"/>
          </w:tcPr>
          <w:p w14:paraId="7AB13B01" w14:textId="1360C549" w:rsidR="00B0259A" w:rsidRPr="00A72B6B" w:rsidRDefault="00A630B3" w:rsidP="00490B88">
            <w:pPr>
              <w:pStyle w:val="Body"/>
            </w:pPr>
            <w:r>
              <w:t>T</w:t>
            </w:r>
            <w:r w:rsidR="00B0259A" w:rsidRPr="005E52CE">
              <w:t xml:space="preserve">he </w:t>
            </w:r>
            <w:r w:rsidR="00C724E2">
              <w:t xml:space="preserve">pretransfusion </w:t>
            </w:r>
            <w:r w:rsidR="00B0259A" w:rsidRPr="005E52CE">
              <w:t>checking process</w:t>
            </w:r>
            <w:r w:rsidR="009B760E">
              <w:t>,</w:t>
            </w:r>
            <w:r w:rsidR="00C724E2">
              <w:t xml:space="preserve"> its rationale</w:t>
            </w:r>
            <w:r w:rsidR="00B0259A" w:rsidRPr="005E52CE">
              <w:t>, and impact on patient safety.</w:t>
            </w:r>
          </w:p>
        </w:tc>
        <w:tc>
          <w:tcPr>
            <w:tcW w:w="5599" w:type="dxa"/>
          </w:tcPr>
          <w:p w14:paraId="448CE57C" w14:textId="270B974C" w:rsidR="00B0259A" w:rsidRDefault="00B0259A" w:rsidP="00E136EC">
            <w:pPr>
              <w:pStyle w:val="Body"/>
              <w:numPr>
                <w:ilvl w:val="0"/>
                <w:numId w:val="10"/>
              </w:numPr>
            </w:pPr>
            <w:r>
              <w:t>Double independent check – two staff required to perform every part of the check independently</w:t>
            </w:r>
          </w:p>
          <w:p w14:paraId="6C4CA295" w14:textId="66933851" w:rsidR="00B0259A" w:rsidRDefault="00B0259A" w:rsidP="00E136EC">
            <w:pPr>
              <w:pStyle w:val="Body"/>
              <w:numPr>
                <w:ilvl w:val="0"/>
                <w:numId w:val="10"/>
              </w:numPr>
            </w:pPr>
            <w:r>
              <w:t xml:space="preserve">Check performed at the </w:t>
            </w:r>
            <w:r w:rsidR="00EC0B13">
              <w:t xml:space="preserve">patient </w:t>
            </w:r>
            <w:r>
              <w:t>side</w:t>
            </w:r>
          </w:p>
          <w:p w14:paraId="5306147B" w14:textId="6B218A5C" w:rsidR="00B0259A" w:rsidRDefault="00B0259A" w:rsidP="00E136EC">
            <w:pPr>
              <w:pStyle w:val="Body"/>
              <w:numPr>
                <w:ilvl w:val="0"/>
                <w:numId w:val="10"/>
              </w:numPr>
            </w:pPr>
            <w:r>
              <w:t>Verbal check with patient where possible</w:t>
            </w:r>
          </w:p>
          <w:p w14:paraId="2B4C9152" w14:textId="00C5EE54" w:rsidR="00B0259A" w:rsidRDefault="00B0259A" w:rsidP="00E136EC">
            <w:pPr>
              <w:pStyle w:val="Body"/>
              <w:numPr>
                <w:ilvl w:val="0"/>
                <w:numId w:val="10"/>
              </w:numPr>
            </w:pPr>
            <w:r>
              <w:t>No ID band = no transfusion</w:t>
            </w:r>
          </w:p>
          <w:p w14:paraId="336FBA13" w14:textId="375F5562" w:rsidR="00B0259A" w:rsidRDefault="00B0259A" w:rsidP="00E136EC">
            <w:pPr>
              <w:pStyle w:val="Body"/>
              <w:numPr>
                <w:ilvl w:val="0"/>
                <w:numId w:val="10"/>
              </w:numPr>
            </w:pPr>
            <w:r>
              <w:t>Check of all forms (</w:t>
            </w:r>
            <w:r w:rsidR="002C3B62">
              <w:t>laboratory compatibility label or</w:t>
            </w:r>
            <w:r>
              <w:t xml:space="preserve"> form, </w:t>
            </w:r>
            <w:r w:rsidR="009F623C">
              <w:t>prescription,</w:t>
            </w:r>
            <w:r>
              <w:t xml:space="preserve"> and product)</w:t>
            </w:r>
          </w:p>
          <w:p w14:paraId="60424916" w14:textId="1C89F5FC" w:rsidR="00B0259A" w:rsidRDefault="00620319" w:rsidP="00E136EC">
            <w:pPr>
              <w:pStyle w:val="Body"/>
              <w:numPr>
                <w:ilvl w:val="0"/>
                <w:numId w:val="10"/>
              </w:numPr>
            </w:pPr>
            <w:r>
              <w:t>Transfusion c</w:t>
            </w:r>
            <w:r w:rsidR="00B0259A">
              <w:t>annot be commenced if any discrepancies</w:t>
            </w:r>
          </w:p>
          <w:p w14:paraId="7C318FB8" w14:textId="2B307F28" w:rsidR="00B0259A" w:rsidRDefault="00EC0B13" w:rsidP="00E136EC">
            <w:pPr>
              <w:pStyle w:val="Body"/>
              <w:numPr>
                <w:ilvl w:val="0"/>
                <w:numId w:val="8"/>
              </w:numPr>
            </w:pPr>
            <w:r>
              <w:t>Cause and significance of p</w:t>
            </w:r>
            <w:r w:rsidR="00B0259A">
              <w:t xml:space="preserve">ossible errors – </w:t>
            </w:r>
            <w:r w:rsidR="009F623C">
              <w:t xml:space="preserve">e.g. </w:t>
            </w:r>
            <w:r w:rsidR="00B0259A">
              <w:t>wrong blood given to patient from errors in patient ID, lab error</w:t>
            </w:r>
          </w:p>
        </w:tc>
        <w:tc>
          <w:tcPr>
            <w:tcW w:w="1694" w:type="dxa"/>
          </w:tcPr>
          <w:p w14:paraId="2FD95F27" w14:textId="77777777" w:rsidR="00B0259A" w:rsidRDefault="00B0259A" w:rsidP="00490B88">
            <w:pPr>
              <w:pStyle w:val="Body"/>
            </w:pPr>
          </w:p>
        </w:tc>
      </w:tr>
      <w:tr w:rsidR="0045600D" w14:paraId="5D715392" w14:textId="77777777" w:rsidTr="00490B88">
        <w:tc>
          <w:tcPr>
            <w:tcW w:w="2901" w:type="dxa"/>
          </w:tcPr>
          <w:p w14:paraId="509E368E" w14:textId="78905C73" w:rsidR="0045600D" w:rsidRDefault="0045600D" w:rsidP="0045600D">
            <w:pPr>
              <w:pStyle w:val="Body"/>
            </w:pPr>
            <w:r>
              <w:t>Action to take</w:t>
            </w:r>
            <w:r w:rsidRPr="00A73C19">
              <w:t xml:space="preserve"> if the ABO or RhD group</w:t>
            </w:r>
            <w:r>
              <w:t xml:space="preserve"> of the blood component</w:t>
            </w:r>
            <w:r w:rsidRPr="00A73C19">
              <w:t xml:space="preserve"> is different to that of the patient. </w:t>
            </w:r>
          </w:p>
        </w:tc>
        <w:tc>
          <w:tcPr>
            <w:tcW w:w="5599" w:type="dxa"/>
          </w:tcPr>
          <w:p w14:paraId="609FCDBC" w14:textId="23EA13C3" w:rsidR="0045600D" w:rsidRDefault="0045600D" w:rsidP="0045600D">
            <w:pPr>
              <w:pStyle w:val="Body"/>
              <w:numPr>
                <w:ilvl w:val="0"/>
                <w:numId w:val="10"/>
              </w:numPr>
            </w:pPr>
            <w:r>
              <w:t>Able to state what is compatible</w:t>
            </w:r>
            <w:r w:rsidR="00620319">
              <w:t xml:space="preserve"> or where to find this information,</w:t>
            </w:r>
            <w:r>
              <w:t xml:space="preserve"> and what they would do if the ABO or RhD groups were </w:t>
            </w:r>
            <w:proofErr w:type="gramStart"/>
            <w:r>
              <w:t>different</w:t>
            </w:r>
            <w:proofErr w:type="gramEnd"/>
            <w:r>
              <w:t xml:space="preserve"> and they were unsure of the compatibility</w:t>
            </w:r>
          </w:p>
        </w:tc>
        <w:tc>
          <w:tcPr>
            <w:tcW w:w="1694" w:type="dxa"/>
          </w:tcPr>
          <w:p w14:paraId="6DA49191" w14:textId="77777777" w:rsidR="0045600D" w:rsidRDefault="0045600D" w:rsidP="0045600D">
            <w:pPr>
              <w:pStyle w:val="Body"/>
            </w:pPr>
          </w:p>
        </w:tc>
      </w:tr>
      <w:tr w:rsidR="0045600D" w14:paraId="253CE195" w14:textId="412426B2" w:rsidTr="00490B88">
        <w:tc>
          <w:tcPr>
            <w:tcW w:w="2901" w:type="dxa"/>
          </w:tcPr>
          <w:p w14:paraId="772DDC63" w14:textId="4C995462" w:rsidR="0045600D" w:rsidRPr="00A72B6B" w:rsidRDefault="0045600D" w:rsidP="0045600D">
            <w:pPr>
              <w:pStyle w:val="Body"/>
            </w:pPr>
            <w:r>
              <w:t>The</w:t>
            </w:r>
            <w:r w:rsidRPr="005C2121">
              <w:t xml:space="preserve"> appropriate equipment for </w:t>
            </w:r>
            <w:r>
              <w:t xml:space="preserve">blood and blood product </w:t>
            </w:r>
            <w:r w:rsidRPr="005C2121">
              <w:t>administration including giving set.</w:t>
            </w:r>
          </w:p>
        </w:tc>
        <w:tc>
          <w:tcPr>
            <w:tcW w:w="5599" w:type="dxa"/>
          </w:tcPr>
          <w:p w14:paraId="3BC12046" w14:textId="0A500C8D" w:rsidR="0045600D" w:rsidRDefault="0045600D" w:rsidP="008E02CD">
            <w:pPr>
              <w:pStyle w:val="Body"/>
              <w:numPr>
                <w:ilvl w:val="0"/>
                <w:numId w:val="11"/>
              </w:numPr>
            </w:pPr>
            <w:r>
              <w:t>Must use a giving set with 170–200-micron filter for all fresh components (both gravity and pump sets)</w:t>
            </w:r>
            <w:r w:rsidR="00620319">
              <w:t>, f</w:t>
            </w:r>
            <w:r>
              <w:t>ilters clots and aggregates</w:t>
            </w:r>
          </w:p>
          <w:p w14:paraId="25D8989D" w14:textId="77777777" w:rsidR="0045600D" w:rsidRDefault="0045600D" w:rsidP="0045600D">
            <w:pPr>
              <w:pStyle w:val="Body"/>
              <w:numPr>
                <w:ilvl w:val="0"/>
                <w:numId w:val="8"/>
              </w:numPr>
            </w:pPr>
            <w:r>
              <w:t>Pump, as per hospital policy</w:t>
            </w:r>
          </w:p>
          <w:p w14:paraId="356CAD30" w14:textId="05AA778B" w:rsidR="0045600D" w:rsidRDefault="0045600D" w:rsidP="0045600D">
            <w:pPr>
              <w:pStyle w:val="Body"/>
              <w:numPr>
                <w:ilvl w:val="0"/>
                <w:numId w:val="8"/>
              </w:numPr>
            </w:pPr>
            <w:r>
              <w:t>Use of syringe drivers in small volume transfusions (babies)</w:t>
            </w:r>
          </w:p>
        </w:tc>
        <w:tc>
          <w:tcPr>
            <w:tcW w:w="1694" w:type="dxa"/>
          </w:tcPr>
          <w:p w14:paraId="22ED581A" w14:textId="77777777" w:rsidR="0045600D" w:rsidRDefault="0045600D" w:rsidP="0045600D">
            <w:pPr>
              <w:pStyle w:val="Body"/>
            </w:pPr>
          </w:p>
        </w:tc>
      </w:tr>
      <w:tr w:rsidR="0045600D" w14:paraId="0F40061B" w14:textId="0659A455" w:rsidTr="00490B88">
        <w:tc>
          <w:tcPr>
            <w:tcW w:w="2901" w:type="dxa"/>
          </w:tcPr>
          <w:p w14:paraId="267EE1B0" w14:textId="483C3832" w:rsidR="0045600D" w:rsidRPr="00A72B6B" w:rsidRDefault="0045600D" w:rsidP="0045600D">
            <w:pPr>
              <w:pStyle w:val="Body"/>
            </w:pPr>
            <w:r>
              <w:t>Restrictions for co-administration of IV fluids and medications during transfusion.</w:t>
            </w:r>
          </w:p>
        </w:tc>
        <w:tc>
          <w:tcPr>
            <w:tcW w:w="5599" w:type="dxa"/>
          </w:tcPr>
          <w:p w14:paraId="26873C06" w14:textId="0C915013" w:rsidR="0045600D" w:rsidRDefault="0045600D" w:rsidP="0045600D">
            <w:pPr>
              <w:pStyle w:val="Body"/>
              <w:numPr>
                <w:ilvl w:val="0"/>
                <w:numId w:val="11"/>
              </w:numPr>
            </w:pPr>
            <w:r>
              <w:t>Incompatibility between fluids/meds and blood products</w:t>
            </w:r>
          </w:p>
          <w:p w14:paraId="2D168414" w14:textId="3DB9A751" w:rsidR="0045600D" w:rsidRDefault="0045600D" w:rsidP="0045600D">
            <w:pPr>
              <w:pStyle w:val="Body"/>
              <w:numPr>
                <w:ilvl w:val="0"/>
                <w:numId w:val="11"/>
              </w:numPr>
            </w:pPr>
            <w:r>
              <w:t>Unable to assess cause should a reaction occur</w:t>
            </w:r>
          </w:p>
          <w:p w14:paraId="108A7515" w14:textId="1654B408" w:rsidR="0045600D" w:rsidRDefault="0045600D" w:rsidP="0045600D">
            <w:pPr>
              <w:pStyle w:val="Body"/>
              <w:numPr>
                <w:ilvl w:val="0"/>
                <w:numId w:val="8"/>
              </w:numPr>
            </w:pPr>
            <w:r>
              <w:t>No meds/fluids other than normal saline</w:t>
            </w:r>
          </w:p>
          <w:p w14:paraId="6CA4F460" w14:textId="4A8B5612" w:rsidR="0045600D" w:rsidRDefault="0045600D" w:rsidP="0045600D">
            <w:pPr>
              <w:pStyle w:val="Body"/>
              <w:numPr>
                <w:ilvl w:val="0"/>
                <w:numId w:val="8"/>
              </w:numPr>
            </w:pPr>
            <w:r>
              <w:t>How to administer a medication, if required, during a transfusion</w:t>
            </w:r>
          </w:p>
        </w:tc>
        <w:tc>
          <w:tcPr>
            <w:tcW w:w="1694" w:type="dxa"/>
          </w:tcPr>
          <w:p w14:paraId="3801FDE9" w14:textId="77777777" w:rsidR="0045600D" w:rsidRDefault="0045600D" w:rsidP="0045600D">
            <w:pPr>
              <w:pStyle w:val="Body"/>
            </w:pPr>
          </w:p>
        </w:tc>
      </w:tr>
      <w:tr w:rsidR="0045600D" w14:paraId="447D7B79" w14:textId="3F76B3DA" w:rsidTr="00490B88">
        <w:tc>
          <w:tcPr>
            <w:tcW w:w="2901" w:type="dxa"/>
          </w:tcPr>
          <w:p w14:paraId="1F1DC023" w14:textId="7AED4F1E" w:rsidR="0045600D" w:rsidRPr="00A72B6B" w:rsidRDefault="0045600D" w:rsidP="0045600D">
            <w:pPr>
              <w:pStyle w:val="Body"/>
            </w:pPr>
            <w:r>
              <w:t xml:space="preserve">Maximum infusion time for blood and blood products </w:t>
            </w:r>
          </w:p>
        </w:tc>
        <w:tc>
          <w:tcPr>
            <w:tcW w:w="5599" w:type="dxa"/>
          </w:tcPr>
          <w:p w14:paraId="1E499D89" w14:textId="77777777" w:rsidR="0045600D" w:rsidRDefault="0045600D" w:rsidP="0045600D">
            <w:pPr>
              <w:pStyle w:val="Body"/>
              <w:numPr>
                <w:ilvl w:val="0"/>
                <w:numId w:val="12"/>
              </w:numPr>
            </w:pPr>
            <w:r>
              <w:t>Fresh components must be completed within 4 hours</w:t>
            </w:r>
          </w:p>
          <w:p w14:paraId="5360D2A2" w14:textId="32A52220" w:rsidR="0045600D" w:rsidRDefault="0045600D" w:rsidP="0045600D">
            <w:pPr>
              <w:pStyle w:val="Body"/>
              <w:numPr>
                <w:ilvl w:val="0"/>
                <w:numId w:val="12"/>
              </w:numPr>
            </w:pPr>
            <w:r>
              <w:t>Manufactured products as per local policy maximum 6 hours</w:t>
            </w:r>
          </w:p>
        </w:tc>
        <w:tc>
          <w:tcPr>
            <w:tcW w:w="1694" w:type="dxa"/>
          </w:tcPr>
          <w:p w14:paraId="47DE94BA" w14:textId="77777777" w:rsidR="0045600D" w:rsidRDefault="0045600D" w:rsidP="0045600D">
            <w:pPr>
              <w:pStyle w:val="Body"/>
            </w:pPr>
          </w:p>
        </w:tc>
      </w:tr>
      <w:tr w:rsidR="0045600D" w14:paraId="4D334B6D" w14:textId="77777777" w:rsidTr="00490B88">
        <w:tc>
          <w:tcPr>
            <w:tcW w:w="2901" w:type="dxa"/>
          </w:tcPr>
          <w:p w14:paraId="22EB6897" w14:textId="6CA0ACE2" w:rsidR="0045600D" w:rsidRDefault="0045600D" w:rsidP="0045600D">
            <w:pPr>
              <w:pStyle w:val="Body"/>
            </w:pPr>
            <w:r>
              <w:t>T</w:t>
            </w:r>
            <w:r w:rsidRPr="00380B29">
              <w:t xml:space="preserve">he action required if a blood component cannot or is not </w:t>
            </w:r>
            <w:r>
              <w:t xml:space="preserve">commenced </w:t>
            </w:r>
            <w:r w:rsidRPr="00380B29">
              <w:t>immediately or is no longer required</w:t>
            </w:r>
          </w:p>
        </w:tc>
        <w:tc>
          <w:tcPr>
            <w:tcW w:w="5599" w:type="dxa"/>
          </w:tcPr>
          <w:p w14:paraId="53D4E2F0" w14:textId="7895B86F" w:rsidR="0045600D" w:rsidRDefault="0045600D" w:rsidP="0045600D">
            <w:pPr>
              <w:pStyle w:val="Body"/>
              <w:numPr>
                <w:ilvl w:val="0"/>
                <w:numId w:val="12"/>
              </w:numPr>
            </w:pPr>
            <w:r>
              <w:t>Must be returned to controlled storage (e.g. Transfusion laboratory, blood fridge) within 30 minutes to ensure cold chain and ability for the component to be returned to inventory</w:t>
            </w:r>
          </w:p>
          <w:p w14:paraId="29130434" w14:textId="61B27C97" w:rsidR="0045600D" w:rsidRDefault="0045600D" w:rsidP="0045600D">
            <w:pPr>
              <w:pStyle w:val="Body"/>
              <w:numPr>
                <w:ilvl w:val="0"/>
                <w:numId w:val="12"/>
              </w:numPr>
            </w:pPr>
            <w:r>
              <w:t xml:space="preserve">Component can be kept on the ward if it is still required but must be completed within 4 hours of removal from controlled storage or disconnected from </w:t>
            </w:r>
            <w:r>
              <w:lastRenderedPageBreak/>
              <w:t>the patient 4 hours from removal from cold storage and discarded</w:t>
            </w:r>
          </w:p>
          <w:p w14:paraId="599511C3" w14:textId="0E75ABB8" w:rsidR="0045600D" w:rsidRDefault="0045600D" w:rsidP="0045600D">
            <w:pPr>
              <w:pStyle w:val="Body"/>
              <w:numPr>
                <w:ilvl w:val="0"/>
                <w:numId w:val="12"/>
              </w:numPr>
            </w:pPr>
            <w:r>
              <w:t>Treating team to determine course of action, such as a faster rate or discard after 4 hours</w:t>
            </w:r>
          </w:p>
          <w:p w14:paraId="38081ECC" w14:textId="77777777" w:rsidR="0045600D" w:rsidRDefault="0045600D" w:rsidP="0045600D">
            <w:pPr>
              <w:pStyle w:val="Body"/>
              <w:numPr>
                <w:ilvl w:val="0"/>
                <w:numId w:val="12"/>
              </w:numPr>
            </w:pPr>
            <w:r>
              <w:t>All blood and blood products to be returned to the transfusion laboratory if it is no longer required</w:t>
            </w:r>
          </w:p>
          <w:p w14:paraId="3C1822A0" w14:textId="3BFE23D0" w:rsidR="00620319" w:rsidRDefault="008E02CD" w:rsidP="0045600D">
            <w:pPr>
              <w:pStyle w:val="Body"/>
              <w:numPr>
                <w:ilvl w:val="0"/>
                <w:numId w:val="12"/>
              </w:numPr>
            </w:pPr>
            <w:r>
              <w:t>If a</w:t>
            </w:r>
            <w:r w:rsidR="00620319">
              <w:t xml:space="preserve">ny volume of the product </w:t>
            </w:r>
            <w:r>
              <w:t xml:space="preserve">is </w:t>
            </w:r>
            <w:r w:rsidR="00620319">
              <w:t xml:space="preserve">administered to the patient, it is considered </w:t>
            </w:r>
            <w:proofErr w:type="gramStart"/>
            <w:r w:rsidR="00620319">
              <w:t>transfused</w:t>
            </w:r>
            <w:proofErr w:type="gramEnd"/>
            <w:r w:rsidR="00620319">
              <w:t xml:space="preserve"> and any unused portion does not need to be returned to the laboratory.</w:t>
            </w:r>
          </w:p>
        </w:tc>
        <w:tc>
          <w:tcPr>
            <w:tcW w:w="1694" w:type="dxa"/>
          </w:tcPr>
          <w:p w14:paraId="04F52FB1" w14:textId="77777777" w:rsidR="0045600D" w:rsidRDefault="0045600D" w:rsidP="0045600D">
            <w:pPr>
              <w:pStyle w:val="Body"/>
            </w:pPr>
          </w:p>
        </w:tc>
      </w:tr>
      <w:tr w:rsidR="0045600D" w14:paraId="2E9A41E9" w14:textId="40FC77F1" w:rsidTr="00490B88">
        <w:tc>
          <w:tcPr>
            <w:tcW w:w="2901" w:type="dxa"/>
          </w:tcPr>
          <w:p w14:paraId="46A3C67A" w14:textId="4C415974" w:rsidR="0045600D" w:rsidRPr="00A72B6B" w:rsidRDefault="0045600D" w:rsidP="0045600D">
            <w:pPr>
              <w:pStyle w:val="Body"/>
            </w:pPr>
            <w:r>
              <w:t xml:space="preserve">Observation and vital signs required and why </w:t>
            </w:r>
          </w:p>
        </w:tc>
        <w:tc>
          <w:tcPr>
            <w:tcW w:w="5599" w:type="dxa"/>
          </w:tcPr>
          <w:p w14:paraId="65560CF5" w14:textId="5CCA6A10" w:rsidR="0045600D" w:rsidRDefault="0045600D" w:rsidP="0045600D">
            <w:pPr>
              <w:pStyle w:val="Body"/>
              <w:numPr>
                <w:ilvl w:val="0"/>
                <w:numId w:val="13"/>
              </w:numPr>
            </w:pPr>
            <w:r w:rsidRPr="00AF6576">
              <w:t>Pretransfusion assessment and observation help</w:t>
            </w:r>
            <w:r>
              <w:t>s</w:t>
            </w:r>
            <w:r w:rsidRPr="00AF6576">
              <w:t xml:space="preserve"> determine if it's appropriate to </w:t>
            </w:r>
            <w:r>
              <w:t>start</w:t>
            </w:r>
            <w:r w:rsidRPr="00AF6576">
              <w:t xml:space="preserve"> </w:t>
            </w:r>
            <w:r>
              <w:t xml:space="preserve">the </w:t>
            </w:r>
            <w:r w:rsidRPr="00AF6576">
              <w:t>transfusion and provide</w:t>
            </w:r>
            <w:r>
              <w:t>s</w:t>
            </w:r>
            <w:r w:rsidRPr="00AF6576">
              <w:t xml:space="preserve"> a baseline from which any deviation/s may be indicative of a reaction</w:t>
            </w:r>
            <w:r>
              <w:t xml:space="preserve"> </w:t>
            </w:r>
          </w:p>
          <w:p w14:paraId="3C0D5FF4" w14:textId="6684B825" w:rsidR="0045600D" w:rsidRDefault="0045600D" w:rsidP="0045600D">
            <w:pPr>
              <w:pStyle w:val="Body"/>
              <w:numPr>
                <w:ilvl w:val="0"/>
                <w:numId w:val="13"/>
              </w:numPr>
            </w:pPr>
            <w:r>
              <w:t>Patients receiving transfusions must be monitored for signs and symptoms of potential complications or adverse transfusion reaction</w:t>
            </w:r>
            <w:r w:rsidR="00620319">
              <w:t>, during and in the immediate post transfusion period.</w:t>
            </w:r>
          </w:p>
          <w:p w14:paraId="6A71EB7C" w14:textId="6E57341D" w:rsidR="0045600D" w:rsidRDefault="0045600D" w:rsidP="0045600D">
            <w:pPr>
              <w:pStyle w:val="Body"/>
              <w:numPr>
                <w:ilvl w:val="0"/>
                <w:numId w:val="13"/>
              </w:numPr>
            </w:pPr>
            <w:r>
              <w:t>Vital signs must be taken at a minimum T, RR, HR, BP pretransfusion, 15 minutes after commencement and post transfusion and if a reaction is suspected. More frequently if stated in local policy.</w:t>
            </w:r>
          </w:p>
          <w:p w14:paraId="140212DC" w14:textId="2FDB90C4" w:rsidR="0045600D" w:rsidRDefault="0045600D" w:rsidP="0045600D">
            <w:pPr>
              <w:pStyle w:val="Body"/>
              <w:numPr>
                <w:ilvl w:val="0"/>
                <w:numId w:val="8"/>
              </w:numPr>
            </w:pPr>
            <w:r>
              <w:t>States need to remain with patient for first 15 minutes of transfusion</w:t>
            </w:r>
          </w:p>
        </w:tc>
        <w:tc>
          <w:tcPr>
            <w:tcW w:w="1694" w:type="dxa"/>
          </w:tcPr>
          <w:p w14:paraId="30922042" w14:textId="77777777" w:rsidR="0045600D" w:rsidRDefault="0045600D" w:rsidP="0045600D">
            <w:pPr>
              <w:pStyle w:val="Body"/>
            </w:pPr>
          </w:p>
        </w:tc>
      </w:tr>
      <w:tr w:rsidR="0045600D" w14:paraId="46B54C94" w14:textId="70EC574B" w:rsidTr="00490B88">
        <w:tc>
          <w:tcPr>
            <w:tcW w:w="2901" w:type="dxa"/>
          </w:tcPr>
          <w:p w14:paraId="0974BF3C" w14:textId="5BD17859" w:rsidR="0045600D" w:rsidRDefault="009F623C" w:rsidP="0045600D">
            <w:pPr>
              <w:pStyle w:val="Body"/>
            </w:pPr>
            <w:r>
              <w:t>Signs</w:t>
            </w:r>
            <w:r w:rsidR="0045600D">
              <w:t xml:space="preserve"> and symptoms </w:t>
            </w:r>
            <w:r>
              <w:t xml:space="preserve">(S&amp;S) </w:t>
            </w:r>
            <w:r w:rsidR="0045600D">
              <w:t xml:space="preserve">of a </w:t>
            </w:r>
            <w:r w:rsidR="0045600D" w:rsidRPr="005C2121">
              <w:t>transfusion reaction</w:t>
            </w:r>
            <w:r w:rsidR="0045600D">
              <w:t xml:space="preserve"> and immediate management </w:t>
            </w:r>
          </w:p>
        </w:tc>
        <w:tc>
          <w:tcPr>
            <w:tcW w:w="5599" w:type="dxa"/>
          </w:tcPr>
          <w:p w14:paraId="32DEE2A8" w14:textId="2F30F18E" w:rsidR="0045600D" w:rsidRDefault="0045600D" w:rsidP="0045600D">
            <w:pPr>
              <w:pStyle w:val="Body"/>
              <w:numPr>
                <w:ilvl w:val="0"/>
                <w:numId w:val="13"/>
              </w:numPr>
            </w:pPr>
            <w:r w:rsidRPr="00443965">
              <w:t xml:space="preserve">Refer to Appendix </w:t>
            </w:r>
            <w:r>
              <w:t>A</w:t>
            </w:r>
            <w:r w:rsidRPr="00443965">
              <w:t xml:space="preserve"> transfusion reaction signs and symptoms.</w:t>
            </w:r>
          </w:p>
          <w:p w14:paraId="2B0E23D1" w14:textId="77777777" w:rsidR="0045600D" w:rsidRDefault="0045600D" w:rsidP="0045600D">
            <w:pPr>
              <w:pStyle w:val="Body"/>
              <w:numPr>
                <w:ilvl w:val="0"/>
                <w:numId w:val="13"/>
              </w:numPr>
            </w:pPr>
            <w:r>
              <w:t>Immediate action required if there is a suspected adverse reaction</w:t>
            </w:r>
          </w:p>
          <w:p w14:paraId="5880C4F1" w14:textId="77777777" w:rsidR="0045600D" w:rsidRDefault="0045600D" w:rsidP="0045600D">
            <w:pPr>
              <w:pStyle w:val="Body"/>
              <w:numPr>
                <w:ilvl w:val="0"/>
                <w:numId w:val="21"/>
              </w:numPr>
            </w:pPr>
            <w:r>
              <w:t xml:space="preserve">STOP the transfusion, </w:t>
            </w:r>
          </w:p>
          <w:p w14:paraId="27B711E2" w14:textId="77777777" w:rsidR="002C57B8" w:rsidRDefault="002C57B8" w:rsidP="00092E0F">
            <w:pPr>
              <w:pStyle w:val="Body"/>
              <w:numPr>
                <w:ilvl w:val="0"/>
                <w:numId w:val="21"/>
              </w:numPr>
            </w:pPr>
            <w:r>
              <w:t>Vital signs</w:t>
            </w:r>
          </w:p>
          <w:p w14:paraId="5F103E58" w14:textId="26370492" w:rsidR="0045600D" w:rsidRDefault="002C57B8" w:rsidP="00092E0F">
            <w:pPr>
              <w:pStyle w:val="Body"/>
              <w:numPr>
                <w:ilvl w:val="0"/>
                <w:numId w:val="21"/>
              </w:numPr>
            </w:pPr>
            <w:r>
              <w:t>Assess and manage the patient / p</w:t>
            </w:r>
            <w:r w:rsidR="0045600D">
              <w:t>rovide emergency care if required</w:t>
            </w:r>
          </w:p>
          <w:p w14:paraId="5DF4AC1F" w14:textId="3CA9B8AC" w:rsidR="0045600D" w:rsidRDefault="0045600D" w:rsidP="0045600D">
            <w:pPr>
              <w:pStyle w:val="Body"/>
              <w:numPr>
                <w:ilvl w:val="0"/>
                <w:numId w:val="21"/>
              </w:numPr>
            </w:pPr>
            <w:r>
              <w:t>Clerical check</w:t>
            </w:r>
            <w:r w:rsidR="00620319">
              <w:t>, patient and product</w:t>
            </w:r>
            <w:r>
              <w:t xml:space="preserve"> </w:t>
            </w:r>
          </w:p>
          <w:p w14:paraId="58B784DD" w14:textId="1205DD28" w:rsidR="0045600D" w:rsidRDefault="0045600D" w:rsidP="0045600D">
            <w:pPr>
              <w:pStyle w:val="Body"/>
              <w:numPr>
                <w:ilvl w:val="0"/>
                <w:numId w:val="21"/>
              </w:numPr>
            </w:pPr>
            <w:r w:rsidRPr="00D6314C">
              <w:t>Maintain IV access, do not discard blood until</w:t>
            </w:r>
            <w:r>
              <w:t xml:space="preserve"> </w:t>
            </w:r>
            <w:r w:rsidRPr="00D6314C">
              <w:t>review</w:t>
            </w:r>
          </w:p>
          <w:p w14:paraId="63E599FB" w14:textId="77777777" w:rsidR="00620319" w:rsidRDefault="0045600D" w:rsidP="002C57B8">
            <w:pPr>
              <w:pStyle w:val="Body"/>
              <w:numPr>
                <w:ilvl w:val="0"/>
                <w:numId w:val="21"/>
              </w:numPr>
            </w:pPr>
            <w:r>
              <w:t xml:space="preserve">Report the suspected reaction to medical team </w:t>
            </w:r>
            <w:r w:rsidR="00620319">
              <w:t>for clinical review</w:t>
            </w:r>
          </w:p>
          <w:p w14:paraId="24430A63" w14:textId="1FB0AAF2" w:rsidR="00620319" w:rsidRDefault="00620319" w:rsidP="002C57B8">
            <w:pPr>
              <w:pStyle w:val="Body"/>
              <w:numPr>
                <w:ilvl w:val="0"/>
                <w:numId w:val="21"/>
              </w:numPr>
            </w:pPr>
            <w:r>
              <w:t xml:space="preserve">Report </w:t>
            </w:r>
            <w:proofErr w:type="gramStart"/>
            <w:r>
              <w:t xml:space="preserve">to </w:t>
            </w:r>
            <w:r w:rsidR="0045600D">
              <w:t xml:space="preserve"> transfusion</w:t>
            </w:r>
            <w:proofErr w:type="gramEnd"/>
            <w:r w:rsidR="0045600D">
              <w:t xml:space="preserve"> laboratory, </w:t>
            </w:r>
            <w:r>
              <w:t xml:space="preserve">and </w:t>
            </w:r>
            <w:r w:rsidR="0045600D">
              <w:t xml:space="preserve">document in medical record, </w:t>
            </w:r>
          </w:p>
          <w:p w14:paraId="5ED90583" w14:textId="579ACB39" w:rsidR="0045600D" w:rsidRDefault="00620319" w:rsidP="002C57B8">
            <w:pPr>
              <w:pStyle w:val="Body"/>
              <w:numPr>
                <w:ilvl w:val="0"/>
                <w:numId w:val="21"/>
              </w:numPr>
            </w:pPr>
            <w:r>
              <w:lastRenderedPageBreak/>
              <w:t>R</w:t>
            </w:r>
            <w:r w:rsidR="0045600D">
              <w:t>eport to incident management system (</w:t>
            </w:r>
            <w:r w:rsidR="009F623C">
              <w:t xml:space="preserve">e.g. </w:t>
            </w:r>
            <w:r w:rsidR="0045600D">
              <w:t>VHIMS/Riskman) as per health service policy</w:t>
            </w:r>
          </w:p>
        </w:tc>
        <w:tc>
          <w:tcPr>
            <w:tcW w:w="1694" w:type="dxa"/>
          </w:tcPr>
          <w:p w14:paraId="35DDD7DA" w14:textId="77777777" w:rsidR="0045600D" w:rsidRPr="00443965" w:rsidRDefault="0045600D" w:rsidP="0045600D">
            <w:pPr>
              <w:pStyle w:val="Body"/>
            </w:pPr>
          </w:p>
        </w:tc>
      </w:tr>
    </w:tbl>
    <w:p w14:paraId="294BFCE3" w14:textId="77777777" w:rsidR="007A1C4D" w:rsidRDefault="007A1C4D">
      <w:pPr>
        <w:pStyle w:val="Body"/>
        <w:spacing w:before="240"/>
        <w:rPr>
          <w:b/>
          <w:bCs/>
        </w:rPr>
      </w:pPr>
    </w:p>
    <w:p w14:paraId="4B9574D7" w14:textId="77777777" w:rsidR="00426F5C" w:rsidRDefault="00426F5C">
      <w:pPr>
        <w:pStyle w:val="Body"/>
        <w:spacing w:before="240"/>
        <w:rPr>
          <w:b/>
          <w:bCs/>
        </w:rPr>
      </w:pPr>
    </w:p>
    <w:p w14:paraId="2CC1E7EF" w14:textId="77777777" w:rsidR="00426F5C" w:rsidRDefault="00426F5C">
      <w:pPr>
        <w:pStyle w:val="Body"/>
        <w:spacing w:before="240"/>
        <w:rPr>
          <w:b/>
          <w:bCs/>
        </w:rPr>
      </w:pPr>
    </w:p>
    <w:p w14:paraId="158FE63F" w14:textId="42F7B5AA" w:rsidR="004C37AD" w:rsidRPr="00490B88" w:rsidRDefault="004C37AD" w:rsidP="00490B88">
      <w:pPr>
        <w:pStyle w:val="Body"/>
        <w:spacing w:before="240"/>
        <w:rPr>
          <w:b/>
          <w:bCs/>
          <w:sz w:val="24"/>
          <w:szCs w:val="24"/>
        </w:rPr>
      </w:pPr>
      <w:r w:rsidRPr="00490B88">
        <w:rPr>
          <w:b/>
          <w:bCs/>
          <w:sz w:val="24"/>
          <w:szCs w:val="24"/>
        </w:rPr>
        <w:t xml:space="preserve">Demonstrates </w:t>
      </w:r>
      <w:r w:rsidR="00560651" w:rsidRPr="00490B88">
        <w:rPr>
          <w:b/>
          <w:bCs/>
          <w:sz w:val="24"/>
          <w:szCs w:val="24"/>
        </w:rPr>
        <w:t>safe practice in blood and blood product administration</w:t>
      </w:r>
    </w:p>
    <w:tbl>
      <w:tblPr>
        <w:tblStyle w:val="TableGrid"/>
        <w:tblW w:w="10201" w:type="dxa"/>
        <w:tblLook w:val="04A0" w:firstRow="1" w:lastRow="0" w:firstColumn="1" w:lastColumn="0" w:noHBand="0" w:noVBand="1"/>
      </w:tblPr>
      <w:tblGrid>
        <w:gridCol w:w="2466"/>
        <w:gridCol w:w="6034"/>
        <w:gridCol w:w="1701"/>
      </w:tblGrid>
      <w:tr w:rsidR="00D6314C" w14:paraId="077056ED" w14:textId="18FE7A32" w:rsidTr="00D6314C">
        <w:trPr>
          <w:tblHeader/>
        </w:trPr>
        <w:tc>
          <w:tcPr>
            <w:tcW w:w="2466" w:type="dxa"/>
          </w:tcPr>
          <w:p w14:paraId="4C80CB03" w14:textId="40D4918D" w:rsidR="00D6314C" w:rsidRDefault="00D6314C" w:rsidP="00E9719C">
            <w:pPr>
              <w:pStyle w:val="Tablecolhead"/>
              <w:rPr>
                <w:b w:val="0"/>
                <w:bCs/>
              </w:rPr>
            </w:pPr>
            <w:r>
              <w:t>Criteria</w:t>
            </w:r>
            <w:r w:rsidRPr="00AF690E">
              <w:t xml:space="preserve"> </w:t>
            </w:r>
          </w:p>
        </w:tc>
        <w:tc>
          <w:tcPr>
            <w:tcW w:w="6034" w:type="dxa"/>
          </w:tcPr>
          <w:p w14:paraId="03F920EA" w14:textId="0BDD38B1" w:rsidR="00D6314C" w:rsidRDefault="00D6314C" w:rsidP="00E9719C">
            <w:pPr>
              <w:pStyle w:val="Tablecolhead"/>
              <w:rPr>
                <w:b w:val="0"/>
                <w:bCs/>
              </w:rPr>
            </w:pPr>
            <w:r w:rsidRPr="00AF690E">
              <w:t>Evidence</w:t>
            </w:r>
            <w:r w:rsidR="002C57B8">
              <w:t xml:space="preserve"> / Demonstrates</w:t>
            </w:r>
          </w:p>
        </w:tc>
        <w:tc>
          <w:tcPr>
            <w:tcW w:w="1701" w:type="dxa"/>
          </w:tcPr>
          <w:p w14:paraId="3B1B5BDA" w14:textId="77777777" w:rsidR="00D6314C" w:rsidRDefault="00D6314C" w:rsidP="00D6314C">
            <w:pPr>
              <w:pStyle w:val="Tablecolhead"/>
            </w:pPr>
            <w:r>
              <w:t>Criteria met</w:t>
            </w:r>
          </w:p>
          <w:p w14:paraId="75A29A0A" w14:textId="0BC2E499" w:rsidR="00D6314C" w:rsidRDefault="00D6314C" w:rsidP="00D6314C">
            <w:pPr>
              <w:pStyle w:val="Tablecolhead"/>
            </w:pPr>
            <w:r>
              <w:t>Yes (Y)/ No (N)</w:t>
            </w:r>
          </w:p>
        </w:tc>
      </w:tr>
      <w:tr w:rsidR="00D6314C" w14:paraId="171F5D53" w14:textId="79FC7594" w:rsidTr="00D6314C">
        <w:tc>
          <w:tcPr>
            <w:tcW w:w="2466" w:type="dxa"/>
          </w:tcPr>
          <w:p w14:paraId="7BC37220" w14:textId="4542F9D7" w:rsidR="00D6314C" w:rsidRDefault="00D6314C" w:rsidP="00490B88">
            <w:pPr>
              <w:pStyle w:val="Body"/>
              <w:rPr>
                <w:b/>
                <w:bCs/>
              </w:rPr>
            </w:pPr>
            <w:r w:rsidRPr="00BC079B">
              <w:t>Educates patient prior to transfusion</w:t>
            </w:r>
          </w:p>
        </w:tc>
        <w:tc>
          <w:tcPr>
            <w:tcW w:w="6034" w:type="dxa"/>
          </w:tcPr>
          <w:p w14:paraId="5518C6AA" w14:textId="35E0B15B" w:rsidR="00D6314C" w:rsidRDefault="00D6314C" w:rsidP="00E136EC">
            <w:pPr>
              <w:pStyle w:val="Body"/>
              <w:numPr>
                <w:ilvl w:val="0"/>
                <w:numId w:val="13"/>
              </w:numPr>
            </w:pPr>
            <w:r>
              <w:t>Provides relevant and appropriate education to patient</w:t>
            </w:r>
            <w:r w:rsidR="002C57B8">
              <w:t>:</w:t>
            </w:r>
          </w:p>
          <w:p w14:paraId="1D579BE2" w14:textId="652F7DD2" w:rsidR="002C57B8" w:rsidRDefault="002C57B8" w:rsidP="002C57B8">
            <w:pPr>
              <w:pStyle w:val="Body"/>
              <w:numPr>
                <w:ilvl w:val="1"/>
                <w:numId w:val="13"/>
              </w:numPr>
            </w:pPr>
            <w:r>
              <w:t xml:space="preserve">Possible S&amp;S </w:t>
            </w:r>
            <w:r w:rsidR="009F623C">
              <w:t>of a</w:t>
            </w:r>
            <w:r>
              <w:t xml:space="preserve"> reaction</w:t>
            </w:r>
          </w:p>
          <w:p w14:paraId="5EB56C1E" w14:textId="19469EB3" w:rsidR="002C57B8" w:rsidRDefault="002C57B8" w:rsidP="008F033A">
            <w:pPr>
              <w:pStyle w:val="Body"/>
              <w:numPr>
                <w:ilvl w:val="1"/>
                <w:numId w:val="13"/>
              </w:numPr>
            </w:pPr>
            <w:r>
              <w:t>Importance of reporting any discomfort or S&amp;S immediately</w:t>
            </w:r>
          </w:p>
          <w:p w14:paraId="4C0C1318" w14:textId="3E3CB445" w:rsidR="00D6314C" w:rsidRDefault="00D6314C" w:rsidP="00E136EC">
            <w:pPr>
              <w:pStyle w:val="Body"/>
              <w:numPr>
                <w:ilvl w:val="0"/>
                <w:numId w:val="13"/>
              </w:numPr>
            </w:pPr>
            <w:r>
              <w:t>Checks patient understanding</w:t>
            </w:r>
          </w:p>
          <w:p w14:paraId="13FE2007" w14:textId="7D25DAB3" w:rsidR="00D6314C" w:rsidRPr="00601E49" w:rsidRDefault="00D6314C" w:rsidP="00E136EC">
            <w:pPr>
              <w:pStyle w:val="Body"/>
              <w:numPr>
                <w:ilvl w:val="0"/>
                <w:numId w:val="13"/>
              </w:numPr>
              <w:rPr>
                <w:b/>
                <w:bCs/>
              </w:rPr>
            </w:pPr>
            <w:r>
              <w:t>Ensures call bell is within reach</w:t>
            </w:r>
          </w:p>
        </w:tc>
        <w:tc>
          <w:tcPr>
            <w:tcW w:w="1701" w:type="dxa"/>
          </w:tcPr>
          <w:p w14:paraId="6537AA05" w14:textId="77777777" w:rsidR="00D6314C" w:rsidRDefault="00D6314C">
            <w:pPr>
              <w:pStyle w:val="Body"/>
              <w:ind w:left="284"/>
            </w:pPr>
          </w:p>
        </w:tc>
      </w:tr>
      <w:tr w:rsidR="00D6314C" w14:paraId="4C30835A" w14:textId="23827A61" w:rsidTr="00D6314C">
        <w:tc>
          <w:tcPr>
            <w:tcW w:w="2466" w:type="dxa"/>
          </w:tcPr>
          <w:p w14:paraId="2BD63F6F" w14:textId="281979F9" w:rsidR="00D6314C" w:rsidRPr="00BC079B" w:rsidRDefault="00D6314C">
            <w:pPr>
              <w:pStyle w:val="Body"/>
            </w:pPr>
            <w:r>
              <w:t xml:space="preserve">Vital signs, patient </w:t>
            </w:r>
            <w:r w:rsidR="009F623C">
              <w:t>assessment,</w:t>
            </w:r>
            <w:r>
              <w:t xml:space="preserve"> and </w:t>
            </w:r>
            <w:r w:rsidR="00CF0258">
              <w:t xml:space="preserve">preparation </w:t>
            </w:r>
            <w:r>
              <w:t>for transfusion</w:t>
            </w:r>
          </w:p>
        </w:tc>
        <w:tc>
          <w:tcPr>
            <w:tcW w:w="6034" w:type="dxa"/>
          </w:tcPr>
          <w:p w14:paraId="36602764" w14:textId="1FFE780D" w:rsidR="00D6314C" w:rsidRPr="00BA648B" w:rsidRDefault="00D6314C" w:rsidP="00E136EC">
            <w:pPr>
              <w:pStyle w:val="ListParagraph"/>
              <w:numPr>
                <w:ilvl w:val="0"/>
                <w:numId w:val="13"/>
              </w:numPr>
              <w:rPr>
                <w:rFonts w:eastAsia="Times"/>
              </w:rPr>
            </w:pPr>
            <w:r w:rsidRPr="00BA648B">
              <w:rPr>
                <w:rFonts w:eastAsia="Times"/>
              </w:rPr>
              <w:t>Performs pre-transfusion vital sign observations within one hour of commencing the transfusion</w:t>
            </w:r>
            <w:r>
              <w:rPr>
                <w:rFonts w:eastAsia="Times"/>
              </w:rPr>
              <w:t xml:space="preserve"> (or as per health service policy)</w:t>
            </w:r>
          </w:p>
          <w:p w14:paraId="71D8BEDA" w14:textId="3981FF26" w:rsidR="00D6314C" w:rsidRDefault="00D6314C" w:rsidP="00E136EC">
            <w:pPr>
              <w:pStyle w:val="Body"/>
              <w:numPr>
                <w:ilvl w:val="0"/>
                <w:numId w:val="13"/>
              </w:numPr>
            </w:pPr>
            <w:r>
              <w:t>Assessment of patient for pre-existing signs and symptoms that could be confused with a reaction</w:t>
            </w:r>
          </w:p>
          <w:p w14:paraId="6903EBE5" w14:textId="77777777" w:rsidR="00D6314C" w:rsidRDefault="00D6314C" w:rsidP="00E136EC">
            <w:pPr>
              <w:pStyle w:val="Body"/>
              <w:numPr>
                <w:ilvl w:val="0"/>
                <w:numId w:val="13"/>
              </w:numPr>
            </w:pPr>
            <w:r>
              <w:t>Patient in an area that can be visualised regularly during the transfusion</w:t>
            </w:r>
          </w:p>
          <w:p w14:paraId="554C618F" w14:textId="69FABEDF" w:rsidR="00D6314C" w:rsidRDefault="00D6314C" w:rsidP="00381B12">
            <w:pPr>
              <w:pStyle w:val="Body"/>
              <w:numPr>
                <w:ilvl w:val="0"/>
                <w:numId w:val="13"/>
              </w:numPr>
            </w:pPr>
            <w:r w:rsidRPr="00D6314C">
              <w:t>Staff and patient are ready to commence the transfusion</w:t>
            </w:r>
          </w:p>
        </w:tc>
        <w:tc>
          <w:tcPr>
            <w:tcW w:w="1701" w:type="dxa"/>
          </w:tcPr>
          <w:p w14:paraId="5F9D98AE" w14:textId="77777777" w:rsidR="00D6314C" w:rsidRDefault="00D6314C">
            <w:pPr>
              <w:pStyle w:val="Body"/>
              <w:ind w:left="284"/>
            </w:pPr>
          </w:p>
        </w:tc>
      </w:tr>
      <w:tr w:rsidR="00D6314C" w14:paraId="7870CA94" w14:textId="2B8A3AFB" w:rsidTr="00D6314C">
        <w:tc>
          <w:tcPr>
            <w:tcW w:w="2466" w:type="dxa"/>
          </w:tcPr>
          <w:p w14:paraId="4A58BDBB" w14:textId="5D0E1974" w:rsidR="00D6314C" w:rsidRDefault="00381B12">
            <w:pPr>
              <w:pStyle w:val="Body"/>
            </w:pPr>
            <w:r>
              <w:t>Double independent check and p</w:t>
            </w:r>
            <w:r w:rsidR="00D6314C">
              <w:t>ositive patient identification</w:t>
            </w:r>
          </w:p>
        </w:tc>
        <w:tc>
          <w:tcPr>
            <w:tcW w:w="6034" w:type="dxa"/>
          </w:tcPr>
          <w:p w14:paraId="211998C8" w14:textId="77777777" w:rsidR="00381B12" w:rsidRDefault="00381B12" w:rsidP="00E136EC">
            <w:pPr>
              <w:pStyle w:val="Body"/>
              <w:numPr>
                <w:ilvl w:val="0"/>
                <w:numId w:val="14"/>
              </w:numPr>
            </w:pPr>
            <w:r>
              <w:t xml:space="preserve">Two staff members at patient side to perform the double independent check </w:t>
            </w:r>
          </w:p>
          <w:p w14:paraId="39A7F8F9" w14:textId="5940AC29" w:rsidR="00D6314C" w:rsidRDefault="00D6314C" w:rsidP="00E136EC">
            <w:pPr>
              <w:pStyle w:val="Body"/>
              <w:numPr>
                <w:ilvl w:val="0"/>
                <w:numId w:val="14"/>
              </w:numPr>
            </w:pPr>
            <w:r>
              <w:t>Ask</w:t>
            </w:r>
            <w:r w:rsidR="00380B29">
              <w:t>s</w:t>
            </w:r>
            <w:r>
              <w:t xml:space="preserve"> the patient to state and spell their full name</w:t>
            </w:r>
          </w:p>
          <w:p w14:paraId="69164908" w14:textId="799A4F27" w:rsidR="00D6314C" w:rsidRDefault="00D6314C" w:rsidP="00D6314C">
            <w:pPr>
              <w:pStyle w:val="Body"/>
            </w:pPr>
            <w:r>
              <w:t>Compare</w:t>
            </w:r>
            <w:r w:rsidR="00380B29">
              <w:t>s</w:t>
            </w:r>
            <w:r>
              <w:t xml:space="preserve"> to: </w:t>
            </w:r>
          </w:p>
          <w:p w14:paraId="7C0731CF" w14:textId="5768C339" w:rsidR="00D6314C" w:rsidRDefault="00D6314C" w:rsidP="00E136EC">
            <w:pPr>
              <w:pStyle w:val="Body"/>
              <w:numPr>
                <w:ilvl w:val="0"/>
                <w:numId w:val="14"/>
              </w:numPr>
            </w:pPr>
            <w:r>
              <w:t>the patient’s ID band</w:t>
            </w:r>
          </w:p>
          <w:p w14:paraId="3B0ECBBC" w14:textId="7850D55F" w:rsidR="00D6314C" w:rsidRDefault="00D6314C" w:rsidP="00E136EC">
            <w:pPr>
              <w:pStyle w:val="Body"/>
              <w:numPr>
                <w:ilvl w:val="0"/>
                <w:numId w:val="14"/>
              </w:numPr>
            </w:pPr>
            <w:r>
              <w:t xml:space="preserve"> the compatibility label attached to the blood component</w:t>
            </w:r>
          </w:p>
          <w:p w14:paraId="41AAB6C0" w14:textId="50169672" w:rsidR="00D6314C" w:rsidRDefault="00D6314C" w:rsidP="00E136EC">
            <w:pPr>
              <w:pStyle w:val="Body"/>
              <w:numPr>
                <w:ilvl w:val="0"/>
                <w:numId w:val="14"/>
              </w:numPr>
            </w:pPr>
            <w:r>
              <w:t>the prescription and administration chart, or</w:t>
            </w:r>
          </w:p>
          <w:p w14:paraId="49738061" w14:textId="0D9673DA" w:rsidR="00D6314C" w:rsidRDefault="00D6314C" w:rsidP="00E136EC">
            <w:pPr>
              <w:pStyle w:val="Body"/>
              <w:numPr>
                <w:ilvl w:val="0"/>
                <w:numId w:val="14"/>
              </w:numPr>
            </w:pPr>
            <w:r>
              <w:t>the ID banner with the blood prescription/administration screen open if using an EMR</w:t>
            </w:r>
          </w:p>
        </w:tc>
        <w:tc>
          <w:tcPr>
            <w:tcW w:w="1701" w:type="dxa"/>
          </w:tcPr>
          <w:p w14:paraId="71057CA8" w14:textId="77777777" w:rsidR="00D6314C" w:rsidRDefault="00D6314C">
            <w:pPr>
              <w:pStyle w:val="Body"/>
              <w:ind w:left="284"/>
            </w:pPr>
          </w:p>
        </w:tc>
      </w:tr>
      <w:tr w:rsidR="00D6314C" w14:paraId="3FC76A81" w14:textId="7A8C3230" w:rsidTr="00D6314C">
        <w:tc>
          <w:tcPr>
            <w:tcW w:w="2466" w:type="dxa"/>
          </w:tcPr>
          <w:p w14:paraId="3051A5C1" w14:textId="77777777" w:rsidR="00D6314C" w:rsidRDefault="00D6314C" w:rsidP="00A543F4">
            <w:pPr>
              <w:pStyle w:val="Body"/>
            </w:pPr>
            <w:r>
              <w:t>Patient’s medical record number (MRN)</w:t>
            </w:r>
          </w:p>
          <w:p w14:paraId="61D2BA8A" w14:textId="47509E00" w:rsidR="00D6314C" w:rsidRDefault="00D6314C" w:rsidP="00A543F4">
            <w:pPr>
              <w:pStyle w:val="Body"/>
            </w:pPr>
            <w:r>
              <w:t>All must match exactly</w:t>
            </w:r>
          </w:p>
        </w:tc>
        <w:tc>
          <w:tcPr>
            <w:tcW w:w="6034" w:type="dxa"/>
          </w:tcPr>
          <w:p w14:paraId="64A28578" w14:textId="7E2C496A" w:rsidR="00D6314C" w:rsidRDefault="00D6314C" w:rsidP="00E136EC">
            <w:pPr>
              <w:pStyle w:val="Body"/>
              <w:numPr>
                <w:ilvl w:val="0"/>
                <w:numId w:val="14"/>
              </w:numPr>
            </w:pPr>
            <w:r>
              <w:t>On the patient’s ID band and compare to:</w:t>
            </w:r>
          </w:p>
          <w:p w14:paraId="49E72BC1" w14:textId="5FE71CE7" w:rsidR="00D6314C" w:rsidRDefault="00D6314C" w:rsidP="00E136EC">
            <w:pPr>
              <w:pStyle w:val="Body"/>
              <w:numPr>
                <w:ilvl w:val="0"/>
                <w:numId w:val="14"/>
              </w:numPr>
            </w:pPr>
            <w:r>
              <w:t>the compatibility label attached to the blood component (&amp; report if used)</w:t>
            </w:r>
          </w:p>
          <w:p w14:paraId="448658D0" w14:textId="404CB84A" w:rsidR="00D6314C" w:rsidRDefault="00D6314C" w:rsidP="00E136EC">
            <w:pPr>
              <w:pStyle w:val="Body"/>
              <w:numPr>
                <w:ilvl w:val="0"/>
                <w:numId w:val="14"/>
              </w:numPr>
            </w:pPr>
            <w:r>
              <w:lastRenderedPageBreak/>
              <w:t>the prescription and administration chart, or</w:t>
            </w:r>
          </w:p>
          <w:p w14:paraId="6C4B20CA" w14:textId="5A46B7B6" w:rsidR="00D6314C" w:rsidRDefault="00D6314C" w:rsidP="00E136EC">
            <w:pPr>
              <w:pStyle w:val="Body"/>
              <w:numPr>
                <w:ilvl w:val="0"/>
                <w:numId w:val="14"/>
              </w:numPr>
            </w:pPr>
            <w:r>
              <w:t>the ID banner with the blood prescription/administration screen open if using an EMR</w:t>
            </w:r>
          </w:p>
        </w:tc>
        <w:tc>
          <w:tcPr>
            <w:tcW w:w="1701" w:type="dxa"/>
          </w:tcPr>
          <w:p w14:paraId="6F6E50B3" w14:textId="77777777" w:rsidR="00D6314C" w:rsidRDefault="00D6314C">
            <w:pPr>
              <w:pStyle w:val="Body"/>
              <w:ind w:left="284"/>
            </w:pPr>
          </w:p>
        </w:tc>
      </w:tr>
      <w:tr w:rsidR="00D6314C" w14:paraId="44A14D48" w14:textId="761AC734" w:rsidTr="00D6314C">
        <w:tc>
          <w:tcPr>
            <w:tcW w:w="2466" w:type="dxa"/>
          </w:tcPr>
          <w:p w14:paraId="7ECCF0D9" w14:textId="77777777" w:rsidR="00D6314C" w:rsidRDefault="00D6314C" w:rsidP="00A543F4">
            <w:pPr>
              <w:pStyle w:val="Body"/>
            </w:pPr>
            <w:r>
              <w:t xml:space="preserve">ABO &amp; RhD group of the </w:t>
            </w:r>
            <w:r w:rsidRPr="00381B12">
              <w:rPr>
                <w:b/>
                <w:bCs/>
              </w:rPr>
              <w:t>patient</w:t>
            </w:r>
            <w:r>
              <w:t xml:space="preserve"> </w:t>
            </w:r>
          </w:p>
          <w:p w14:paraId="2046689A" w14:textId="6D06005C" w:rsidR="00D6314C" w:rsidRPr="00490B88" w:rsidRDefault="00D6314C" w:rsidP="00A543F4">
            <w:pPr>
              <w:pStyle w:val="Body"/>
              <w:rPr>
                <w:b/>
                <w:bCs/>
              </w:rPr>
            </w:pPr>
            <w:r w:rsidRPr="00490B88">
              <w:rPr>
                <w:b/>
                <w:bCs/>
              </w:rPr>
              <w:t>MUST be compatible with the ABO &amp; RhD group of the component</w:t>
            </w:r>
          </w:p>
        </w:tc>
        <w:tc>
          <w:tcPr>
            <w:tcW w:w="6034" w:type="dxa"/>
          </w:tcPr>
          <w:p w14:paraId="635A7546" w14:textId="77777777" w:rsidR="00D6314C" w:rsidRDefault="00D6314C" w:rsidP="00E136EC">
            <w:pPr>
              <w:pStyle w:val="Body"/>
              <w:numPr>
                <w:ilvl w:val="0"/>
                <w:numId w:val="14"/>
              </w:numPr>
            </w:pPr>
            <w:r>
              <w:t>On the compatibility label attached to the component (and report if used)</w:t>
            </w:r>
          </w:p>
          <w:p w14:paraId="4827B2A3" w14:textId="2051F7E4" w:rsidR="00D6314C" w:rsidRDefault="00D6314C" w:rsidP="00E136EC">
            <w:pPr>
              <w:pStyle w:val="Body"/>
              <w:numPr>
                <w:ilvl w:val="0"/>
                <w:numId w:val="14"/>
              </w:numPr>
            </w:pPr>
            <w:r>
              <w:t>May be present in the administration screen if using an EMR</w:t>
            </w:r>
          </w:p>
        </w:tc>
        <w:tc>
          <w:tcPr>
            <w:tcW w:w="1701" w:type="dxa"/>
          </w:tcPr>
          <w:p w14:paraId="7C59108B" w14:textId="77777777" w:rsidR="00D6314C" w:rsidRDefault="00D6314C">
            <w:pPr>
              <w:pStyle w:val="Body"/>
              <w:ind w:left="284"/>
            </w:pPr>
          </w:p>
        </w:tc>
      </w:tr>
      <w:tr w:rsidR="00D6314C" w14:paraId="387A2BD9" w14:textId="7FDCB208" w:rsidTr="00D6314C">
        <w:tc>
          <w:tcPr>
            <w:tcW w:w="2466" w:type="dxa"/>
          </w:tcPr>
          <w:p w14:paraId="7E6259FC" w14:textId="77777777" w:rsidR="00D6314C" w:rsidRDefault="00D6314C">
            <w:pPr>
              <w:pStyle w:val="Body"/>
            </w:pPr>
            <w:r w:rsidRPr="00A543F4">
              <w:t xml:space="preserve">ABO &amp; RhD group of the </w:t>
            </w:r>
            <w:r w:rsidRPr="00381B12">
              <w:rPr>
                <w:b/>
                <w:bCs/>
              </w:rPr>
              <w:t>component</w:t>
            </w:r>
          </w:p>
          <w:p w14:paraId="677D29DA" w14:textId="3DAFF6FD" w:rsidR="00CF0258" w:rsidRPr="00E136EC" w:rsidRDefault="00CF0258">
            <w:pPr>
              <w:pStyle w:val="Body"/>
              <w:rPr>
                <w:b/>
                <w:bCs/>
              </w:rPr>
            </w:pPr>
            <w:r w:rsidRPr="00E136EC">
              <w:rPr>
                <w:b/>
                <w:bCs/>
              </w:rPr>
              <w:t>MUST be compatible with the ABO &amp; RhD group of the patient</w:t>
            </w:r>
          </w:p>
        </w:tc>
        <w:tc>
          <w:tcPr>
            <w:tcW w:w="6034" w:type="dxa"/>
          </w:tcPr>
          <w:p w14:paraId="1B0CAE69" w14:textId="77777777" w:rsidR="00D6314C" w:rsidRDefault="00D6314C" w:rsidP="00E136EC">
            <w:pPr>
              <w:pStyle w:val="Body"/>
              <w:numPr>
                <w:ilvl w:val="0"/>
                <w:numId w:val="16"/>
              </w:numPr>
            </w:pPr>
            <w:r>
              <w:t>On the compatibility tag attached to the product</w:t>
            </w:r>
          </w:p>
          <w:p w14:paraId="508BB19C" w14:textId="77777777" w:rsidR="00D6314C" w:rsidRDefault="00D6314C" w:rsidP="00E136EC">
            <w:pPr>
              <w:pStyle w:val="Body"/>
              <w:numPr>
                <w:ilvl w:val="0"/>
                <w:numId w:val="16"/>
              </w:numPr>
            </w:pPr>
            <w:r>
              <w:t>On the Lifeblood label on the product</w:t>
            </w:r>
          </w:p>
          <w:p w14:paraId="47BB8BAD" w14:textId="1A2981BE" w:rsidR="00D6314C" w:rsidRDefault="00D6314C" w:rsidP="00E136EC">
            <w:pPr>
              <w:pStyle w:val="Body"/>
              <w:numPr>
                <w:ilvl w:val="0"/>
                <w:numId w:val="16"/>
              </w:numPr>
            </w:pPr>
            <w:r>
              <w:t>May be present in the administration screen after scanning the component if using an EMR</w:t>
            </w:r>
          </w:p>
        </w:tc>
        <w:tc>
          <w:tcPr>
            <w:tcW w:w="1701" w:type="dxa"/>
          </w:tcPr>
          <w:p w14:paraId="50A6E1C1" w14:textId="77777777" w:rsidR="00D6314C" w:rsidRDefault="00D6314C">
            <w:pPr>
              <w:pStyle w:val="Body"/>
              <w:ind w:left="284"/>
            </w:pPr>
          </w:p>
        </w:tc>
      </w:tr>
      <w:tr w:rsidR="00D6314C" w14:paraId="49EE45FB" w14:textId="2D2F84E7" w:rsidTr="00D6314C">
        <w:tc>
          <w:tcPr>
            <w:tcW w:w="2466" w:type="dxa"/>
          </w:tcPr>
          <w:p w14:paraId="6E4C27B4" w14:textId="750681F9" w:rsidR="00D6314C" w:rsidRDefault="00D6314C" w:rsidP="00A543F4">
            <w:pPr>
              <w:pStyle w:val="Body"/>
            </w:pPr>
            <w:r>
              <w:t>Component type</w:t>
            </w:r>
            <w:r w:rsidR="00381B12">
              <w:t xml:space="preserve"> (e.g. RBC)</w:t>
            </w:r>
          </w:p>
          <w:p w14:paraId="3C6C405D" w14:textId="7A9C28B6" w:rsidR="00D6314C" w:rsidRDefault="00D6314C" w:rsidP="00A543F4">
            <w:pPr>
              <w:pStyle w:val="Body"/>
            </w:pPr>
            <w:r w:rsidRPr="00FD26A1">
              <w:rPr>
                <w:i/>
                <w:iCs/>
              </w:rPr>
              <w:t>All must match exactly</w:t>
            </w:r>
          </w:p>
        </w:tc>
        <w:tc>
          <w:tcPr>
            <w:tcW w:w="6034" w:type="dxa"/>
          </w:tcPr>
          <w:p w14:paraId="53D2C5ED" w14:textId="77777777" w:rsidR="00D6314C" w:rsidRDefault="00D6314C" w:rsidP="00E136EC">
            <w:pPr>
              <w:pStyle w:val="Body"/>
              <w:numPr>
                <w:ilvl w:val="0"/>
                <w:numId w:val="17"/>
              </w:numPr>
            </w:pPr>
            <w:r>
              <w:t>On the Lifeblood label on the component</w:t>
            </w:r>
          </w:p>
          <w:p w14:paraId="58000005" w14:textId="77777777" w:rsidR="00D6314C" w:rsidRDefault="00D6314C" w:rsidP="00E136EC">
            <w:pPr>
              <w:pStyle w:val="Body"/>
              <w:numPr>
                <w:ilvl w:val="0"/>
                <w:numId w:val="17"/>
              </w:numPr>
            </w:pPr>
            <w:r>
              <w:t>On the compatibility label on the component (&amp; report if used)</w:t>
            </w:r>
          </w:p>
          <w:p w14:paraId="1FEE068E" w14:textId="130DA160" w:rsidR="00D6314C" w:rsidRDefault="00D6314C" w:rsidP="00E136EC">
            <w:pPr>
              <w:pStyle w:val="Body"/>
              <w:numPr>
                <w:ilvl w:val="0"/>
                <w:numId w:val="17"/>
              </w:numPr>
            </w:pPr>
            <w:r>
              <w:t>On the prescription and administration chart</w:t>
            </w:r>
          </w:p>
        </w:tc>
        <w:tc>
          <w:tcPr>
            <w:tcW w:w="1701" w:type="dxa"/>
          </w:tcPr>
          <w:p w14:paraId="130A58F4" w14:textId="77777777" w:rsidR="00D6314C" w:rsidRDefault="00D6314C" w:rsidP="00A543F4">
            <w:pPr>
              <w:pStyle w:val="Body"/>
              <w:ind w:left="284"/>
            </w:pPr>
          </w:p>
        </w:tc>
      </w:tr>
      <w:tr w:rsidR="00D6314C" w14:paraId="2A7642A9" w14:textId="0F03439D" w:rsidTr="00D6314C">
        <w:tc>
          <w:tcPr>
            <w:tcW w:w="2466" w:type="dxa"/>
          </w:tcPr>
          <w:p w14:paraId="27C6DC70" w14:textId="77777777" w:rsidR="00D6314C" w:rsidRDefault="00D6314C" w:rsidP="00A543F4">
            <w:pPr>
              <w:pStyle w:val="Body"/>
            </w:pPr>
            <w:r>
              <w:t>Donation number</w:t>
            </w:r>
          </w:p>
          <w:p w14:paraId="1FF4BAFB" w14:textId="130370EF" w:rsidR="00D6314C" w:rsidRDefault="00D6314C" w:rsidP="00A543F4">
            <w:pPr>
              <w:pStyle w:val="Body"/>
            </w:pPr>
            <w:r w:rsidRPr="00FD26A1">
              <w:rPr>
                <w:i/>
                <w:iCs/>
              </w:rPr>
              <w:t>All must match exactly</w:t>
            </w:r>
          </w:p>
        </w:tc>
        <w:tc>
          <w:tcPr>
            <w:tcW w:w="6034" w:type="dxa"/>
          </w:tcPr>
          <w:p w14:paraId="061035CD" w14:textId="77777777" w:rsidR="00D6314C" w:rsidRDefault="00D6314C" w:rsidP="00E136EC">
            <w:pPr>
              <w:pStyle w:val="Body"/>
              <w:numPr>
                <w:ilvl w:val="0"/>
                <w:numId w:val="17"/>
              </w:numPr>
            </w:pPr>
            <w:r>
              <w:t>On the Lifeblood label on the component</w:t>
            </w:r>
          </w:p>
          <w:p w14:paraId="0AB5FE03" w14:textId="36ECBD0F" w:rsidR="00D6314C" w:rsidRDefault="00D6314C" w:rsidP="00E136EC">
            <w:pPr>
              <w:pStyle w:val="Body"/>
              <w:numPr>
                <w:ilvl w:val="0"/>
                <w:numId w:val="17"/>
              </w:numPr>
            </w:pPr>
            <w:r>
              <w:t>On the compatibility label on the component (&amp; report if used)</w:t>
            </w:r>
          </w:p>
        </w:tc>
        <w:tc>
          <w:tcPr>
            <w:tcW w:w="1701" w:type="dxa"/>
          </w:tcPr>
          <w:p w14:paraId="0B458FA4" w14:textId="77777777" w:rsidR="00D6314C" w:rsidRDefault="00D6314C" w:rsidP="00A543F4">
            <w:pPr>
              <w:pStyle w:val="Body"/>
              <w:ind w:left="284"/>
            </w:pPr>
          </w:p>
        </w:tc>
      </w:tr>
      <w:tr w:rsidR="00D6314C" w14:paraId="6693C70F" w14:textId="06A44380" w:rsidTr="00D6314C">
        <w:tc>
          <w:tcPr>
            <w:tcW w:w="2466" w:type="dxa"/>
          </w:tcPr>
          <w:p w14:paraId="041086D1" w14:textId="77777777" w:rsidR="00D6314C" w:rsidRDefault="00D6314C" w:rsidP="00A543F4">
            <w:pPr>
              <w:pStyle w:val="Body"/>
            </w:pPr>
            <w:r>
              <w:t>Component expiry</w:t>
            </w:r>
          </w:p>
          <w:p w14:paraId="07D2CB33" w14:textId="0910B01C" w:rsidR="00D6314C" w:rsidRPr="00490B88" w:rsidRDefault="00D6314C" w:rsidP="00A543F4">
            <w:pPr>
              <w:pStyle w:val="Body"/>
              <w:rPr>
                <w:i/>
                <w:iCs/>
              </w:rPr>
            </w:pPr>
            <w:r w:rsidRPr="00490B88">
              <w:rPr>
                <w:i/>
                <w:iCs/>
              </w:rPr>
              <w:t>Must be within date</w:t>
            </w:r>
          </w:p>
        </w:tc>
        <w:tc>
          <w:tcPr>
            <w:tcW w:w="6034" w:type="dxa"/>
          </w:tcPr>
          <w:p w14:paraId="24D427C0" w14:textId="77777777" w:rsidR="00D6314C" w:rsidRDefault="00D6314C" w:rsidP="00E136EC">
            <w:pPr>
              <w:pStyle w:val="Body"/>
              <w:numPr>
                <w:ilvl w:val="0"/>
                <w:numId w:val="17"/>
              </w:numPr>
            </w:pPr>
            <w:r>
              <w:t>On the Lifeblood label on the component</w:t>
            </w:r>
          </w:p>
          <w:p w14:paraId="3CCA108F" w14:textId="7A05C185" w:rsidR="00D6314C" w:rsidRDefault="00D6314C" w:rsidP="00E136EC">
            <w:pPr>
              <w:pStyle w:val="Body"/>
              <w:numPr>
                <w:ilvl w:val="0"/>
                <w:numId w:val="17"/>
              </w:numPr>
            </w:pPr>
            <w:r>
              <w:t>On the compatibility label on the component (&amp; report if used)</w:t>
            </w:r>
          </w:p>
        </w:tc>
        <w:tc>
          <w:tcPr>
            <w:tcW w:w="1701" w:type="dxa"/>
          </w:tcPr>
          <w:p w14:paraId="66BE2C76" w14:textId="77777777" w:rsidR="00D6314C" w:rsidRDefault="00D6314C" w:rsidP="00A543F4">
            <w:pPr>
              <w:pStyle w:val="Body"/>
              <w:ind w:left="284"/>
            </w:pPr>
          </w:p>
        </w:tc>
      </w:tr>
      <w:tr w:rsidR="00D6314C" w14:paraId="7258E2F5" w14:textId="7BAD569E" w:rsidTr="00D6314C">
        <w:tc>
          <w:tcPr>
            <w:tcW w:w="2466" w:type="dxa"/>
          </w:tcPr>
          <w:p w14:paraId="50CB1AF5" w14:textId="77777777" w:rsidR="00D6314C" w:rsidRDefault="00D6314C" w:rsidP="00A543F4">
            <w:pPr>
              <w:pStyle w:val="Body"/>
            </w:pPr>
            <w:r>
              <w:t>Crossmatch expiry</w:t>
            </w:r>
          </w:p>
          <w:p w14:paraId="4433D954" w14:textId="0170738E" w:rsidR="00D6314C" w:rsidRPr="00BC079B" w:rsidRDefault="00D6314C" w:rsidP="00490B88">
            <w:pPr>
              <w:pStyle w:val="Body"/>
            </w:pPr>
            <w:r>
              <w:rPr>
                <w:i/>
                <w:iCs/>
              </w:rPr>
              <w:t>M</w:t>
            </w:r>
            <w:r w:rsidRPr="00FD26A1">
              <w:rPr>
                <w:i/>
                <w:iCs/>
              </w:rPr>
              <w:t xml:space="preserve">ust </w:t>
            </w:r>
            <w:r>
              <w:rPr>
                <w:i/>
                <w:iCs/>
              </w:rPr>
              <w:t>be within date</w:t>
            </w:r>
          </w:p>
        </w:tc>
        <w:tc>
          <w:tcPr>
            <w:tcW w:w="6034" w:type="dxa"/>
          </w:tcPr>
          <w:p w14:paraId="1425346D" w14:textId="7B363579" w:rsidR="00D6314C" w:rsidRDefault="00D6314C" w:rsidP="00490B88">
            <w:pPr>
              <w:pStyle w:val="Body"/>
            </w:pPr>
            <w:r>
              <w:t>On the compatibility label attached to the component (&amp; report if used)</w:t>
            </w:r>
          </w:p>
        </w:tc>
        <w:tc>
          <w:tcPr>
            <w:tcW w:w="1701" w:type="dxa"/>
          </w:tcPr>
          <w:p w14:paraId="43E0EA2D" w14:textId="77777777" w:rsidR="00D6314C" w:rsidRDefault="00D6314C" w:rsidP="00A543F4">
            <w:pPr>
              <w:pStyle w:val="Body"/>
              <w:ind w:left="284"/>
            </w:pPr>
          </w:p>
        </w:tc>
      </w:tr>
      <w:tr w:rsidR="00D6314C" w14:paraId="0A06F5C0" w14:textId="2684A714" w:rsidTr="00D6314C">
        <w:tc>
          <w:tcPr>
            <w:tcW w:w="2466" w:type="dxa"/>
          </w:tcPr>
          <w:p w14:paraId="1B2403DE" w14:textId="39104610" w:rsidR="00D6314C" w:rsidRDefault="00D6314C" w:rsidP="00A543F4">
            <w:pPr>
              <w:pStyle w:val="Body"/>
            </w:pPr>
            <w:r>
              <w:t>Pack integrity</w:t>
            </w:r>
          </w:p>
        </w:tc>
        <w:tc>
          <w:tcPr>
            <w:tcW w:w="6034" w:type="dxa"/>
          </w:tcPr>
          <w:p w14:paraId="33D3CEE3" w14:textId="77777777" w:rsidR="00D6314C" w:rsidRDefault="00D6314C" w:rsidP="00E136EC">
            <w:pPr>
              <w:pStyle w:val="Body"/>
              <w:numPr>
                <w:ilvl w:val="0"/>
                <w:numId w:val="23"/>
              </w:numPr>
            </w:pPr>
            <w:r>
              <w:t>Pack must be intact – no leaks</w:t>
            </w:r>
          </w:p>
          <w:p w14:paraId="4FB50921" w14:textId="1A8CC173" w:rsidR="00D6314C" w:rsidRDefault="00D6314C" w:rsidP="00E136EC">
            <w:pPr>
              <w:pStyle w:val="Body"/>
              <w:numPr>
                <w:ilvl w:val="0"/>
                <w:numId w:val="23"/>
              </w:numPr>
            </w:pPr>
            <w:r w:rsidRPr="00A543F4">
              <w:t xml:space="preserve">No discolouration, </w:t>
            </w:r>
            <w:r w:rsidR="009F623C" w:rsidRPr="00A543F4">
              <w:t>clots,</w:t>
            </w:r>
            <w:r w:rsidRPr="00A543F4">
              <w:t xml:space="preserve"> or foreign bodies</w:t>
            </w:r>
          </w:p>
        </w:tc>
        <w:tc>
          <w:tcPr>
            <w:tcW w:w="1701" w:type="dxa"/>
          </w:tcPr>
          <w:p w14:paraId="4A0A5EDD" w14:textId="77777777" w:rsidR="00D6314C" w:rsidRDefault="00D6314C" w:rsidP="00A543F4">
            <w:pPr>
              <w:pStyle w:val="Body"/>
              <w:ind w:left="284"/>
            </w:pPr>
          </w:p>
        </w:tc>
      </w:tr>
      <w:tr w:rsidR="00D6314C" w14:paraId="7ECF914A" w14:textId="0AE631C2" w:rsidTr="00D6314C">
        <w:tc>
          <w:tcPr>
            <w:tcW w:w="2466" w:type="dxa"/>
          </w:tcPr>
          <w:p w14:paraId="1E0D0DF3" w14:textId="641C8BFA" w:rsidR="00D6314C" w:rsidRDefault="00CF0258" w:rsidP="00A543F4">
            <w:pPr>
              <w:pStyle w:val="Body"/>
            </w:pPr>
            <w:r>
              <w:t>Commences blood transfusion</w:t>
            </w:r>
          </w:p>
        </w:tc>
        <w:tc>
          <w:tcPr>
            <w:tcW w:w="6034" w:type="dxa"/>
          </w:tcPr>
          <w:p w14:paraId="68D0F854" w14:textId="77777777" w:rsidR="00D6314C" w:rsidRDefault="00CF0258" w:rsidP="00E136EC">
            <w:pPr>
              <w:pStyle w:val="Body"/>
              <w:numPr>
                <w:ilvl w:val="0"/>
                <w:numId w:val="24"/>
              </w:numPr>
            </w:pPr>
            <w:r>
              <w:t>Spikes bag immediately following double independent check</w:t>
            </w:r>
          </w:p>
          <w:p w14:paraId="6063FD74" w14:textId="4A9109A9" w:rsidR="00CF0258" w:rsidRDefault="00CF0258" w:rsidP="00E136EC">
            <w:pPr>
              <w:pStyle w:val="Body"/>
              <w:numPr>
                <w:ilvl w:val="0"/>
                <w:numId w:val="24"/>
              </w:numPr>
            </w:pPr>
            <w:r>
              <w:t>Transfusion commenced at the prescribed rate</w:t>
            </w:r>
            <w:r w:rsidR="00841455">
              <w:t xml:space="preserve"> (rate check if using pump)</w:t>
            </w:r>
          </w:p>
          <w:p w14:paraId="75DCEF8D" w14:textId="3F3137F8" w:rsidR="00CF0258" w:rsidRDefault="00CF0258" w:rsidP="00E136EC">
            <w:pPr>
              <w:pStyle w:val="Body"/>
              <w:numPr>
                <w:ilvl w:val="0"/>
                <w:numId w:val="24"/>
              </w:numPr>
            </w:pPr>
            <w:r>
              <w:t>Stays with the patient for the first 15 minutes</w:t>
            </w:r>
          </w:p>
        </w:tc>
        <w:tc>
          <w:tcPr>
            <w:tcW w:w="1701" w:type="dxa"/>
          </w:tcPr>
          <w:p w14:paraId="3C0FA16A" w14:textId="77777777" w:rsidR="00D6314C" w:rsidRDefault="00D6314C" w:rsidP="00A543F4">
            <w:pPr>
              <w:pStyle w:val="Body"/>
              <w:ind w:left="284"/>
            </w:pPr>
          </w:p>
        </w:tc>
      </w:tr>
      <w:tr w:rsidR="00D6314C" w14:paraId="70B96677" w14:textId="38EE3180" w:rsidTr="00D6314C">
        <w:tc>
          <w:tcPr>
            <w:tcW w:w="2466" w:type="dxa"/>
          </w:tcPr>
          <w:p w14:paraId="3AB276D2" w14:textId="25EE894E" w:rsidR="00D6314C" w:rsidRPr="00BC079B" w:rsidRDefault="00D6314C" w:rsidP="00490B88">
            <w:pPr>
              <w:pStyle w:val="Body"/>
            </w:pPr>
            <w:r>
              <w:t>Completes all documentation</w:t>
            </w:r>
          </w:p>
        </w:tc>
        <w:tc>
          <w:tcPr>
            <w:tcW w:w="6034" w:type="dxa"/>
          </w:tcPr>
          <w:p w14:paraId="06B2A283" w14:textId="02B87511" w:rsidR="00D6314C" w:rsidRDefault="00D6314C" w:rsidP="00E136EC">
            <w:pPr>
              <w:pStyle w:val="Body"/>
              <w:numPr>
                <w:ilvl w:val="0"/>
                <w:numId w:val="15"/>
              </w:numPr>
            </w:pPr>
            <w:r>
              <w:t>Signs blood prescription</w:t>
            </w:r>
            <w:r w:rsidR="00841455">
              <w:t>, with date and time,</w:t>
            </w:r>
            <w:r>
              <w:t xml:space="preserve"> and ensures second checker signs prescription.</w:t>
            </w:r>
          </w:p>
          <w:p w14:paraId="0E112D92" w14:textId="68732438" w:rsidR="00D6314C" w:rsidRDefault="00D6314C" w:rsidP="00E136EC">
            <w:pPr>
              <w:pStyle w:val="Body"/>
              <w:numPr>
                <w:ilvl w:val="0"/>
                <w:numId w:val="22"/>
              </w:numPr>
            </w:pPr>
            <w:r>
              <w:t>Signs compatibility report i</w:t>
            </w:r>
            <w:r w:rsidR="00841455">
              <w:t>f</w:t>
            </w:r>
            <w:r>
              <w:t xml:space="preserve"> used and ensures the second checker signs the report.</w:t>
            </w:r>
          </w:p>
          <w:p w14:paraId="6B8537C5" w14:textId="0C891B99" w:rsidR="00D6314C" w:rsidRDefault="00D6314C" w:rsidP="00E136EC">
            <w:pPr>
              <w:pStyle w:val="Body"/>
              <w:numPr>
                <w:ilvl w:val="0"/>
                <w:numId w:val="22"/>
              </w:numPr>
            </w:pPr>
            <w:r>
              <w:lastRenderedPageBreak/>
              <w:t xml:space="preserve">Progress note if required </w:t>
            </w:r>
          </w:p>
        </w:tc>
        <w:tc>
          <w:tcPr>
            <w:tcW w:w="1701" w:type="dxa"/>
          </w:tcPr>
          <w:p w14:paraId="24EDD21E" w14:textId="77777777" w:rsidR="00D6314C" w:rsidRDefault="00D6314C" w:rsidP="00A543F4">
            <w:pPr>
              <w:pStyle w:val="Body"/>
              <w:ind w:left="284"/>
            </w:pPr>
          </w:p>
        </w:tc>
      </w:tr>
    </w:tbl>
    <w:p w14:paraId="4DEF9C5B" w14:textId="618CE8F3" w:rsidR="00A3361B" w:rsidRDefault="00A3361B" w:rsidP="00381B12">
      <w:pPr>
        <w:spacing w:before="240" w:after="0" w:line="240" w:lineRule="auto"/>
        <w:rPr>
          <w:b/>
          <w:color w:val="53565A"/>
          <w:sz w:val="32"/>
          <w:szCs w:val="28"/>
        </w:rPr>
      </w:pPr>
      <w:r>
        <w:rPr>
          <w:b/>
          <w:color w:val="53565A"/>
          <w:sz w:val="32"/>
          <w:szCs w:val="28"/>
        </w:rPr>
        <w:t>Assessment summary</w:t>
      </w:r>
    </w:p>
    <w:tbl>
      <w:tblPr>
        <w:tblStyle w:val="TableGrid"/>
        <w:tblW w:w="0" w:type="auto"/>
        <w:jc w:val="center"/>
        <w:tblLook w:val="04A0" w:firstRow="1" w:lastRow="0" w:firstColumn="1" w:lastColumn="0" w:noHBand="0" w:noVBand="1"/>
      </w:tblPr>
      <w:tblGrid>
        <w:gridCol w:w="5240"/>
        <w:gridCol w:w="4954"/>
      </w:tblGrid>
      <w:tr w:rsidR="00BF297A" w14:paraId="5334D2C0" w14:textId="77777777" w:rsidTr="00136057">
        <w:trPr>
          <w:jc w:val="center"/>
        </w:trPr>
        <w:tc>
          <w:tcPr>
            <w:tcW w:w="5240" w:type="dxa"/>
          </w:tcPr>
          <w:p w14:paraId="4847D05A" w14:textId="29B7A995" w:rsidR="00BF297A" w:rsidRDefault="00BF297A" w:rsidP="00136057">
            <w:pPr>
              <w:pStyle w:val="Tablecolhead"/>
              <w:rPr>
                <w:rFonts w:eastAsia="Times"/>
              </w:rPr>
            </w:pPr>
            <w:r w:rsidRPr="00136057">
              <w:t>Assessment details</w:t>
            </w:r>
          </w:p>
        </w:tc>
        <w:tc>
          <w:tcPr>
            <w:tcW w:w="4954" w:type="dxa"/>
          </w:tcPr>
          <w:p w14:paraId="0610F287" w14:textId="1C9C3328" w:rsidR="00BF297A" w:rsidRDefault="00BF297A" w:rsidP="00136057">
            <w:pPr>
              <w:pStyle w:val="Tablecolhead"/>
              <w:rPr>
                <w:rFonts w:eastAsia="Times"/>
              </w:rPr>
            </w:pPr>
            <w:r w:rsidRPr="00136057">
              <w:t>Result / response</w:t>
            </w:r>
          </w:p>
        </w:tc>
      </w:tr>
      <w:tr w:rsidR="00BF297A" w14:paraId="73083E95" w14:textId="77777777" w:rsidTr="00136057">
        <w:trPr>
          <w:jc w:val="center"/>
        </w:trPr>
        <w:tc>
          <w:tcPr>
            <w:tcW w:w="5240" w:type="dxa"/>
          </w:tcPr>
          <w:p w14:paraId="2C85E1F3" w14:textId="056612A6" w:rsidR="00BF297A" w:rsidRDefault="00BF297A" w:rsidP="00136057">
            <w:pPr>
              <w:pStyle w:val="Body"/>
            </w:pPr>
            <w:r w:rsidRPr="00A3361B">
              <w:t xml:space="preserve">Candidate’s name: </w:t>
            </w:r>
          </w:p>
        </w:tc>
        <w:tc>
          <w:tcPr>
            <w:tcW w:w="4954" w:type="dxa"/>
          </w:tcPr>
          <w:p w14:paraId="2739E4B8" w14:textId="77777777" w:rsidR="00BF297A" w:rsidRDefault="00BF297A" w:rsidP="00136057">
            <w:pPr>
              <w:pStyle w:val="Body"/>
            </w:pPr>
          </w:p>
        </w:tc>
      </w:tr>
      <w:tr w:rsidR="00BF297A" w14:paraId="2FC93115" w14:textId="77777777" w:rsidTr="00136057">
        <w:trPr>
          <w:jc w:val="center"/>
        </w:trPr>
        <w:tc>
          <w:tcPr>
            <w:tcW w:w="5240" w:type="dxa"/>
          </w:tcPr>
          <w:p w14:paraId="1E55CEDF" w14:textId="2C5F321F" w:rsidR="00BF297A" w:rsidRDefault="00BF297A" w:rsidP="00136057">
            <w:pPr>
              <w:pStyle w:val="Body"/>
            </w:pPr>
            <w:r w:rsidRPr="00A3361B">
              <w:t>Hospital</w:t>
            </w:r>
            <w:r>
              <w:t xml:space="preserve"> / ward</w:t>
            </w:r>
            <w:r w:rsidRPr="00A3361B">
              <w:tab/>
            </w:r>
          </w:p>
        </w:tc>
        <w:tc>
          <w:tcPr>
            <w:tcW w:w="4954" w:type="dxa"/>
          </w:tcPr>
          <w:p w14:paraId="5CEDF47C" w14:textId="77777777" w:rsidR="00BF297A" w:rsidRDefault="00BF297A" w:rsidP="00136057">
            <w:pPr>
              <w:pStyle w:val="Body"/>
            </w:pPr>
          </w:p>
        </w:tc>
      </w:tr>
      <w:tr w:rsidR="00BF297A" w14:paraId="421733C0" w14:textId="77777777" w:rsidTr="00136057">
        <w:trPr>
          <w:jc w:val="center"/>
        </w:trPr>
        <w:tc>
          <w:tcPr>
            <w:tcW w:w="5240" w:type="dxa"/>
          </w:tcPr>
          <w:p w14:paraId="546CCC04" w14:textId="42FE9207" w:rsidR="00BF297A" w:rsidRDefault="00BF297A" w:rsidP="00136057">
            <w:pPr>
              <w:pStyle w:val="Body"/>
            </w:pPr>
            <w:r>
              <w:t>Date and assessment attempt</w:t>
            </w:r>
          </w:p>
        </w:tc>
        <w:tc>
          <w:tcPr>
            <w:tcW w:w="4954" w:type="dxa"/>
          </w:tcPr>
          <w:p w14:paraId="6CDBAA0A" w14:textId="77777777" w:rsidR="00BF297A" w:rsidRDefault="00BF297A" w:rsidP="00136057">
            <w:pPr>
              <w:pStyle w:val="Body"/>
            </w:pPr>
          </w:p>
        </w:tc>
      </w:tr>
      <w:tr w:rsidR="00BF297A" w14:paraId="19AE388E" w14:textId="77777777" w:rsidTr="00136057">
        <w:trPr>
          <w:jc w:val="center"/>
        </w:trPr>
        <w:tc>
          <w:tcPr>
            <w:tcW w:w="5240" w:type="dxa"/>
          </w:tcPr>
          <w:p w14:paraId="0F2918CE" w14:textId="0A39A198" w:rsidR="00BF297A" w:rsidRDefault="00BF297A" w:rsidP="00136057">
            <w:pPr>
              <w:pStyle w:val="Body"/>
            </w:pPr>
            <w:r w:rsidRPr="00A3361B">
              <w:t>Assessor’s name and designation:</w:t>
            </w:r>
          </w:p>
        </w:tc>
        <w:tc>
          <w:tcPr>
            <w:tcW w:w="4954" w:type="dxa"/>
          </w:tcPr>
          <w:p w14:paraId="36A95853" w14:textId="77777777" w:rsidR="00BF297A" w:rsidRDefault="00BF297A" w:rsidP="00136057">
            <w:pPr>
              <w:pStyle w:val="Body"/>
            </w:pPr>
          </w:p>
        </w:tc>
      </w:tr>
      <w:tr w:rsidR="00BF297A" w14:paraId="26ED7C04" w14:textId="77777777" w:rsidTr="00136057">
        <w:trPr>
          <w:jc w:val="center"/>
        </w:trPr>
        <w:tc>
          <w:tcPr>
            <w:tcW w:w="5240" w:type="dxa"/>
          </w:tcPr>
          <w:p w14:paraId="4BBC4F3D" w14:textId="6E05E7AA" w:rsidR="00BF297A" w:rsidRDefault="00BF297A" w:rsidP="00136057">
            <w:pPr>
              <w:pStyle w:val="Body"/>
            </w:pPr>
            <w:r w:rsidRPr="00A3361B">
              <w:t>Competency achieved</w:t>
            </w:r>
            <w:r>
              <w:t xml:space="preserve"> (Yes / NYC) and feedback</w:t>
            </w:r>
            <w:r w:rsidRPr="00A3361B">
              <w:t>:</w:t>
            </w:r>
            <w:r>
              <w:t xml:space="preserve"> </w:t>
            </w:r>
          </w:p>
        </w:tc>
        <w:tc>
          <w:tcPr>
            <w:tcW w:w="4954" w:type="dxa"/>
          </w:tcPr>
          <w:p w14:paraId="1238C515" w14:textId="77777777" w:rsidR="00BF297A" w:rsidRDefault="00BF297A" w:rsidP="00136057">
            <w:pPr>
              <w:pStyle w:val="Body"/>
            </w:pPr>
          </w:p>
        </w:tc>
      </w:tr>
    </w:tbl>
    <w:p w14:paraId="305FD784" w14:textId="1B4E3C9D" w:rsidR="001E625F" w:rsidRDefault="00D3444D" w:rsidP="00B30164">
      <w:pPr>
        <w:pStyle w:val="Heading2"/>
      </w:pPr>
      <w:r>
        <w:t xml:space="preserve">Appendix </w:t>
      </w:r>
      <w:r w:rsidR="00426F5C">
        <w:t>A</w:t>
      </w:r>
      <w:r w:rsidR="00490B88">
        <w:t>:</w:t>
      </w:r>
      <w:r>
        <w:t xml:space="preserve"> Transfusion reaction </w:t>
      </w:r>
      <w:r w:rsidR="00B30164">
        <w:t>signs and symptoms</w:t>
      </w:r>
    </w:p>
    <w:p w14:paraId="652C1B5C" w14:textId="5255422F" w:rsidR="00C724E2" w:rsidRDefault="00C724E2" w:rsidP="00C724E2">
      <w:pPr>
        <w:pStyle w:val="Body"/>
      </w:pPr>
      <w:r w:rsidRPr="00C724E2">
        <w:rPr>
          <w:noProof/>
        </w:rPr>
        <w:drawing>
          <wp:inline distT="0" distB="0" distL="0" distR="0" wp14:anchorId="2BD8F120" wp14:editId="206BDD6F">
            <wp:extent cx="6479540" cy="4480560"/>
            <wp:effectExtent l="19050" t="19050" r="16510" b="15240"/>
            <wp:docPr id="1814235665" name="Picture 1" descr="A screenshot showing the some acute transfusion signs and symptoms. Signs: Temperature rise equalt to or greater than 38 degrees C or of more than one degree above baseline. Cardiovascular; tachycardia and/or hyper of hypotenstion. Respiratory: decreased oxygen saturation, increase respoiratory rate, stridor, wheeze or crepitations. Symptoms: rash or urticaria, chills or rigors, nausea or vomiting, back or chest pain, anxiety or fear, shotness of breath.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35665" name="Picture 1" descr="A screenshot showing the some acute transfusion signs and symptoms. Signs: Temperature rise equalt to or greater than 38 degrees C or of more than one degree above baseline. Cardiovascular; tachycardia and/or hyper of hypotenstion. Respiratory: decreased oxygen saturation, increase respoiratory rate, stridor, wheeze or crepitations. Symptoms: rash or urticaria, chills or rigors, nausea or vomiting, back or chest pain, anxiety or fear, shotness of breath.  &#10;&#10;"/>
                    <pic:cNvPicPr/>
                  </pic:nvPicPr>
                  <pic:blipFill>
                    <a:blip r:embed="rId17"/>
                    <a:stretch>
                      <a:fillRect/>
                    </a:stretch>
                  </pic:blipFill>
                  <pic:spPr>
                    <a:xfrm>
                      <a:off x="0" y="0"/>
                      <a:ext cx="6479540" cy="4480560"/>
                    </a:xfrm>
                    <a:prstGeom prst="rect">
                      <a:avLst/>
                    </a:prstGeom>
                    <a:ln>
                      <a:solidFill>
                        <a:schemeClr val="tx1"/>
                      </a:solidFill>
                    </a:ln>
                  </pic:spPr>
                </pic:pic>
              </a:graphicData>
            </a:graphic>
          </wp:inline>
        </w:drawing>
      </w:r>
    </w:p>
    <w:p w14:paraId="3D04EEA3" w14:textId="2CA07434" w:rsidR="00B977F1" w:rsidRDefault="00982E9B" w:rsidP="00200176">
      <w:pPr>
        <w:pStyle w:val="Body"/>
      </w:pPr>
      <w:r>
        <w:t xml:space="preserve">Reference: </w:t>
      </w:r>
      <w:r w:rsidR="00C724E2">
        <w:t>Lifeblood Transfusion Practitioner microcredentials module 5,</w:t>
      </w:r>
      <w:r w:rsidR="00B4636A">
        <w:t xml:space="preserve"> Blood Administration,</w:t>
      </w:r>
      <w:r w:rsidR="00C724E2">
        <w:t xml:space="preserve"> 2024</w:t>
      </w:r>
    </w:p>
    <w:p w14:paraId="2296B147" w14:textId="77777777" w:rsidR="00B977F1" w:rsidRDefault="00B977F1">
      <w:pPr>
        <w:spacing w:after="0" w:line="240" w:lineRule="auto"/>
        <w:rPr>
          <w:rFonts w:eastAsia="Times"/>
        </w:rPr>
      </w:pPr>
      <w:r>
        <w:br w:type="page"/>
      </w:r>
    </w:p>
    <w:p w14:paraId="0BD60592" w14:textId="77777777" w:rsidR="00E136EC" w:rsidRPr="00200176" w:rsidRDefault="00E136EC" w:rsidP="00200176">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55119B" w14:paraId="180F8C88" w14:textId="77777777" w:rsidTr="00B977F1">
        <w:tc>
          <w:tcPr>
            <w:tcW w:w="10194" w:type="dxa"/>
          </w:tcPr>
          <w:p w14:paraId="142FE5B8" w14:textId="2E903630" w:rsidR="0055119B" w:rsidRPr="0055119B" w:rsidRDefault="0055119B" w:rsidP="0055119B">
            <w:pPr>
              <w:pStyle w:val="Accessibilitypara"/>
            </w:pPr>
            <w:bookmarkStart w:id="0" w:name="_Hlk37240926"/>
            <w:r w:rsidRPr="0055119B">
              <w:t xml:space="preserve">To receive this document in another format email </w:t>
            </w:r>
            <w:hyperlink r:id="rId18" w:history="1">
              <w:r w:rsidR="00F60CBD" w:rsidRPr="006D1389">
                <w:rPr>
                  <w:rStyle w:val="Hyperlink"/>
                </w:rPr>
                <w:t>Bloodmatters@redcrossblood.org.au</w:t>
              </w:r>
            </w:hyperlink>
            <w:r w:rsidR="00F60CBD">
              <w:t xml:space="preserve"> </w:t>
            </w:r>
            <w:r w:rsidRPr="0055119B">
              <w:t>&lt;</w:t>
            </w:r>
            <w:r w:rsidR="00F60CBD">
              <w:t>bloodmatters@redcrossblood.org.au</w:t>
            </w:r>
            <w:r w:rsidRPr="0055119B">
              <w:t>&gt;.</w:t>
            </w:r>
          </w:p>
          <w:p w14:paraId="0C8C9332" w14:textId="77777777" w:rsidR="0055119B" w:rsidRPr="0055119B" w:rsidRDefault="0055119B" w:rsidP="00E33237">
            <w:pPr>
              <w:pStyle w:val="Imprint"/>
            </w:pPr>
            <w:r w:rsidRPr="0055119B">
              <w:t>Authorised and published by the Victorian Government, 1 Treasury Place, Melbourne.</w:t>
            </w:r>
          </w:p>
          <w:p w14:paraId="07F7A65B" w14:textId="3332AC5B"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F60CBD">
              <w:rPr>
                <w:color w:val="004C97"/>
              </w:rPr>
              <w:t>December 2024</w:t>
            </w:r>
            <w:r w:rsidRPr="0055119B">
              <w:t>.</w:t>
            </w:r>
          </w:p>
          <w:p w14:paraId="4D9E2BA1" w14:textId="3A0ADB9A" w:rsidR="0055119B" w:rsidRPr="00E33237" w:rsidRDefault="0055119B" w:rsidP="00F60CBD">
            <w:pPr>
              <w:pStyle w:val="Imprint"/>
              <w:rPr>
                <w:color w:val="004C97"/>
              </w:rPr>
            </w:pPr>
            <w:r w:rsidRPr="00E33237">
              <w:rPr>
                <w:color w:val="004C97"/>
              </w:rPr>
              <w:t xml:space="preserve">Except where otherwise indicated, the images in this document show models and illustrative settings only, and do not necessarily depict actual services, facilities or recipients of services. </w:t>
            </w:r>
          </w:p>
          <w:p w14:paraId="21EE6E9D" w14:textId="77777777" w:rsidR="004B7457" w:rsidRDefault="004B7457" w:rsidP="00F60CBD">
            <w:pPr>
              <w:pStyle w:val="Imprint"/>
            </w:pPr>
            <w:r w:rsidRPr="004B7457">
              <w:rPr>
                <w:b/>
                <w:bCs/>
              </w:rPr>
              <w:t xml:space="preserve">ISBN </w:t>
            </w:r>
            <w:r w:rsidRPr="004B7457">
              <w:t xml:space="preserve">978-1-76131-716-3 </w:t>
            </w:r>
            <w:r w:rsidRPr="004B7457">
              <w:rPr>
                <w:b/>
                <w:bCs/>
              </w:rPr>
              <w:t>(pdf/online/MS word)</w:t>
            </w:r>
            <w:r w:rsidRPr="004B7457">
              <w:t xml:space="preserve"> </w:t>
            </w:r>
          </w:p>
          <w:p w14:paraId="363E88B6" w14:textId="1EAB0513" w:rsidR="0055119B" w:rsidRDefault="0055119B" w:rsidP="00F60CBD">
            <w:pPr>
              <w:pStyle w:val="Imprint"/>
            </w:pPr>
            <w:r w:rsidRPr="0055119B">
              <w:t xml:space="preserve">Available at </w:t>
            </w:r>
            <w:hyperlink r:id="rId19" w:history="1">
              <w:r w:rsidR="00F60CBD" w:rsidRPr="00F60CBD">
                <w:rPr>
                  <w:rStyle w:val="Hyperlink"/>
                </w:rPr>
                <w:t>Blood Matters Program</w:t>
              </w:r>
            </w:hyperlink>
            <w:r w:rsidR="00F60CBD">
              <w:t xml:space="preserve"> </w:t>
            </w:r>
            <w:r w:rsidRPr="0055119B">
              <w:t>&lt;</w:t>
            </w:r>
            <w:r w:rsidR="00F60CBD" w:rsidRPr="00F60CBD">
              <w:rPr>
                <w:color w:val="004C97"/>
              </w:rPr>
              <w:t>https://www.health.vic.gov.au/patient-care/blood-matters-program</w:t>
            </w:r>
            <w:r w:rsidRPr="0055119B">
              <w:t>&gt;</w:t>
            </w:r>
          </w:p>
        </w:tc>
      </w:tr>
      <w:bookmarkEnd w:id="0"/>
    </w:tbl>
    <w:p w14:paraId="278EEBCA" w14:textId="77777777" w:rsidR="00162CA9" w:rsidRDefault="00162CA9" w:rsidP="00162CA9">
      <w:pPr>
        <w:pStyle w:val="Body"/>
      </w:pPr>
    </w:p>
    <w:sectPr w:rsidR="00162CA9" w:rsidSect="00D5409D">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FB071" w14:textId="77777777" w:rsidR="005C5BE4" w:rsidRDefault="005C5BE4">
      <w:r>
        <w:separator/>
      </w:r>
    </w:p>
  </w:endnote>
  <w:endnote w:type="continuationSeparator" w:id="0">
    <w:p w14:paraId="3848E405" w14:textId="77777777" w:rsidR="005C5BE4" w:rsidRDefault="005C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7334E"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12E9E1F0" wp14:editId="318D6411">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844BCA4" wp14:editId="2005989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72C4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44BCA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E72C4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4A56A"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11BC0831" wp14:editId="7592F4C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7138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BC083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897138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41E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21C539E1" wp14:editId="264A409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999B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C539E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2E999B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5BF2C" w14:textId="77777777" w:rsidR="005C5BE4" w:rsidRDefault="005C5BE4" w:rsidP="002862F1">
      <w:pPr>
        <w:spacing w:before="120"/>
      </w:pPr>
      <w:r>
        <w:separator/>
      </w:r>
    </w:p>
  </w:footnote>
  <w:footnote w:type="continuationSeparator" w:id="0">
    <w:p w14:paraId="2CC3D2B3" w14:textId="77777777" w:rsidR="005C5BE4" w:rsidRDefault="005C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5FB9"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163BF"/>
    <w:multiLevelType w:val="hybridMultilevel"/>
    <w:tmpl w:val="D4D21194"/>
    <w:lvl w:ilvl="0" w:tplc="E0303D96">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1908EA"/>
    <w:multiLevelType w:val="hybridMultilevel"/>
    <w:tmpl w:val="3C2CD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401A68"/>
    <w:multiLevelType w:val="hybridMultilevel"/>
    <w:tmpl w:val="5F76C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C528A3"/>
    <w:multiLevelType w:val="hybridMultilevel"/>
    <w:tmpl w:val="B9F47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F63B72"/>
    <w:multiLevelType w:val="hybridMultilevel"/>
    <w:tmpl w:val="C996F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8A79BF"/>
    <w:multiLevelType w:val="hybridMultilevel"/>
    <w:tmpl w:val="388A8B20"/>
    <w:lvl w:ilvl="0" w:tplc="EE8AC6F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E314A22"/>
    <w:multiLevelType w:val="hybridMultilevel"/>
    <w:tmpl w:val="27069B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6D4F29"/>
    <w:multiLevelType w:val="hybridMultilevel"/>
    <w:tmpl w:val="EB62CCDA"/>
    <w:lvl w:ilvl="0" w:tplc="463CEAD4">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757782"/>
    <w:multiLevelType w:val="hybridMultilevel"/>
    <w:tmpl w:val="49189DFA"/>
    <w:lvl w:ilvl="0" w:tplc="2166BB82">
      <w:start w:val="1"/>
      <w:numFmt w:val="bullet"/>
      <w:lvlText w:val=""/>
      <w:lvlJc w:val="left"/>
      <w:pPr>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B960F8"/>
    <w:multiLevelType w:val="hybridMultilevel"/>
    <w:tmpl w:val="407077C0"/>
    <w:lvl w:ilvl="0" w:tplc="9486700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6A4F9C"/>
    <w:multiLevelType w:val="hybridMultilevel"/>
    <w:tmpl w:val="8D5C7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945731"/>
    <w:multiLevelType w:val="hybridMultilevel"/>
    <w:tmpl w:val="BB9AA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35B44BE"/>
    <w:multiLevelType w:val="hybridMultilevel"/>
    <w:tmpl w:val="E15E5F7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F962B3"/>
    <w:multiLevelType w:val="hybridMultilevel"/>
    <w:tmpl w:val="1806FB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DF34B0"/>
    <w:multiLevelType w:val="hybridMultilevel"/>
    <w:tmpl w:val="0FD4A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EF1418"/>
    <w:multiLevelType w:val="hybridMultilevel"/>
    <w:tmpl w:val="914C972E"/>
    <w:lvl w:ilvl="0" w:tplc="7272E43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3F94BF3"/>
    <w:multiLevelType w:val="hybridMultilevel"/>
    <w:tmpl w:val="ECE6EC02"/>
    <w:lvl w:ilvl="0" w:tplc="C88889E8">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25E7C3F"/>
    <w:multiLevelType w:val="hybridMultilevel"/>
    <w:tmpl w:val="A3568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8969480">
    <w:abstractNumId w:val="13"/>
  </w:num>
  <w:num w:numId="2" w16cid:durableId="57364693">
    <w:abstractNumId w:val="21"/>
  </w:num>
  <w:num w:numId="3" w16cid:durableId="1181505368">
    <w:abstractNumId w:val="20"/>
  </w:num>
  <w:num w:numId="4" w16cid:durableId="1412315746">
    <w:abstractNumId w:val="23"/>
  </w:num>
  <w:num w:numId="5" w16cid:durableId="1227566260">
    <w:abstractNumId w:val="14"/>
  </w:num>
  <w:num w:numId="6" w16cid:durableId="412355010">
    <w:abstractNumId w:val="2"/>
  </w:num>
  <w:num w:numId="7" w16cid:durableId="1502964283">
    <w:abstractNumId w:val="5"/>
  </w:num>
  <w:num w:numId="8" w16cid:durableId="317344494">
    <w:abstractNumId w:val="16"/>
  </w:num>
  <w:num w:numId="9" w16cid:durableId="325671781">
    <w:abstractNumId w:val="3"/>
  </w:num>
  <w:num w:numId="10" w16cid:durableId="1275288760">
    <w:abstractNumId w:val="11"/>
  </w:num>
  <w:num w:numId="11" w16cid:durableId="449323557">
    <w:abstractNumId w:val="4"/>
  </w:num>
  <w:num w:numId="12" w16cid:durableId="14043369">
    <w:abstractNumId w:val="22"/>
  </w:num>
  <w:num w:numId="13" w16cid:durableId="1328636151">
    <w:abstractNumId w:val="7"/>
  </w:num>
  <w:num w:numId="14" w16cid:durableId="555437202">
    <w:abstractNumId w:val="12"/>
  </w:num>
  <w:num w:numId="15" w16cid:durableId="1583179741">
    <w:abstractNumId w:val="17"/>
  </w:num>
  <w:num w:numId="16" w16cid:durableId="1937324876">
    <w:abstractNumId w:val="6"/>
  </w:num>
  <w:num w:numId="17" w16cid:durableId="1771975284">
    <w:abstractNumId w:val="19"/>
  </w:num>
  <w:num w:numId="18" w16cid:durableId="367418367">
    <w:abstractNumId w:val="1"/>
  </w:num>
  <w:num w:numId="19" w16cid:durableId="1335306750">
    <w:abstractNumId w:val="10"/>
  </w:num>
  <w:num w:numId="20" w16cid:durableId="429661182">
    <w:abstractNumId w:val="9"/>
  </w:num>
  <w:num w:numId="21" w16cid:durableId="2040467104">
    <w:abstractNumId w:val="15"/>
  </w:num>
  <w:num w:numId="22" w16cid:durableId="422799491">
    <w:abstractNumId w:val="18"/>
  </w:num>
  <w:num w:numId="23" w16cid:durableId="575014838">
    <w:abstractNumId w:val="8"/>
  </w:num>
  <w:num w:numId="24" w16cid:durableId="148177491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E4"/>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487"/>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0E0"/>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6057"/>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3970"/>
    <w:rsid w:val="001771DD"/>
    <w:rsid w:val="00177995"/>
    <w:rsid w:val="00177A8C"/>
    <w:rsid w:val="00186B33"/>
    <w:rsid w:val="00192F9D"/>
    <w:rsid w:val="00194BBC"/>
    <w:rsid w:val="00196EB8"/>
    <w:rsid w:val="00196EFB"/>
    <w:rsid w:val="001979FF"/>
    <w:rsid w:val="00197B17"/>
    <w:rsid w:val="001A1950"/>
    <w:rsid w:val="001A1C54"/>
    <w:rsid w:val="001A3ACE"/>
    <w:rsid w:val="001B058F"/>
    <w:rsid w:val="001B4392"/>
    <w:rsid w:val="001B718E"/>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25F"/>
    <w:rsid w:val="001E68A5"/>
    <w:rsid w:val="001E6BB0"/>
    <w:rsid w:val="001E7282"/>
    <w:rsid w:val="001F3826"/>
    <w:rsid w:val="001F6E46"/>
    <w:rsid w:val="001F7186"/>
    <w:rsid w:val="001F7C91"/>
    <w:rsid w:val="00200176"/>
    <w:rsid w:val="002033B7"/>
    <w:rsid w:val="00205842"/>
    <w:rsid w:val="00206463"/>
    <w:rsid w:val="00206F2F"/>
    <w:rsid w:val="0021053D"/>
    <w:rsid w:val="00210A92"/>
    <w:rsid w:val="0021667C"/>
    <w:rsid w:val="00216C03"/>
    <w:rsid w:val="00217D04"/>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1104"/>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B62"/>
    <w:rsid w:val="002C57B8"/>
    <w:rsid w:val="002C5C3D"/>
    <w:rsid w:val="002D1E0D"/>
    <w:rsid w:val="002D5006"/>
    <w:rsid w:val="002E01D0"/>
    <w:rsid w:val="002E161D"/>
    <w:rsid w:val="002E3100"/>
    <w:rsid w:val="002E6C95"/>
    <w:rsid w:val="002E7C36"/>
    <w:rsid w:val="002F0107"/>
    <w:rsid w:val="002F1A2D"/>
    <w:rsid w:val="002F3D32"/>
    <w:rsid w:val="002F5F31"/>
    <w:rsid w:val="002F5F46"/>
    <w:rsid w:val="003016F0"/>
    <w:rsid w:val="00302216"/>
    <w:rsid w:val="00303E53"/>
    <w:rsid w:val="00305CC1"/>
    <w:rsid w:val="00306E5F"/>
    <w:rsid w:val="00307E14"/>
    <w:rsid w:val="00313A4D"/>
    <w:rsid w:val="00314054"/>
    <w:rsid w:val="00315BD8"/>
    <w:rsid w:val="00316F27"/>
    <w:rsid w:val="003214F1"/>
    <w:rsid w:val="00322E4B"/>
    <w:rsid w:val="00324103"/>
    <w:rsid w:val="00327870"/>
    <w:rsid w:val="0033259D"/>
    <w:rsid w:val="003333D2"/>
    <w:rsid w:val="00334D6B"/>
    <w:rsid w:val="003406C6"/>
    <w:rsid w:val="003418CC"/>
    <w:rsid w:val="003459BD"/>
    <w:rsid w:val="00350D38"/>
    <w:rsid w:val="00351B36"/>
    <w:rsid w:val="00357B4E"/>
    <w:rsid w:val="003716FD"/>
    <w:rsid w:val="0037204B"/>
    <w:rsid w:val="00373890"/>
    <w:rsid w:val="003744CF"/>
    <w:rsid w:val="00374717"/>
    <w:rsid w:val="0037676C"/>
    <w:rsid w:val="00376EFB"/>
    <w:rsid w:val="00380B29"/>
    <w:rsid w:val="00381043"/>
    <w:rsid w:val="00381B12"/>
    <w:rsid w:val="003829E5"/>
    <w:rsid w:val="00386109"/>
    <w:rsid w:val="00386944"/>
    <w:rsid w:val="00387225"/>
    <w:rsid w:val="003956CC"/>
    <w:rsid w:val="00395C9A"/>
    <w:rsid w:val="003A0853"/>
    <w:rsid w:val="003A5D81"/>
    <w:rsid w:val="003A6B67"/>
    <w:rsid w:val="003B13B6"/>
    <w:rsid w:val="003B15E6"/>
    <w:rsid w:val="003B408A"/>
    <w:rsid w:val="003B5733"/>
    <w:rsid w:val="003B659D"/>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6E5"/>
    <w:rsid w:val="003F2B20"/>
    <w:rsid w:val="003F3289"/>
    <w:rsid w:val="003F5CB9"/>
    <w:rsid w:val="004013C7"/>
    <w:rsid w:val="00401FCF"/>
    <w:rsid w:val="0040248F"/>
    <w:rsid w:val="00406285"/>
    <w:rsid w:val="004112C6"/>
    <w:rsid w:val="004148F9"/>
    <w:rsid w:val="00414D4A"/>
    <w:rsid w:val="0042084E"/>
    <w:rsid w:val="00421EEF"/>
    <w:rsid w:val="00424809"/>
    <w:rsid w:val="00424D65"/>
    <w:rsid w:val="00426F5C"/>
    <w:rsid w:val="00437AF0"/>
    <w:rsid w:val="00442C6C"/>
    <w:rsid w:val="00443965"/>
    <w:rsid w:val="00443CBE"/>
    <w:rsid w:val="00443E8A"/>
    <w:rsid w:val="004441BC"/>
    <w:rsid w:val="004468B4"/>
    <w:rsid w:val="0045230A"/>
    <w:rsid w:val="00454AD0"/>
    <w:rsid w:val="0045600D"/>
    <w:rsid w:val="00457337"/>
    <w:rsid w:val="00462E3D"/>
    <w:rsid w:val="00466E79"/>
    <w:rsid w:val="00470D7D"/>
    <w:rsid w:val="0047372D"/>
    <w:rsid w:val="00473BA3"/>
    <w:rsid w:val="004743DD"/>
    <w:rsid w:val="00474CEA"/>
    <w:rsid w:val="00477BBB"/>
    <w:rsid w:val="00483968"/>
    <w:rsid w:val="00484F86"/>
    <w:rsid w:val="00490746"/>
    <w:rsid w:val="00490852"/>
    <w:rsid w:val="00490B88"/>
    <w:rsid w:val="00491C9C"/>
    <w:rsid w:val="00492F30"/>
    <w:rsid w:val="004946F4"/>
    <w:rsid w:val="0049487E"/>
    <w:rsid w:val="004A160D"/>
    <w:rsid w:val="004A3E81"/>
    <w:rsid w:val="004A4195"/>
    <w:rsid w:val="004A5C62"/>
    <w:rsid w:val="004A5CE5"/>
    <w:rsid w:val="004A707D"/>
    <w:rsid w:val="004B7457"/>
    <w:rsid w:val="004C37AD"/>
    <w:rsid w:val="004C5541"/>
    <w:rsid w:val="004C6EEE"/>
    <w:rsid w:val="004C702B"/>
    <w:rsid w:val="004D0033"/>
    <w:rsid w:val="004D016B"/>
    <w:rsid w:val="004D1B22"/>
    <w:rsid w:val="004D23CC"/>
    <w:rsid w:val="004D36F2"/>
    <w:rsid w:val="004E1106"/>
    <w:rsid w:val="004E138F"/>
    <w:rsid w:val="004E3C83"/>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2B0"/>
    <w:rsid w:val="00536395"/>
    <w:rsid w:val="00536499"/>
    <w:rsid w:val="00543903"/>
    <w:rsid w:val="00543F11"/>
    <w:rsid w:val="00546305"/>
    <w:rsid w:val="00547A95"/>
    <w:rsid w:val="0055119B"/>
    <w:rsid w:val="005519FD"/>
    <w:rsid w:val="00554197"/>
    <w:rsid w:val="005548B5"/>
    <w:rsid w:val="00560651"/>
    <w:rsid w:val="00572031"/>
    <w:rsid w:val="00572282"/>
    <w:rsid w:val="00573CE3"/>
    <w:rsid w:val="00576E84"/>
    <w:rsid w:val="00580394"/>
    <w:rsid w:val="005809CD"/>
    <w:rsid w:val="00582B8C"/>
    <w:rsid w:val="0058757E"/>
    <w:rsid w:val="00596A4B"/>
    <w:rsid w:val="00597507"/>
    <w:rsid w:val="005A479D"/>
    <w:rsid w:val="005A6A62"/>
    <w:rsid w:val="005B1C6D"/>
    <w:rsid w:val="005B21B6"/>
    <w:rsid w:val="005B3A08"/>
    <w:rsid w:val="005B7A63"/>
    <w:rsid w:val="005C0955"/>
    <w:rsid w:val="005C2121"/>
    <w:rsid w:val="005C49DA"/>
    <w:rsid w:val="005C50F3"/>
    <w:rsid w:val="005C54B5"/>
    <w:rsid w:val="005C5BE4"/>
    <w:rsid w:val="005C5D80"/>
    <w:rsid w:val="005C5D91"/>
    <w:rsid w:val="005D07B8"/>
    <w:rsid w:val="005D6597"/>
    <w:rsid w:val="005E14E7"/>
    <w:rsid w:val="005E26A3"/>
    <w:rsid w:val="005E2ECB"/>
    <w:rsid w:val="005E447E"/>
    <w:rsid w:val="005E4FD1"/>
    <w:rsid w:val="005E52CE"/>
    <w:rsid w:val="005E534B"/>
    <w:rsid w:val="005F0775"/>
    <w:rsid w:val="005F0CF5"/>
    <w:rsid w:val="005F21EB"/>
    <w:rsid w:val="00601E49"/>
    <w:rsid w:val="00605908"/>
    <w:rsid w:val="00610D7C"/>
    <w:rsid w:val="00613414"/>
    <w:rsid w:val="00620154"/>
    <w:rsid w:val="00620319"/>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5403"/>
    <w:rsid w:val="00667770"/>
    <w:rsid w:val="00670597"/>
    <w:rsid w:val="006706D0"/>
    <w:rsid w:val="00677574"/>
    <w:rsid w:val="0068454C"/>
    <w:rsid w:val="00691B62"/>
    <w:rsid w:val="006933B5"/>
    <w:rsid w:val="00693D14"/>
    <w:rsid w:val="00696F27"/>
    <w:rsid w:val="006A16F3"/>
    <w:rsid w:val="006A18C2"/>
    <w:rsid w:val="006A3383"/>
    <w:rsid w:val="006B077C"/>
    <w:rsid w:val="006B2FD6"/>
    <w:rsid w:val="006B6803"/>
    <w:rsid w:val="006C2B4D"/>
    <w:rsid w:val="006D0F16"/>
    <w:rsid w:val="006D2A3F"/>
    <w:rsid w:val="006D2FBC"/>
    <w:rsid w:val="006E0541"/>
    <w:rsid w:val="006E138B"/>
    <w:rsid w:val="006F0330"/>
    <w:rsid w:val="006F1FDC"/>
    <w:rsid w:val="006F6B8C"/>
    <w:rsid w:val="007013EF"/>
    <w:rsid w:val="007055BD"/>
    <w:rsid w:val="00707006"/>
    <w:rsid w:val="007173CA"/>
    <w:rsid w:val="007216AA"/>
    <w:rsid w:val="007219C4"/>
    <w:rsid w:val="00721AB5"/>
    <w:rsid w:val="00721CFB"/>
    <w:rsid w:val="00721DEF"/>
    <w:rsid w:val="0072251A"/>
    <w:rsid w:val="00724A43"/>
    <w:rsid w:val="007273AC"/>
    <w:rsid w:val="00731AD4"/>
    <w:rsid w:val="007346E4"/>
    <w:rsid w:val="00734FCA"/>
    <w:rsid w:val="007354ED"/>
    <w:rsid w:val="0073582E"/>
    <w:rsid w:val="00740F22"/>
    <w:rsid w:val="00741CF0"/>
    <w:rsid w:val="00741F1A"/>
    <w:rsid w:val="0074426E"/>
    <w:rsid w:val="007447DA"/>
    <w:rsid w:val="007450F8"/>
    <w:rsid w:val="0074696E"/>
    <w:rsid w:val="00750135"/>
    <w:rsid w:val="00750EC2"/>
    <w:rsid w:val="00752B28"/>
    <w:rsid w:val="007541A9"/>
    <w:rsid w:val="00754E36"/>
    <w:rsid w:val="00756164"/>
    <w:rsid w:val="0076106B"/>
    <w:rsid w:val="00763139"/>
    <w:rsid w:val="00770F37"/>
    <w:rsid w:val="007711A0"/>
    <w:rsid w:val="00772D5E"/>
    <w:rsid w:val="007743F7"/>
    <w:rsid w:val="007744DE"/>
    <w:rsid w:val="0077463E"/>
    <w:rsid w:val="00776928"/>
    <w:rsid w:val="00776E0F"/>
    <w:rsid w:val="007774B1"/>
    <w:rsid w:val="00777BE1"/>
    <w:rsid w:val="007833D8"/>
    <w:rsid w:val="00785677"/>
    <w:rsid w:val="00786F16"/>
    <w:rsid w:val="00791BD7"/>
    <w:rsid w:val="007933F7"/>
    <w:rsid w:val="00796E20"/>
    <w:rsid w:val="00797C32"/>
    <w:rsid w:val="007A11E8"/>
    <w:rsid w:val="007A1C4D"/>
    <w:rsid w:val="007B0914"/>
    <w:rsid w:val="007B1374"/>
    <w:rsid w:val="007B32E5"/>
    <w:rsid w:val="007B3DB9"/>
    <w:rsid w:val="007B589F"/>
    <w:rsid w:val="007B5B1A"/>
    <w:rsid w:val="007B6186"/>
    <w:rsid w:val="007B73BC"/>
    <w:rsid w:val="007C1838"/>
    <w:rsid w:val="007C20B9"/>
    <w:rsid w:val="007C63EF"/>
    <w:rsid w:val="007C7301"/>
    <w:rsid w:val="007C7859"/>
    <w:rsid w:val="007C7F28"/>
    <w:rsid w:val="007D1466"/>
    <w:rsid w:val="007D2BDE"/>
    <w:rsid w:val="007D2FB6"/>
    <w:rsid w:val="007D3C0B"/>
    <w:rsid w:val="007D49EB"/>
    <w:rsid w:val="007D5A7D"/>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17054"/>
    <w:rsid w:val="00820141"/>
    <w:rsid w:val="00820E0C"/>
    <w:rsid w:val="008213F0"/>
    <w:rsid w:val="00823275"/>
    <w:rsid w:val="0082366F"/>
    <w:rsid w:val="0082433D"/>
    <w:rsid w:val="008338A2"/>
    <w:rsid w:val="00835FAF"/>
    <w:rsid w:val="00841455"/>
    <w:rsid w:val="00841AA9"/>
    <w:rsid w:val="008474FE"/>
    <w:rsid w:val="00853EE4"/>
    <w:rsid w:val="00855535"/>
    <w:rsid w:val="00855920"/>
    <w:rsid w:val="00857C5A"/>
    <w:rsid w:val="0086255E"/>
    <w:rsid w:val="008633F0"/>
    <w:rsid w:val="00867D9D"/>
    <w:rsid w:val="00870119"/>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02CD"/>
    <w:rsid w:val="008E3DE9"/>
    <w:rsid w:val="008E4376"/>
    <w:rsid w:val="008E7A0A"/>
    <w:rsid w:val="008E7B49"/>
    <w:rsid w:val="008F59F6"/>
    <w:rsid w:val="008F7E3A"/>
    <w:rsid w:val="00900719"/>
    <w:rsid w:val="009017AC"/>
    <w:rsid w:val="00902A9A"/>
    <w:rsid w:val="0090422B"/>
    <w:rsid w:val="00904A1C"/>
    <w:rsid w:val="00905030"/>
    <w:rsid w:val="00906490"/>
    <w:rsid w:val="009111B2"/>
    <w:rsid w:val="009151F5"/>
    <w:rsid w:val="009220CA"/>
    <w:rsid w:val="00924AE1"/>
    <w:rsid w:val="009269B1"/>
    <w:rsid w:val="0092724D"/>
    <w:rsid w:val="009272B3"/>
    <w:rsid w:val="009315BE"/>
    <w:rsid w:val="0093338F"/>
    <w:rsid w:val="00937BD9"/>
    <w:rsid w:val="00941D39"/>
    <w:rsid w:val="00950E2C"/>
    <w:rsid w:val="00951D50"/>
    <w:rsid w:val="009525EB"/>
    <w:rsid w:val="0095470B"/>
    <w:rsid w:val="00954874"/>
    <w:rsid w:val="0095615A"/>
    <w:rsid w:val="00961400"/>
    <w:rsid w:val="00963646"/>
    <w:rsid w:val="0096632D"/>
    <w:rsid w:val="009718C7"/>
    <w:rsid w:val="0097559F"/>
    <w:rsid w:val="0097761E"/>
    <w:rsid w:val="009820AE"/>
    <w:rsid w:val="00982454"/>
    <w:rsid w:val="00982CF0"/>
    <w:rsid w:val="00982E9B"/>
    <w:rsid w:val="009853E1"/>
    <w:rsid w:val="00986E6B"/>
    <w:rsid w:val="00990032"/>
    <w:rsid w:val="00990B19"/>
    <w:rsid w:val="0099153B"/>
    <w:rsid w:val="00991769"/>
    <w:rsid w:val="0099232C"/>
    <w:rsid w:val="00994386"/>
    <w:rsid w:val="009977F7"/>
    <w:rsid w:val="009A13D8"/>
    <w:rsid w:val="009A279E"/>
    <w:rsid w:val="009A3015"/>
    <w:rsid w:val="009A3490"/>
    <w:rsid w:val="009A426B"/>
    <w:rsid w:val="009B0A6F"/>
    <w:rsid w:val="009B0A94"/>
    <w:rsid w:val="009B2AE8"/>
    <w:rsid w:val="009B59E9"/>
    <w:rsid w:val="009B70AA"/>
    <w:rsid w:val="009B760E"/>
    <w:rsid w:val="009C2A59"/>
    <w:rsid w:val="009C5E77"/>
    <w:rsid w:val="009C7A7E"/>
    <w:rsid w:val="009D02E8"/>
    <w:rsid w:val="009D09B5"/>
    <w:rsid w:val="009D51D0"/>
    <w:rsid w:val="009D70A4"/>
    <w:rsid w:val="009D7B14"/>
    <w:rsid w:val="009E08D1"/>
    <w:rsid w:val="009E1B95"/>
    <w:rsid w:val="009E496F"/>
    <w:rsid w:val="009E4B0D"/>
    <w:rsid w:val="009E5250"/>
    <w:rsid w:val="009E7F92"/>
    <w:rsid w:val="009F02A3"/>
    <w:rsid w:val="009F2F27"/>
    <w:rsid w:val="009F34AA"/>
    <w:rsid w:val="009F623C"/>
    <w:rsid w:val="009F6BCB"/>
    <w:rsid w:val="009F725F"/>
    <w:rsid w:val="009F7B78"/>
    <w:rsid w:val="00A0057A"/>
    <w:rsid w:val="00A02FA1"/>
    <w:rsid w:val="00A04CCE"/>
    <w:rsid w:val="00A07421"/>
    <w:rsid w:val="00A0776B"/>
    <w:rsid w:val="00A10FB9"/>
    <w:rsid w:val="00A11421"/>
    <w:rsid w:val="00A1389F"/>
    <w:rsid w:val="00A157B1"/>
    <w:rsid w:val="00A16750"/>
    <w:rsid w:val="00A22229"/>
    <w:rsid w:val="00A24442"/>
    <w:rsid w:val="00A330BB"/>
    <w:rsid w:val="00A3361B"/>
    <w:rsid w:val="00A37C9C"/>
    <w:rsid w:val="00A44882"/>
    <w:rsid w:val="00A45125"/>
    <w:rsid w:val="00A543F4"/>
    <w:rsid w:val="00A54715"/>
    <w:rsid w:val="00A6061C"/>
    <w:rsid w:val="00A62D44"/>
    <w:rsid w:val="00A630B3"/>
    <w:rsid w:val="00A67263"/>
    <w:rsid w:val="00A7161C"/>
    <w:rsid w:val="00A72B6B"/>
    <w:rsid w:val="00A77AA3"/>
    <w:rsid w:val="00A80421"/>
    <w:rsid w:val="00A8236D"/>
    <w:rsid w:val="00A854EB"/>
    <w:rsid w:val="00A872E5"/>
    <w:rsid w:val="00A91406"/>
    <w:rsid w:val="00A9157B"/>
    <w:rsid w:val="00A9354B"/>
    <w:rsid w:val="00A96E65"/>
    <w:rsid w:val="00A97C72"/>
    <w:rsid w:val="00AA268E"/>
    <w:rsid w:val="00AA310B"/>
    <w:rsid w:val="00AA63D4"/>
    <w:rsid w:val="00AB06E8"/>
    <w:rsid w:val="00AB09D7"/>
    <w:rsid w:val="00AB1CD3"/>
    <w:rsid w:val="00AB352F"/>
    <w:rsid w:val="00AC274B"/>
    <w:rsid w:val="00AC4764"/>
    <w:rsid w:val="00AC5858"/>
    <w:rsid w:val="00AC6313"/>
    <w:rsid w:val="00AC6D36"/>
    <w:rsid w:val="00AD0CBA"/>
    <w:rsid w:val="00AD177A"/>
    <w:rsid w:val="00AD26E2"/>
    <w:rsid w:val="00AD55ED"/>
    <w:rsid w:val="00AD784C"/>
    <w:rsid w:val="00AE126A"/>
    <w:rsid w:val="00AE1BAE"/>
    <w:rsid w:val="00AE3005"/>
    <w:rsid w:val="00AE3BD5"/>
    <w:rsid w:val="00AE59A0"/>
    <w:rsid w:val="00AF0C57"/>
    <w:rsid w:val="00AF26F3"/>
    <w:rsid w:val="00AF5F04"/>
    <w:rsid w:val="00AF6576"/>
    <w:rsid w:val="00AF690E"/>
    <w:rsid w:val="00B00672"/>
    <w:rsid w:val="00B01B4D"/>
    <w:rsid w:val="00B0259A"/>
    <w:rsid w:val="00B06571"/>
    <w:rsid w:val="00B068BA"/>
    <w:rsid w:val="00B07FF7"/>
    <w:rsid w:val="00B13851"/>
    <w:rsid w:val="00B13B1C"/>
    <w:rsid w:val="00B13F5D"/>
    <w:rsid w:val="00B14780"/>
    <w:rsid w:val="00B21F90"/>
    <w:rsid w:val="00B22291"/>
    <w:rsid w:val="00B23F9A"/>
    <w:rsid w:val="00B2417B"/>
    <w:rsid w:val="00B24E6F"/>
    <w:rsid w:val="00B26CB5"/>
    <w:rsid w:val="00B2752E"/>
    <w:rsid w:val="00B30164"/>
    <w:rsid w:val="00B307CC"/>
    <w:rsid w:val="00B326B7"/>
    <w:rsid w:val="00B3588E"/>
    <w:rsid w:val="00B41F3D"/>
    <w:rsid w:val="00B431E8"/>
    <w:rsid w:val="00B45141"/>
    <w:rsid w:val="00B4636A"/>
    <w:rsid w:val="00B46DE7"/>
    <w:rsid w:val="00B519CD"/>
    <w:rsid w:val="00B5273A"/>
    <w:rsid w:val="00B57329"/>
    <w:rsid w:val="00B60E61"/>
    <w:rsid w:val="00B62B50"/>
    <w:rsid w:val="00B635B7"/>
    <w:rsid w:val="00B63AE8"/>
    <w:rsid w:val="00B65950"/>
    <w:rsid w:val="00B66D83"/>
    <w:rsid w:val="00B672C0"/>
    <w:rsid w:val="00B676FD"/>
    <w:rsid w:val="00B75646"/>
    <w:rsid w:val="00B83B7E"/>
    <w:rsid w:val="00B86ACD"/>
    <w:rsid w:val="00B8728A"/>
    <w:rsid w:val="00B90729"/>
    <w:rsid w:val="00B907DA"/>
    <w:rsid w:val="00B94CD5"/>
    <w:rsid w:val="00B950BC"/>
    <w:rsid w:val="00B9714C"/>
    <w:rsid w:val="00B977F1"/>
    <w:rsid w:val="00BA29AD"/>
    <w:rsid w:val="00BA33CF"/>
    <w:rsid w:val="00BA3F8D"/>
    <w:rsid w:val="00BA648B"/>
    <w:rsid w:val="00BB4464"/>
    <w:rsid w:val="00BB75D0"/>
    <w:rsid w:val="00BB7A10"/>
    <w:rsid w:val="00BC079B"/>
    <w:rsid w:val="00BC3E8F"/>
    <w:rsid w:val="00BC60BE"/>
    <w:rsid w:val="00BC7468"/>
    <w:rsid w:val="00BC7D4F"/>
    <w:rsid w:val="00BC7ED7"/>
    <w:rsid w:val="00BD2850"/>
    <w:rsid w:val="00BE28D2"/>
    <w:rsid w:val="00BE4A64"/>
    <w:rsid w:val="00BE5E43"/>
    <w:rsid w:val="00BF297A"/>
    <w:rsid w:val="00BF30B2"/>
    <w:rsid w:val="00BF557D"/>
    <w:rsid w:val="00BF7F58"/>
    <w:rsid w:val="00C01381"/>
    <w:rsid w:val="00C013E5"/>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384"/>
    <w:rsid w:val="00C6148F"/>
    <w:rsid w:val="00C621B1"/>
    <w:rsid w:val="00C62F7A"/>
    <w:rsid w:val="00C63B9C"/>
    <w:rsid w:val="00C6682F"/>
    <w:rsid w:val="00C67BF4"/>
    <w:rsid w:val="00C724E2"/>
    <w:rsid w:val="00C7275E"/>
    <w:rsid w:val="00C737B3"/>
    <w:rsid w:val="00C74C5D"/>
    <w:rsid w:val="00C863C4"/>
    <w:rsid w:val="00C8746D"/>
    <w:rsid w:val="00C87C25"/>
    <w:rsid w:val="00C91117"/>
    <w:rsid w:val="00C91EC3"/>
    <w:rsid w:val="00C920EA"/>
    <w:rsid w:val="00C93C3E"/>
    <w:rsid w:val="00CA07C3"/>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0258"/>
    <w:rsid w:val="00CF2F50"/>
    <w:rsid w:val="00CF6198"/>
    <w:rsid w:val="00D02919"/>
    <w:rsid w:val="00D04C61"/>
    <w:rsid w:val="00D05B8D"/>
    <w:rsid w:val="00D065A2"/>
    <w:rsid w:val="00D079AA"/>
    <w:rsid w:val="00D07F00"/>
    <w:rsid w:val="00D1130F"/>
    <w:rsid w:val="00D17B72"/>
    <w:rsid w:val="00D3185C"/>
    <w:rsid w:val="00D3205F"/>
    <w:rsid w:val="00D3229F"/>
    <w:rsid w:val="00D3318E"/>
    <w:rsid w:val="00D33E72"/>
    <w:rsid w:val="00D3444D"/>
    <w:rsid w:val="00D35BD6"/>
    <w:rsid w:val="00D361B5"/>
    <w:rsid w:val="00D405AC"/>
    <w:rsid w:val="00D411A2"/>
    <w:rsid w:val="00D4606D"/>
    <w:rsid w:val="00D46C92"/>
    <w:rsid w:val="00D50B9C"/>
    <w:rsid w:val="00D52D73"/>
    <w:rsid w:val="00D52E58"/>
    <w:rsid w:val="00D5409D"/>
    <w:rsid w:val="00D56B20"/>
    <w:rsid w:val="00D578B3"/>
    <w:rsid w:val="00D618F4"/>
    <w:rsid w:val="00D6261F"/>
    <w:rsid w:val="00D6314C"/>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77E"/>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36EC"/>
    <w:rsid w:val="00E170DC"/>
    <w:rsid w:val="00E17546"/>
    <w:rsid w:val="00E210B5"/>
    <w:rsid w:val="00E261B3"/>
    <w:rsid w:val="00E26818"/>
    <w:rsid w:val="00E27FFC"/>
    <w:rsid w:val="00E30B15"/>
    <w:rsid w:val="00E33237"/>
    <w:rsid w:val="00E40181"/>
    <w:rsid w:val="00E43DE5"/>
    <w:rsid w:val="00E53FAE"/>
    <w:rsid w:val="00E54950"/>
    <w:rsid w:val="00E56A01"/>
    <w:rsid w:val="00E62622"/>
    <w:rsid w:val="00E629A1"/>
    <w:rsid w:val="00E6794C"/>
    <w:rsid w:val="00E71591"/>
    <w:rsid w:val="00E71CEB"/>
    <w:rsid w:val="00E7474F"/>
    <w:rsid w:val="00E80DE3"/>
    <w:rsid w:val="00E82C55"/>
    <w:rsid w:val="00E8787E"/>
    <w:rsid w:val="00E92AC3"/>
    <w:rsid w:val="00E96367"/>
    <w:rsid w:val="00EA1360"/>
    <w:rsid w:val="00EA2F6A"/>
    <w:rsid w:val="00EB00E0"/>
    <w:rsid w:val="00EB13F2"/>
    <w:rsid w:val="00EC059F"/>
    <w:rsid w:val="00EC0B13"/>
    <w:rsid w:val="00EC1F24"/>
    <w:rsid w:val="00EC22F6"/>
    <w:rsid w:val="00EC40D5"/>
    <w:rsid w:val="00ED5B9B"/>
    <w:rsid w:val="00ED6BAD"/>
    <w:rsid w:val="00ED7447"/>
    <w:rsid w:val="00EE00D6"/>
    <w:rsid w:val="00EE11E7"/>
    <w:rsid w:val="00EE122F"/>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0CBD"/>
    <w:rsid w:val="00F61A9F"/>
    <w:rsid w:val="00F61B5F"/>
    <w:rsid w:val="00F62248"/>
    <w:rsid w:val="00F63F59"/>
    <w:rsid w:val="00F64696"/>
    <w:rsid w:val="00F659A2"/>
    <w:rsid w:val="00F65AA9"/>
    <w:rsid w:val="00F6768F"/>
    <w:rsid w:val="00F72C2C"/>
    <w:rsid w:val="00F76CAB"/>
    <w:rsid w:val="00F772C6"/>
    <w:rsid w:val="00F815B5"/>
    <w:rsid w:val="00F84FA0"/>
    <w:rsid w:val="00F85195"/>
    <w:rsid w:val="00F868E3"/>
    <w:rsid w:val="00F938BA"/>
    <w:rsid w:val="00F94FB3"/>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26A1"/>
    <w:rsid w:val="00FD2936"/>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7E4CF7"/>
  <w15:docId w15:val="{448356C8-0F44-4147-BDD4-32648C68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BodyText">
    <w:name w:val="Body Text"/>
    <w:basedOn w:val="Normal"/>
    <w:link w:val="BodyTextChar"/>
    <w:rsid w:val="007354ED"/>
    <w:pPr>
      <w:spacing w:after="0" w:line="240" w:lineRule="auto"/>
    </w:pPr>
    <w:rPr>
      <w:rFonts w:ascii="Times New Roman" w:hAnsi="Times New Roman"/>
      <w:sz w:val="24"/>
      <w:lang w:val="en-US"/>
    </w:rPr>
  </w:style>
  <w:style w:type="character" w:customStyle="1" w:styleId="BodyTextChar">
    <w:name w:val="Body Text Char"/>
    <w:basedOn w:val="DefaultParagraphFont"/>
    <w:link w:val="BodyText"/>
    <w:rsid w:val="007354ED"/>
    <w:rPr>
      <w:sz w:val="24"/>
      <w:lang w:val="en-US" w:eastAsia="en-US"/>
    </w:rPr>
  </w:style>
  <w:style w:type="character" w:styleId="BookTitle">
    <w:name w:val="Book Title"/>
    <w:basedOn w:val="DefaultParagraphFont"/>
    <w:uiPriority w:val="33"/>
    <w:qFormat/>
    <w:rsid w:val="007354ED"/>
    <w:rPr>
      <w:b/>
      <w:bCs/>
      <w:smallCaps/>
      <w:spacing w:val="5"/>
    </w:rPr>
  </w:style>
  <w:style w:type="paragraph" w:styleId="BodyText3">
    <w:name w:val="Body Text 3"/>
    <w:basedOn w:val="Normal"/>
    <w:link w:val="BodyText3Char"/>
    <w:uiPriority w:val="99"/>
    <w:semiHidden/>
    <w:unhideWhenUsed/>
    <w:rsid w:val="002C5C3D"/>
    <w:rPr>
      <w:sz w:val="16"/>
      <w:szCs w:val="16"/>
    </w:rPr>
  </w:style>
  <w:style w:type="character" w:customStyle="1" w:styleId="BodyText3Char">
    <w:name w:val="Body Text 3 Char"/>
    <w:basedOn w:val="DefaultParagraphFont"/>
    <w:link w:val="BodyText3"/>
    <w:uiPriority w:val="99"/>
    <w:semiHidden/>
    <w:rsid w:val="002C5C3D"/>
    <w:rPr>
      <w:rFonts w:ascii="Arial" w:hAnsi="Arial"/>
      <w:sz w:val="16"/>
      <w:szCs w:val="16"/>
      <w:lang w:eastAsia="en-US"/>
    </w:rPr>
  </w:style>
  <w:style w:type="paragraph" w:styleId="ListParagraph">
    <w:name w:val="List Paragraph"/>
    <w:basedOn w:val="Normal"/>
    <w:uiPriority w:val="72"/>
    <w:semiHidden/>
    <w:qFormat/>
    <w:rsid w:val="002C3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loodmatters@redcrossblood.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anzsbt.org.au/wp-content/uploads/2024/02/Guidelines-for-the-Administration-of-Blood-Products-revised-Feb-2024.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loodmatters@redcrossblood.org.au" TargetMode="External"/><Relationship Id="rId10" Type="http://schemas.openxmlformats.org/officeDocument/2006/relationships/endnotes" Target="endnotes.xml"/><Relationship Id="rId19" Type="http://schemas.openxmlformats.org/officeDocument/2006/relationships/hyperlink" Target="https://www.health.vic.gov.au/patient-care/blood-matter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4\Branding_templates\New%20templates%20July%202021\Blood%20Matters%20DH%20red%20factsheet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3</TotalTime>
  <Pages>8</Pages>
  <Words>1777</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Blood administration competency template</vt:lpstr>
    </vt:vector>
  </TitlesOfParts>
  <Manager/>
  <Company>Victoria State Government, Department of Health, Blood Matters</Company>
  <LinksUpToDate>false</LinksUpToDate>
  <CharactersWithSpaces>12334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administration competency template</dc:title>
  <dc:subject/>
  <dc:creator>Bloodmatters@redcrossblood.org.au</dc:creator>
  <cp:keywords>Blood, transfusion, competency, template</cp:keywords>
  <dc:description/>
  <cp:lastModifiedBy>Emily Hirst (Health)</cp:lastModifiedBy>
  <cp:revision>3</cp:revision>
  <cp:lastPrinted>2020-03-30T03:28:00Z</cp:lastPrinted>
  <dcterms:created xsi:type="dcterms:W3CDTF">2024-12-18T00:51:00Z</dcterms:created>
  <dcterms:modified xsi:type="dcterms:W3CDTF">2025-01-16T04:51:00Z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