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286A2"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757A9B6C" wp14:editId="7BA978BD">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B3C900" w14:textId="77777777" w:rsidR="00A62D44" w:rsidRPr="004C6EEE" w:rsidRDefault="00A62D44" w:rsidP="00EC40D5">
      <w:pPr>
        <w:pStyle w:val="Sectionbreakfirstpage"/>
        <w:sectPr w:rsidR="00A62D44" w:rsidRPr="004C6EEE" w:rsidSect="00F06E1D">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4C21328" w14:textId="77777777" w:rsidTr="00B07FF7">
        <w:trPr>
          <w:trHeight w:val="622"/>
        </w:trPr>
        <w:tc>
          <w:tcPr>
            <w:tcW w:w="10348" w:type="dxa"/>
            <w:tcMar>
              <w:top w:w="1531" w:type="dxa"/>
              <w:left w:w="0" w:type="dxa"/>
              <w:right w:w="0" w:type="dxa"/>
            </w:tcMar>
          </w:tcPr>
          <w:p w14:paraId="0032B7CE" w14:textId="31B8801E" w:rsidR="003B5733" w:rsidRPr="00E00EB4" w:rsidRDefault="00F06E1D" w:rsidP="003B5733">
            <w:pPr>
              <w:pStyle w:val="Documenttitle"/>
            </w:pPr>
            <w:r>
              <w:t>RhD immunoglobulin (Ig)</w:t>
            </w:r>
            <w:r w:rsidR="00FB5CA6">
              <w:t xml:space="preserve"> prophylax</w:t>
            </w:r>
            <w:r w:rsidR="00803E03">
              <w:t>is</w:t>
            </w:r>
            <w:r w:rsidR="00E00EB4">
              <w:t xml:space="preserve">               </w:t>
            </w:r>
            <w:r w:rsidR="00E00EB4" w:rsidRPr="00E00EB4">
              <w:rPr>
                <w:sz w:val="32"/>
                <w:szCs w:val="32"/>
              </w:rPr>
              <w:t>Non</w:t>
            </w:r>
            <w:r w:rsidR="00D20F21">
              <w:rPr>
                <w:sz w:val="32"/>
                <w:szCs w:val="32"/>
              </w:rPr>
              <w:t>-</w:t>
            </w:r>
            <w:r w:rsidR="00E00EB4" w:rsidRPr="00E00EB4">
              <w:rPr>
                <w:sz w:val="32"/>
                <w:szCs w:val="32"/>
              </w:rPr>
              <w:t xml:space="preserve">obstetric indications </w:t>
            </w:r>
          </w:p>
        </w:tc>
      </w:tr>
      <w:tr w:rsidR="003B5733" w14:paraId="1E29628C" w14:textId="77777777" w:rsidTr="00B07FF7">
        <w:tc>
          <w:tcPr>
            <w:tcW w:w="10348" w:type="dxa"/>
          </w:tcPr>
          <w:p w14:paraId="1465BDA7" w14:textId="71A5FE51" w:rsidR="003B5733" w:rsidRPr="00A1389F" w:rsidRDefault="00F06E1D" w:rsidP="005F44C0">
            <w:pPr>
              <w:pStyle w:val="Documentsubtitle"/>
            </w:pPr>
            <w:r>
              <w:t>Serious Transfusion Incident Report (STIR): Bulletin No.</w:t>
            </w:r>
            <w:r w:rsidR="00FB5CA6">
              <w:t xml:space="preserve"> </w:t>
            </w:r>
            <w:r w:rsidR="00CA581C">
              <w:t>11</w:t>
            </w:r>
          </w:p>
        </w:tc>
      </w:tr>
      <w:tr w:rsidR="003B5733" w14:paraId="51ED66CC" w14:textId="77777777" w:rsidTr="00B07FF7">
        <w:tc>
          <w:tcPr>
            <w:tcW w:w="10348" w:type="dxa"/>
          </w:tcPr>
          <w:p w14:paraId="34B65526" w14:textId="77777777" w:rsidR="003B5733" w:rsidRPr="001E5058" w:rsidRDefault="00F06E1D" w:rsidP="001E5058">
            <w:pPr>
              <w:pStyle w:val="Bannermarking"/>
            </w:pPr>
            <w:fldSimple w:instr=" FILLIN  &quot;Type the protective marking&quot; \d OFFICIAL \o  \* MERGEFORMAT ">
              <w:r>
                <w:t>OFFICIAL</w:t>
              </w:r>
            </w:fldSimple>
          </w:p>
        </w:tc>
      </w:tr>
    </w:tbl>
    <w:p w14:paraId="5CD564F5" w14:textId="06AD4F32" w:rsidR="00F06E1D" w:rsidRDefault="00F06E1D" w:rsidP="00F06E1D">
      <w:pPr>
        <w:pStyle w:val="Heading2"/>
      </w:pPr>
      <w:r>
        <w:t>Introduction</w:t>
      </w:r>
    </w:p>
    <w:p w14:paraId="33B9C70B" w14:textId="16C6D143" w:rsidR="00F06E1D" w:rsidRPr="00F06E1D" w:rsidRDefault="00F06E1D" w:rsidP="00F06E1D">
      <w:pPr>
        <w:pStyle w:val="Body"/>
      </w:pPr>
      <w:r w:rsidRPr="00F06E1D">
        <w:t>RhD immunoglobulin (</w:t>
      </w:r>
      <w:r w:rsidR="00D32EBF">
        <w:t xml:space="preserve">RhD </w:t>
      </w:r>
      <w:r w:rsidRPr="00F06E1D">
        <w:t xml:space="preserve">Ig) is used primarily in the prevention of haemolytic disease of the fetus and newborn (HDFN) in </w:t>
      </w:r>
      <w:r w:rsidR="00D32EBF">
        <w:t>individuals</w:t>
      </w:r>
      <w:r w:rsidRPr="00F06E1D">
        <w:t xml:space="preserve"> who are RhD negative and where they are carrying an RhD positive fetus or the RhD status of the fetus is unknown</w:t>
      </w:r>
      <w:r w:rsidR="004878B4">
        <w:rPr>
          <w:vertAlign w:val="superscript"/>
        </w:rPr>
        <w:t xml:space="preserve"> </w:t>
      </w:r>
      <w:r w:rsidR="004878B4">
        <w:t>(Yoham and Casadesus 2023).</w:t>
      </w:r>
    </w:p>
    <w:p w14:paraId="7055291E" w14:textId="56B7279A" w:rsidR="00F06E1D" w:rsidRDefault="00F06E1D" w:rsidP="00F06E1D">
      <w:pPr>
        <w:pStyle w:val="Body"/>
      </w:pPr>
      <w:r>
        <w:t xml:space="preserve">Recently there has been an update to the </w:t>
      </w:r>
      <w:hyperlink r:id="rId15" w:history="1">
        <w:r w:rsidRPr="00F06E1D">
          <w:rPr>
            <w:rStyle w:val="Hyperlink"/>
          </w:rPr>
          <w:t>guideline fo</w:t>
        </w:r>
        <w:r w:rsidRPr="00F06E1D">
          <w:rPr>
            <w:rStyle w:val="Hyperlink"/>
          </w:rPr>
          <w:t>r</w:t>
        </w:r>
        <w:r w:rsidRPr="00F06E1D">
          <w:rPr>
            <w:rStyle w:val="Hyperlink"/>
          </w:rPr>
          <w:t xml:space="preserve"> the prophylactic use of R</w:t>
        </w:r>
        <w:r w:rsidRPr="00F06E1D">
          <w:rPr>
            <w:rStyle w:val="Hyperlink"/>
          </w:rPr>
          <w:t>h</w:t>
        </w:r>
        <w:r w:rsidRPr="00F06E1D">
          <w:rPr>
            <w:rStyle w:val="Hyperlink"/>
          </w:rPr>
          <w:t>D immunoglobulin in pregnancy care</w:t>
        </w:r>
      </w:hyperlink>
      <w:r w:rsidR="00EE02CE">
        <w:t xml:space="preserve"> &lt;</w:t>
      </w:r>
      <w:r w:rsidR="00EE02CE" w:rsidRPr="00EE02CE">
        <w:t>https://www.blood.gov.au/guideline-prophylactic-use-rh-d-immunoglobulin-pregnancy-care</w:t>
      </w:r>
      <w:r w:rsidR="00EE02CE">
        <w:t xml:space="preserve">&gt;. </w:t>
      </w:r>
      <w:r>
        <w:t xml:space="preserve"> </w:t>
      </w:r>
      <w:r w:rsidR="006C06F2">
        <w:t xml:space="preserve">While use in obstetrics is well established and incorporated into protocols, use in </w:t>
      </w:r>
      <w:r w:rsidR="00155872">
        <w:t xml:space="preserve">other </w:t>
      </w:r>
      <w:r w:rsidR="006C06F2">
        <w:t>patients who are RhD negative and receive a</w:t>
      </w:r>
      <w:r w:rsidR="00D20F21">
        <w:t>n</w:t>
      </w:r>
      <w:r w:rsidR="006C06F2">
        <w:t xml:space="preserve"> RhD positive red </w:t>
      </w:r>
      <w:r w:rsidR="00331236">
        <w:t xml:space="preserve">blood </w:t>
      </w:r>
      <w:r w:rsidR="006C06F2">
        <w:t>cell</w:t>
      </w:r>
      <w:r w:rsidR="00331236">
        <w:t xml:space="preserve"> (RBC)</w:t>
      </w:r>
      <w:r w:rsidR="006C06F2">
        <w:t xml:space="preserve"> or platelet transfusion is </w:t>
      </w:r>
      <w:r w:rsidR="00155872">
        <w:t>another indication to consider,</w:t>
      </w:r>
      <w:r w:rsidR="00FD3159">
        <w:t xml:space="preserve"> with</w:t>
      </w:r>
      <w:r w:rsidR="00963CF5">
        <w:t xml:space="preserve"> internationally </w:t>
      </w:r>
      <w:r w:rsidR="00155872">
        <w:t>practice var</w:t>
      </w:r>
      <w:r w:rsidR="00FD3159">
        <w:t>ying</w:t>
      </w:r>
      <w:r w:rsidR="00155872">
        <w:t xml:space="preserve"> widely</w:t>
      </w:r>
      <w:r w:rsidR="004878B4">
        <w:t xml:space="preserve"> (Lu et al. 2024)</w:t>
      </w:r>
      <w:r w:rsidR="006C06F2">
        <w:t>.</w:t>
      </w:r>
    </w:p>
    <w:p w14:paraId="5A32A038" w14:textId="11F85BCE" w:rsidR="006C06F2" w:rsidRDefault="006C06F2" w:rsidP="00F06E1D">
      <w:pPr>
        <w:pStyle w:val="Body"/>
      </w:pPr>
      <w:r>
        <w:t xml:space="preserve">RhD negative patients receiving RhD positive blood </w:t>
      </w:r>
      <w:r w:rsidR="00307056">
        <w:t xml:space="preserve">components </w:t>
      </w:r>
      <w:r w:rsidR="00E22DEF">
        <w:t>risk</w:t>
      </w:r>
      <w:r>
        <w:t xml:space="preserve"> the development of RhD antibod</w:t>
      </w:r>
      <w:r w:rsidR="001339A8">
        <w:t>ies</w:t>
      </w:r>
      <w:r>
        <w:t xml:space="preserve">. This has the potential to cause </w:t>
      </w:r>
      <w:r w:rsidR="00E75ED2" w:rsidRPr="006C06F2">
        <w:t>haemolytic</w:t>
      </w:r>
      <w:r w:rsidRPr="006C06F2">
        <w:t xml:space="preserve"> transfusion reactions with subsequent RhD</w:t>
      </w:r>
      <w:r>
        <w:t xml:space="preserve"> </w:t>
      </w:r>
      <w:r w:rsidRPr="006C06F2">
        <w:t>positive transfusions</w:t>
      </w:r>
      <w:r>
        <w:t xml:space="preserve">, or for </w:t>
      </w:r>
      <w:r w:rsidR="00D32EBF">
        <w:t xml:space="preserve">individuals </w:t>
      </w:r>
      <w:r>
        <w:t>with childbearing potential</w:t>
      </w:r>
      <w:r w:rsidR="00E75ED2">
        <w:t>,</w:t>
      </w:r>
      <w:r>
        <w:t xml:space="preserve"> the risk of HDFN</w:t>
      </w:r>
      <w:r w:rsidR="00155872">
        <w:t>.</w:t>
      </w:r>
      <w:r w:rsidR="00FD3159" w:rsidRPr="00FD3159">
        <w:t xml:space="preserve"> </w:t>
      </w:r>
      <w:r w:rsidR="00FD3159">
        <w:t>During trauma resuscitation, in patients of childbearing potential, the risk of fetal/neonatal demise from HDFN associated with RhD alloimmunisation is estimated to be 0 - 6.5%</w:t>
      </w:r>
      <w:r w:rsidR="004E344D">
        <w:t xml:space="preserve"> in comparison to the risk of dying from haemorrhagic shock of about 24%</w:t>
      </w:r>
      <w:r w:rsidR="00FD3159">
        <w:t xml:space="preserve"> (Yazer, et al 2023).</w:t>
      </w:r>
    </w:p>
    <w:p w14:paraId="15FD576A" w14:textId="31C11F43" w:rsidR="00FD3159" w:rsidRDefault="00963CF5" w:rsidP="00E00EB4">
      <w:pPr>
        <w:pStyle w:val="Body"/>
        <w:spacing w:after="0" w:line="240" w:lineRule="auto"/>
      </w:pPr>
      <w:r>
        <w:t xml:space="preserve">RhD positive RBC may </w:t>
      </w:r>
      <w:r w:rsidR="003B48EB">
        <w:t xml:space="preserve">be </w:t>
      </w:r>
      <w:r>
        <w:t>transfused to a</w:t>
      </w:r>
      <w:r w:rsidR="00D20F21">
        <w:t>n</w:t>
      </w:r>
      <w:r>
        <w:t xml:space="preserve"> RhD negative recipient</w:t>
      </w:r>
      <w:r w:rsidR="003B48EB">
        <w:t xml:space="preserve"> in</w:t>
      </w:r>
      <w:r w:rsidR="00FD3159">
        <w:t>:</w:t>
      </w:r>
      <w:r w:rsidR="003B48EB">
        <w:t xml:space="preserve"> </w:t>
      </w:r>
    </w:p>
    <w:p w14:paraId="489BA3DB" w14:textId="6D29A547" w:rsidR="00FD3159" w:rsidRDefault="003B48EB" w:rsidP="00E00EB4">
      <w:pPr>
        <w:pStyle w:val="Body"/>
        <w:numPr>
          <w:ilvl w:val="0"/>
          <w:numId w:val="48"/>
        </w:numPr>
        <w:spacing w:after="0" w:line="240" w:lineRule="auto"/>
      </w:pPr>
      <w:r>
        <w:t>an emergency</w:t>
      </w:r>
      <w:r w:rsidR="00963CF5">
        <w:t xml:space="preserve">, as an informed decision </w:t>
      </w:r>
      <w:r w:rsidR="00155872">
        <w:t>in a resuscitative context</w:t>
      </w:r>
    </w:p>
    <w:p w14:paraId="1ED893EE" w14:textId="68D4D927" w:rsidR="00963CF5" w:rsidRDefault="003B48EB" w:rsidP="00E00EB4">
      <w:pPr>
        <w:pStyle w:val="Body"/>
        <w:numPr>
          <w:ilvl w:val="0"/>
          <w:numId w:val="48"/>
        </w:numPr>
      </w:pPr>
      <w:r>
        <w:t>or in error</w:t>
      </w:r>
      <w:r w:rsidR="00963CF5">
        <w:t xml:space="preserve">. </w:t>
      </w:r>
    </w:p>
    <w:p w14:paraId="75AFE514" w14:textId="4C093397" w:rsidR="00963CF5" w:rsidRPr="00F06E1D" w:rsidRDefault="00963CF5" w:rsidP="00963CF5">
      <w:pPr>
        <w:pStyle w:val="Body"/>
      </w:pPr>
      <w:r w:rsidRPr="00F06E1D">
        <w:t xml:space="preserve">Platelets do not express RhD antigens, but platelet components contain residual intact RBCs or </w:t>
      </w:r>
      <w:r w:rsidR="00155872">
        <w:t>re</w:t>
      </w:r>
      <w:r w:rsidR="00BA0F20">
        <w:t>d</w:t>
      </w:r>
      <w:r w:rsidR="00155872">
        <w:t xml:space="preserve"> </w:t>
      </w:r>
      <w:r w:rsidR="00B00B4D">
        <w:t>cell</w:t>
      </w:r>
      <w:r w:rsidR="00B00B4D" w:rsidRPr="00F06E1D">
        <w:t xml:space="preserve"> fragments</w:t>
      </w:r>
      <w:r w:rsidRPr="00F06E1D">
        <w:t xml:space="preserve"> that can result in alloimmuni</w:t>
      </w:r>
      <w:r>
        <w:t>s</w:t>
      </w:r>
      <w:r w:rsidRPr="00F06E1D">
        <w:t>ation to RBC antigens, including RhD</w:t>
      </w:r>
      <w:r w:rsidR="004878B4">
        <w:t xml:space="preserve"> (Dunbar 2020)</w:t>
      </w:r>
      <w:r w:rsidRPr="00F06E1D">
        <w:t>.</w:t>
      </w:r>
    </w:p>
    <w:p w14:paraId="77F42560" w14:textId="0F169523" w:rsidR="00963CF5" w:rsidRPr="002A0B98" w:rsidRDefault="00963CF5" w:rsidP="00963CF5">
      <w:pPr>
        <w:pStyle w:val="Body"/>
        <w:rPr>
          <w:vertAlign w:val="superscript"/>
        </w:rPr>
      </w:pPr>
      <w:hyperlink r:id="rId16" w:history="1">
        <w:r w:rsidRPr="00FB5CA6">
          <w:rPr>
            <w:rStyle w:val="Hyperlink"/>
          </w:rPr>
          <w:t>ANZSBT Guidelines for transfusi</w:t>
        </w:r>
        <w:r w:rsidRPr="00FB5CA6">
          <w:rPr>
            <w:rStyle w:val="Hyperlink"/>
          </w:rPr>
          <w:t>o</w:t>
        </w:r>
        <w:r w:rsidRPr="00FB5CA6">
          <w:rPr>
            <w:rStyle w:val="Hyperlink"/>
          </w:rPr>
          <w:t>n and immunohaematology laboratory practice 2020</w:t>
        </w:r>
      </w:hyperlink>
      <w:r w:rsidRPr="00F06E1D">
        <w:t xml:space="preserve"> </w:t>
      </w:r>
      <w:r w:rsidR="00EE02CE">
        <w:t>&lt;</w:t>
      </w:r>
      <w:r w:rsidR="00EE02CE" w:rsidRPr="00EE02CE">
        <w:t>https://anzsbt.org.au/guidelines-standards/anzsbt-guidelines/</w:t>
      </w:r>
      <w:r w:rsidR="00EE02CE">
        <w:t xml:space="preserve">&gt; </w:t>
      </w:r>
      <w:r w:rsidRPr="00F06E1D">
        <w:t>recommend</w:t>
      </w:r>
      <w:r>
        <w:t xml:space="preserve"> that</w:t>
      </w:r>
      <w:r w:rsidRPr="00F06E1D">
        <w:t xml:space="preserve"> if a RhD negative patient receives RhD positive platelets, RhD</w:t>
      </w:r>
      <w:r>
        <w:t xml:space="preserve"> </w:t>
      </w:r>
      <w:r w:rsidRPr="00F06E1D">
        <w:t>Ig should be offered in accordance with institutional policy; this will be at the discretion of the patient’s clinician. It is not normally necessary to offer RhD</w:t>
      </w:r>
      <w:r>
        <w:t xml:space="preserve"> </w:t>
      </w:r>
      <w:r w:rsidRPr="00F06E1D">
        <w:t xml:space="preserve">Ig to RhD negative males, postmenopausal </w:t>
      </w:r>
      <w:r w:rsidR="0031081A" w:rsidRPr="00F06E1D">
        <w:t>women,</w:t>
      </w:r>
      <w:r w:rsidRPr="00F06E1D">
        <w:t xml:space="preserve"> or</w:t>
      </w:r>
      <w:r w:rsidR="00155872">
        <w:t xml:space="preserve"> to patients</w:t>
      </w:r>
      <w:r w:rsidRPr="00F06E1D">
        <w:t xml:space="preserve"> (male or female) who are heavily immunosuppressed (e.g. due to haematological malignancy). If a thrombocytopenic patient requires RhD</w:t>
      </w:r>
      <w:r>
        <w:t xml:space="preserve"> </w:t>
      </w:r>
      <w:r w:rsidRPr="00F06E1D">
        <w:t>Ig, an intravenous</w:t>
      </w:r>
      <w:r>
        <w:t xml:space="preserve"> </w:t>
      </w:r>
      <w:r w:rsidRPr="00F06E1D">
        <w:t>(IV) preparation should be considered</w:t>
      </w:r>
      <w:r w:rsidR="004878B4">
        <w:t xml:space="preserve"> (ANZSBT 2020).</w:t>
      </w:r>
    </w:p>
    <w:p w14:paraId="6C4AD07A" w14:textId="2F9BCE1D" w:rsidR="00963CF5" w:rsidRPr="001A5EEC" w:rsidRDefault="00963CF5" w:rsidP="00963CF5">
      <w:pPr>
        <w:pStyle w:val="Body"/>
        <w:rPr>
          <w:vertAlign w:val="superscript"/>
        </w:rPr>
      </w:pPr>
      <w:hyperlink r:id="rId17" w:history="1">
        <w:r w:rsidRPr="000D37FD">
          <w:rPr>
            <w:rStyle w:val="Hyperlink"/>
          </w:rPr>
          <w:t>Life</w:t>
        </w:r>
        <w:r w:rsidRPr="000D37FD">
          <w:rPr>
            <w:rStyle w:val="Hyperlink"/>
          </w:rPr>
          <w:t>b</w:t>
        </w:r>
        <w:r w:rsidRPr="000D37FD">
          <w:rPr>
            <w:rStyle w:val="Hyperlink"/>
          </w:rPr>
          <w:t>lood</w:t>
        </w:r>
      </w:hyperlink>
      <w:r w:rsidR="00EE02CE">
        <w:rPr>
          <w:rStyle w:val="Hyperlink"/>
        </w:rPr>
        <w:t xml:space="preserve"> </w:t>
      </w:r>
      <w:r w:rsidR="00EE02CE" w:rsidRPr="00EE02CE">
        <w:t>&lt;</w:t>
      </w:r>
      <w:r w:rsidR="00EE02CE" w:rsidRPr="00EE02CE">
        <w:t>https://www.lifeblood.com.au/</w:t>
      </w:r>
      <w:r w:rsidR="00EE02CE" w:rsidRPr="00EE02CE">
        <w:t>&gt;</w:t>
      </w:r>
      <w:r w:rsidRPr="00F06E1D">
        <w:t xml:space="preserve"> recommend</w:t>
      </w:r>
      <w:r>
        <w:t>s</w:t>
      </w:r>
      <w:r w:rsidRPr="00F06E1D">
        <w:t xml:space="preserve"> prophylactic RhD </w:t>
      </w:r>
      <w:r>
        <w:t>Ig</w:t>
      </w:r>
      <w:r w:rsidRPr="00F06E1D">
        <w:t> may be indicated when RhD positive platelets are transfused to an RhD negative patient, particularly in children or women of childbearing age</w:t>
      </w:r>
      <w:r w:rsidR="004878B4">
        <w:t xml:space="preserve"> (</w:t>
      </w:r>
      <w:r w:rsidR="004878B4" w:rsidRPr="004878B4">
        <w:t>https://www.lifeblood.com.au/health-professionals/products/component-compatibility</w:t>
      </w:r>
      <w:r w:rsidR="004878B4">
        <w:t>).</w:t>
      </w:r>
    </w:p>
    <w:p w14:paraId="7F74BB8A" w14:textId="315CD2BB" w:rsidR="003900E3" w:rsidRDefault="003900E3" w:rsidP="000C0343">
      <w:pPr>
        <w:pStyle w:val="Body"/>
      </w:pPr>
      <w:r w:rsidRPr="00F06E1D">
        <w:t>STIR has received</w:t>
      </w:r>
      <w:r>
        <w:t xml:space="preserve"> </w:t>
      </w:r>
      <w:r w:rsidR="00E87951">
        <w:t xml:space="preserve">reports that highlight variation in practice </w:t>
      </w:r>
      <w:r w:rsidR="000C0343">
        <w:t>regarding</w:t>
      </w:r>
      <w:r w:rsidR="00A30B75">
        <w:t xml:space="preserve"> </w:t>
      </w:r>
      <w:proofErr w:type="spellStart"/>
      <w:r w:rsidR="00E87951">
        <w:t>RhD</w:t>
      </w:r>
      <w:proofErr w:type="spellEnd"/>
      <w:r w:rsidR="00E87951">
        <w:t xml:space="preserve"> I</w:t>
      </w:r>
      <w:r w:rsidR="00A30B75">
        <w:t>g</w:t>
      </w:r>
      <w:r w:rsidR="00E87951">
        <w:t xml:space="preserve"> prophylaxis</w:t>
      </w:r>
      <w:r w:rsidRPr="00F06E1D">
        <w:t xml:space="preserve"> </w:t>
      </w:r>
      <w:r w:rsidR="000C0343">
        <w:t>indications and</w:t>
      </w:r>
      <w:r w:rsidR="00764394">
        <w:t xml:space="preserve"> </w:t>
      </w:r>
      <w:r w:rsidR="00BA0F20">
        <w:t>administ</w:t>
      </w:r>
      <w:r w:rsidR="000C0343">
        <w:t>ration.</w:t>
      </w:r>
    </w:p>
    <w:p w14:paraId="09A4FCA0" w14:textId="5E6C6A47" w:rsidR="00963CF5" w:rsidRPr="001B70FF" w:rsidRDefault="00D7154A" w:rsidP="001B70FF">
      <w:pPr>
        <w:spacing w:after="0" w:line="240" w:lineRule="auto"/>
        <w:rPr>
          <w:rFonts w:eastAsia="Times"/>
        </w:rPr>
      </w:pPr>
      <w:r>
        <w:br w:type="page"/>
      </w:r>
    </w:p>
    <w:p w14:paraId="07DB30FA" w14:textId="5BE54C76" w:rsidR="00F06E1D" w:rsidRPr="00F06E1D" w:rsidRDefault="00F06E1D" w:rsidP="00F06E1D">
      <w:pPr>
        <w:pStyle w:val="Heading2"/>
        <w:rPr>
          <w:rFonts w:eastAsia="Times"/>
        </w:rPr>
      </w:pPr>
      <w:r>
        <w:rPr>
          <w:rFonts w:eastAsia="Times"/>
        </w:rPr>
        <w:lastRenderedPageBreak/>
        <w:t>Use of RhD Ig in areas other than pregnancy</w:t>
      </w:r>
    </w:p>
    <w:p w14:paraId="7915B806" w14:textId="5D2E3E9A" w:rsidR="00F06E1D" w:rsidRDefault="00F06E1D" w:rsidP="00F06E1D">
      <w:pPr>
        <w:pStyle w:val="Body"/>
      </w:pPr>
      <w:r>
        <w:t>RhD Ig</w:t>
      </w:r>
      <w:r w:rsidRPr="00F06E1D">
        <w:t xml:space="preserve"> may be used for management of transfusions of RhD positive RBCs or platelets, to prevent alloimmunisation </w:t>
      </w:r>
      <w:r w:rsidR="00E22DEF">
        <w:t>(</w:t>
      </w:r>
      <w:r w:rsidRPr="00F06E1D">
        <w:t xml:space="preserve">production of a </w:t>
      </w:r>
      <w:r w:rsidR="001D6BEC">
        <w:t>Rh</w:t>
      </w:r>
      <w:r w:rsidRPr="00F06E1D">
        <w:t>D antibody in a RhD negative individual</w:t>
      </w:r>
      <w:r w:rsidR="00E22DEF">
        <w:t>)</w:t>
      </w:r>
      <w:r w:rsidRPr="00F06E1D">
        <w:t>.</w:t>
      </w:r>
    </w:p>
    <w:p w14:paraId="56FAE301" w14:textId="24FF09D4" w:rsidR="001B70FF" w:rsidRDefault="001B70FF" w:rsidP="00E00EB4">
      <w:pPr>
        <w:pStyle w:val="Body"/>
        <w:spacing w:after="0" w:line="240" w:lineRule="auto"/>
      </w:pPr>
      <w:r>
        <w:t xml:space="preserve">While health services are moving to </w:t>
      </w:r>
      <w:r w:rsidR="001339A8">
        <w:t xml:space="preserve">emergency use of uncrossmatched group </w:t>
      </w:r>
      <w:r>
        <w:t xml:space="preserve">O RhD positive red cells for first line use in </w:t>
      </w:r>
      <w:r w:rsidR="001339A8">
        <w:t xml:space="preserve">keeping </w:t>
      </w:r>
      <w:r>
        <w:t xml:space="preserve">with the </w:t>
      </w:r>
      <w:r w:rsidR="009A06D3">
        <w:t xml:space="preserve">National Statement </w:t>
      </w:r>
      <w:r>
        <w:t xml:space="preserve">for the emergency use of group O red blood cells, this should only </w:t>
      </w:r>
      <w:r w:rsidR="00155872">
        <w:t>apply</w:t>
      </w:r>
      <w:r>
        <w:t>:</w:t>
      </w:r>
    </w:p>
    <w:p w14:paraId="7B9BEF6E" w14:textId="418121C3" w:rsidR="00D25CB9" w:rsidRDefault="00D25CB9" w:rsidP="00E00EB4">
      <w:pPr>
        <w:pStyle w:val="Body"/>
        <w:numPr>
          <w:ilvl w:val="0"/>
          <w:numId w:val="47"/>
        </w:numPr>
        <w:spacing w:after="0" w:line="240" w:lineRule="auto"/>
      </w:pPr>
      <w:r>
        <w:t>i</w:t>
      </w:r>
      <w:r w:rsidR="001B70FF">
        <w:t>n an emergency to save a patient’s life and when there is no current valid pre-transfusion specimen</w:t>
      </w:r>
    </w:p>
    <w:p w14:paraId="232DA6A1" w14:textId="23385035" w:rsidR="00D25CB9" w:rsidRDefault="00D25CB9" w:rsidP="00E00EB4">
      <w:pPr>
        <w:pStyle w:val="Body"/>
        <w:numPr>
          <w:ilvl w:val="0"/>
          <w:numId w:val="47"/>
        </w:numPr>
        <w:spacing w:after="0" w:line="240" w:lineRule="auto"/>
      </w:pPr>
      <w:r>
        <w:t>f</w:t>
      </w:r>
      <w:r w:rsidR="001B70FF">
        <w:t>or females &gt;50 years and adult males &gt;18 years</w:t>
      </w:r>
    </w:p>
    <w:p w14:paraId="2027A2F5" w14:textId="4269B927" w:rsidR="001B70FF" w:rsidRDefault="00D25CB9" w:rsidP="00E90B25">
      <w:pPr>
        <w:pStyle w:val="Body"/>
        <w:numPr>
          <w:ilvl w:val="0"/>
          <w:numId w:val="47"/>
        </w:numPr>
      </w:pPr>
      <w:r>
        <w:t>w</w:t>
      </w:r>
      <w:r w:rsidR="009A06D3">
        <w:t xml:space="preserve">hen critical bleeding continues in females </w:t>
      </w:r>
      <w:r w:rsidR="009A06D3">
        <w:rPr>
          <w:rFonts w:cs="Arial"/>
        </w:rPr>
        <w:t>≤</w:t>
      </w:r>
      <w:r w:rsidR="009A06D3">
        <w:t xml:space="preserve">50 years and males </w:t>
      </w:r>
      <w:r w:rsidR="009A06D3">
        <w:rPr>
          <w:rFonts w:cs="Arial"/>
        </w:rPr>
        <w:t>≤</w:t>
      </w:r>
      <w:r w:rsidR="009A06D3">
        <w:t>18 years who have already received 4 units of O RhD negative RBC</w:t>
      </w:r>
      <w:r w:rsidR="001B70FF">
        <w:t>.</w:t>
      </w:r>
    </w:p>
    <w:p w14:paraId="5711E2EF" w14:textId="20E8EC0A" w:rsidR="009A06D3" w:rsidRDefault="009A06D3" w:rsidP="009A06D3">
      <w:pPr>
        <w:pStyle w:val="Body"/>
      </w:pPr>
      <w:r>
        <w:t xml:space="preserve">RhD positive RBC may need to be transfused to an RhD negative individual (regardless of age or sex of patient) in a critical bleeding situation, even when </w:t>
      </w:r>
      <w:r w:rsidR="00D72C58">
        <w:t>crossmatched RBC are given</w:t>
      </w:r>
      <w:r>
        <w:t>.</w:t>
      </w:r>
    </w:p>
    <w:p w14:paraId="523BF019" w14:textId="563495E6" w:rsidR="001B70FF" w:rsidRDefault="002E119C" w:rsidP="00715F2C">
      <w:pPr>
        <w:pStyle w:val="Body"/>
      </w:pPr>
      <w:r>
        <w:t xml:space="preserve">If RhD positive </w:t>
      </w:r>
      <w:r w:rsidR="00FD3159">
        <w:t>RBC</w:t>
      </w:r>
      <w:r>
        <w:t xml:space="preserve"> are </w:t>
      </w:r>
      <w:r w:rsidR="0031081A">
        <w:t xml:space="preserve">transfused </w:t>
      </w:r>
      <w:r>
        <w:t>to a</w:t>
      </w:r>
      <w:r w:rsidR="00D20F21">
        <w:t>n</w:t>
      </w:r>
      <w:r>
        <w:t xml:space="preserve"> RhD negative </w:t>
      </w:r>
      <w:r w:rsidR="00B5768B">
        <w:t>individual,</w:t>
      </w:r>
      <w:r>
        <w:t xml:space="preserve"> consider</w:t>
      </w:r>
      <w:r w:rsidR="003900E3">
        <w:t>ation to administration of RhD Ig</w:t>
      </w:r>
      <w:r w:rsidR="00BA0F20">
        <w:t xml:space="preserve"> will be on a case-by-case basis</w:t>
      </w:r>
      <w:r w:rsidR="00715F2C">
        <w:t xml:space="preserve"> by a multidisciplinary team</w:t>
      </w:r>
      <w:r w:rsidR="003900E3">
        <w:t xml:space="preserve">, </w:t>
      </w:r>
      <w:r w:rsidR="004575BB">
        <w:t>taking</w:t>
      </w:r>
      <w:r w:rsidR="003900E3">
        <w:t xml:space="preserve"> into account age and </w:t>
      </w:r>
      <w:r w:rsidR="00D7154A">
        <w:t>childbearing</w:t>
      </w:r>
      <w:r w:rsidR="003900E3">
        <w:t xml:space="preserve"> potential of </w:t>
      </w:r>
      <w:r w:rsidR="004575BB">
        <w:t xml:space="preserve">the </w:t>
      </w:r>
      <w:r w:rsidR="003900E3">
        <w:t xml:space="preserve">patient, </w:t>
      </w:r>
      <w:r w:rsidR="00155872">
        <w:t>any immunosuppression</w:t>
      </w:r>
      <w:r w:rsidR="003900E3">
        <w:t>, volume of red cells transfused and the risks of administering</w:t>
      </w:r>
      <w:r w:rsidR="00715F2C">
        <w:t xml:space="preserve"> a large volume</w:t>
      </w:r>
      <w:r w:rsidR="005F7145">
        <w:t xml:space="preserve"> of</w:t>
      </w:r>
      <w:r w:rsidR="003900E3">
        <w:t xml:space="preserve"> RhD Ig</w:t>
      </w:r>
      <w:r w:rsidR="0031081A">
        <w:t xml:space="preserve">. </w:t>
      </w:r>
    </w:p>
    <w:p w14:paraId="713C0AD9" w14:textId="45F47429" w:rsidR="001D6BEC" w:rsidRDefault="003900E3" w:rsidP="001B70FF">
      <w:pPr>
        <w:pStyle w:val="Body"/>
      </w:pPr>
      <w:r>
        <w:t>Special consideration should be given to children</w:t>
      </w:r>
      <w:r w:rsidR="004575BB">
        <w:t>, c</w:t>
      </w:r>
      <w:r>
        <w:t>onsider</w:t>
      </w:r>
      <w:r w:rsidR="004575BB">
        <w:t>ing</w:t>
      </w:r>
      <w:r>
        <w:t xml:space="preserve"> prevention of antibody formation and a lifetime of needing antigen negative blood.</w:t>
      </w:r>
      <w:r w:rsidRPr="003900E3">
        <w:t xml:space="preserve"> </w:t>
      </w:r>
      <w:r w:rsidRPr="00CB6510">
        <w:t>The risk of RhD alloimmuni</w:t>
      </w:r>
      <w:r>
        <w:t>s</w:t>
      </w:r>
      <w:r w:rsidRPr="00CB6510">
        <w:t>ation in immunosuppressed patients</w:t>
      </w:r>
      <w:r w:rsidR="004575BB">
        <w:t>,</w:t>
      </w:r>
      <w:r w:rsidRPr="00AC0CF2">
        <w:t xml:space="preserve"> either due to disease, treatment, or trauma (trauma-induced immunosuppression)</w:t>
      </w:r>
      <w:r w:rsidR="004575BB">
        <w:t>,</w:t>
      </w:r>
      <w:r w:rsidRPr="00CB6510">
        <w:t xml:space="preserve"> appears to be lower than other groups of patients</w:t>
      </w:r>
      <w:r w:rsidR="00B00B4D">
        <w:t xml:space="preserve"> (</w:t>
      </w:r>
      <w:r w:rsidR="00B00B4D" w:rsidRPr="00B00B4D">
        <w:t>Titze</w:t>
      </w:r>
      <w:r w:rsidR="00B00B4D">
        <w:t xml:space="preserve"> et al. 2023). </w:t>
      </w:r>
      <w:r w:rsidR="00D7154A">
        <w:t>There is also a r</w:t>
      </w:r>
      <w:r w:rsidR="00CB6510">
        <w:t>isk of haemolysis associated with high doses of RhD Ig.</w:t>
      </w:r>
    </w:p>
    <w:p w14:paraId="6011957E" w14:textId="34275737" w:rsidR="001B70FF" w:rsidRDefault="009A06D3" w:rsidP="001B70FF">
      <w:pPr>
        <w:pStyle w:val="Body"/>
      </w:pPr>
      <w:r>
        <w:t xml:space="preserve">The risk to benefit ratio of giving large doses of RhD Ig to prevent alloimmunisation is unclear. The very large doses required to offset one unit of RBC make the effectiveness of prophylactic RhD Ig in such circumstances </w:t>
      </w:r>
      <w:r w:rsidR="00307056">
        <w:t>uncertain</w:t>
      </w:r>
      <w:r>
        <w:t>.</w:t>
      </w:r>
    </w:p>
    <w:p w14:paraId="0FCD2488" w14:textId="7E723AD9" w:rsidR="00F06E1D" w:rsidRPr="00F06E1D" w:rsidRDefault="00F06E1D" w:rsidP="00F06E1D">
      <w:pPr>
        <w:pStyle w:val="Body"/>
        <w:rPr>
          <w:b/>
          <w:bCs/>
        </w:rPr>
      </w:pPr>
      <w:r w:rsidRPr="00F06E1D">
        <w:rPr>
          <w:b/>
          <w:bCs/>
        </w:rPr>
        <w:t xml:space="preserve">Table 1. Use of RhD immunoprophylaxis in patients who have received an RhD incompatible blood </w:t>
      </w:r>
      <w:r w:rsidR="0031081A">
        <w:rPr>
          <w:b/>
          <w:bCs/>
        </w:rPr>
        <w:t>component.</w:t>
      </w:r>
    </w:p>
    <w:tbl>
      <w:tblPr>
        <w:tblStyle w:val="TableGrid"/>
        <w:tblW w:w="0" w:type="auto"/>
        <w:tblLook w:val="04A0" w:firstRow="1" w:lastRow="0" w:firstColumn="1" w:lastColumn="0" w:noHBand="0" w:noVBand="1"/>
      </w:tblPr>
      <w:tblGrid>
        <w:gridCol w:w="1629"/>
        <w:gridCol w:w="1663"/>
        <w:gridCol w:w="6902"/>
      </w:tblGrid>
      <w:tr w:rsidR="001B70FF" w:rsidRPr="00F06E1D" w14:paraId="48DF4D78" w14:textId="77777777" w:rsidTr="00D20F21">
        <w:tc>
          <w:tcPr>
            <w:tcW w:w="1247" w:type="dxa"/>
          </w:tcPr>
          <w:p w14:paraId="4BFF24FC" w14:textId="217B97E0" w:rsidR="00F06E1D" w:rsidRPr="00F06E1D" w:rsidRDefault="00FB5CA6" w:rsidP="00B5768B">
            <w:pPr>
              <w:pStyle w:val="Tablecolhead"/>
            </w:pPr>
            <w:r>
              <w:t>Component</w:t>
            </w:r>
            <w:r w:rsidR="00810CFF">
              <w:t xml:space="preserve"> transfused</w:t>
            </w:r>
          </w:p>
        </w:tc>
        <w:tc>
          <w:tcPr>
            <w:tcW w:w="1627" w:type="dxa"/>
          </w:tcPr>
          <w:p w14:paraId="163ABE80" w14:textId="516D3E23" w:rsidR="00F06E1D" w:rsidRPr="00F06E1D" w:rsidRDefault="00F06E1D" w:rsidP="00B5768B">
            <w:pPr>
              <w:pStyle w:val="Tablecolhead"/>
            </w:pPr>
            <w:r w:rsidRPr="00F06E1D">
              <w:t>RhD</w:t>
            </w:r>
            <w:r w:rsidR="00E75ED2">
              <w:t xml:space="preserve"> </w:t>
            </w:r>
            <w:r w:rsidRPr="00F06E1D">
              <w:t>Ig</w:t>
            </w:r>
            <w:r w:rsidR="001B70FF">
              <w:t xml:space="preserve"> administration</w:t>
            </w:r>
          </w:p>
        </w:tc>
        <w:tc>
          <w:tcPr>
            <w:tcW w:w="6938" w:type="dxa"/>
          </w:tcPr>
          <w:p w14:paraId="66AAFE01" w14:textId="47FC0416" w:rsidR="00F06E1D" w:rsidRPr="00F06E1D" w:rsidRDefault="00D7154A" w:rsidP="00B5768B">
            <w:pPr>
              <w:pStyle w:val="Tablecolhead"/>
            </w:pPr>
            <w:r>
              <w:t>RhD Ig dosage</w:t>
            </w:r>
          </w:p>
        </w:tc>
      </w:tr>
      <w:tr w:rsidR="001B70FF" w:rsidRPr="00F06E1D" w14:paraId="374D25F2" w14:textId="77777777" w:rsidTr="00D20F21">
        <w:tc>
          <w:tcPr>
            <w:tcW w:w="1247" w:type="dxa"/>
          </w:tcPr>
          <w:p w14:paraId="39ABDE05" w14:textId="77777777" w:rsidR="00F06E1D" w:rsidRPr="00F06E1D" w:rsidRDefault="00F06E1D" w:rsidP="00F06E1D">
            <w:pPr>
              <w:pStyle w:val="Body"/>
            </w:pPr>
            <w:r w:rsidRPr="00F06E1D">
              <w:t>Red cells</w:t>
            </w:r>
          </w:p>
        </w:tc>
        <w:tc>
          <w:tcPr>
            <w:tcW w:w="1627" w:type="dxa"/>
          </w:tcPr>
          <w:p w14:paraId="11712F19" w14:textId="767C580F" w:rsidR="00F06E1D" w:rsidRPr="00F06E1D" w:rsidRDefault="00F06E1D" w:rsidP="00F06E1D">
            <w:pPr>
              <w:pStyle w:val="Body"/>
            </w:pPr>
            <w:r w:rsidRPr="00F06E1D">
              <w:t>Consider in women of childbearing age and children</w:t>
            </w:r>
          </w:p>
        </w:tc>
        <w:tc>
          <w:tcPr>
            <w:tcW w:w="6938" w:type="dxa"/>
          </w:tcPr>
          <w:p w14:paraId="2BED4E65" w14:textId="77777777" w:rsidR="00296484" w:rsidRDefault="00296484" w:rsidP="00B25950">
            <w:pPr>
              <w:pStyle w:val="Body"/>
              <w:rPr>
                <w:b/>
                <w:bCs/>
              </w:rPr>
            </w:pPr>
            <w:r w:rsidRPr="00E90B25">
              <w:rPr>
                <w:b/>
                <w:bCs/>
              </w:rPr>
              <w:t>Discuss with haematology team.</w:t>
            </w:r>
          </w:p>
          <w:p w14:paraId="0FBEDBA8" w14:textId="20789334" w:rsidR="00B912C5" w:rsidRDefault="00B912C5" w:rsidP="00B912C5">
            <w:pPr>
              <w:pStyle w:val="Body"/>
            </w:pPr>
            <w:r>
              <w:t>Consensus clinical opinion of STIR Expert Group is that RhD Ig is g</w:t>
            </w:r>
            <w:r w:rsidRPr="00BA0F20">
              <w:t xml:space="preserve">enerally not recommended unless </w:t>
            </w:r>
            <w:r>
              <w:t xml:space="preserve">for </w:t>
            </w:r>
            <w:r w:rsidRPr="00BA0F20">
              <w:t>small volume</w:t>
            </w:r>
            <w:r>
              <w:t xml:space="preserve"> RhD incompatible </w:t>
            </w:r>
            <w:r w:rsidR="00FD3159">
              <w:t>RBC</w:t>
            </w:r>
            <w:r>
              <w:t xml:space="preserve"> transfusion for example in discovery of an error in administering RhD</w:t>
            </w:r>
            <w:r w:rsidR="00D20F21">
              <w:t xml:space="preserve"> </w:t>
            </w:r>
            <w:r w:rsidR="00331236">
              <w:t>positive</w:t>
            </w:r>
            <w:r>
              <w:t xml:space="preserve"> </w:t>
            </w:r>
            <w:r w:rsidR="00FD3159">
              <w:t>RBCs</w:t>
            </w:r>
            <w:r>
              <w:t xml:space="preserve"> to a RhD</w:t>
            </w:r>
            <w:r w:rsidR="00331236">
              <w:t xml:space="preserve"> negative</w:t>
            </w:r>
            <w:r>
              <w:t xml:space="preserve"> female of childbearing potential.</w:t>
            </w:r>
          </w:p>
          <w:p w14:paraId="27FD628C" w14:textId="6B57BCF6" w:rsidR="00B912C5" w:rsidRPr="00BA0F20" w:rsidRDefault="00B912C5" w:rsidP="00B912C5">
            <w:pPr>
              <w:pStyle w:val="Body"/>
            </w:pPr>
            <w:r>
              <w:t xml:space="preserve">In large volume transfusion of RhD incompatible </w:t>
            </w:r>
            <w:r w:rsidR="00FD3159">
              <w:t>RBCs</w:t>
            </w:r>
            <w:r>
              <w:t>,</w:t>
            </w:r>
            <w:r w:rsidRPr="00BA0F20">
              <w:t xml:space="preserve"> the risk: benefit ratio is unclear. </w:t>
            </w:r>
          </w:p>
          <w:p w14:paraId="3E289E49" w14:textId="0CC99FFC" w:rsidR="00D32EBF" w:rsidRPr="00F06E1D" w:rsidRDefault="000A0F95" w:rsidP="00F06E1D">
            <w:pPr>
              <w:pStyle w:val="Body"/>
            </w:pPr>
            <w:r>
              <w:t>Health services should also be aware of the risk of haemolysis that may be associated with the large doses of RhD Ig</w:t>
            </w:r>
            <w:r w:rsidR="00E33205">
              <w:t>.</w:t>
            </w:r>
          </w:p>
        </w:tc>
      </w:tr>
      <w:tr w:rsidR="001B70FF" w:rsidRPr="00F06E1D" w14:paraId="2A56F62F" w14:textId="77777777" w:rsidTr="00D20F21">
        <w:tc>
          <w:tcPr>
            <w:tcW w:w="1247" w:type="dxa"/>
          </w:tcPr>
          <w:p w14:paraId="25B57D12" w14:textId="77777777" w:rsidR="00F06E1D" w:rsidRPr="00F06E1D" w:rsidRDefault="00F06E1D" w:rsidP="00F06E1D">
            <w:pPr>
              <w:pStyle w:val="Body"/>
            </w:pPr>
            <w:r w:rsidRPr="00F06E1D">
              <w:t>Platelets</w:t>
            </w:r>
          </w:p>
        </w:tc>
        <w:tc>
          <w:tcPr>
            <w:tcW w:w="1627" w:type="dxa"/>
          </w:tcPr>
          <w:p w14:paraId="3E8BF24E" w14:textId="6C97F87F" w:rsidR="00F06E1D" w:rsidRPr="00F06E1D" w:rsidRDefault="00F06E1D" w:rsidP="00F06E1D">
            <w:pPr>
              <w:pStyle w:val="Body"/>
            </w:pPr>
            <w:r w:rsidRPr="00F06E1D">
              <w:t>Consider in women of childbearing age and children</w:t>
            </w:r>
          </w:p>
        </w:tc>
        <w:tc>
          <w:tcPr>
            <w:tcW w:w="6938" w:type="dxa"/>
          </w:tcPr>
          <w:p w14:paraId="2D535CA7" w14:textId="1DF7A47E" w:rsidR="00D31B55" w:rsidRPr="00F06E1D" w:rsidRDefault="00155872" w:rsidP="00F06E1D">
            <w:pPr>
              <w:pStyle w:val="Body"/>
            </w:pPr>
            <w:r>
              <w:t>T</w:t>
            </w:r>
            <w:r w:rsidR="00CE48A9" w:rsidRPr="00F06E1D">
              <w:t>he</w:t>
            </w:r>
            <w:r w:rsidR="00F06E1D" w:rsidRPr="00F06E1D">
              <w:t xml:space="preserve"> volume of RBCs in each platelet dose is quite small. Therefore, a 250 IU dose should provide prophylaxis for up to five transfusions of RhD positive platelets within a six-week period</w:t>
            </w:r>
            <w:r w:rsidR="00B00B4D">
              <w:t xml:space="preserve"> (</w:t>
            </w:r>
            <w:r w:rsidR="00B00B4D" w:rsidRPr="00B00B4D">
              <w:t>Qureshi</w:t>
            </w:r>
            <w:r w:rsidR="00B00B4D" w:rsidRPr="00B00B4D" w:rsidDel="00B00B4D">
              <w:t xml:space="preserve"> </w:t>
            </w:r>
            <w:r w:rsidR="00B00B4D">
              <w:t>et al 2014).</w:t>
            </w:r>
          </w:p>
          <w:p w14:paraId="14F8DD85" w14:textId="72A304A0" w:rsidR="00F06E1D" w:rsidRPr="00F06E1D" w:rsidRDefault="00F06E1D" w:rsidP="00F06E1D">
            <w:pPr>
              <w:pStyle w:val="Body"/>
            </w:pPr>
            <w:r w:rsidRPr="00F06E1D">
              <w:t xml:space="preserve">Given the low risk, some </w:t>
            </w:r>
            <w:r w:rsidR="000A0F95" w:rsidRPr="00F06E1D">
              <w:t>centres</w:t>
            </w:r>
            <w:r w:rsidRPr="00F06E1D">
              <w:t xml:space="preserve"> advocate the use of platelets without consideration of RhD status and without Rh</w:t>
            </w:r>
            <w:r w:rsidR="006C7D20">
              <w:t xml:space="preserve">D </w:t>
            </w:r>
            <w:r w:rsidRPr="00F06E1D">
              <w:t>Ig prophylaxis</w:t>
            </w:r>
            <w:r w:rsidR="00B00B4D">
              <w:t xml:space="preserve"> (</w:t>
            </w:r>
            <w:r w:rsidR="00B00B4D" w:rsidRPr="00B00B4D">
              <w:t>https://www.lifeblood.com.au/health-professionals/products/component-compatibility</w:t>
            </w:r>
            <w:r w:rsidR="00B00B4D">
              <w:t>).</w:t>
            </w:r>
          </w:p>
        </w:tc>
      </w:tr>
      <w:tr w:rsidR="001B70FF" w:rsidRPr="00F06E1D" w14:paraId="60218B84" w14:textId="77777777" w:rsidTr="00D20F21">
        <w:tc>
          <w:tcPr>
            <w:tcW w:w="1247" w:type="dxa"/>
          </w:tcPr>
          <w:p w14:paraId="652F2BC2" w14:textId="77777777" w:rsidR="00F06E1D" w:rsidRPr="00F06E1D" w:rsidRDefault="00F06E1D" w:rsidP="00F06E1D">
            <w:pPr>
              <w:pStyle w:val="Body"/>
            </w:pPr>
            <w:r w:rsidRPr="00F06E1D">
              <w:lastRenderedPageBreak/>
              <w:t>FFP and Cryoprecipitate</w:t>
            </w:r>
          </w:p>
        </w:tc>
        <w:tc>
          <w:tcPr>
            <w:tcW w:w="1627" w:type="dxa"/>
          </w:tcPr>
          <w:p w14:paraId="5DAEA4A4" w14:textId="77777777" w:rsidR="00F06E1D" w:rsidRPr="00F06E1D" w:rsidRDefault="00F06E1D" w:rsidP="00F06E1D">
            <w:pPr>
              <w:pStyle w:val="Body"/>
            </w:pPr>
            <w:r w:rsidRPr="00F06E1D">
              <w:t>Not required, no red cell contamination</w:t>
            </w:r>
          </w:p>
        </w:tc>
        <w:tc>
          <w:tcPr>
            <w:tcW w:w="6938" w:type="dxa"/>
          </w:tcPr>
          <w:p w14:paraId="0FEF0864" w14:textId="77777777" w:rsidR="00F06E1D" w:rsidRPr="00F06E1D" w:rsidRDefault="00F06E1D" w:rsidP="00F06E1D">
            <w:pPr>
              <w:pStyle w:val="Body"/>
            </w:pPr>
          </w:p>
        </w:tc>
      </w:tr>
    </w:tbl>
    <w:p w14:paraId="1F54C160" w14:textId="1D1534D0" w:rsidR="00F06E1D" w:rsidRPr="00F06E1D" w:rsidRDefault="00F06E1D" w:rsidP="0086109D">
      <w:pPr>
        <w:pStyle w:val="Heading2"/>
        <w:rPr>
          <w:rFonts w:eastAsia="Times"/>
        </w:rPr>
      </w:pPr>
      <w:r w:rsidRPr="00F06E1D">
        <w:rPr>
          <w:rFonts w:eastAsia="Times"/>
        </w:rPr>
        <w:t>References</w:t>
      </w:r>
    </w:p>
    <w:p w14:paraId="118B3E5E" w14:textId="0FB7D54C" w:rsidR="00F06E1D" w:rsidRPr="00F06E1D" w:rsidRDefault="00F06E1D" w:rsidP="00F06E1D">
      <w:pPr>
        <w:pStyle w:val="Body"/>
        <w:numPr>
          <w:ilvl w:val="0"/>
          <w:numId w:val="40"/>
        </w:numPr>
      </w:pPr>
      <w:r w:rsidRPr="00F06E1D">
        <w:t>Athina L. Yoham; Damian Casadesus.</w:t>
      </w:r>
      <w:r w:rsidR="001F1F33" w:rsidRPr="001F1F33">
        <w:rPr>
          <w:rFonts w:eastAsia="Times New Roman"/>
        </w:rPr>
        <w:t xml:space="preserve"> </w:t>
      </w:r>
      <w:hyperlink r:id="rId18" w:history="1">
        <w:r w:rsidR="001F1F33" w:rsidRPr="001F1F33">
          <w:rPr>
            <w:rFonts w:eastAsia="Times New Roman"/>
            <w:color w:val="365F91" w:themeColor="accent1" w:themeShade="BF"/>
            <w:u w:val="single"/>
          </w:rPr>
          <w:t>Rho(D) Immune Glo</w:t>
        </w:r>
        <w:r w:rsidR="001F1F33" w:rsidRPr="001F1F33">
          <w:rPr>
            <w:rFonts w:eastAsia="Times New Roman"/>
            <w:color w:val="365F91" w:themeColor="accent1" w:themeShade="BF"/>
            <w:u w:val="single"/>
          </w:rPr>
          <w:t>b</w:t>
        </w:r>
        <w:r w:rsidR="001F1F33" w:rsidRPr="001F1F33">
          <w:rPr>
            <w:rFonts w:eastAsia="Times New Roman"/>
            <w:color w:val="365F91" w:themeColor="accent1" w:themeShade="BF"/>
            <w:u w:val="single"/>
          </w:rPr>
          <w:t>ulin - StatPearls - NCBI Bookshelf (nih.gov)</w:t>
        </w:r>
      </w:hyperlink>
      <w:r w:rsidR="00EE02CE">
        <w:rPr>
          <w:color w:val="365F91" w:themeColor="accent1" w:themeShade="BF"/>
        </w:rPr>
        <w:t xml:space="preserve"> </w:t>
      </w:r>
      <w:r w:rsidR="00EE02CE" w:rsidRPr="00EE02CE">
        <w:t xml:space="preserve">&lt; </w:t>
      </w:r>
      <w:r w:rsidR="00EE02CE" w:rsidRPr="00EE02CE">
        <w:t>https://www.ncbi.nlm.nih.gov/books/NBK557884/</w:t>
      </w:r>
      <w:r w:rsidR="00EE02CE" w:rsidRPr="00EE02CE">
        <w:t>&gt;</w:t>
      </w:r>
      <w:r w:rsidRPr="001F1F33">
        <w:rPr>
          <w:color w:val="365F91" w:themeColor="accent1" w:themeShade="BF"/>
        </w:rPr>
        <w:t xml:space="preserve"> </w:t>
      </w:r>
      <w:r w:rsidRPr="00F06E1D">
        <w:t>Last Update: May 22, 2023.</w:t>
      </w:r>
    </w:p>
    <w:p w14:paraId="18182177" w14:textId="66CC10D6" w:rsidR="002A0B98" w:rsidRDefault="002A0B98" w:rsidP="002A0B98">
      <w:pPr>
        <w:pStyle w:val="Body"/>
        <w:numPr>
          <w:ilvl w:val="0"/>
          <w:numId w:val="40"/>
        </w:numPr>
      </w:pPr>
      <w:r w:rsidRPr="00F06E1D">
        <w:t xml:space="preserve">Lifeblood Component compatibility | Lifeblood, </w:t>
      </w:r>
      <w:hyperlink r:id="rId19" w:history="1">
        <w:r w:rsidR="001F1F33" w:rsidRPr="00D0593D">
          <w:rPr>
            <w:rStyle w:val="Hyperlink"/>
          </w:rPr>
          <w:t>https://www.lifeblood.com.au/health-professionals/products/component-compatibility</w:t>
        </w:r>
      </w:hyperlink>
      <w:r w:rsidR="001F1F33">
        <w:t xml:space="preserve"> </w:t>
      </w:r>
      <w:r w:rsidRPr="00F06E1D">
        <w:t xml:space="preserve">, viewed </w:t>
      </w:r>
      <w:r w:rsidR="004878B4">
        <w:t>7/8/2024</w:t>
      </w:r>
      <w:r w:rsidRPr="00F06E1D">
        <w:t>.</w:t>
      </w:r>
    </w:p>
    <w:p w14:paraId="75B51F77" w14:textId="3D956565" w:rsidR="00CA581C" w:rsidRDefault="00CA581C" w:rsidP="002A0B98">
      <w:pPr>
        <w:pStyle w:val="Body"/>
        <w:numPr>
          <w:ilvl w:val="0"/>
          <w:numId w:val="40"/>
        </w:numPr>
      </w:pPr>
      <w:r>
        <w:t xml:space="preserve">CSL Behring Australia, Rhophylac product information, 09 June 2020 </w:t>
      </w:r>
      <w:hyperlink r:id="rId20" w:history="1">
        <w:r w:rsidRPr="00CA581C">
          <w:rPr>
            <w:rStyle w:val="Hyperlink"/>
          </w:rPr>
          <w:t>Aus</w:t>
        </w:r>
        <w:r w:rsidRPr="00CA581C">
          <w:rPr>
            <w:rStyle w:val="Hyperlink"/>
          </w:rPr>
          <w:t>t</w:t>
        </w:r>
        <w:r w:rsidRPr="00CA581C">
          <w:rPr>
            <w:rStyle w:val="Hyperlink"/>
          </w:rPr>
          <w:t>ralian PI – Rhophylac (cslbehring.com)</w:t>
        </w:r>
      </w:hyperlink>
      <w:r>
        <w:t xml:space="preserve"> </w:t>
      </w:r>
      <w:r w:rsidR="00764394">
        <w:t>&lt;</w:t>
      </w:r>
      <w:r w:rsidR="00764394" w:rsidRPr="00764394">
        <w:t xml:space="preserve"> </w:t>
      </w:r>
      <w:r w:rsidR="00764394" w:rsidRPr="00764394">
        <w:t>https://labeling.cslbehring.com/PI/AU/RHOPHYLAC/EN/RHOPHYLAC-Product-Information.pdf</w:t>
      </w:r>
      <w:r w:rsidR="00764394">
        <w:t>&gt;</w:t>
      </w:r>
    </w:p>
    <w:p w14:paraId="1B8A1584" w14:textId="6A3BCC25" w:rsidR="00CA5012" w:rsidRPr="00764394" w:rsidRDefault="00CA5012" w:rsidP="002A0B98">
      <w:pPr>
        <w:pStyle w:val="Body"/>
        <w:numPr>
          <w:ilvl w:val="0"/>
          <w:numId w:val="40"/>
        </w:numPr>
      </w:pPr>
      <w:r>
        <w:t xml:space="preserve">CSL Behring Australia, </w:t>
      </w:r>
      <w:r w:rsidRPr="00CA5012">
        <w:t>Rh(D) Immunoglobulin-VF</w:t>
      </w:r>
      <w:r>
        <w:t xml:space="preserve"> product information, </w:t>
      </w:r>
      <w:r w:rsidRPr="00CA5012">
        <w:t>08 July 2022</w:t>
      </w:r>
      <w:r>
        <w:t xml:space="preserve"> </w:t>
      </w:r>
      <w:hyperlink r:id="rId21" w:history="1">
        <w:r w:rsidRPr="00CA5012">
          <w:rPr>
            <w:rStyle w:val="Hyperlink"/>
          </w:rPr>
          <w:t>Au</w:t>
        </w:r>
        <w:r w:rsidRPr="00CA5012">
          <w:rPr>
            <w:rStyle w:val="Hyperlink"/>
          </w:rPr>
          <w:t>s</w:t>
        </w:r>
        <w:r w:rsidRPr="00CA5012">
          <w:rPr>
            <w:rStyle w:val="Hyperlink"/>
          </w:rPr>
          <w:t>tralian PI – Rh(D) Immunoglobulin-VF (cslbehring.com)</w:t>
        </w:r>
      </w:hyperlink>
      <w:r w:rsidR="00764394">
        <w:rPr>
          <w:rStyle w:val="Hyperlink"/>
        </w:rPr>
        <w:t xml:space="preserve"> </w:t>
      </w:r>
      <w:r w:rsidR="00764394" w:rsidRPr="00764394">
        <w:t xml:space="preserve">&lt; </w:t>
      </w:r>
      <w:r w:rsidR="00764394" w:rsidRPr="00764394">
        <w:t>https://labeling.cslbehring.com/PI/AU/RhD-Immunoglobulin-VF/EN/RhD-Immunoglobulin-VF-Product-Information.pdf</w:t>
      </w:r>
      <w:r w:rsidR="00764394" w:rsidRPr="00764394">
        <w:t>&gt;</w:t>
      </w:r>
    </w:p>
    <w:p w14:paraId="61556058" w14:textId="77777777" w:rsidR="001A5EEC" w:rsidRDefault="00AC0CF2" w:rsidP="001A5EEC">
      <w:pPr>
        <w:pStyle w:val="Body"/>
        <w:numPr>
          <w:ilvl w:val="0"/>
          <w:numId w:val="40"/>
        </w:numPr>
      </w:pPr>
      <w:r>
        <w:t xml:space="preserve">Titze TL, Dahl Hamnvik LH, Hauglum IM, Tonay Carlsen AE, Tjeldhorn L, Nguyen NT, Akkök CA, 2023. </w:t>
      </w:r>
      <w:r w:rsidRPr="001A5EEC">
        <w:t>Management of Wrong Blood Transfusion to an RhD Negative Woman in Labor</w:t>
      </w:r>
      <w:r w:rsidR="001A5EEC" w:rsidRPr="001A5EEC">
        <w:t>. International Journal of Women’s Health</w:t>
      </w:r>
      <w:r w:rsidR="001A5EEC">
        <w:t>.</w:t>
      </w:r>
    </w:p>
    <w:p w14:paraId="088CDE80" w14:textId="77777777" w:rsidR="001A5EEC" w:rsidRDefault="00F06E1D" w:rsidP="001A5EEC">
      <w:pPr>
        <w:pStyle w:val="Body"/>
        <w:numPr>
          <w:ilvl w:val="0"/>
          <w:numId w:val="40"/>
        </w:numPr>
      </w:pPr>
      <w:r w:rsidRPr="00F06E1D">
        <w:t>Nancy M. Dunbar, 2020. Does ABO and RhD matching matter for platelet transfusion? Hematology 2020 | ASH Education Program</w:t>
      </w:r>
    </w:p>
    <w:p w14:paraId="176B89B3" w14:textId="6E1AFA1E" w:rsidR="001A5EEC" w:rsidRDefault="002A0B98" w:rsidP="001A5EEC">
      <w:pPr>
        <w:pStyle w:val="Body"/>
        <w:numPr>
          <w:ilvl w:val="0"/>
          <w:numId w:val="40"/>
        </w:numPr>
      </w:pPr>
      <w:r w:rsidRPr="00F06E1D">
        <w:t xml:space="preserve">ANZSBT Guidelines for transfusion and immunhaematology laboratory practice 2020, </w:t>
      </w:r>
      <w:hyperlink r:id="rId22" w:history="1">
        <w:r w:rsidRPr="00F06E1D">
          <w:rPr>
            <w:rStyle w:val="Hyperlink"/>
          </w:rPr>
          <w:t>Gui</w:t>
        </w:r>
        <w:r w:rsidRPr="00F06E1D">
          <w:rPr>
            <w:rStyle w:val="Hyperlink"/>
          </w:rPr>
          <w:t>d</w:t>
        </w:r>
        <w:r w:rsidRPr="00F06E1D">
          <w:rPr>
            <w:rStyle w:val="Hyperlink"/>
          </w:rPr>
          <w:t>elines for Transfusion and Immunohaematology Laboratory Practice (anzsbt.org.au)</w:t>
        </w:r>
      </w:hyperlink>
      <w:r w:rsidR="00764394">
        <w:rPr>
          <w:rStyle w:val="Hyperlink"/>
        </w:rPr>
        <w:t xml:space="preserve"> </w:t>
      </w:r>
      <w:r w:rsidR="00764394" w:rsidRPr="00764394">
        <w:t xml:space="preserve">&lt; </w:t>
      </w:r>
      <w:r w:rsidR="00764394" w:rsidRPr="00764394">
        <w:t>https://anzsbt.org.au/wp-content/uploads/2021/04/Guideline_-for_Transfusion_and_Immunohaematology_Laboratory_Practice_FINAL_Published_20210426.pdf</w:t>
      </w:r>
      <w:r w:rsidR="00764394" w:rsidRPr="00764394">
        <w:t>&gt;</w:t>
      </w:r>
    </w:p>
    <w:p w14:paraId="254D79F8" w14:textId="1E19AF59" w:rsidR="001A5EEC" w:rsidRDefault="00F06E1D" w:rsidP="001A5EEC">
      <w:pPr>
        <w:pStyle w:val="Body"/>
        <w:numPr>
          <w:ilvl w:val="0"/>
          <w:numId w:val="40"/>
        </w:numPr>
        <w:rPr>
          <w:rStyle w:val="Hyperlink"/>
          <w:color w:val="auto"/>
          <w:u w:val="none"/>
        </w:rPr>
      </w:pPr>
      <w:hyperlink r:id="rId23" w:history="1">
        <w:r w:rsidRPr="001A5EEC">
          <w:rPr>
            <w:rStyle w:val="Hyperlink"/>
            <w:color w:val="000000" w:themeColor="text1"/>
          </w:rPr>
          <w:t>H. Qureshi</w:t>
        </w:r>
      </w:hyperlink>
      <w:r w:rsidRPr="001A5EEC">
        <w:rPr>
          <w:color w:val="000000" w:themeColor="text1"/>
        </w:rPr>
        <w:t>, </w:t>
      </w:r>
      <w:hyperlink r:id="rId24" w:history="1">
        <w:r w:rsidRPr="001A5EEC">
          <w:rPr>
            <w:rStyle w:val="Hyperlink"/>
            <w:color w:val="000000" w:themeColor="text1"/>
          </w:rPr>
          <w:t>E. Massey</w:t>
        </w:r>
      </w:hyperlink>
      <w:r w:rsidRPr="001A5EEC">
        <w:rPr>
          <w:color w:val="000000" w:themeColor="text1"/>
        </w:rPr>
        <w:t>, </w:t>
      </w:r>
      <w:hyperlink r:id="rId25" w:history="1">
        <w:r w:rsidRPr="001A5EEC">
          <w:rPr>
            <w:rStyle w:val="Hyperlink"/>
            <w:color w:val="000000" w:themeColor="text1"/>
          </w:rPr>
          <w:t>D. Kirwan</w:t>
        </w:r>
      </w:hyperlink>
      <w:r w:rsidRPr="001A5EEC">
        <w:rPr>
          <w:color w:val="000000" w:themeColor="text1"/>
        </w:rPr>
        <w:t>, </w:t>
      </w:r>
      <w:hyperlink r:id="rId26" w:history="1">
        <w:r w:rsidRPr="001A5EEC">
          <w:rPr>
            <w:rStyle w:val="Hyperlink"/>
            <w:color w:val="000000" w:themeColor="text1"/>
          </w:rPr>
          <w:t>T. Davies</w:t>
        </w:r>
      </w:hyperlink>
      <w:r w:rsidRPr="001A5EEC">
        <w:rPr>
          <w:color w:val="000000" w:themeColor="text1"/>
        </w:rPr>
        <w:t>, </w:t>
      </w:r>
      <w:hyperlink r:id="rId27" w:history="1">
        <w:r w:rsidRPr="001A5EEC">
          <w:rPr>
            <w:rStyle w:val="Hyperlink"/>
            <w:color w:val="000000" w:themeColor="text1"/>
          </w:rPr>
          <w:t>S. Robson</w:t>
        </w:r>
      </w:hyperlink>
      <w:r w:rsidRPr="001A5EEC">
        <w:rPr>
          <w:color w:val="000000" w:themeColor="text1"/>
        </w:rPr>
        <w:t>, </w:t>
      </w:r>
      <w:hyperlink r:id="rId28" w:history="1">
        <w:r w:rsidRPr="001A5EEC">
          <w:rPr>
            <w:rStyle w:val="Hyperlink"/>
            <w:color w:val="000000" w:themeColor="text1"/>
          </w:rPr>
          <w:t>J. White</w:t>
        </w:r>
      </w:hyperlink>
      <w:r w:rsidRPr="001A5EEC">
        <w:rPr>
          <w:color w:val="000000" w:themeColor="text1"/>
        </w:rPr>
        <w:t>, </w:t>
      </w:r>
      <w:hyperlink r:id="rId29" w:history="1">
        <w:r w:rsidRPr="001A5EEC">
          <w:rPr>
            <w:rStyle w:val="Hyperlink"/>
            <w:color w:val="000000" w:themeColor="text1"/>
          </w:rPr>
          <w:t>J. Jones</w:t>
        </w:r>
      </w:hyperlink>
      <w:r w:rsidRPr="001A5EEC">
        <w:rPr>
          <w:color w:val="000000" w:themeColor="text1"/>
        </w:rPr>
        <w:t>, </w:t>
      </w:r>
      <w:hyperlink r:id="rId30" w:history="1">
        <w:r w:rsidRPr="001A5EEC">
          <w:rPr>
            <w:rStyle w:val="Hyperlink"/>
            <w:color w:val="000000" w:themeColor="text1"/>
          </w:rPr>
          <w:t>S. Allard</w:t>
        </w:r>
      </w:hyperlink>
      <w:r w:rsidRPr="001A5EEC">
        <w:rPr>
          <w:color w:val="000000" w:themeColor="text1"/>
        </w:rPr>
        <w:t xml:space="preserve">, </w:t>
      </w:r>
      <w:r w:rsidRPr="00F06E1D">
        <w:t xml:space="preserve">2014. </w:t>
      </w:r>
      <w:r w:rsidRPr="001A5EEC">
        <w:rPr>
          <w:i/>
          <w:iCs/>
        </w:rPr>
        <w:t xml:space="preserve">BCSH guideline for the use of anti-D immunoglobulin for the prevention of haemolytic disease of the fetus and newborn, </w:t>
      </w:r>
      <w:r w:rsidRPr="00F06E1D">
        <w:t>Transfusion Medicine</w:t>
      </w:r>
      <w:r w:rsidR="00D20F21" w:rsidRPr="00F06E1D">
        <w:t xml:space="preserve">. </w:t>
      </w:r>
      <w:hyperlink r:id="rId31" w:history="1">
        <w:r w:rsidRPr="00E90B25">
          <w:rPr>
            <w:rStyle w:val="Hyperlink"/>
          </w:rPr>
          <w:t>https://doi.org/10.1111/tme.12091</w:t>
        </w:r>
      </w:hyperlink>
      <w:r w:rsidR="00764394">
        <w:rPr>
          <w:rStyle w:val="Hyperlink"/>
        </w:rPr>
        <w:t xml:space="preserve"> </w:t>
      </w:r>
    </w:p>
    <w:p w14:paraId="0EB28379" w14:textId="5C846B4A" w:rsidR="001A5EEC" w:rsidRDefault="00CA5012" w:rsidP="001A5EEC">
      <w:pPr>
        <w:pStyle w:val="Body"/>
        <w:numPr>
          <w:ilvl w:val="0"/>
          <w:numId w:val="40"/>
        </w:numPr>
      </w:pPr>
      <w:r w:rsidRPr="00CA5012">
        <w:t>Wen Lu</w:t>
      </w:r>
      <w:r>
        <w:t>,</w:t>
      </w:r>
      <w:r w:rsidRPr="00CA5012">
        <w:t xml:space="preserve"> Laura Stephens</w:t>
      </w:r>
      <w:r>
        <w:t>,</w:t>
      </w:r>
      <w:r w:rsidRPr="00CA5012">
        <w:t xml:space="preserve"> Aaron Shmookler</w:t>
      </w:r>
      <w:r>
        <w:t>,</w:t>
      </w:r>
      <w:r w:rsidRPr="00CA5012">
        <w:t xml:space="preserve"> Kerry O'Brien</w:t>
      </w:r>
      <w:r>
        <w:t>,</w:t>
      </w:r>
      <w:r w:rsidRPr="00CA5012">
        <w:t xml:space="preserve"> Julie Katz Karp</w:t>
      </w:r>
      <w:r>
        <w:t>,</w:t>
      </w:r>
      <w:r w:rsidRPr="00CA5012">
        <w:t xml:space="preserve"> Daniela Hermelin</w:t>
      </w:r>
      <w:r>
        <w:t>,</w:t>
      </w:r>
      <w:r w:rsidRPr="00CA5012">
        <w:t xml:space="preserve"> Sara Bakhtary</w:t>
      </w:r>
      <w:r>
        <w:t>,</w:t>
      </w:r>
      <w:r w:rsidRPr="00CA5012">
        <w:t xml:space="preserve"> Nour Almozai</w:t>
      </w:r>
      <w:r>
        <w:t>n,</w:t>
      </w:r>
      <w:r w:rsidRPr="00CA5012">
        <w:t xml:space="preserve"> Melissa George</w:t>
      </w:r>
      <w:r>
        <w:t>,</w:t>
      </w:r>
      <w:r w:rsidRPr="00CA5012">
        <w:t xml:space="preserve"> Mark Fung</w:t>
      </w:r>
      <w:r>
        <w:t xml:space="preserve">, 2024. </w:t>
      </w:r>
      <w:r w:rsidRPr="001A5EEC">
        <w:rPr>
          <w:i/>
          <w:iCs/>
        </w:rPr>
        <w:t xml:space="preserve">Rh immune globulin immunoprophylaxis after RhD-positive red cell exposure in RhD-negative patients via transfusion: A survey of practices, </w:t>
      </w:r>
      <w:r>
        <w:t>Transfusion</w:t>
      </w:r>
      <w:r w:rsidRPr="00CA5012">
        <w:t>;64:839–845</w:t>
      </w:r>
      <w:r>
        <w:t>.</w:t>
      </w:r>
    </w:p>
    <w:p w14:paraId="0AD784FD" w14:textId="17FA5726" w:rsidR="00BB682F" w:rsidRDefault="00715F2C" w:rsidP="00BB682F">
      <w:pPr>
        <w:pStyle w:val="Body"/>
        <w:numPr>
          <w:ilvl w:val="0"/>
          <w:numId w:val="40"/>
        </w:numPr>
        <w:rPr>
          <w:rFonts w:cs="Arial"/>
          <w:szCs w:val="21"/>
        </w:rPr>
      </w:pPr>
      <w:proofErr w:type="spellStart"/>
      <w:r w:rsidRPr="00F455F9">
        <w:rPr>
          <w:rFonts w:cs="Arial"/>
          <w:szCs w:val="21"/>
        </w:rPr>
        <w:t>Yazer</w:t>
      </w:r>
      <w:proofErr w:type="spellEnd"/>
      <w:r w:rsidRPr="00F455F9">
        <w:rPr>
          <w:rFonts w:cs="Arial"/>
          <w:szCs w:val="21"/>
        </w:rPr>
        <w:t xml:space="preserve">, M.H. </w:t>
      </w:r>
      <w:r w:rsidRPr="00F455F9">
        <w:rPr>
          <w:rFonts w:cs="Arial"/>
          <w:i/>
          <w:iCs/>
          <w:szCs w:val="21"/>
        </w:rPr>
        <w:t>et al.</w:t>
      </w:r>
      <w:r w:rsidRPr="00F455F9">
        <w:rPr>
          <w:rFonts w:cs="Arial"/>
          <w:szCs w:val="21"/>
        </w:rPr>
        <w:t xml:space="preserve"> (2023) ‘Not as “d”eadly as once thought – the risk of D-alloimmunization and</w:t>
      </w:r>
      <w:r w:rsidR="00F455F9">
        <w:rPr>
          <w:rFonts w:cs="Arial"/>
          <w:szCs w:val="21"/>
        </w:rPr>
        <w:t xml:space="preserve">    </w:t>
      </w:r>
      <w:r w:rsidRPr="00F455F9">
        <w:rPr>
          <w:rFonts w:cs="Arial"/>
          <w:szCs w:val="21"/>
        </w:rPr>
        <w:t xml:space="preserve">hemolytic disease of the fetus and newborn following RHD-positive transfusion in trauma’, </w:t>
      </w:r>
      <w:r w:rsidR="00F455F9">
        <w:rPr>
          <w:rFonts w:cs="Arial"/>
          <w:szCs w:val="21"/>
        </w:rPr>
        <w:t xml:space="preserve"> </w:t>
      </w:r>
      <w:r w:rsidRPr="00F455F9">
        <w:rPr>
          <w:rFonts w:cs="Arial"/>
          <w:i/>
          <w:iCs/>
          <w:szCs w:val="21"/>
        </w:rPr>
        <w:t>Hematology</w:t>
      </w:r>
      <w:r w:rsidRPr="00F455F9">
        <w:rPr>
          <w:rFonts w:cs="Arial"/>
          <w:szCs w:val="21"/>
        </w:rPr>
        <w:t xml:space="preserve">, 28(1). doi:10.1080/16078454.2022.2161215. </w:t>
      </w:r>
    </w:p>
    <w:p w14:paraId="58999BC9" w14:textId="3021C67C" w:rsidR="00BB682F" w:rsidRPr="00BB682F" w:rsidRDefault="00BB682F" w:rsidP="00BB682F">
      <w:pPr>
        <w:spacing w:after="0" w:line="240" w:lineRule="auto"/>
        <w:rPr>
          <w:rFonts w:eastAsia="Times" w:cs="Arial"/>
          <w:szCs w:val="21"/>
        </w:rPr>
      </w:pPr>
      <w:r>
        <w:rPr>
          <w:rFonts w:cs="Arial"/>
          <w:szCs w:val="21"/>
        </w:rP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0E8DF6AC" w14:textId="77777777" w:rsidTr="00EC40D5">
        <w:tc>
          <w:tcPr>
            <w:tcW w:w="10194" w:type="dxa"/>
          </w:tcPr>
          <w:p w14:paraId="327B2F56" w14:textId="2E848B5E" w:rsidR="0055119B" w:rsidRPr="0055119B" w:rsidRDefault="0055119B" w:rsidP="0055119B">
            <w:pPr>
              <w:pStyle w:val="Accessibilitypara"/>
            </w:pPr>
            <w:bookmarkStart w:id="0" w:name="_Hlk37240926"/>
            <w:r w:rsidRPr="0055119B">
              <w:lastRenderedPageBreak/>
              <w:t>To receive this document in another format</w:t>
            </w:r>
            <w:r>
              <w:t>,</w:t>
            </w:r>
            <w:r w:rsidRPr="0055119B">
              <w:t xml:space="preserve"> phone</w:t>
            </w:r>
            <w:r w:rsidR="006C7D20">
              <w:t xml:space="preserve"> </w:t>
            </w:r>
            <w:r w:rsidR="006C7D20" w:rsidRPr="006C7D20">
              <w:t>03 9694 0102</w:t>
            </w:r>
            <w:r w:rsidRPr="0055119B">
              <w:t xml:space="preserve">, using the National Relay Service 13 36 77 if required, or email </w:t>
            </w:r>
            <w:hyperlink r:id="rId32" w:history="1">
              <w:r w:rsidR="00764394" w:rsidRPr="00764394">
                <w:rPr>
                  <w:rStyle w:val="Hyperlink"/>
                </w:rPr>
                <w:t>mailto:bloodmatters@redcrossblood.org.au</w:t>
              </w:r>
            </w:hyperlink>
            <w:r w:rsidR="00764394">
              <w:t xml:space="preserve"> </w:t>
            </w:r>
            <w:r w:rsidR="006C7D20">
              <w:t>&lt;bloodmatters@redcrossblood.org.au&gt;</w:t>
            </w:r>
            <w:r w:rsidR="006C7D20" w:rsidRPr="006C7D20">
              <w:t>.</w:t>
            </w:r>
          </w:p>
          <w:p w14:paraId="3AD3D2EE" w14:textId="77777777" w:rsidR="0055119B" w:rsidRPr="0055119B" w:rsidRDefault="0055119B" w:rsidP="00E33237">
            <w:pPr>
              <w:pStyle w:val="Imprint"/>
            </w:pPr>
            <w:r w:rsidRPr="0055119B">
              <w:t>Authorised and published by the Victorian Government, 1 Treasury Place, Melbourne.</w:t>
            </w:r>
          </w:p>
          <w:p w14:paraId="6B4FC262" w14:textId="35DE0BF7"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E00EB4">
              <w:t>Novem</w:t>
            </w:r>
            <w:r w:rsidR="00C9627B">
              <w:t>ber</w:t>
            </w:r>
            <w:r w:rsidR="00FB5CA6" w:rsidRPr="00EE02CE">
              <w:t xml:space="preserve"> 2024</w:t>
            </w:r>
            <w:r w:rsidRPr="0055119B">
              <w:t>.</w:t>
            </w:r>
          </w:p>
          <w:p w14:paraId="205C77C4" w14:textId="5A2948D5" w:rsidR="00F455F9" w:rsidRPr="00E00EB4" w:rsidRDefault="0055119B" w:rsidP="00E33237">
            <w:pPr>
              <w:pStyle w:val="Imprint"/>
              <w:rPr>
                <w:color w:val="004C97"/>
              </w:rPr>
            </w:pPr>
            <w:r w:rsidRPr="0055119B">
              <w:t xml:space="preserve">ISSN </w:t>
            </w:r>
            <w:r w:rsidR="006C7D20" w:rsidRPr="006C7D20">
              <w:t>2652-6212</w:t>
            </w:r>
            <w:r w:rsidRPr="00E33237">
              <w:rPr>
                <w:color w:val="004C97"/>
              </w:rPr>
              <w:t xml:space="preserve"> </w:t>
            </w:r>
          </w:p>
          <w:p w14:paraId="11268A22" w14:textId="328B9A0C" w:rsidR="0055119B" w:rsidRDefault="0055119B" w:rsidP="00E33237">
            <w:pPr>
              <w:pStyle w:val="Imprint"/>
            </w:pPr>
            <w:r w:rsidRPr="0055119B">
              <w:t xml:space="preserve">Available at </w:t>
            </w:r>
            <w:hyperlink r:id="rId33" w:history="1">
              <w:r w:rsidR="006C7D20" w:rsidRPr="00EE02CE">
                <w:rPr>
                  <w:rStyle w:val="Hyperlink"/>
                </w:rPr>
                <w:t>Blood Matter</w:t>
              </w:r>
              <w:r w:rsidR="009B3EC6" w:rsidRPr="00EE02CE">
                <w:rPr>
                  <w:rStyle w:val="Hyperlink"/>
                </w:rPr>
                <w:t>s</w:t>
              </w:r>
            </w:hyperlink>
            <w:r w:rsidR="009B3EC6">
              <w:t xml:space="preserve"> &lt;http://www.health.vic.gov.au/patient-care/blood-matters-program</w:t>
            </w:r>
            <w:r w:rsidRPr="0055119B">
              <w:t>&gt;</w:t>
            </w:r>
          </w:p>
        </w:tc>
      </w:tr>
      <w:bookmarkEnd w:id="0"/>
    </w:tbl>
    <w:p w14:paraId="773CE06D" w14:textId="77777777" w:rsidR="00162CA9" w:rsidRDefault="00162CA9" w:rsidP="00162CA9">
      <w:pPr>
        <w:pStyle w:val="Body"/>
      </w:pPr>
    </w:p>
    <w:sectPr w:rsidR="00162CA9" w:rsidSect="00F06E1D">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AD8BD" w14:textId="77777777" w:rsidR="00D81482" w:rsidRDefault="00D81482">
      <w:r>
        <w:separator/>
      </w:r>
    </w:p>
  </w:endnote>
  <w:endnote w:type="continuationSeparator" w:id="0">
    <w:p w14:paraId="75D86468" w14:textId="77777777" w:rsidR="00D81482" w:rsidRDefault="00D8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5127"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BEAB066" wp14:editId="757E3E4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7280223" wp14:editId="24E6B23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576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8022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665764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7838"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14E9B20" wp14:editId="7FA2039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8866B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E9B2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18866B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FB03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570F0C8" wp14:editId="58D1E73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6C1CB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70F0C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C6C1CB5"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5E19" w14:textId="77777777" w:rsidR="00D81482" w:rsidRDefault="00D81482" w:rsidP="002862F1">
      <w:pPr>
        <w:spacing w:before="120"/>
      </w:pPr>
      <w:r>
        <w:separator/>
      </w:r>
    </w:p>
  </w:footnote>
  <w:footnote w:type="continuationSeparator" w:id="0">
    <w:p w14:paraId="53B520C5" w14:textId="77777777" w:rsidR="00D81482" w:rsidRDefault="00D8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51BF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463FF6"/>
    <w:multiLevelType w:val="hybridMultilevel"/>
    <w:tmpl w:val="ED265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99C5F44"/>
    <w:multiLevelType w:val="multilevel"/>
    <w:tmpl w:val="E5E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5A7732"/>
    <w:multiLevelType w:val="hybridMultilevel"/>
    <w:tmpl w:val="6D5242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7B72"/>
    <w:multiLevelType w:val="hybridMultilevel"/>
    <w:tmpl w:val="486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C8D606D"/>
    <w:multiLevelType w:val="hybridMultilevel"/>
    <w:tmpl w:val="2760F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253FDA"/>
    <w:multiLevelType w:val="hybridMultilevel"/>
    <w:tmpl w:val="6D524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C73860"/>
    <w:multiLevelType w:val="hybridMultilevel"/>
    <w:tmpl w:val="E856AB20"/>
    <w:lvl w:ilvl="0" w:tplc="92CAE9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1D25561"/>
    <w:multiLevelType w:val="hybridMultilevel"/>
    <w:tmpl w:val="F8FC6E24"/>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6C67E1"/>
    <w:multiLevelType w:val="hybridMultilevel"/>
    <w:tmpl w:val="F154B786"/>
    <w:lvl w:ilvl="0" w:tplc="92CAE9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6544534">
    <w:abstractNumId w:val="10"/>
  </w:num>
  <w:num w:numId="2" w16cid:durableId="1597059501">
    <w:abstractNumId w:val="19"/>
  </w:num>
  <w:num w:numId="3" w16cid:durableId="1217856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864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132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6928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549042">
    <w:abstractNumId w:val="25"/>
  </w:num>
  <w:num w:numId="8" w16cid:durableId="1786347066">
    <w:abstractNumId w:val="17"/>
  </w:num>
  <w:num w:numId="9" w16cid:durableId="77139580">
    <w:abstractNumId w:val="24"/>
  </w:num>
  <w:num w:numId="10" w16cid:durableId="272369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894833">
    <w:abstractNumId w:val="27"/>
  </w:num>
  <w:num w:numId="12" w16cid:durableId="19815704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877740">
    <w:abstractNumId w:val="20"/>
  </w:num>
  <w:num w:numId="14" w16cid:durableId="590746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7268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51465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463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910323">
    <w:abstractNumId w:val="31"/>
  </w:num>
  <w:num w:numId="19" w16cid:durableId="1843621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110105">
    <w:abstractNumId w:val="14"/>
  </w:num>
  <w:num w:numId="21" w16cid:durableId="234322742">
    <w:abstractNumId w:val="12"/>
  </w:num>
  <w:num w:numId="22" w16cid:durableId="1262378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510928">
    <w:abstractNumId w:val="15"/>
  </w:num>
  <w:num w:numId="24" w16cid:durableId="1076320149">
    <w:abstractNumId w:val="34"/>
  </w:num>
  <w:num w:numId="25" w16cid:durableId="1075318490">
    <w:abstractNumId w:val="29"/>
  </w:num>
  <w:num w:numId="26" w16cid:durableId="630670058">
    <w:abstractNumId w:val="22"/>
  </w:num>
  <w:num w:numId="27" w16cid:durableId="98260911">
    <w:abstractNumId w:val="11"/>
  </w:num>
  <w:num w:numId="28" w16cid:durableId="993147342">
    <w:abstractNumId w:val="35"/>
  </w:num>
  <w:num w:numId="29" w16cid:durableId="2120685318">
    <w:abstractNumId w:val="9"/>
  </w:num>
  <w:num w:numId="30" w16cid:durableId="1967546781">
    <w:abstractNumId w:val="7"/>
  </w:num>
  <w:num w:numId="31" w16cid:durableId="1603415341">
    <w:abstractNumId w:val="6"/>
  </w:num>
  <w:num w:numId="32" w16cid:durableId="106967641">
    <w:abstractNumId w:val="5"/>
  </w:num>
  <w:num w:numId="33" w16cid:durableId="1176071339">
    <w:abstractNumId w:val="4"/>
  </w:num>
  <w:num w:numId="34" w16cid:durableId="1174879054">
    <w:abstractNumId w:val="8"/>
  </w:num>
  <w:num w:numId="35" w16cid:durableId="832140284">
    <w:abstractNumId w:val="3"/>
  </w:num>
  <w:num w:numId="36" w16cid:durableId="486364299">
    <w:abstractNumId w:val="2"/>
  </w:num>
  <w:num w:numId="37" w16cid:durableId="1069963987">
    <w:abstractNumId w:val="1"/>
  </w:num>
  <w:num w:numId="38" w16cid:durableId="1189565856">
    <w:abstractNumId w:val="0"/>
  </w:num>
  <w:num w:numId="39" w16cid:durableId="594746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2143379">
    <w:abstractNumId w:val="28"/>
  </w:num>
  <w:num w:numId="41" w16cid:durableId="1686135038">
    <w:abstractNumId w:val="18"/>
  </w:num>
  <w:num w:numId="42" w16cid:durableId="1133213906">
    <w:abstractNumId w:val="26"/>
  </w:num>
  <w:num w:numId="43" w16cid:durableId="877857122">
    <w:abstractNumId w:val="32"/>
  </w:num>
  <w:num w:numId="44" w16cid:durableId="36124934">
    <w:abstractNumId w:val="21"/>
  </w:num>
  <w:num w:numId="45" w16cid:durableId="612439706">
    <w:abstractNumId w:val="33"/>
  </w:num>
  <w:num w:numId="46" w16cid:durableId="688795880">
    <w:abstractNumId w:val="30"/>
  </w:num>
  <w:num w:numId="47" w16cid:durableId="1582910580">
    <w:abstractNumId w:val="23"/>
  </w:num>
  <w:num w:numId="48" w16cid:durableId="2049459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1D"/>
    <w:rsid w:val="00000719"/>
    <w:rsid w:val="0000308D"/>
    <w:rsid w:val="00003403"/>
    <w:rsid w:val="00005347"/>
    <w:rsid w:val="00005FB6"/>
    <w:rsid w:val="000072B6"/>
    <w:rsid w:val="0001021B"/>
    <w:rsid w:val="00011D89"/>
    <w:rsid w:val="000154FD"/>
    <w:rsid w:val="0001677A"/>
    <w:rsid w:val="00016FBF"/>
    <w:rsid w:val="00022271"/>
    <w:rsid w:val="000235E8"/>
    <w:rsid w:val="00024639"/>
    <w:rsid w:val="00024D89"/>
    <w:rsid w:val="000250B6"/>
    <w:rsid w:val="00033D81"/>
    <w:rsid w:val="00037366"/>
    <w:rsid w:val="0003797B"/>
    <w:rsid w:val="00041BF0"/>
    <w:rsid w:val="00042C8A"/>
    <w:rsid w:val="0004536B"/>
    <w:rsid w:val="00046B68"/>
    <w:rsid w:val="000527DD"/>
    <w:rsid w:val="000578B2"/>
    <w:rsid w:val="00060959"/>
    <w:rsid w:val="00060C8F"/>
    <w:rsid w:val="0006298A"/>
    <w:rsid w:val="000663CD"/>
    <w:rsid w:val="000733FE"/>
    <w:rsid w:val="00073E26"/>
    <w:rsid w:val="00074219"/>
    <w:rsid w:val="00074ED5"/>
    <w:rsid w:val="00082C6B"/>
    <w:rsid w:val="000835C6"/>
    <w:rsid w:val="0008508E"/>
    <w:rsid w:val="00087951"/>
    <w:rsid w:val="0009113B"/>
    <w:rsid w:val="00093402"/>
    <w:rsid w:val="00094DA3"/>
    <w:rsid w:val="00095AD5"/>
    <w:rsid w:val="00096CD1"/>
    <w:rsid w:val="000A012C"/>
    <w:rsid w:val="000A0EB9"/>
    <w:rsid w:val="000A0F95"/>
    <w:rsid w:val="000A186C"/>
    <w:rsid w:val="000A1EA4"/>
    <w:rsid w:val="000A2476"/>
    <w:rsid w:val="000A641A"/>
    <w:rsid w:val="000B3EDB"/>
    <w:rsid w:val="000B543D"/>
    <w:rsid w:val="000B55F9"/>
    <w:rsid w:val="000B5BF7"/>
    <w:rsid w:val="000B6BC8"/>
    <w:rsid w:val="000B73FD"/>
    <w:rsid w:val="000C0303"/>
    <w:rsid w:val="000C0343"/>
    <w:rsid w:val="000C42EA"/>
    <w:rsid w:val="000C4546"/>
    <w:rsid w:val="000C5A2F"/>
    <w:rsid w:val="000D1242"/>
    <w:rsid w:val="000D37FD"/>
    <w:rsid w:val="000E0970"/>
    <w:rsid w:val="000E1910"/>
    <w:rsid w:val="000E3CC7"/>
    <w:rsid w:val="000E4BC8"/>
    <w:rsid w:val="000E6BD4"/>
    <w:rsid w:val="000E6D6D"/>
    <w:rsid w:val="000F1F1E"/>
    <w:rsid w:val="000F2259"/>
    <w:rsid w:val="000F2DDA"/>
    <w:rsid w:val="000F5213"/>
    <w:rsid w:val="000F5247"/>
    <w:rsid w:val="00101001"/>
    <w:rsid w:val="00103276"/>
    <w:rsid w:val="0010392D"/>
    <w:rsid w:val="0010447F"/>
    <w:rsid w:val="00104FE3"/>
    <w:rsid w:val="0010714F"/>
    <w:rsid w:val="001120C5"/>
    <w:rsid w:val="0011701A"/>
    <w:rsid w:val="00120BD3"/>
    <w:rsid w:val="0012249B"/>
    <w:rsid w:val="00122FEA"/>
    <w:rsid w:val="001232BD"/>
    <w:rsid w:val="00124ED5"/>
    <w:rsid w:val="001276FA"/>
    <w:rsid w:val="001339A8"/>
    <w:rsid w:val="0014255B"/>
    <w:rsid w:val="001447B3"/>
    <w:rsid w:val="00152073"/>
    <w:rsid w:val="00154E2D"/>
    <w:rsid w:val="00155872"/>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5EEC"/>
    <w:rsid w:val="001B058F"/>
    <w:rsid w:val="001B70FF"/>
    <w:rsid w:val="001B738B"/>
    <w:rsid w:val="001C09DB"/>
    <w:rsid w:val="001C21D9"/>
    <w:rsid w:val="001C277E"/>
    <w:rsid w:val="001C2A72"/>
    <w:rsid w:val="001C31B7"/>
    <w:rsid w:val="001D0B75"/>
    <w:rsid w:val="001D39A5"/>
    <w:rsid w:val="001D3C09"/>
    <w:rsid w:val="001D44E8"/>
    <w:rsid w:val="001D4E4F"/>
    <w:rsid w:val="001D5D56"/>
    <w:rsid w:val="001D60EC"/>
    <w:rsid w:val="001D6BEC"/>
    <w:rsid w:val="001D6F59"/>
    <w:rsid w:val="001D7C2C"/>
    <w:rsid w:val="001E0C5D"/>
    <w:rsid w:val="001E2A36"/>
    <w:rsid w:val="001E44DF"/>
    <w:rsid w:val="001E5058"/>
    <w:rsid w:val="001E68A5"/>
    <w:rsid w:val="001E6BB0"/>
    <w:rsid w:val="001E7282"/>
    <w:rsid w:val="001F1F33"/>
    <w:rsid w:val="001F3826"/>
    <w:rsid w:val="001F3C5D"/>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1BD1"/>
    <w:rsid w:val="0028213D"/>
    <w:rsid w:val="002862F1"/>
    <w:rsid w:val="00291373"/>
    <w:rsid w:val="0029597D"/>
    <w:rsid w:val="002962C3"/>
    <w:rsid w:val="00296484"/>
    <w:rsid w:val="0029752B"/>
    <w:rsid w:val="002A0A9C"/>
    <w:rsid w:val="002A0B98"/>
    <w:rsid w:val="002A483C"/>
    <w:rsid w:val="002B0C7C"/>
    <w:rsid w:val="002B1729"/>
    <w:rsid w:val="002B36C7"/>
    <w:rsid w:val="002B47BD"/>
    <w:rsid w:val="002B4DD4"/>
    <w:rsid w:val="002B5277"/>
    <w:rsid w:val="002B5375"/>
    <w:rsid w:val="002B77C1"/>
    <w:rsid w:val="002C0ED7"/>
    <w:rsid w:val="002C2728"/>
    <w:rsid w:val="002D1E0D"/>
    <w:rsid w:val="002D5006"/>
    <w:rsid w:val="002E01D0"/>
    <w:rsid w:val="002E119C"/>
    <w:rsid w:val="002E161D"/>
    <w:rsid w:val="002E3100"/>
    <w:rsid w:val="002E6C95"/>
    <w:rsid w:val="002E7C36"/>
    <w:rsid w:val="002F0107"/>
    <w:rsid w:val="002F3D32"/>
    <w:rsid w:val="002F5F31"/>
    <w:rsid w:val="002F5F46"/>
    <w:rsid w:val="00302216"/>
    <w:rsid w:val="00303E53"/>
    <w:rsid w:val="00305CC1"/>
    <w:rsid w:val="00306E5F"/>
    <w:rsid w:val="00307056"/>
    <w:rsid w:val="00307E14"/>
    <w:rsid w:val="0031081A"/>
    <w:rsid w:val="00314054"/>
    <w:rsid w:val="00315BD8"/>
    <w:rsid w:val="00316F27"/>
    <w:rsid w:val="003202BC"/>
    <w:rsid w:val="003214F1"/>
    <w:rsid w:val="00322E4B"/>
    <w:rsid w:val="00327870"/>
    <w:rsid w:val="00331236"/>
    <w:rsid w:val="00331DD9"/>
    <w:rsid w:val="0033259D"/>
    <w:rsid w:val="003333D2"/>
    <w:rsid w:val="003406C6"/>
    <w:rsid w:val="003418CC"/>
    <w:rsid w:val="00341FBD"/>
    <w:rsid w:val="003459BD"/>
    <w:rsid w:val="00350D38"/>
    <w:rsid w:val="00351B36"/>
    <w:rsid w:val="003527FC"/>
    <w:rsid w:val="00357B4E"/>
    <w:rsid w:val="00365ADF"/>
    <w:rsid w:val="003716FD"/>
    <w:rsid w:val="0037204B"/>
    <w:rsid w:val="00373890"/>
    <w:rsid w:val="003744CF"/>
    <w:rsid w:val="00374717"/>
    <w:rsid w:val="0037676C"/>
    <w:rsid w:val="00381043"/>
    <w:rsid w:val="003829E5"/>
    <w:rsid w:val="00386109"/>
    <w:rsid w:val="00386944"/>
    <w:rsid w:val="00387225"/>
    <w:rsid w:val="003900E3"/>
    <w:rsid w:val="003956CC"/>
    <w:rsid w:val="00395C9A"/>
    <w:rsid w:val="003A0853"/>
    <w:rsid w:val="003A2B82"/>
    <w:rsid w:val="003A6B67"/>
    <w:rsid w:val="003B13B6"/>
    <w:rsid w:val="003B15E6"/>
    <w:rsid w:val="003B408A"/>
    <w:rsid w:val="003B48EB"/>
    <w:rsid w:val="003B5733"/>
    <w:rsid w:val="003C08A2"/>
    <w:rsid w:val="003C0E65"/>
    <w:rsid w:val="003C2045"/>
    <w:rsid w:val="003C43A1"/>
    <w:rsid w:val="003C4FC0"/>
    <w:rsid w:val="003C55F4"/>
    <w:rsid w:val="003C7897"/>
    <w:rsid w:val="003C7A3F"/>
    <w:rsid w:val="003D2766"/>
    <w:rsid w:val="003D2A74"/>
    <w:rsid w:val="003D3E8F"/>
    <w:rsid w:val="003D5F11"/>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575BB"/>
    <w:rsid w:val="00462E3D"/>
    <w:rsid w:val="00466E79"/>
    <w:rsid w:val="00470D7D"/>
    <w:rsid w:val="0047372D"/>
    <w:rsid w:val="00473BA3"/>
    <w:rsid w:val="004743DD"/>
    <w:rsid w:val="00474CEA"/>
    <w:rsid w:val="00483968"/>
    <w:rsid w:val="00484F86"/>
    <w:rsid w:val="00485E6F"/>
    <w:rsid w:val="00487576"/>
    <w:rsid w:val="004878B4"/>
    <w:rsid w:val="00490746"/>
    <w:rsid w:val="00490852"/>
    <w:rsid w:val="00491C9C"/>
    <w:rsid w:val="00492F30"/>
    <w:rsid w:val="004946F4"/>
    <w:rsid w:val="0049487E"/>
    <w:rsid w:val="004A160D"/>
    <w:rsid w:val="004A3E81"/>
    <w:rsid w:val="004A4195"/>
    <w:rsid w:val="004A5C62"/>
    <w:rsid w:val="004A5CE5"/>
    <w:rsid w:val="004A646C"/>
    <w:rsid w:val="004A707D"/>
    <w:rsid w:val="004C5541"/>
    <w:rsid w:val="004C6EEE"/>
    <w:rsid w:val="004C702B"/>
    <w:rsid w:val="004D0033"/>
    <w:rsid w:val="004D016B"/>
    <w:rsid w:val="004D1B22"/>
    <w:rsid w:val="004D23CC"/>
    <w:rsid w:val="004D36F2"/>
    <w:rsid w:val="004E1106"/>
    <w:rsid w:val="004E138F"/>
    <w:rsid w:val="004E344D"/>
    <w:rsid w:val="004E4649"/>
    <w:rsid w:val="004E5C2B"/>
    <w:rsid w:val="004F00DD"/>
    <w:rsid w:val="004F2133"/>
    <w:rsid w:val="004F5398"/>
    <w:rsid w:val="004F55F1"/>
    <w:rsid w:val="004F6936"/>
    <w:rsid w:val="005017D9"/>
    <w:rsid w:val="00503DC6"/>
    <w:rsid w:val="00506F5D"/>
    <w:rsid w:val="00510C37"/>
    <w:rsid w:val="005126D0"/>
    <w:rsid w:val="0051568D"/>
    <w:rsid w:val="005248EF"/>
    <w:rsid w:val="005248FE"/>
    <w:rsid w:val="00526AC7"/>
    <w:rsid w:val="00526C15"/>
    <w:rsid w:val="00536395"/>
    <w:rsid w:val="00536499"/>
    <w:rsid w:val="00537DB2"/>
    <w:rsid w:val="00543903"/>
    <w:rsid w:val="0054392B"/>
    <w:rsid w:val="00543F11"/>
    <w:rsid w:val="00546305"/>
    <w:rsid w:val="00547A95"/>
    <w:rsid w:val="00550AB0"/>
    <w:rsid w:val="0055119B"/>
    <w:rsid w:val="005548B5"/>
    <w:rsid w:val="00572031"/>
    <w:rsid w:val="00572282"/>
    <w:rsid w:val="00573CE3"/>
    <w:rsid w:val="00576E84"/>
    <w:rsid w:val="00580394"/>
    <w:rsid w:val="005809CD"/>
    <w:rsid w:val="00582B8C"/>
    <w:rsid w:val="0058757E"/>
    <w:rsid w:val="005919F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031"/>
    <w:rsid w:val="005F7145"/>
    <w:rsid w:val="00603374"/>
    <w:rsid w:val="00605908"/>
    <w:rsid w:val="00606EAE"/>
    <w:rsid w:val="00610D7C"/>
    <w:rsid w:val="00613414"/>
    <w:rsid w:val="00620154"/>
    <w:rsid w:val="00622513"/>
    <w:rsid w:val="0062408D"/>
    <w:rsid w:val="006240CC"/>
    <w:rsid w:val="00624940"/>
    <w:rsid w:val="006254F8"/>
    <w:rsid w:val="00627DA7"/>
    <w:rsid w:val="00630DA4"/>
    <w:rsid w:val="00632597"/>
    <w:rsid w:val="006358B4"/>
    <w:rsid w:val="006419AA"/>
    <w:rsid w:val="00643D76"/>
    <w:rsid w:val="00644B1F"/>
    <w:rsid w:val="00644B7E"/>
    <w:rsid w:val="006454E6"/>
    <w:rsid w:val="00646235"/>
    <w:rsid w:val="00646A68"/>
    <w:rsid w:val="006505BD"/>
    <w:rsid w:val="006508EA"/>
    <w:rsid w:val="0065092E"/>
    <w:rsid w:val="00654B32"/>
    <w:rsid w:val="006557A7"/>
    <w:rsid w:val="00656290"/>
    <w:rsid w:val="006601B0"/>
    <w:rsid w:val="006608D8"/>
    <w:rsid w:val="00660FBC"/>
    <w:rsid w:val="006621D7"/>
    <w:rsid w:val="0066302A"/>
    <w:rsid w:val="00667770"/>
    <w:rsid w:val="00670597"/>
    <w:rsid w:val="006706D0"/>
    <w:rsid w:val="00677574"/>
    <w:rsid w:val="006826BD"/>
    <w:rsid w:val="00682BF7"/>
    <w:rsid w:val="0068454C"/>
    <w:rsid w:val="00686C8F"/>
    <w:rsid w:val="00691B62"/>
    <w:rsid w:val="006933B5"/>
    <w:rsid w:val="00693D14"/>
    <w:rsid w:val="00696F27"/>
    <w:rsid w:val="006A14F0"/>
    <w:rsid w:val="006A18C2"/>
    <w:rsid w:val="006A1CDC"/>
    <w:rsid w:val="006A262D"/>
    <w:rsid w:val="006A3383"/>
    <w:rsid w:val="006B077C"/>
    <w:rsid w:val="006B6803"/>
    <w:rsid w:val="006C06F2"/>
    <w:rsid w:val="006C7D20"/>
    <w:rsid w:val="006D0F16"/>
    <w:rsid w:val="006D2A3F"/>
    <w:rsid w:val="006D2FBC"/>
    <w:rsid w:val="006E0541"/>
    <w:rsid w:val="006E138B"/>
    <w:rsid w:val="006F0330"/>
    <w:rsid w:val="006F1FDC"/>
    <w:rsid w:val="006F6B8C"/>
    <w:rsid w:val="007013EF"/>
    <w:rsid w:val="007055BD"/>
    <w:rsid w:val="00715F2C"/>
    <w:rsid w:val="007173CA"/>
    <w:rsid w:val="007216AA"/>
    <w:rsid w:val="00721AB5"/>
    <w:rsid w:val="00721CFB"/>
    <w:rsid w:val="00721DEF"/>
    <w:rsid w:val="00721E16"/>
    <w:rsid w:val="0072251A"/>
    <w:rsid w:val="007226A7"/>
    <w:rsid w:val="00724A43"/>
    <w:rsid w:val="007273AC"/>
    <w:rsid w:val="00731AD4"/>
    <w:rsid w:val="007346E4"/>
    <w:rsid w:val="00734FCA"/>
    <w:rsid w:val="0073582E"/>
    <w:rsid w:val="00740F22"/>
    <w:rsid w:val="00741CF0"/>
    <w:rsid w:val="00741F1A"/>
    <w:rsid w:val="007447DA"/>
    <w:rsid w:val="007450F8"/>
    <w:rsid w:val="007457C2"/>
    <w:rsid w:val="0074696E"/>
    <w:rsid w:val="00750135"/>
    <w:rsid w:val="00750EC2"/>
    <w:rsid w:val="00752B28"/>
    <w:rsid w:val="007541A9"/>
    <w:rsid w:val="00754E36"/>
    <w:rsid w:val="00763139"/>
    <w:rsid w:val="00764394"/>
    <w:rsid w:val="00770F37"/>
    <w:rsid w:val="007711A0"/>
    <w:rsid w:val="00772D5E"/>
    <w:rsid w:val="007743F7"/>
    <w:rsid w:val="0077463E"/>
    <w:rsid w:val="00776928"/>
    <w:rsid w:val="00776E0F"/>
    <w:rsid w:val="007774B1"/>
    <w:rsid w:val="00777BE1"/>
    <w:rsid w:val="00780A93"/>
    <w:rsid w:val="007833D8"/>
    <w:rsid w:val="00785677"/>
    <w:rsid w:val="00786F16"/>
    <w:rsid w:val="00791BD7"/>
    <w:rsid w:val="007933F7"/>
    <w:rsid w:val="00796E20"/>
    <w:rsid w:val="00797C32"/>
    <w:rsid w:val="007A11E8"/>
    <w:rsid w:val="007A51D8"/>
    <w:rsid w:val="007B0914"/>
    <w:rsid w:val="007B1374"/>
    <w:rsid w:val="007B32E5"/>
    <w:rsid w:val="007B3DB9"/>
    <w:rsid w:val="007B589F"/>
    <w:rsid w:val="007B6186"/>
    <w:rsid w:val="007B73BC"/>
    <w:rsid w:val="007C1838"/>
    <w:rsid w:val="007C20B9"/>
    <w:rsid w:val="007C7301"/>
    <w:rsid w:val="007C7719"/>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7C0C"/>
    <w:rsid w:val="00800412"/>
    <w:rsid w:val="00803E03"/>
    <w:rsid w:val="0080587B"/>
    <w:rsid w:val="00806468"/>
    <w:rsid w:val="008067E2"/>
    <w:rsid w:val="00810CFF"/>
    <w:rsid w:val="008119CA"/>
    <w:rsid w:val="008130C4"/>
    <w:rsid w:val="008155F0"/>
    <w:rsid w:val="00816735"/>
    <w:rsid w:val="00820141"/>
    <w:rsid w:val="00820E0C"/>
    <w:rsid w:val="008213F0"/>
    <w:rsid w:val="00823275"/>
    <w:rsid w:val="0082366F"/>
    <w:rsid w:val="008338A2"/>
    <w:rsid w:val="00835FAF"/>
    <w:rsid w:val="00841AA9"/>
    <w:rsid w:val="008474FE"/>
    <w:rsid w:val="00852CEB"/>
    <w:rsid w:val="00853EE4"/>
    <w:rsid w:val="00855535"/>
    <w:rsid w:val="00855920"/>
    <w:rsid w:val="00857C5A"/>
    <w:rsid w:val="0086109D"/>
    <w:rsid w:val="0086255E"/>
    <w:rsid w:val="008633F0"/>
    <w:rsid w:val="00867D9D"/>
    <w:rsid w:val="00872E0A"/>
    <w:rsid w:val="00873594"/>
    <w:rsid w:val="00875285"/>
    <w:rsid w:val="00884B62"/>
    <w:rsid w:val="0088529C"/>
    <w:rsid w:val="00887903"/>
    <w:rsid w:val="00887CDD"/>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53D0"/>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3377"/>
    <w:rsid w:val="00950E2C"/>
    <w:rsid w:val="00951D50"/>
    <w:rsid w:val="009525EB"/>
    <w:rsid w:val="0095470B"/>
    <w:rsid w:val="00954874"/>
    <w:rsid w:val="0095615A"/>
    <w:rsid w:val="0095799D"/>
    <w:rsid w:val="00960759"/>
    <w:rsid w:val="00961400"/>
    <w:rsid w:val="00963646"/>
    <w:rsid w:val="00963CF5"/>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06D3"/>
    <w:rsid w:val="009A13D8"/>
    <w:rsid w:val="009A279E"/>
    <w:rsid w:val="009A3015"/>
    <w:rsid w:val="009A3490"/>
    <w:rsid w:val="009B0A6F"/>
    <w:rsid w:val="009B0A94"/>
    <w:rsid w:val="009B2AE8"/>
    <w:rsid w:val="009B3EC6"/>
    <w:rsid w:val="009B59E9"/>
    <w:rsid w:val="009B70AA"/>
    <w:rsid w:val="009C5E77"/>
    <w:rsid w:val="009C7A7E"/>
    <w:rsid w:val="009D02E8"/>
    <w:rsid w:val="009D51D0"/>
    <w:rsid w:val="009D5529"/>
    <w:rsid w:val="009D70A4"/>
    <w:rsid w:val="009D7B14"/>
    <w:rsid w:val="009E08D1"/>
    <w:rsid w:val="009E1B95"/>
    <w:rsid w:val="009E496F"/>
    <w:rsid w:val="009E4B0D"/>
    <w:rsid w:val="009E5250"/>
    <w:rsid w:val="009E7F92"/>
    <w:rsid w:val="009F02A3"/>
    <w:rsid w:val="009F2F27"/>
    <w:rsid w:val="009F313A"/>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0B75"/>
    <w:rsid w:val="00A330BB"/>
    <w:rsid w:val="00A44882"/>
    <w:rsid w:val="00A45125"/>
    <w:rsid w:val="00A545D7"/>
    <w:rsid w:val="00A54715"/>
    <w:rsid w:val="00A56DD0"/>
    <w:rsid w:val="00A6061C"/>
    <w:rsid w:val="00A62D44"/>
    <w:rsid w:val="00A67263"/>
    <w:rsid w:val="00A7161C"/>
    <w:rsid w:val="00A75B73"/>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B4520"/>
    <w:rsid w:val="00AB6098"/>
    <w:rsid w:val="00AC0CF2"/>
    <w:rsid w:val="00AC274B"/>
    <w:rsid w:val="00AC4764"/>
    <w:rsid w:val="00AC6D36"/>
    <w:rsid w:val="00AD0CBA"/>
    <w:rsid w:val="00AD177A"/>
    <w:rsid w:val="00AD26E2"/>
    <w:rsid w:val="00AD784C"/>
    <w:rsid w:val="00AE126A"/>
    <w:rsid w:val="00AE1BAE"/>
    <w:rsid w:val="00AE3005"/>
    <w:rsid w:val="00AE3BD5"/>
    <w:rsid w:val="00AE59A0"/>
    <w:rsid w:val="00AE5F79"/>
    <w:rsid w:val="00AF0C57"/>
    <w:rsid w:val="00AF26F3"/>
    <w:rsid w:val="00AF5F04"/>
    <w:rsid w:val="00B00672"/>
    <w:rsid w:val="00B00B4D"/>
    <w:rsid w:val="00B01B4D"/>
    <w:rsid w:val="00B06571"/>
    <w:rsid w:val="00B068BA"/>
    <w:rsid w:val="00B07001"/>
    <w:rsid w:val="00B07FF7"/>
    <w:rsid w:val="00B1115D"/>
    <w:rsid w:val="00B13851"/>
    <w:rsid w:val="00B13B1C"/>
    <w:rsid w:val="00B14780"/>
    <w:rsid w:val="00B21F90"/>
    <w:rsid w:val="00B22291"/>
    <w:rsid w:val="00B23F9A"/>
    <w:rsid w:val="00B2417B"/>
    <w:rsid w:val="00B24E6F"/>
    <w:rsid w:val="00B256F1"/>
    <w:rsid w:val="00B25950"/>
    <w:rsid w:val="00B26CB5"/>
    <w:rsid w:val="00B2752E"/>
    <w:rsid w:val="00B307CC"/>
    <w:rsid w:val="00B326B7"/>
    <w:rsid w:val="00B3588E"/>
    <w:rsid w:val="00B37E45"/>
    <w:rsid w:val="00B41F3D"/>
    <w:rsid w:val="00B431E8"/>
    <w:rsid w:val="00B45141"/>
    <w:rsid w:val="00B46DE7"/>
    <w:rsid w:val="00B519CD"/>
    <w:rsid w:val="00B5273A"/>
    <w:rsid w:val="00B57329"/>
    <w:rsid w:val="00B5768B"/>
    <w:rsid w:val="00B57897"/>
    <w:rsid w:val="00B60E61"/>
    <w:rsid w:val="00B62B50"/>
    <w:rsid w:val="00B635B7"/>
    <w:rsid w:val="00B63AE8"/>
    <w:rsid w:val="00B65950"/>
    <w:rsid w:val="00B66D83"/>
    <w:rsid w:val="00B672C0"/>
    <w:rsid w:val="00B676FD"/>
    <w:rsid w:val="00B75646"/>
    <w:rsid w:val="00B823DA"/>
    <w:rsid w:val="00B8728A"/>
    <w:rsid w:val="00B90729"/>
    <w:rsid w:val="00B907DA"/>
    <w:rsid w:val="00B912C5"/>
    <w:rsid w:val="00B94CD5"/>
    <w:rsid w:val="00B950BC"/>
    <w:rsid w:val="00B9714C"/>
    <w:rsid w:val="00BA0F20"/>
    <w:rsid w:val="00BA29AD"/>
    <w:rsid w:val="00BA33CF"/>
    <w:rsid w:val="00BA3F8D"/>
    <w:rsid w:val="00BB682F"/>
    <w:rsid w:val="00BB7A10"/>
    <w:rsid w:val="00BC3E8F"/>
    <w:rsid w:val="00BC60BE"/>
    <w:rsid w:val="00BC7174"/>
    <w:rsid w:val="00BC7468"/>
    <w:rsid w:val="00BC7D4F"/>
    <w:rsid w:val="00BC7ED7"/>
    <w:rsid w:val="00BD2850"/>
    <w:rsid w:val="00BE28D2"/>
    <w:rsid w:val="00BE4A64"/>
    <w:rsid w:val="00BE5E43"/>
    <w:rsid w:val="00BF30B2"/>
    <w:rsid w:val="00BF557D"/>
    <w:rsid w:val="00BF7F58"/>
    <w:rsid w:val="00C01381"/>
    <w:rsid w:val="00C01AB1"/>
    <w:rsid w:val="00C026A0"/>
    <w:rsid w:val="00C031CF"/>
    <w:rsid w:val="00C06137"/>
    <w:rsid w:val="00C079B8"/>
    <w:rsid w:val="00C10037"/>
    <w:rsid w:val="00C123EA"/>
    <w:rsid w:val="00C12A49"/>
    <w:rsid w:val="00C12FC8"/>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4DA7"/>
    <w:rsid w:val="00C9627B"/>
    <w:rsid w:val="00CA12E3"/>
    <w:rsid w:val="00CA1476"/>
    <w:rsid w:val="00CA5012"/>
    <w:rsid w:val="00CA581C"/>
    <w:rsid w:val="00CA6611"/>
    <w:rsid w:val="00CA6AE6"/>
    <w:rsid w:val="00CA782F"/>
    <w:rsid w:val="00CB187B"/>
    <w:rsid w:val="00CB2835"/>
    <w:rsid w:val="00CB3285"/>
    <w:rsid w:val="00CB4500"/>
    <w:rsid w:val="00CB6510"/>
    <w:rsid w:val="00CB7800"/>
    <w:rsid w:val="00CC0C72"/>
    <w:rsid w:val="00CC2BFD"/>
    <w:rsid w:val="00CD3476"/>
    <w:rsid w:val="00CD64DF"/>
    <w:rsid w:val="00CE225F"/>
    <w:rsid w:val="00CE48A9"/>
    <w:rsid w:val="00CF2F50"/>
    <w:rsid w:val="00CF6198"/>
    <w:rsid w:val="00D02919"/>
    <w:rsid w:val="00D04C61"/>
    <w:rsid w:val="00D05B8D"/>
    <w:rsid w:val="00D065A2"/>
    <w:rsid w:val="00D079AA"/>
    <w:rsid w:val="00D07F00"/>
    <w:rsid w:val="00D1130F"/>
    <w:rsid w:val="00D1761E"/>
    <w:rsid w:val="00D17B72"/>
    <w:rsid w:val="00D17C00"/>
    <w:rsid w:val="00D20F21"/>
    <w:rsid w:val="00D25CB9"/>
    <w:rsid w:val="00D3185C"/>
    <w:rsid w:val="00D31B55"/>
    <w:rsid w:val="00D3205F"/>
    <w:rsid w:val="00D32EBF"/>
    <w:rsid w:val="00D3318E"/>
    <w:rsid w:val="00D33E72"/>
    <w:rsid w:val="00D35BD6"/>
    <w:rsid w:val="00D361B5"/>
    <w:rsid w:val="00D405AC"/>
    <w:rsid w:val="00D411A2"/>
    <w:rsid w:val="00D4606D"/>
    <w:rsid w:val="00D46456"/>
    <w:rsid w:val="00D46C92"/>
    <w:rsid w:val="00D50B9C"/>
    <w:rsid w:val="00D52D73"/>
    <w:rsid w:val="00D52E58"/>
    <w:rsid w:val="00D5409D"/>
    <w:rsid w:val="00D56B20"/>
    <w:rsid w:val="00D578B3"/>
    <w:rsid w:val="00D618F4"/>
    <w:rsid w:val="00D6261F"/>
    <w:rsid w:val="00D63763"/>
    <w:rsid w:val="00D714CC"/>
    <w:rsid w:val="00D7154A"/>
    <w:rsid w:val="00D715AD"/>
    <w:rsid w:val="00D72C58"/>
    <w:rsid w:val="00D75EA7"/>
    <w:rsid w:val="00D81482"/>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DF79EC"/>
    <w:rsid w:val="00E00EB4"/>
    <w:rsid w:val="00E01CF7"/>
    <w:rsid w:val="00E06B75"/>
    <w:rsid w:val="00E11332"/>
    <w:rsid w:val="00E11352"/>
    <w:rsid w:val="00E170DC"/>
    <w:rsid w:val="00E17546"/>
    <w:rsid w:val="00E210B5"/>
    <w:rsid w:val="00E22DEF"/>
    <w:rsid w:val="00E261B3"/>
    <w:rsid w:val="00E26818"/>
    <w:rsid w:val="00E273D4"/>
    <w:rsid w:val="00E279E8"/>
    <w:rsid w:val="00E27FFC"/>
    <w:rsid w:val="00E30B15"/>
    <w:rsid w:val="00E33205"/>
    <w:rsid w:val="00E33237"/>
    <w:rsid w:val="00E40181"/>
    <w:rsid w:val="00E54950"/>
    <w:rsid w:val="00E56A01"/>
    <w:rsid w:val="00E62622"/>
    <w:rsid w:val="00E629A1"/>
    <w:rsid w:val="00E6794C"/>
    <w:rsid w:val="00E71591"/>
    <w:rsid w:val="00E71CEB"/>
    <w:rsid w:val="00E7474F"/>
    <w:rsid w:val="00E75ED2"/>
    <w:rsid w:val="00E80DE3"/>
    <w:rsid w:val="00E82C55"/>
    <w:rsid w:val="00E8787E"/>
    <w:rsid w:val="00E87951"/>
    <w:rsid w:val="00E90B25"/>
    <w:rsid w:val="00E92AC3"/>
    <w:rsid w:val="00EA1360"/>
    <w:rsid w:val="00EA2F6A"/>
    <w:rsid w:val="00EB00E0"/>
    <w:rsid w:val="00EC059F"/>
    <w:rsid w:val="00EC1F24"/>
    <w:rsid w:val="00EC22F6"/>
    <w:rsid w:val="00EC40D5"/>
    <w:rsid w:val="00ED5B9B"/>
    <w:rsid w:val="00ED6BAD"/>
    <w:rsid w:val="00ED7447"/>
    <w:rsid w:val="00EE00D6"/>
    <w:rsid w:val="00EE02CE"/>
    <w:rsid w:val="00EE11E7"/>
    <w:rsid w:val="00EE1488"/>
    <w:rsid w:val="00EE29AD"/>
    <w:rsid w:val="00EE3E24"/>
    <w:rsid w:val="00EE4D5D"/>
    <w:rsid w:val="00EE5131"/>
    <w:rsid w:val="00EF109B"/>
    <w:rsid w:val="00EF201C"/>
    <w:rsid w:val="00EF36AF"/>
    <w:rsid w:val="00EF4D3C"/>
    <w:rsid w:val="00EF59A3"/>
    <w:rsid w:val="00EF6675"/>
    <w:rsid w:val="00F00F9C"/>
    <w:rsid w:val="00F01E5F"/>
    <w:rsid w:val="00F024F3"/>
    <w:rsid w:val="00F02ABA"/>
    <w:rsid w:val="00F0437A"/>
    <w:rsid w:val="00F0531D"/>
    <w:rsid w:val="00F06E1D"/>
    <w:rsid w:val="00F101B8"/>
    <w:rsid w:val="00F11037"/>
    <w:rsid w:val="00F14596"/>
    <w:rsid w:val="00F16F1B"/>
    <w:rsid w:val="00F211F7"/>
    <w:rsid w:val="00F2484C"/>
    <w:rsid w:val="00F250A9"/>
    <w:rsid w:val="00F267AF"/>
    <w:rsid w:val="00F30FF4"/>
    <w:rsid w:val="00F3122E"/>
    <w:rsid w:val="00F32368"/>
    <w:rsid w:val="00F331AD"/>
    <w:rsid w:val="00F35287"/>
    <w:rsid w:val="00F40A70"/>
    <w:rsid w:val="00F429BF"/>
    <w:rsid w:val="00F43A37"/>
    <w:rsid w:val="00F451AB"/>
    <w:rsid w:val="00F455F9"/>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491E"/>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5CA6"/>
    <w:rsid w:val="00FB6481"/>
    <w:rsid w:val="00FB6D36"/>
    <w:rsid w:val="00FC0965"/>
    <w:rsid w:val="00FC0F81"/>
    <w:rsid w:val="00FC252F"/>
    <w:rsid w:val="00FC395C"/>
    <w:rsid w:val="00FC5E8E"/>
    <w:rsid w:val="00FD3159"/>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588C43"/>
  <w15:docId w15:val="{128D8296-5569-421B-93BC-B1BF05FF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cf01">
    <w:name w:val="cf01"/>
    <w:basedOn w:val="DefaultParagraphFont"/>
    <w:rsid w:val="00D32EBF"/>
    <w:rPr>
      <w:rFonts w:ascii="Segoe UI" w:hAnsi="Segoe UI" w:cs="Segoe UI" w:hint="default"/>
      <w:sz w:val="18"/>
      <w:szCs w:val="18"/>
    </w:rPr>
  </w:style>
  <w:style w:type="paragraph" w:styleId="NormalWeb">
    <w:name w:val="Normal (Web)"/>
    <w:basedOn w:val="Normal"/>
    <w:uiPriority w:val="99"/>
    <w:unhideWhenUsed/>
    <w:rsid w:val="00715F2C"/>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6784103">
      <w:bodyDiv w:val="1"/>
      <w:marLeft w:val="0"/>
      <w:marRight w:val="0"/>
      <w:marTop w:val="0"/>
      <w:marBottom w:val="0"/>
      <w:divBdr>
        <w:top w:val="none" w:sz="0" w:space="0" w:color="auto"/>
        <w:left w:val="none" w:sz="0" w:space="0" w:color="auto"/>
        <w:bottom w:val="none" w:sz="0" w:space="0" w:color="auto"/>
        <w:right w:val="none" w:sz="0" w:space="0" w:color="auto"/>
      </w:divBdr>
    </w:div>
    <w:div w:id="590352040">
      <w:bodyDiv w:val="1"/>
      <w:marLeft w:val="0"/>
      <w:marRight w:val="0"/>
      <w:marTop w:val="0"/>
      <w:marBottom w:val="0"/>
      <w:divBdr>
        <w:top w:val="none" w:sz="0" w:space="0" w:color="auto"/>
        <w:left w:val="none" w:sz="0" w:space="0" w:color="auto"/>
        <w:bottom w:val="none" w:sz="0" w:space="0" w:color="auto"/>
        <w:right w:val="none" w:sz="0" w:space="0" w:color="auto"/>
      </w:divBdr>
    </w:div>
    <w:div w:id="604000011">
      <w:bodyDiv w:val="1"/>
      <w:marLeft w:val="0"/>
      <w:marRight w:val="0"/>
      <w:marTop w:val="0"/>
      <w:marBottom w:val="0"/>
      <w:divBdr>
        <w:top w:val="none" w:sz="0" w:space="0" w:color="auto"/>
        <w:left w:val="none" w:sz="0" w:space="0" w:color="auto"/>
        <w:bottom w:val="none" w:sz="0" w:space="0" w:color="auto"/>
        <w:right w:val="none" w:sz="0" w:space="0" w:color="auto"/>
      </w:divBdr>
    </w:div>
    <w:div w:id="7507821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9426558">
      <w:bodyDiv w:val="1"/>
      <w:marLeft w:val="0"/>
      <w:marRight w:val="0"/>
      <w:marTop w:val="0"/>
      <w:marBottom w:val="0"/>
      <w:divBdr>
        <w:top w:val="none" w:sz="0" w:space="0" w:color="auto"/>
        <w:left w:val="none" w:sz="0" w:space="0" w:color="auto"/>
        <w:bottom w:val="none" w:sz="0" w:space="0" w:color="auto"/>
        <w:right w:val="none" w:sz="0" w:space="0" w:color="auto"/>
      </w:divBdr>
    </w:div>
    <w:div w:id="1223907757">
      <w:bodyDiv w:val="1"/>
      <w:marLeft w:val="0"/>
      <w:marRight w:val="0"/>
      <w:marTop w:val="0"/>
      <w:marBottom w:val="0"/>
      <w:divBdr>
        <w:top w:val="none" w:sz="0" w:space="0" w:color="auto"/>
        <w:left w:val="none" w:sz="0" w:space="0" w:color="auto"/>
        <w:bottom w:val="none" w:sz="0" w:space="0" w:color="auto"/>
        <w:right w:val="none" w:sz="0" w:space="0" w:color="auto"/>
      </w:divBdr>
    </w:div>
    <w:div w:id="13799392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cbi.nlm.nih.gov/books/NBK557884/" TargetMode="External"/><Relationship Id="rId26" Type="http://schemas.openxmlformats.org/officeDocument/2006/relationships/hyperlink" Target="https://onlinelibrary.wiley.com/authored-by/Davies/T." TargetMode="External"/><Relationship Id="rId3" Type="http://schemas.openxmlformats.org/officeDocument/2006/relationships/customXml" Target="../customXml/item3.xml"/><Relationship Id="rId21" Type="http://schemas.openxmlformats.org/officeDocument/2006/relationships/hyperlink" Target="https://labeling.cslbehring.com/PI/AU/RhD-Immunoglobulin-VF/EN/RhD-Immunoglobulin-VF-Product-Information.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ifeblood.com.au/" TargetMode="External"/><Relationship Id="rId25" Type="http://schemas.openxmlformats.org/officeDocument/2006/relationships/hyperlink" Target="https://onlinelibrary.wiley.com/authored-by/Kirwan/D." TargetMode="External"/><Relationship Id="rId33" Type="http://schemas.openxmlformats.org/officeDocument/2006/relationships/hyperlink" Target="http://www.health.vic.gov.au/patient-care/blood-matters-program" TargetMode="External"/><Relationship Id="rId2" Type="http://schemas.openxmlformats.org/officeDocument/2006/relationships/customXml" Target="../customXml/item2.xml"/><Relationship Id="rId16" Type="http://schemas.openxmlformats.org/officeDocument/2006/relationships/hyperlink" Target="https://anzsbt.org.au/guidelines-standards/anzsbt-guidelines/" TargetMode="External"/><Relationship Id="rId20" Type="http://schemas.openxmlformats.org/officeDocument/2006/relationships/hyperlink" Target="https://labeling.cslbehring.com/PI/AU/RHOPHYLAC/EN/RHOPHYLAC-Product-Information.pdf" TargetMode="External"/><Relationship Id="rId29" Type="http://schemas.openxmlformats.org/officeDocument/2006/relationships/hyperlink" Target="https://onlinelibrary.wiley.com/authored-by/Jones/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nlinelibrary.wiley.com/authored-by/Massey/E." TargetMode="External"/><Relationship Id="rId32" Type="http://schemas.openxmlformats.org/officeDocument/2006/relationships/hyperlink" Target="mailto:bloodmatters@redcrossblood.org.au" TargetMode="External"/><Relationship Id="rId5" Type="http://schemas.openxmlformats.org/officeDocument/2006/relationships/numbering" Target="numbering.xml"/><Relationship Id="rId15" Type="http://schemas.openxmlformats.org/officeDocument/2006/relationships/hyperlink" Target="https://www.blood.gov.au/guideline-prophylactic-use-rh-d-immunoglobulin-pregnancy-care" TargetMode="External"/><Relationship Id="rId23" Type="http://schemas.openxmlformats.org/officeDocument/2006/relationships/hyperlink" Target="https://onlinelibrary.wiley.com/authored-by/Qureshi/H." TargetMode="External"/><Relationship Id="rId28" Type="http://schemas.openxmlformats.org/officeDocument/2006/relationships/hyperlink" Target="https://onlinelibrary.wiley.com/authored-by/White/J."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feblood.com.au/health-professionals/products/component-compatibility" TargetMode="External"/><Relationship Id="rId31" Type="http://schemas.openxmlformats.org/officeDocument/2006/relationships/hyperlink" Target="https://doi.org/10.1111/tme.120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nzsbt.org.au/wp-content/uploads/2021/04/Guideline_-for_Transfusion_and_Immunohaematology_Laboratory_Practice_FINAL_Published_20210426.pdf" TargetMode="External"/><Relationship Id="rId27" Type="http://schemas.openxmlformats.org/officeDocument/2006/relationships/hyperlink" Target="https://onlinelibrary.wiley.com/authored-by/Robson/S." TargetMode="External"/><Relationship Id="rId30" Type="http://schemas.openxmlformats.org/officeDocument/2006/relationships/hyperlink" Target="https://onlinelibrary.wiley.com/authored-by/Allard/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4</Pages>
  <Words>1211</Words>
  <Characters>9226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10417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Bulletin No. 11</dc:title>
  <dc:subject/>
  <dc:creator>bloodmatters@dhhs.vic.gov.au</dc:creator>
  <cp:keywords/>
  <dc:description/>
  <cp:lastModifiedBy>Emily Hirst (Health)</cp:lastModifiedBy>
  <cp:revision>4</cp:revision>
  <cp:lastPrinted>2020-03-30T03:28:00Z</cp:lastPrinted>
  <dcterms:created xsi:type="dcterms:W3CDTF">2024-11-17T22:23:00Z</dcterms:created>
  <dcterms:modified xsi:type="dcterms:W3CDTF">2025-01-13T21:56:00Z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