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A9BC7" w14:textId="77777777" w:rsidR="0074696E" w:rsidRPr="004C6EEE" w:rsidRDefault="0001677A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0C37B96C" wp14:editId="50D1172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419225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60000" cy="1419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6D810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35BC3FBD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0FE5E69D" w14:textId="77777777" w:rsidR="003B5733" w:rsidRDefault="001328E8" w:rsidP="003B5733">
            <w:pPr>
              <w:pStyle w:val="Documenttitle"/>
            </w:pPr>
            <w:r>
              <w:t xml:space="preserve">Transfusion </w:t>
            </w:r>
            <w:r w:rsidR="00D31545">
              <w:t>P</w:t>
            </w:r>
            <w:r>
              <w:t>ractitioner position description</w:t>
            </w:r>
          </w:p>
          <w:p w14:paraId="7C7BD58B" w14:textId="54BCB2EC" w:rsidR="001D51DB" w:rsidRPr="003B5733" w:rsidRDefault="001D51DB" w:rsidP="001D51DB">
            <w:pPr>
              <w:pStyle w:val="Heading3"/>
            </w:pPr>
            <w:r>
              <w:t>Example document</w:t>
            </w:r>
          </w:p>
        </w:tc>
      </w:tr>
      <w:tr w:rsidR="003B5733" w14:paraId="42AB2AA3" w14:textId="77777777" w:rsidTr="00B07FF7">
        <w:tc>
          <w:tcPr>
            <w:tcW w:w="10348" w:type="dxa"/>
          </w:tcPr>
          <w:p w14:paraId="11E61473" w14:textId="0D5F0132" w:rsidR="003B5733" w:rsidRPr="00A1389F" w:rsidRDefault="003B5733" w:rsidP="005F44C0">
            <w:pPr>
              <w:pStyle w:val="Documentsubtitle"/>
            </w:pPr>
          </w:p>
        </w:tc>
      </w:tr>
      <w:tr w:rsidR="003B5733" w14:paraId="0BF4367C" w14:textId="77777777" w:rsidTr="00B07FF7">
        <w:tc>
          <w:tcPr>
            <w:tcW w:w="10348" w:type="dxa"/>
          </w:tcPr>
          <w:p w14:paraId="3B8F8528" w14:textId="77777777" w:rsidR="003B5733" w:rsidRPr="001E5058" w:rsidRDefault="00577E56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5343273D" w14:textId="77777777" w:rsidR="000143B9" w:rsidRDefault="000143B9" w:rsidP="00C4590D">
      <w:pPr>
        <w:pStyle w:val="Body"/>
      </w:pPr>
    </w:p>
    <w:p w14:paraId="097479E7" w14:textId="2E135BAD" w:rsidR="00C4590D" w:rsidRPr="00CF2386" w:rsidRDefault="00C4590D" w:rsidP="00C4590D">
      <w:pPr>
        <w:pStyle w:val="Body"/>
        <w:rPr>
          <w:b/>
          <w:bCs/>
        </w:rPr>
      </w:pPr>
      <w:r w:rsidRPr="00CF2386">
        <w:rPr>
          <w:b/>
          <w:bCs/>
        </w:rPr>
        <w:t>Position title: Transfusion Practitioner</w:t>
      </w:r>
      <w:r w:rsidR="000143B9">
        <w:rPr>
          <w:b/>
          <w:bCs/>
        </w:rPr>
        <w:t xml:space="preserve"> (TP)</w:t>
      </w:r>
    </w:p>
    <w:p w14:paraId="6E5F6B5B" w14:textId="3B727A0D" w:rsidR="00C4590D" w:rsidRDefault="000143B9" w:rsidP="00CF2386">
      <w:pPr>
        <w:pStyle w:val="Body"/>
      </w:pPr>
      <w:r>
        <w:t>The term TP</w:t>
      </w:r>
      <w:r w:rsidR="009F161F">
        <w:t xml:space="preserve"> is used to describe the</w:t>
      </w:r>
      <w:r w:rsidR="00DA2028">
        <w:t xml:space="preserve"> </w:t>
      </w:r>
      <w:r>
        <w:t>role</w:t>
      </w:r>
      <w:r w:rsidR="00DA2028">
        <w:t>s</w:t>
      </w:r>
      <w:r w:rsidR="009F161F">
        <w:t xml:space="preserve"> undertaken by healthcare </w:t>
      </w:r>
      <w:proofErr w:type="gramStart"/>
      <w:r w:rsidR="009F161F">
        <w:t>professionals</w:t>
      </w:r>
      <w:r>
        <w:t xml:space="preserve"> </w:t>
      </w:r>
      <w:r w:rsidR="00DA2028">
        <w:t xml:space="preserve"> in</w:t>
      </w:r>
      <w:proofErr w:type="gramEnd"/>
      <w:r w:rsidR="00DA2028">
        <w:t xml:space="preserve"> the areas of transfusion and patient blood management</w:t>
      </w:r>
      <w:r w:rsidR="009F161F">
        <w:t xml:space="preserve"> (PBM)</w:t>
      </w:r>
      <w:r w:rsidR="00DA2028">
        <w:t xml:space="preserve">. Depending on the health organisation </w:t>
      </w:r>
      <w:r w:rsidR="009F161F">
        <w:t>a TP</w:t>
      </w:r>
      <w:r w:rsidR="00DA2028">
        <w:t xml:space="preserve"> </w:t>
      </w:r>
      <w:r>
        <w:t>may be known by titles such as</w:t>
      </w:r>
      <w:r w:rsidR="00C4590D" w:rsidRPr="00C4590D">
        <w:t xml:space="preserve"> Transfusion Nurse, Transfusion Trainer, Transfusion Safety Officer, Transfusion Quality Officer, Transfusion Clinical Nurse, Haemovigilance Officer or PBM Coordinator</w:t>
      </w:r>
      <w:r w:rsidR="00DA2028">
        <w:t>.</w:t>
      </w:r>
    </w:p>
    <w:p w14:paraId="41266469" w14:textId="38ECC442" w:rsidR="00502009" w:rsidRDefault="00502009" w:rsidP="00502009">
      <w:pPr>
        <w:pStyle w:val="Heading3"/>
      </w:pPr>
      <w:r>
        <w:t>Position summary</w:t>
      </w:r>
    </w:p>
    <w:p w14:paraId="12FC9BF2" w14:textId="16782CB1" w:rsidR="00502009" w:rsidRDefault="00502009" w:rsidP="009A3490">
      <w:pPr>
        <w:pStyle w:val="Body"/>
      </w:pPr>
      <w:r>
        <w:t xml:space="preserve">The key purpose of the </w:t>
      </w:r>
      <w:r w:rsidR="00953128">
        <w:t>role</w:t>
      </w:r>
      <w:r>
        <w:t xml:space="preserve"> is </w:t>
      </w:r>
      <w:r w:rsidR="00953128">
        <w:t xml:space="preserve">to </w:t>
      </w:r>
      <w:r>
        <w:t>work collaboratively with</w:t>
      </w:r>
      <w:r w:rsidR="00953128">
        <w:t xml:space="preserve"> all staff to ensure safe, appropriate and </w:t>
      </w:r>
      <w:r w:rsidR="00625D3B">
        <w:t xml:space="preserve">sustainable use of blood and blood products and </w:t>
      </w:r>
      <w:r w:rsidR="00953128">
        <w:t xml:space="preserve">patient centred blood management. The role includes the stewardship of blood and blood products, to minimise wastage and patient blood management to reduce the need </w:t>
      </w:r>
      <w:r w:rsidR="00096491">
        <w:t>for</w:t>
      </w:r>
      <w:r w:rsidR="00953128">
        <w:t xml:space="preserve"> transfusion</w:t>
      </w:r>
      <w:r w:rsidR="00A87258">
        <w:t xml:space="preserve"> </w:t>
      </w:r>
      <w:r w:rsidR="00625D3B">
        <w:t>where possible.</w:t>
      </w:r>
    </w:p>
    <w:p w14:paraId="00B73B79" w14:textId="39C3F576" w:rsidR="00953128" w:rsidRDefault="000D0D0B" w:rsidP="00953128">
      <w:pPr>
        <w:pStyle w:val="Heading3"/>
      </w:pPr>
      <w:r>
        <w:t>Working r</w:t>
      </w:r>
      <w:r w:rsidR="00953128">
        <w:t>elationships</w:t>
      </w:r>
    </w:p>
    <w:p w14:paraId="6B2991CD" w14:textId="12C16CCB" w:rsidR="00953128" w:rsidRDefault="00953128" w:rsidP="00023C4A">
      <w:pPr>
        <w:pStyle w:val="Heading4"/>
      </w:pPr>
      <w:r>
        <w:t>Internal</w:t>
      </w:r>
    </w:p>
    <w:p w14:paraId="79B7399A" w14:textId="13CF5FC1" w:rsidR="00953128" w:rsidRDefault="00953128" w:rsidP="00953128">
      <w:pPr>
        <w:pStyle w:val="Body"/>
        <w:numPr>
          <w:ilvl w:val="0"/>
          <w:numId w:val="41"/>
        </w:numPr>
      </w:pPr>
      <w:r>
        <w:t>All clinical areas where blood and blood products are used</w:t>
      </w:r>
    </w:p>
    <w:p w14:paraId="5CACB822" w14:textId="7D067C6D" w:rsidR="00953128" w:rsidRDefault="00953128" w:rsidP="00953128">
      <w:pPr>
        <w:pStyle w:val="Body"/>
        <w:numPr>
          <w:ilvl w:val="0"/>
          <w:numId w:val="41"/>
        </w:numPr>
      </w:pPr>
      <w:r>
        <w:t xml:space="preserve">Pathology service provider / </w:t>
      </w:r>
      <w:r w:rsidR="00096491">
        <w:t>t</w:t>
      </w:r>
      <w:r>
        <w:t xml:space="preserve">ransfusion </w:t>
      </w:r>
      <w:r w:rsidR="00096491">
        <w:t>l</w:t>
      </w:r>
      <w:r>
        <w:t>aboratory</w:t>
      </w:r>
    </w:p>
    <w:p w14:paraId="29069602" w14:textId="09CF7A41" w:rsidR="00C3182F" w:rsidRDefault="00C3182F" w:rsidP="00953128">
      <w:pPr>
        <w:pStyle w:val="Body"/>
        <w:numPr>
          <w:ilvl w:val="0"/>
          <w:numId w:val="41"/>
        </w:numPr>
      </w:pPr>
      <w:r>
        <w:t>Quality / Governance Committee / Blood Management Committee (BMC)</w:t>
      </w:r>
    </w:p>
    <w:p w14:paraId="2E1AA35B" w14:textId="15E78B25" w:rsidR="00C3182F" w:rsidRDefault="00C3182F" w:rsidP="00953128">
      <w:pPr>
        <w:pStyle w:val="Body"/>
        <w:numPr>
          <w:ilvl w:val="0"/>
          <w:numId w:val="41"/>
        </w:numPr>
      </w:pPr>
      <w:r>
        <w:t>Executive sponsor for blood management</w:t>
      </w:r>
    </w:p>
    <w:p w14:paraId="518FFCB3" w14:textId="7D1F2A5D" w:rsidR="007C7F05" w:rsidRDefault="007C7F05" w:rsidP="00953128">
      <w:pPr>
        <w:pStyle w:val="Body"/>
        <w:numPr>
          <w:ilvl w:val="0"/>
          <w:numId w:val="41"/>
        </w:numPr>
      </w:pPr>
      <w:r>
        <w:t xml:space="preserve">BMC (or equivalent) members </w:t>
      </w:r>
    </w:p>
    <w:p w14:paraId="0260D02A" w14:textId="2540C1F7" w:rsidR="00C3182F" w:rsidRDefault="00C3182F" w:rsidP="00953128">
      <w:pPr>
        <w:pStyle w:val="Body"/>
        <w:numPr>
          <w:ilvl w:val="0"/>
          <w:numId w:val="41"/>
        </w:numPr>
      </w:pPr>
      <w:r>
        <w:t>BMC consumer</w:t>
      </w:r>
      <w:r w:rsidR="00096491">
        <w:t xml:space="preserve"> representative</w:t>
      </w:r>
    </w:p>
    <w:p w14:paraId="2FB9BA7D" w14:textId="12707010" w:rsidR="00C3182F" w:rsidRDefault="00C3182F" w:rsidP="00953128">
      <w:pPr>
        <w:pStyle w:val="Body"/>
        <w:numPr>
          <w:ilvl w:val="0"/>
          <w:numId w:val="41"/>
        </w:numPr>
      </w:pPr>
      <w:r>
        <w:t>Quality / Risk Manager</w:t>
      </w:r>
    </w:p>
    <w:p w14:paraId="3C16787A" w14:textId="62F69829" w:rsidR="00C3182F" w:rsidRDefault="00C3182F" w:rsidP="00953128">
      <w:pPr>
        <w:pStyle w:val="Body"/>
        <w:numPr>
          <w:ilvl w:val="0"/>
          <w:numId w:val="41"/>
        </w:numPr>
      </w:pPr>
      <w:r>
        <w:t>Nursing and medical education</w:t>
      </w:r>
    </w:p>
    <w:p w14:paraId="4AFE4A1D" w14:textId="44C3677A" w:rsidR="00C3182F" w:rsidRDefault="00C3182F" w:rsidP="00023C4A">
      <w:pPr>
        <w:pStyle w:val="Heading4"/>
      </w:pPr>
      <w:r>
        <w:t>External</w:t>
      </w:r>
    </w:p>
    <w:p w14:paraId="0B032C83" w14:textId="33589F94" w:rsidR="00953128" w:rsidRDefault="00C3182F" w:rsidP="00C3182F">
      <w:pPr>
        <w:pStyle w:val="Body"/>
        <w:numPr>
          <w:ilvl w:val="0"/>
          <w:numId w:val="42"/>
        </w:numPr>
      </w:pPr>
      <w:r>
        <w:t>Blood Matters Program and associated TP network</w:t>
      </w:r>
    </w:p>
    <w:p w14:paraId="0716628C" w14:textId="4F7B145B" w:rsidR="00C3182F" w:rsidRDefault="00C3182F" w:rsidP="00C3182F">
      <w:pPr>
        <w:pStyle w:val="Body"/>
        <w:numPr>
          <w:ilvl w:val="0"/>
          <w:numId w:val="42"/>
        </w:numPr>
      </w:pPr>
      <w:r>
        <w:t>Australian R</w:t>
      </w:r>
      <w:r w:rsidR="00096491">
        <w:t>e</w:t>
      </w:r>
      <w:r>
        <w:t>d Cross Lifeblood</w:t>
      </w:r>
    </w:p>
    <w:p w14:paraId="2C601F4D" w14:textId="523B120C" w:rsidR="00C3182F" w:rsidRDefault="00C3182F" w:rsidP="00C3182F">
      <w:pPr>
        <w:pStyle w:val="Body"/>
        <w:numPr>
          <w:ilvl w:val="0"/>
          <w:numId w:val="42"/>
        </w:numPr>
      </w:pPr>
      <w:r>
        <w:t>National Blood Authority</w:t>
      </w:r>
    </w:p>
    <w:p w14:paraId="35659555" w14:textId="18F41390" w:rsidR="00C3182F" w:rsidRDefault="00C3182F" w:rsidP="00C3182F">
      <w:pPr>
        <w:pStyle w:val="Body"/>
        <w:numPr>
          <w:ilvl w:val="0"/>
          <w:numId w:val="42"/>
        </w:numPr>
      </w:pPr>
      <w:r w:rsidRPr="00C3182F">
        <w:t xml:space="preserve">Australian and New Zealand Society of Blood Transfusion – Transfusion </w:t>
      </w:r>
      <w:r>
        <w:t>Practitioner</w:t>
      </w:r>
      <w:r w:rsidRPr="00C3182F">
        <w:t xml:space="preserve"> network</w:t>
      </w:r>
    </w:p>
    <w:p w14:paraId="2225276A" w14:textId="0A692EC2" w:rsidR="00A87258" w:rsidRPr="00953128" w:rsidRDefault="00A87258" w:rsidP="00C3182F">
      <w:pPr>
        <w:pStyle w:val="Body"/>
        <w:numPr>
          <w:ilvl w:val="0"/>
          <w:numId w:val="42"/>
        </w:numPr>
      </w:pPr>
      <w:r>
        <w:t xml:space="preserve">Other national and international transfusion societies </w:t>
      </w:r>
    </w:p>
    <w:p w14:paraId="5249C12D" w14:textId="345DA9E0" w:rsidR="00953128" w:rsidRDefault="00953128" w:rsidP="00953128">
      <w:pPr>
        <w:pStyle w:val="Heading3"/>
      </w:pPr>
      <w:r>
        <w:lastRenderedPageBreak/>
        <w:t>Specific goals</w:t>
      </w:r>
      <w:r w:rsidR="00C3182F">
        <w:t xml:space="preserve"> / Key accountabilities</w:t>
      </w:r>
    </w:p>
    <w:p w14:paraId="64AAB006" w14:textId="4B510E4C" w:rsidR="001A216F" w:rsidRPr="001A216F" w:rsidRDefault="001A216F" w:rsidP="00CF2386">
      <w:pPr>
        <w:pStyle w:val="Body"/>
      </w:pPr>
      <w:r>
        <w:t xml:space="preserve">The suggested actions in the </w:t>
      </w:r>
      <w:r w:rsidR="006A0785">
        <w:t>‘d</w:t>
      </w:r>
      <w:r>
        <w:t>emonstrated by</w:t>
      </w:r>
      <w:r w:rsidR="006A0785">
        <w:t>’</w:t>
      </w:r>
      <w:r>
        <w:t xml:space="preserve"> column may vary depending on local health service needs and TP EFT.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965"/>
        <w:gridCol w:w="3966"/>
      </w:tblGrid>
      <w:tr w:rsidR="006D0BCB" w14:paraId="5F307F52" w14:textId="77777777" w:rsidTr="00CF2386">
        <w:tc>
          <w:tcPr>
            <w:tcW w:w="2263" w:type="dxa"/>
          </w:tcPr>
          <w:p w14:paraId="35BB2B62" w14:textId="165FFDAA" w:rsidR="006D0BCB" w:rsidRDefault="006D0BCB" w:rsidP="00CF2386">
            <w:pPr>
              <w:pStyle w:val="Tablecolhead"/>
            </w:pPr>
            <w:r>
              <w:t>G</w:t>
            </w:r>
            <w:r w:rsidRPr="002E3135">
              <w:t>oal</w:t>
            </w:r>
          </w:p>
        </w:tc>
        <w:tc>
          <w:tcPr>
            <w:tcW w:w="3965" w:type="dxa"/>
          </w:tcPr>
          <w:p w14:paraId="687C1362" w14:textId="771412BD" w:rsidR="006D0BCB" w:rsidRDefault="006D0BCB" w:rsidP="00CF2386">
            <w:pPr>
              <w:pStyle w:val="Tablecolhead"/>
            </w:pPr>
            <w:r>
              <w:t>Demonstrated by TP</w:t>
            </w:r>
          </w:p>
        </w:tc>
        <w:tc>
          <w:tcPr>
            <w:tcW w:w="3966" w:type="dxa"/>
          </w:tcPr>
          <w:p w14:paraId="7B008D0F" w14:textId="3AE37C98" w:rsidR="006D0BCB" w:rsidRPr="00AE605A" w:rsidRDefault="006D0BCB" w:rsidP="00CF2386">
            <w:pPr>
              <w:pStyle w:val="Tablecolhead"/>
              <w:rPr>
                <w:szCs w:val="21"/>
              </w:rPr>
            </w:pPr>
            <w:r w:rsidRPr="00AE605A">
              <w:rPr>
                <w:szCs w:val="21"/>
              </w:rPr>
              <w:t xml:space="preserve">Demonstrated by </w:t>
            </w:r>
            <w:r w:rsidR="002E3135" w:rsidRPr="00AE605A">
              <w:rPr>
                <w:szCs w:val="21"/>
              </w:rPr>
              <w:t>rural</w:t>
            </w:r>
            <w:r w:rsidRPr="00AE605A">
              <w:rPr>
                <w:szCs w:val="21"/>
              </w:rPr>
              <w:t xml:space="preserve"> TP</w:t>
            </w:r>
            <w:r w:rsidR="002E3135" w:rsidRPr="00AE605A">
              <w:rPr>
                <w:szCs w:val="21"/>
              </w:rPr>
              <w:t xml:space="preserve"> </w:t>
            </w:r>
            <w:r w:rsidR="001244F5">
              <w:rPr>
                <w:szCs w:val="21"/>
              </w:rPr>
              <w:t xml:space="preserve">with </w:t>
            </w:r>
            <w:r w:rsidR="002E3135" w:rsidRPr="00AE605A">
              <w:rPr>
                <w:szCs w:val="21"/>
              </w:rPr>
              <w:t>limited EFT</w:t>
            </w:r>
          </w:p>
        </w:tc>
      </w:tr>
      <w:tr w:rsidR="006D0BCB" w14:paraId="35BCDFF4" w14:textId="77777777" w:rsidTr="00CF2386">
        <w:tc>
          <w:tcPr>
            <w:tcW w:w="2263" w:type="dxa"/>
          </w:tcPr>
          <w:p w14:paraId="629144D4" w14:textId="2CDBB8A4" w:rsidR="006D0BCB" w:rsidRDefault="002E3135" w:rsidP="006D0BCB">
            <w:pPr>
              <w:pStyle w:val="Body"/>
            </w:pPr>
            <w:r w:rsidRPr="000D0D0B">
              <w:t>To promote</w:t>
            </w:r>
            <w:r>
              <w:t>,</w:t>
            </w:r>
            <w:r w:rsidRPr="000D0D0B">
              <w:t xml:space="preserve"> implement and monitor systems to ensure the safe, appropriate, and effective care of patients’ own blood, as well as</w:t>
            </w:r>
            <w:r>
              <w:t xml:space="preserve"> transfusion of </w:t>
            </w:r>
            <w:r w:rsidRPr="000D0D0B">
              <w:t>blood and blood products.</w:t>
            </w:r>
          </w:p>
        </w:tc>
        <w:tc>
          <w:tcPr>
            <w:tcW w:w="3965" w:type="dxa"/>
          </w:tcPr>
          <w:p w14:paraId="2F0004C1" w14:textId="77777777" w:rsidR="002E3135" w:rsidRDefault="002E3135" w:rsidP="002E3135">
            <w:pPr>
              <w:pStyle w:val="Body"/>
            </w:pPr>
            <w:r>
              <w:t>Develop key performance indicators (KPIs) for and monitor (e.g.):</w:t>
            </w:r>
          </w:p>
          <w:p w14:paraId="2EC336F5" w14:textId="35AD37C1" w:rsidR="002E3135" w:rsidRDefault="002E3135" w:rsidP="00CF2386">
            <w:pPr>
              <w:pStyle w:val="Body"/>
              <w:numPr>
                <w:ilvl w:val="0"/>
                <w:numId w:val="41"/>
              </w:numPr>
            </w:pPr>
            <w:r>
              <w:t xml:space="preserve">patient blood management (PBM) initiatives </w:t>
            </w:r>
          </w:p>
          <w:p w14:paraId="12201C7D" w14:textId="0A80E9D6" w:rsidR="002E3135" w:rsidRDefault="002E3135" w:rsidP="00CF2386">
            <w:pPr>
              <w:pStyle w:val="Body"/>
              <w:numPr>
                <w:ilvl w:val="0"/>
                <w:numId w:val="41"/>
              </w:numPr>
            </w:pPr>
            <w:r>
              <w:t xml:space="preserve">appropriate use of blood and blood products </w:t>
            </w:r>
          </w:p>
          <w:p w14:paraId="74F1A5D3" w14:textId="0E975A56" w:rsidR="002E3135" w:rsidRDefault="002E3135" w:rsidP="00CF2386">
            <w:pPr>
              <w:pStyle w:val="Body"/>
              <w:numPr>
                <w:ilvl w:val="0"/>
                <w:numId w:val="41"/>
              </w:numPr>
            </w:pPr>
            <w:r>
              <w:t xml:space="preserve">blood wastage </w:t>
            </w:r>
          </w:p>
          <w:p w14:paraId="75737541" w14:textId="5F71536E" w:rsidR="002E3135" w:rsidRDefault="002E3135" w:rsidP="00CF2386">
            <w:pPr>
              <w:pStyle w:val="Body"/>
              <w:numPr>
                <w:ilvl w:val="0"/>
                <w:numId w:val="41"/>
              </w:numPr>
            </w:pPr>
            <w:r>
              <w:t>documentation</w:t>
            </w:r>
          </w:p>
          <w:p w14:paraId="69662424" w14:textId="199A9A06" w:rsidR="002E3135" w:rsidRDefault="002E3135" w:rsidP="00CF2386">
            <w:pPr>
              <w:pStyle w:val="Body"/>
              <w:numPr>
                <w:ilvl w:val="0"/>
                <w:numId w:val="41"/>
              </w:numPr>
            </w:pPr>
            <w:r>
              <w:t>consent</w:t>
            </w:r>
          </w:p>
          <w:p w14:paraId="0E8557B7" w14:textId="5B13A3B5" w:rsidR="002E3135" w:rsidRDefault="002E3135" w:rsidP="00CF2386">
            <w:pPr>
              <w:pStyle w:val="Body"/>
              <w:numPr>
                <w:ilvl w:val="0"/>
                <w:numId w:val="41"/>
              </w:numPr>
            </w:pPr>
            <w:r>
              <w:t>observations</w:t>
            </w:r>
          </w:p>
          <w:p w14:paraId="7A0A6343" w14:textId="2C82CAC5" w:rsidR="006D0BCB" w:rsidRDefault="002E3135" w:rsidP="002E3135">
            <w:pPr>
              <w:pStyle w:val="Body"/>
            </w:pPr>
            <w:r>
              <w:t>Develop and implement quality improvement plans to improve practice.</w:t>
            </w:r>
          </w:p>
        </w:tc>
        <w:tc>
          <w:tcPr>
            <w:tcW w:w="3966" w:type="dxa"/>
          </w:tcPr>
          <w:p w14:paraId="1F0F5953" w14:textId="446B6054" w:rsidR="002E3135" w:rsidRDefault="002E3135" w:rsidP="002E3135">
            <w:pPr>
              <w:pStyle w:val="Body"/>
            </w:pPr>
            <w:r>
              <w:t>Develop patient safety key performance indicators (KPIs) and monitor (select the areas of concern relevant to organisation, may include one or more of the suggested TP KPIs.</w:t>
            </w:r>
          </w:p>
          <w:p w14:paraId="7B8EF0E8" w14:textId="606BB519" w:rsidR="006D0BCB" w:rsidRDefault="002E3135" w:rsidP="002E3135">
            <w:pPr>
              <w:pStyle w:val="Body"/>
            </w:pPr>
            <w:r>
              <w:t>Develop and implement quality improvement plans to improve practice.</w:t>
            </w:r>
          </w:p>
        </w:tc>
      </w:tr>
      <w:tr w:rsidR="006D0BCB" w14:paraId="5E9B9907" w14:textId="77777777" w:rsidTr="00CF2386">
        <w:tc>
          <w:tcPr>
            <w:tcW w:w="2263" w:type="dxa"/>
          </w:tcPr>
          <w:p w14:paraId="29E86E3B" w14:textId="3F231AEA" w:rsidR="006D0BCB" w:rsidRDefault="002E3135" w:rsidP="006D0BCB">
            <w:pPr>
              <w:pStyle w:val="Body"/>
            </w:pPr>
            <w:r>
              <w:t>To facilitate the local governance structure for blood management</w:t>
            </w:r>
          </w:p>
        </w:tc>
        <w:tc>
          <w:tcPr>
            <w:tcW w:w="3965" w:type="dxa"/>
          </w:tcPr>
          <w:p w14:paraId="0E028B99" w14:textId="77777777" w:rsidR="002E3135" w:rsidRDefault="002E3135" w:rsidP="002E3135">
            <w:pPr>
              <w:pStyle w:val="Body"/>
            </w:pPr>
            <w:r>
              <w:t>Support the BMC or blood management submissions for the relevant governance committee e.g.:</w:t>
            </w:r>
          </w:p>
          <w:p w14:paraId="12B230B2" w14:textId="77777777" w:rsidR="002E3135" w:rsidRDefault="002E3135" w:rsidP="002E3135">
            <w:pPr>
              <w:pStyle w:val="Body"/>
            </w:pPr>
            <w:r>
              <w:t>Secretarial support for the BMC – meeting invitations, agenda, minutes</w:t>
            </w:r>
          </w:p>
          <w:p w14:paraId="54D99810" w14:textId="5902D469" w:rsidR="006D0BCB" w:rsidRDefault="002E3135" w:rsidP="002E3135">
            <w:pPr>
              <w:pStyle w:val="Body"/>
            </w:pPr>
            <w:r>
              <w:t>Provide reports on relevant KPIs and present action / risk reduction plans to governance committee.</w:t>
            </w:r>
          </w:p>
        </w:tc>
        <w:tc>
          <w:tcPr>
            <w:tcW w:w="3966" w:type="dxa"/>
          </w:tcPr>
          <w:p w14:paraId="3AAB745B" w14:textId="6DB8261A" w:rsidR="006D0BCB" w:rsidRDefault="002E3135" w:rsidP="002E3135">
            <w:pPr>
              <w:pStyle w:val="Body"/>
            </w:pPr>
            <w:r>
              <w:t>Provide reports on relevant KPIs and present action / risk reduction plans to governance committee.</w:t>
            </w:r>
          </w:p>
        </w:tc>
      </w:tr>
      <w:tr w:rsidR="006D0BCB" w14:paraId="62E6DEBA" w14:textId="77777777" w:rsidTr="00CF2386">
        <w:tc>
          <w:tcPr>
            <w:tcW w:w="2263" w:type="dxa"/>
          </w:tcPr>
          <w:p w14:paraId="124A96CF" w14:textId="3BFFE335" w:rsidR="006D0BCB" w:rsidRDefault="002E3135" w:rsidP="006D0BCB">
            <w:pPr>
              <w:pStyle w:val="Body"/>
            </w:pPr>
            <w:r>
              <w:t>Act as a resource /subject matter expert</w:t>
            </w:r>
          </w:p>
        </w:tc>
        <w:tc>
          <w:tcPr>
            <w:tcW w:w="3965" w:type="dxa"/>
          </w:tcPr>
          <w:p w14:paraId="528840F0" w14:textId="7A12EA2E" w:rsidR="006D0BCB" w:rsidRDefault="002E3135" w:rsidP="006D0BCB">
            <w:pPr>
              <w:pStyle w:val="Body"/>
            </w:pPr>
            <w:r>
              <w:t>Provide specialist blood management knowledge to the multidisciplinary team to achieve the identified patient outcomes.</w:t>
            </w:r>
          </w:p>
        </w:tc>
        <w:tc>
          <w:tcPr>
            <w:tcW w:w="3966" w:type="dxa"/>
          </w:tcPr>
          <w:p w14:paraId="50302ACD" w14:textId="00F92C59" w:rsidR="006D0BCB" w:rsidRDefault="00FD6DDD" w:rsidP="006D0BCB">
            <w:pPr>
              <w:pStyle w:val="Body"/>
            </w:pPr>
            <w:r>
              <w:t>Provide specialist blood management knowledge to the multidisciplinary team to achieve the identified patient outcomes.</w:t>
            </w:r>
          </w:p>
        </w:tc>
      </w:tr>
      <w:tr w:rsidR="002E3135" w14:paraId="0988C44E" w14:textId="77777777" w:rsidTr="00CF2386">
        <w:tc>
          <w:tcPr>
            <w:tcW w:w="2263" w:type="dxa"/>
          </w:tcPr>
          <w:p w14:paraId="4DFB60C2" w14:textId="6181D314" w:rsidR="002E3135" w:rsidRDefault="002E3135" w:rsidP="002E3135">
            <w:pPr>
              <w:pStyle w:val="Body"/>
            </w:pPr>
            <w:r>
              <w:t>To ensure health service policies, procedures, and guidelines reflect national and international standards and guidelines for blood management and transfusion practice.</w:t>
            </w:r>
          </w:p>
        </w:tc>
        <w:tc>
          <w:tcPr>
            <w:tcW w:w="3965" w:type="dxa"/>
          </w:tcPr>
          <w:p w14:paraId="4C8B8CD8" w14:textId="77777777" w:rsidR="002E3135" w:rsidRDefault="002E3135" w:rsidP="002E3135">
            <w:pPr>
              <w:pStyle w:val="Body"/>
            </w:pPr>
            <w:r>
              <w:t>Use national and relevant international guidelines to assist in the development and review of blood management and transfusion practice policies and procedures.</w:t>
            </w:r>
          </w:p>
          <w:p w14:paraId="3FBBCE7D" w14:textId="77777777" w:rsidR="002E3135" w:rsidRDefault="002E3135" w:rsidP="002E3135">
            <w:pPr>
              <w:pStyle w:val="Body"/>
            </w:pPr>
          </w:p>
        </w:tc>
        <w:tc>
          <w:tcPr>
            <w:tcW w:w="3966" w:type="dxa"/>
          </w:tcPr>
          <w:p w14:paraId="27F5A09E" w14:textId="682E9ACD" w:rsidR="00FD6DDD" w:rsidRDefault="00FD6DDD" w:rsidP="00FD6DDD">
            <w:pPr>
              <w:pStyle w:val="Body"/>
            </w:pPr>
            <w:r>
              <w:t>Ensure national and relevant international guidelines are used in the development and review of blood management and transfusion practice policies and procedures.</w:t>
            </w:r>
          </w:p>
          <w:p w14:paraId="22ED6D59" w14:textId="77777777" w:rsidR="002E3135" w:rsidRDefault="002E3135" w:rsidP="002E3135">
            <w:pPr>
              <w:pStyle w:val="Body"/>
            </w:pPr>
          </w:p>
        </w:tc>
      </w:tr>
      <w:tr w:rsidR="002E3135" w14:paraId="1E9A90A3" w14:textId="77777777" w:rsidTr="00CF2386">
        <w:tc>
          <w:tcPr>
            <w:tcW w:w="2263" w:type="dxa"/>
          </w:tcPr>
          <w:p w14:paraId="5EDF9710" w14:textId="140B7506" w:rsidR="002E3135" w:rsidRDefault="002E3135" w:rsidP="002E3135">
            <w:pPr>
              <w:pStyle w:val="Body"/>
            </w:pPr>
            <w:r>
              <w:t xml:space="preserve">Monitor adherence to blood management </w:t>
            </w:r>
            <w:r>
              <w:lastRenderedPageBreak/>
              <w:t xml:space="preserve">policies and procedures. </w:t>
            </w:r>
          </w:p>
        </w:tc>
        <w:tc>
          <w:tcPr>
            <w:tcW w:w="3965" w:type="dxa"/>
          </w:tcPr>
          <w:p w14:paraId="16952C91" w14:textId="77777777" w:rsidR="002E3135" w:rsidRDefault="002E3135" w:rsidP="002E3135">
            <w:pPr>
              <w:pStyle w:val="Body"/>
            </w:pPr>
            <w:r>
              <w:lastRenderedPageBreak/>
              <w:t xml:space="preserve">Conduct local audits and participate in audits requested by the Department of </w:t>
            </w:r>
            <w:r>
              <w:lastRenderedPageBreak/>
              <w:t>Health through the Blood Matters Program.</w:t>
            </w:r>
          </w:p>
          <w:p w14:paraId="73DB71CB" w14:textId="77777777" w:rsidR="002E3135" w:rsidRDefault="002E3135" w:rsidP="002E3135">
            <w:pPr>
              <w:pStyle w:val="Body"/>
            </w:pPr>
            <w:r>
              <w:t>Monitoring local health service KPIs with regards to blood management and transfusion practice.</w:t>
            </w:r>
          </w:p>
          <w:p w14:paraId="44A95EA6" w14:textId="77777777" w:rsidR="002E3135" w:rsidRDefault="002E3135" w:rsidP="002E3135">
            <w:pPr>
              <w:pStyle w:val="Body"/>
            </w:pPr>
            <w:r>
              <w:t>Observation of clinical practice and provision of feedback.</w:t>
            </w:r>
          </w:p>
          <w:p w14:paraId="42B31987" w14:textId="30A0E158" w:rsidR="002E3135" w:rsidRDefault="002E3135" w:rsidP="002E3135">
            <w:pPr>
              <w:pStyle w:val="Body"/>
            </w:pPr>
            <w:r>
              <w:t>Report findings and develop action plans to improve practice.</w:t>
            </w:r>
          </w:p>
        </w:tc>
        <w:tc>
          <w:tcPr>
            <w:tcW w:w="3966" w:type="dxa"/>
          </w:tcPr>
          <w:p w14:paraId="4F66B1BE" w14:textId="77777777" w:rsidR="00FD6DDD" w:rsidRDefault="00FD6DDD" w:rsidP="00FD6DDD">
            <w:pPr>
              <w:pStyle w:val="Body"/>
            </w:pPr>
            <w:r>
              <w:lastRenderedPageBreak/>
              <w:t>Conduct local audits associated with the locally identified KPIs.</w:t>
            </w:r>
          </w:p>
          <w:p w14:paraId="7CF885B8" w14:textId="7CA192DC" w:rsidR="00FD6DDD" w:rsidRDefault="00FD6DDD" w:rsidP="00FD6DDD">
            <w:pPr>
              <w:pStyle w:val="Body"/>
            </w:pPr>
            <w:r>
              <w:lastRenderedPageBreak/>
              <w:t>Participate in audits requested by the Department of Health through the Blood Matters Program.</w:t>
            </w:r>
          </w:p>
          <w:p w14:paraId="53626CEF" w14:textId="77777777" w:rsidR="00FD6DDD" w:rsidRDefault="00FD6DDD" w:rsidP="00FD6DDD">
            <w:pPr>
              <w:pStyle w:val="Body"/>
            </w:pPr>
            <w:r>
              <w:t>Observation of clinical practice and provision of feedback.</w:t>
            </w:r>
          </w:p>
          <w:p w14:paraId="6BE72C47" w14:textId="013CD072" w:rsidR="002E3135" w:rsidRDefault="00FD6DDD" w:rsidP="00FD6DDD">
            <w:pPr>
              <w:pStyle w:val="Body"/>
            </w:pPr>
            <w:r>
              <w:t>Report findings and develop action plans to improve practice as time allows.</w:t>
            </w:r>
          </w:p>
        </w:tc>
      </w:tr>
      <w:tr w:rsidR="002E3135" w14:paraId="26F14AFB" w14:textId="77777777" w:rsidTr="00CF2386">
        <w:tc>
          <w:tcPr>
            <w:tcW w:w="2263" w:type="dxa"/>
          </w:tcPr>
          <w:p w14:paraId="51B172FF" w14:textId="0E748A60" w:rsidR="002E3135" w:rsidRDefault="002E3135" w:rsidP="002E3135">
            <w:pPr>
              <w:pStyle w:val="Body"/>
            </w:pPr>
            <w:r>
              <w:lastRenderedPageBreak/>
              <w:t>C</w:t>
            </w:r>
            <w:r w:rsidRPr="003B7385">
              <w:t xml:space="preserve">oordinate and assist with </w:t>
            </w:r>
            <w:r>
              <w:t>blood management</w:t>
            </w:r>
            <w:r w:rsidRPr="003B7385">
              <w:t xml:space="preserve"> training and </w:t>
            </w:r>
            <w:r>
              <w:t xml:space="preserve">staff </w:t>
            </w:r>
            <w:r w:rsidRPr="003B7385">
              <w:t>education</w:t>
            </w:r>
            <w:r w:rsidR="008E3AB1">
              <w:t>.</w:t>
            </w:r>
            <w:r>
              <w:t xml:space="preserve"> </w:t>
            </w:r>
          </w:p>
        </w:tc>
        <w:tc>
          <w:tcPr>
            <w:tcW w:w="3965" w:type="dxa"/>
          </w:tcPr>
          <w:p w14:paraId="0BA1E1EF" w14:textId="77777777" w:rsidR="002E3135" w:rsidRDefault="002E3135" w:rsidP="002E3135">
            <w:pPr>
              <w:pStyle w:val="Body"/>
            </w:pPr>
            <w:r>
              <w:t>Developing and delivering blood management education.</w:t>
            </w:r>
          </w:p>
          <w:p w14:paraId="5C655561" w14:textId="77777777" w:rsidR="002E3135" w:rsidRDefault="002E3135" w:rsidP="002E3135">
            <w:pPr>
              <w:pStyle w:val="Body"/>
            </w:pPr>
            <w:r>
              <w:t>Identifying learning resources and relevant education programs.</w:t>
            </w:r>
          </w:p>
          <w:p w14:paraId="1F957E60" w14:textId="11A0642A" w:rsidR="002E3135" w:rsidRDefault="002E3135" w:rsidP="002E3135">
            <w:pPr>
              <w:pStyle w:val="Body"/>
            </w:pPr>
            <w:r>
              <w:t>Distributing learning material and promot</w:t>
            </w:r>
            <w:r w:rsidR="00FD6DDD">
              <w:t>e</w:t>
            </w:r>
            <w:r>
              <w:t xml:space="preserve"> practice change and procedure updates as required.</w:t>
            </w:r>
          </w:p>
        </w:tc>
        <w:tc>
          <w:tcPr>
            <w:tcW w:w="3966" w:type="dxa"/>
          </w:tcPr>
          <w:p w14:paraId="4BE8E0A0" w14:textId="77777777" w:rsidR="00FD6DDD" w:rsidRDefault="00FD6DDD" w:rsidP="00FD6DDD">
            <w:pPr>
              <w:pStyle w:val="Body"/>
            </w:pPr>
            <w:r>
              <w:t>Identifying learning resources and relevant education programs.</w:t>
            </w:r>
          </w:p>
          <w:p w14:paraId="451DE544" w14:textId="50E89FF4" w:rsidR="002E3135" w:rsidRDefault="00FD6DDD" w:rsidP="00FD6DDD">
            <w:pPr>
              <w:pStyle w:val="Body"/>
            </w:pPr>
            <w:r>
              <w:t>Distributing learning material and promote practice change and procedure updates as required.</w:t>
            </w:r>
          </w:p>
        </w:tc>
      </w:tr>
      <w:tr w:rsidR="002E3135" w14:paraId="692076B0" w14:textId="77777777" w:rsidTr="006D0BCB">
        <w:tc>
          <w:tcPr>
            <w:tcW w:w="2263" w:type="dxa"/>
          </w:tcPr>
          <w:p w14:paraId="3D9AA437" w14:textId="6D68B702" w:rsidR="002E3135" w:rsidRDefault="002E3135" w:rsidP="002E3135">
            <w:pPr>
              <w:pStyle w:val="Body"/>
            </w:pPr>
            <w:r w:rsidRPr="003B7385">
              <w:t>Monitor and manage errors and adverse events</w:t>
            </w:r>
            <w:r>
              <w:t>,</w:t>
            </w:r>
            <w:r w:rsidRPr="003B7385">
              <w:t xml:space="preserve"> </w:t>
            </w:r>
            <w:r w:rsidR="009F161F" w:rsidRPr="003B7385">
              <w:t>develop,</w:t>
            </w:r>
            <w:r w:rsidRPr="003B7385">
              <w:t xml:space="preserve"> and promote </w:t>
            </w:r>
            <w:r>
              <w:t xml:space="preserve">a </w:t>
            </w:r>
            <w:r w:rsidRPr="003B7385">
              <w:t xml:space="preserve">risk reduction </w:t>
            </w:r>
            <w:r>
              <w:t xml:space="preserve">plan and/or </w:t>
            </w:r>
            <w:r w:rsidRPr="003B7385">
              <w:t>strategies.</w:t>
            </w:r>
          </w:p>
        </w:tc>
        <w:tc>
          <w:tcPr>
            <w:tcW w:w="3965" w:type="dxa"/>
          </w:tcPr>
          <w:p w14:paraId="44C61074" w14:textId="77777777" w:rsidR="002E3135" w:rsidRDefault="002E3135" w:rsidP="002E3135">
            <w:pPr>
              <w:pStyle w:val="Body"/>
            </w:pPr>
            <w:r>
              <w:t>Conduct audits and observation of transfusion practice.</w:t>
            </w:r>
          </w:p>
          <w:p w14:paraId="7D720036" w14:textId="77777777" w:rsidR="002E3135" w:rsidRDefault="002E3135" w:rsidP="002E3135">
            <w:pPr>
              <w:pStyle w:val="Body"/>
            </w:pPr>
            <w:r>
              <w:t>Develop communication channels with clinical staff.</w:t>
            </w:r>
          </w:p>
          <w:p w14:paraId="197F222A" w14:textId="7AD977AA" w:rsidR="002E3135" w:rsidRDefault="002E3135" w:rsidP="002E3135">
            <w:pPr>
              <w:pStyle w:val="Body"/>
            </w:pPr>
            <w:r>
              <w:t xml:space="preserve">Review and analyse adverse events and errors reported to the </w:t>
            </w:r>
            <w:r w:rsidR="008E3AB1">
              <w:t>t</w:t>
            </w:r>
            <w:r>
              <w:t xml:space="preserve">ransfusion </w:t>
            </w:r>
            <w:r w:rsidR="008E3AB1">
              <w:t>l</w:t>
            </w:r>
            <w:r>
              <w:t xml:space="preserve">aboratory, in local incident reporting system </w:t>
            </w:r>
            <w:r w:rsidR="008E3AB1">
              <w:t>(</w:t>
            </w:r>
            <w:r>
              <w:t>e.g. VHIMS</w:t>
            </w:r>
            <w:r w:rsidR="008E3AB1">
              <w:t>)</w:t>
            </w:r>
            <w:r>
              <w:t xml:space="preserve"> and provide staff feedback and aggregate reports.</w:t>
            </w:r>
          </w:p>
          <w:p w14:paraId="3D4E5330" w14:textId="03D0B7E3" w:rsidR="002E3135" w:rsidRDefault="002E3135" w:rsidP="002E3135">
            <w:pPr>
              <w:pStyle w:val="Body"/>
            </w:pPr>
            <w:r>
              <w:t xml:space="preserve">Report </w:t>
            </w:r>
            <w:r w:rsidR="008E3AB1">
              <w:t xml:space="preserve">adverse </w:t>
            </w:r>
            <w:r>
              <w:t>event</w:t>
            </w:r>
            <w:r w:rsidR="008E3AB1">
              <w:t>s</w:t>
            </w:r>
            <w:r>
              <w:t xml:space="preserve"> to the Serious Transfusion Incident Reporting (STIR) System or Australian Red Cross Lifeblood as appropriate. </w:t>
            </w:r>
          </w:p>
          <w:p w14:paraId="709AAA8B" w14:textId="00DA3F8B" w:rsidR="002E3135" w:rsidRDefault="002E3135" w:rsidP="002E3135">
            <w:pPr>
              <w:pStyle w:val="Body"/>
            </w:pPr>
            <w:r>
              <w:t xml:space="preserve">Use incident data to identify risks and inform risk reduction strategies. </w:t>
            </w:r>
          </w:p>
        </w:tc>
        <w:tc>
          <w:tcPr>
            <w:tcW w:w="3966" w:type="dxa"/>
          </w:tcPr>
          <w:p w14:paraId="55DCEDA1" w14:textId="77777777" w:rsidR="00FD6DDD" w:rsidRDefault="00FD6DDD" w:rsidP="00FD6DDD">
            <w:pPr>
              <w:pStyle w:val="Body"/>
            </w:pPr>
            <w:r>
              <w:t>Conduct audits and observation of transfusion practice.</w:t>
            </w:r>
          </w:p>
          <w:p w14:paraId="179522D7" w14:textId="77777777" w:rsidR="00FD6DDD" w:rsidRDefault="00FD6DDD" w:rsidP="00FD6DDD">
            <w:pPr>
              <w:pStyle w:val="Body"/>
            </w:pPr>
            <w:r>
              <w:t>Develop communication channels with clinical staff.</w:t>
            </w:r>
          </w:p>
          <w:p w14:paraId="77988B25" w14:textId="7B36BE5F" w:rsidR="00FD6DDD" w:rsidRDefault="00FD6DDD" w:rsidP="00FD6DDD">
            <w:pPr>
              <w:pStyle w:val="Body"/>
            </w:pPr>
            <w:r>
              <w:t>Respond to adverse events and errors reported provide staff feedback.</w:t>
            </w:r>
          </w:p>
          <w:p w14:paraId="67C596BA" w14:textId="08962181" w:rsidR="002E3135" w:rsidRDefault="008E3AB1" w:rsidP="00FD6DDD">
            <w:pPr>
              <w:pStyle w:val="Body"/>
            </w:pPr>
            <w:r w:rsidRPr="008E3AB1">
              <w:t xml:space="preserve">Report adverse </w:t>
            </w:r>
            <w:r w:rsidR="00FD6DDD">
              <w:t>events to the Serious Transfusion Incident Reporting (STIR) System or Australian Red Cross Lifeblood as appropriate</w:t>
            </w:r>
          </w:p>
          <w:p w14:paraId="788D8B28" w14:textId="2590D477" w:rsidR="00FD6DDD" w:rsidRDefault="00FD6DDD" w:rsidP="00FD6DDD">
            <w:pPr>
              <w:pStyle w:val="Body"/>
            </w:pPr>
            <w:r>
              <w:t>Where able use incident data to identify risks and inform risk reduction strategies.</w:t>
            </w:r>
          </w:p>
        </w:tc>
      </w:tr>
      <w:tr w:rsidR="002E3135" w14:paraId="288928AB" w14:textId="77777777" w:rsidTr="006D0BCB">
        <w:tc>
          <w:tcPr>
            <w:tcW w:w="2263" w:type="dxa"/>
          </w:tcPr>
          <w:p w14:paraId="7285A5D0" w14:textId="0290003F" w:rsidR="002E3135" w:rsidRDefault="002E3135" w:rsidP="002E3135">
            <w:pPr>
              <w:pStyle w:val="Body"/>
            </w:pPr>
            <w:r>
              <w:t>P</w:t>
            </w:r>
            <w:r w:rsidRPr="00B22684">
              <w:t xml:space="preserve">romote </w:t>
            </w:r>
            <w:r w:rsidR="005763D0">
              <w:t xml:space="preserve">patient </w:t>
            </w:r>
            <w:r w:rsidRPr="00B22684">
              <w:t>participation</w:t>
            </w:r>
            <w:r>
              <w:t>.</w:t>
            </w:r>
            <w:r w:rsidRPr="00B22684">
              <w:t xml:space="preserve"> </w:t>
            </w:r>
          </w:p>
        </w:tc>
        <w:tc>
          <w:tcPr>
            <w:tcW w:w="3965" w:type="dxa"/>
          </w:tcPr>
          <w:p w14:paraId="562DC9BE" w14:textId="110ED89F" w:rsidR="002E3135" w:rsidRDefault="002E3135" w:rsidP="002E3135">
            <w:pPr>
              <w:pStyle w:val="Body"/>
            </w:pPr>
            <w:r>
              <w:t xml:space="preserve">Promote </w:t>
            </w:r>
            <w:r w:rsidR="005763D0">
              <w:t xml:space="preserve">patient </w:t>
            </w:r>
            <w:r>
              <w:t xml:space="preserve">advocacy and support the consumer </w:t>
            </w:r>
            <w:r w:rsidR="005763D0">
              <w:t xml:space="preserve">representative </w:t>
            </w:r>
            <w:r>
              <w:t>of the BMC.</w:t>
            </w:r>
          </w:p>
          <w:p w14:paraId="35A15671" w14:textId="01991785" w:rsidR="002E3135" w:rsidRDefault="002E3135" w:rsidP="002E3135">
            <w:pPr>
              <w:pStyle w:val="Body"/>
            </w:pPr>
            <w:r>
              <w:t xml:space="preserve">Use </w:t>
            </w:r>
            <w:r w:rsidR="005763D0">
              <w:t xml:space="preserve">patient </w:t>
            </w:r>
            <w:r>
              <w:t>education / information materials for blood that have been developed or reviewed with consumers.</w:t>
            </w:r>
          </w:p>
          <w:p w14:paraId="097DED6B" w14:textId="6927EEEE" w:rsidR="002E3135" w:rsidRDefault="005763D0" w:rsidP="002E3135">
            <w:pPr>
              <w:pStyle w:val="Body"/>
            </w:pPr>
            <w:r>
              <w:t xml:space="preserve">Patient </w:t>
            </w:r>
            <w:r w:rsidR="002E3135">
              <w:t xml:space="preserve">information materials are up to date and available to all relevant consumers. </w:t>
            </w:r>
          </w:p>
          <w:p w14:paraId="3F09D679" w14:textId="4D6E6CF4" w:rsidR="002E3135" w:rsidRDefault="005763D0" w:rsidP="002E3135">
            <w:pPr>
              <w:pStyle w:val="Body"/>
            </w:pPr>
            <w:r>
              <w:t xml:space="preserve">Patient </w:t>
            </w:r>
            <w:r w:rsidR="002E3135">
              <w:t xml:space="preserve">information is available in different languages and methods of communication are available and appropriate for the </w:t>
            </w:r>
            <w:r>
              <w:t>patient</w:t>
            </w:r>
            <w:r w:rsidR="002E3135">
              <w:t>.</w:t>
            </w:r>
          </w:p>
          <w:p w14:paraId="7775A710" w14:textId="77777777" w:rsidR="002E3135" w:rsidRDefault="002E3135" w:rsidP="002E3135">
            <w:pPr>
              <w:pStyle w:val="Body"/>
            </w:pPr>
            <w:r>
              <w:t>Patients and relatives indicate a high level of satisfaction in regard to blood management support and information given.</w:t>
            </w:r>
          </w:p>
          <w:p w14:paraId="0C371E1E" w14:textId="7796F91C" w:rsidR="002E3135" w:rsidRDefault="002E3135" w:rsidP="002E3135">
            <w:pPr>
              <w:pStyle w:val="Body"/>
            </w:pPr>
            <w:r>
              <w:t>Processes are in place to assist patients to consent or refuse blood and blood product transfusion.</w:t>
            </w:r>
          </w:p>
        </w:tc>
        <w:tc>
          <w:tcPr>
            <w:tcW w:w="3966" w:type="dxa"/>
          </w:tcPr>
          <w:p w14:paraId="32A914B8" w14:textId="20569A45" w:rsidR="00FD6DDD" w:rsidRDefault="00FD6DDD" w:rsidP="00FD6DDD">
            <w:pPr>
              <w:pStyle w:val="Body"/>
            </w:pPr>
            <w:r>
              <w:t xml:space="preserve">Promote </w:t>
            </w:r>
            <w:r w:rsidR="005763D0">
              <w:t xml:space="preserve">patient </w:t>
            </w:r>
            <w:r>
              <w:t xml:space="preserve">advocacy </w:t>
            </w:r>
          </w:p>
          <w:p w14:paraId="59AD21C2" w14:textId="35690370" w:rsidR="00FD6DDD" w:rsidRDefault="00FD6DDD" w:rsidP="00FD6DDD">
            <w:pPr>
              <w:pStyle w:val="Body"/>
            </w:pPr>
            <w:r>
              <w:t xml:space="preserve">Use </w:t>
            </w:r>
            <w:r w:rsidR="005763D0">
              <w:t xml:space="preserve">patient </w:t>
            </w:r>
            <w:r>
              <w:t>education / information materials for blood that have been developed or reviewed with consumers.</w:t>
            </w:r>
          </w:p>
          <w:p w14:paraId="61F4E591" w14:textId="18B5A646" w:rsidR="00FD6DDD" w:rsidRDefault="005763D0" w:rsidP="00FD6DDD">
            <w:pPr>
              <w:pStyle w:val="Body"/>
            </w:pPr>
            <w:r>
              <w:t xml:space="preserve">Patient </w:t>
            </w:r>
            <w:r w:rsidR="00FD6DDD">
              <w:t xml:space="preserve">information materials are up to date and available to all relevant consumers. </w:t>
            </w:r>
          </w:p>
          <w:p w14:paraId="0B17E091" w14:textId="408494F8" w:rsidR="00FD6DDD" w:rsidRDefault="005763D0" w:rsidP="00FD6DDD">
            <w:pPr>
              <w:pStyle w:val="Body"/>
            </w:pPr>
            <w:r>
              <w:t xml:space="preserve">Patient </w:t>
            </w:r>
            <w:r w:rsidR="00FD6DDD">
              <w:t xml:space="preserve">information is available in different languages and methods of communication are available and appropriate for the </w:t>
            </w:r>
            <w:r>
              <w:t>patient</w:t>
            </w:r>
            <w:r w:rsidR="00FD6DDD">
              <w:t>.</w:t>
            </w:r>
          </w:p>
          <w:p w14:paraId="398B1A9F" w14:textId="0B18680C" w:rsidR="002E3135" w:rsidRDefault="00FD6DDD" w:rsidP="00FD6DDD">
            <w:pPr>
              <w:pStyle w:val="Body"/>
            </w:pPr>
            <w:r>
              <w:t>Processes are in place to assist patients to consent or refuse blood</w:t>
            </w:r>
          </w:p>
        </w:tc>
      </w:tr>
      <w:tr w:rsidR="002E3135" w14:paraId="1A830FCF" w14:textId="77777777" w:rsidTr="006D0BCB">
        <w:tc>
          <w:tcPr>
            <w:tcW w:w="2263" w:type="dxa"/>
          </w:tcPr>
          <w:p w14:paraId="4A5BB391" w14:textId="3953CF20" w:rsidR="002E3135" w:rsidRDefault="002E3135" w:rsidP="002E3135">
            <w:pPr>
              <w:pStyle w:val="Body"/>
            </w:pPr>
            <w:r>
              <w:t>To promote change management strategies that are consistent with organisational practices and reflect the quality improvement and risk reduction action plans.</w:t>
            </w:r>
          </w:p>
        </w:tc>
        <w:tc>
          <w:tcPr>
            <w:tcW w:w="3965" w:type="dxa"/>
          </w:tcPr>
          <w:p w14:paraId="38DEBA04" w14:textId="442FB4ED" w:rsidR="002E3135" w:rsidRDefault="002E3135" w:rsidP="002E3135">
            <w:pPr>
              <w:pStyle w:val="Body"/>
            </w:pPr>
            <w:r>
              <w:t>Develop (or contribute to) in consultation with appropriate stakeholders</w:t>
            </w:r>
            <w:r w:rsidR="001244F5">
              <w:t>,</w:t>
            </w:r>
            <w:r>
              <w:t xml:space="preserve"> improvement / quality action plans and risk reduction </w:t>
            </w:r>
            <w:r w:rsidR="005763D0">
              <w:t>strategies.</w:t>
            </w:r>
          </w:p>
          <w:p w14:paraId="3B04B13F" w14:textId="539300A5" w:rsidR="002E3135" w:rsidRDefault="002E3135" w:rsidP="002E3135">
            <w:pPr>
              <w:pStyle w:val="Body"/>
            </w:pPr>
            <w:r>
              <w:t>The quality and risk reduction action plans are reviewed and endorsed by the BMC (or equivalent).</w:t>
            </w:r>
          </w:p>
        </w:tc>
        <w:tc>
          <w:tcPr>
            <w:tcW w:w="3966" w:type="dxa"/>
          </w:tcPr>
          <w:p w14:paraId="3FDD3E5D" w14:textId="6D709C4C" w:rsidR="00FD6DDD" w:rsidRDefault="00FD6DDD" w:rsidP="00FD6DDD">
            <w:pPr>
              <w:pStyle w:val="Body"/>
            </w:pPr>
            <w:r>
              <w:t>Develop (or contribute to) in consultation with appropriate stakeholders</w:t>
            </w:r>
            <w:r w:rsidR="001244F5">
              <w:t>,</w:t>
            </w:r>
            <w:r>
              <w:t xml:space="preserve"> improvement / quality action plans and risk reduction</w:t>
            </w:r>
            <w:r w:rsidR="005763D0">
              <w:t xml:space="preserve"> strategies.</w:t>
            </w:r>
          </w:p>
          <w:p w14:paraId="3E10831F" w14:textId="5CF83CEB" w:rsidR="002E3135" w:rsidRDefault="002E3135" w:rsidP="00FD6DDD">
            <w:pPr>
              <w:pStyle w:val="Body"/>
            </w:pPr>
          </w:p>
        </w:tc>
      </w:tr>
    </w:tbl>
    <w:p w14:paraId="5DCDFE04" w14:textId="77777777" w:rsidR="006D0BCB" w:rsidRDefault="006D0BCB" w:rsidP="006D0BCB">
      <w:pPr>
        <w:pStyle w:val="Body"/>
      </w:pPr>
    </w:p>
    <w:p w14:paraId="12CF3755" w14:textId="77FF6830" w:rsidR="00995AD9" w:rsidRDefault="00995AD9" w:rsidP="00995AD9">
      <w:pPr>
        <w:pStyle w:val="Heading3"/>
      </w:pPr>
      <w:r>
        <w:t>Selection criteria</w:t>
      </w:r>
    </w:p>
    <w:p w14:paraId="24386B07" w14:textId="758F394B" w:rsidR="003B7385" w:rsidRDefault="00995AD9" w:rsidP="00023C4A">
      <w:pPr>
        <w:pStyle w:val="Heading4"/>
      </w:pPr>
      <w:r>
        <w:t>Essential</w:t>
      </w:r>
    </w:p>
    <w:p w14:paraId="6366F4C3" w14:textId="143810FD" w:rsidR="00995AD9" w:rsidRDefault="00995AD9" w:rsidP="00995AD9">
      <w:pPr>
        <w:pStyle w:val="Body"/>
        <w:numPr>
          <w:ilvl w:val="0"/>
          <w:numId w:val="45"/>
        </w:numPr>
      </w:pPr>
      <w:r>
        <w:t xml:space="preserve">Registered Nurse (Division 1) with the Nursing and Midwifery Board of Australia with at least </w:t>
      </w:r>
      <w:r w:rsidR="003A007A">
        <w:t>5</w:t>
      </w:r>
      <w:r>
        <w:t xml:space="preserve"> years’ experience in </w:t>
      </w:r>
      <w:r w:rsidR="003A007A">
        <w:t xml:space="preserve">an </w:t>
      </w:r>
      <w:r>
        <w:t>acute patient care setting and basic haematology skills and knowledge</w:t>
      </w:r>
      <w:r w:rsidR="003A007A">
        <w:t xml:space="preserve"> OR</w:t>
      </w:r>
    </w:p>
    <w:p w14:paraId="7FC8CCB4" w14:textId="56C828D3" w:rsidR="00995AD9" w:rsidRDefault="00995AD9" w:rsidP="003A007A">
      <w:pPr>
        <w:pStyle w:val="Body"/>
        <w:numPr>
          <w:ilvl w:val="0"/>
          <w:numId w:val="45"/>
        </w:numPr>
      </w:pPr>
      <w:r>
        <w:t xml:space="preserve">Blood Bank Scientist with at least 3 years’ experience in </w:t>
      </w:r>
      <w:r w:rsidR="003A007A">
        <w:t xml:space="preserve">an </w:t>
      </w:r>
      <w:r>
        <w:t>acute setting and basic haematology skills and knowledge</w:t>
      </w:r>
      <w:r w:rsidR="003A007A">
        <w:t xml:space="preserve"> </w:t>
      </w:r>
    </w:p>
    <w:p w14:paraId="28B8334D" w14:textId="6541ABE7" w:rsidR="003A007A" w:rsidRDefault="003A007A" w:rsidP="009D4185">
      <w:pPr>
        <w:pStyle w:val="Body"/>
        <w:numPr>
          <w:ilvl w:val="0"/>
          <w:numId w:val="45"/>
        </w:numPr>
      </w:pPr>
      <w:r>
        <w:t>Has a postgraduate qualification in transfusion practice or completed</w:t>
      </w:r>
      <w:r w:rsidR="00C73778">
        <w:t xml:space="preserve"> or prepared to</w:t>
      </w:r>
      <w:r>
        <w:t xml:space="preserve"> undertak</w:t>
      </w:r>
      <w:r w:rsidR="00C73778">
        <w:t>e</w:t>
      </w:r>
      <w:r>
        <w:t xml:space="preserve"> the TP </w:t>
      </w:r>
      <w:proofErr w:type="spellStart"/>
      <w:r>
        <w:t>microcredentials</w:t>
      </w:r>
      <w:proofErr w:type="spellEnd"/>
      <w:r>
        <w:t xml:space="preserve"> course offered by the Australian Red Cross Lifeblood</w:t>
      </w:r>
      <w:r w:rsidR="009F161F">
        <w:t xml:space="preserve">. </w:t>
      </w:r>
    </w:p>
    <w:p w14:paraId="35E9A533" w14:textId="77777777" w:rsidR="00023C4A" w:rsidRDefault="00995AD9" w:rsidP="008C790A">
      <w:pPr>
        <w:pStyle w:val="Body"/>
        <w:numPr>
          <w:ilvl w:val="0"/>
          <w:numId w:val="45"/>
        </w:numPr>
      </w:pPr>
      <w:r>
        <w:t>Demonstrated excellence in interpersonal skills and ability to develop positive working relationships with a broad range of professional disciplines</w:t>
      </w:r>
    </w:p>
    <w:p w14:paraId="5072B4C0" w14:textId="71997CF9" w:rsidR="00023C4A" w:rsidRDefault="00023C4A" w:rsidP="008C790A">
      <w:pPr>
        <w:pStyle w:val="Body"/>
        <w:numPr>
          <w:ilvl w:val="0"/>
          <w:numId w:val="45"/>
        </w:numPr>
      </w:pPr>
      <w:r>
        <w:t>Demonstrated understanding of the Blood Management Standard</w:t>
      </w:r>
    </w:p>
    <w:p w14:paraId="759F2220" w14:textId="77777777" w:rsidR="00023C4A" w:rsidRDefault="00995AD9" w:rsidP="004106E1">
      <w:pPr>
        <w:pStyle w:val="Body"/>
        <w:numPr>
          <w:ilvl w:val="0"/>
          <w:numId w:val="45"/>
        </w:numPr>
      </w:pPr>
      <w:r>
        <w:t>Excellent organisational skills</w:t>
      </w:r>
    </w:p>
    <w:p w14:paraId="774C4744" w14:textId="77777777" w:rsidR="00023C4A" w:rsidRDefault="00995AD9" w:rsidP="00C348F7">
      <w:pPr>
        <w:pStyle w:val="Body"/>
        <w:numPr>
          <w:ilvl w:val="0"/>
          <w:numId w:val="45"/>
        </w:numPr>
      </w:pPr>
      <w:r>
        <w:t>Ability to negotiate and resolve problems in a collaborative or independent manner</w:t>
      </w:r>
    </w:p>
    <w:p w14:paraId="0E09B296" w14:textId="5461AF30" w:rsidR="00995AD9" w:rsidRDefault="00995AD9" w:rsidP="00C348F7">
      <w:pPr>
        <w:pStyle w:val="Body"/>
        <w:numPr>
          <w:ilvl w:val="0"/>
          <w:numId w:val="45"/>
        </w:numPr>
      </w:pPr>
      <w:r>
        <w:t xml:space="preserve">High level of written and verbal communication, including computer skills </w:t>
      </w:r>
    </w:p>
    <w:p w14:paraId="2EC77313" w14:textId="77777777" w:rsidR="00995AD9" w:rsidRDefault="00995AD9" w:rsidP="00023C4A">
      <w:pPr>
        <w:pStyle w:val="Heading4"/>
      </w:pPr>
      <w:r>
        <w:t>Desirable:</w:t>
      </w:r>
    </w:p>
    <w:p w14:paraId="4F78F2D8" w14:textId="77777777" w:rsidR="00023C4A" w:rsidRDefault="00023C4A" w:rsidP="00AD57F9">
      <w:pPr>
        <w:pStyle w:val="Body"/>
        <w:numPr>
          <w:ilvl w:val="0"/>
          <w:numId w:val="46"/>
        </w:numPr>
      </w:pPr>
      <w:r>
        <w:t>An</w:t>
      </w:r>
      <w:r w:rsidR="00995AD9">
        <w:t xml:space="preserve"> understanding of quality and safety improvement principles</w:t>
      </w:r>
      <w:r>
        <w:t xml:space="preserve"> and change management methodologies</w:t>
      </w:r>
    </w:p>
    <w:p w14:paraId="71128DB2" w14:textId="6B373CDB" w:rsidR="00023C4A" w:rsidRDefault="00023C4A" w:rsidP="00AD57F9">
      <w:pPr>
        <w:pStyle w:val="Body"/>
        <w:numPr>
          <w:ilvl w:val="0"/>
          <w:numId w:val="46"/>
        </w:numPr>
      </w:pPr>
      <w:r>
        <w:t>Experience in project management</w:t>
      </w:r>
    </w:p>
    <w:p w14:paraId="1DD373E8" w14:textId="3F0A84FE" w:rsidR="00995AD9" w:rsidRDefault="00023C4A" w:rsidP="00AD57F9">
      <w:pPr>
        <w:pStyle w:val="Body"/>
        <w:numPr>
          <w:ilvl w:val="0"/>
          <w:numId w:val="46"/>
        </w:numPr>
      </w:pPr>
      <w:r>
        <w:t xml:space="preserve">Experience in </w:t>
      </w:r>
      <w:r w:rsidR="00995AD9">
        <w:t xml:space="preserve">training and education 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4E9BFA0E" w14:textId="77777777" w:rsidTr="00EC40D5">
        <w:tc>
          <w:tcPr>
            <w:tcW w:w="10194" w:type="dxa"/>
          </w:tcPr>
          <w:p w14:paraId="0DA762B2" w14:textId="7DFF48AA" w:rsidR="0055119B" w:rsidRPr="0055119B" w:rsidRDefault="0055119B" w:rsidP="0055119B">
            <w:pPr>
              <w:pStyle w:val="Accessibilitypara"/>
            </w:pPr>
            <w:bookmarkStart w:id="0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email </w:t>
            </w:r>
            <w:hyperlink r:id="rId15" w:history="1">
              <w:r w:rsidR="00023C4A" w:rsidRPr="00023C4A">
                <w:rPr>
                  <w:rStyle w:val="Hyperlink"/>
                </w:rPr>
                <w:t>Blood Matters Program</w:t>
              </w:r>
            </w:hyperlink>
            <w:r w:rsidRPr="0055119B">
              <w:rPr>
                <w:color w:val="004C97"/>
              </w:rPr>
              <w:t xml:space="preserve">, </w:t>
            </w:r>
            <w:r w:rsidRPr="0055119B">
              <w:t>&lt;</w:t>
            </w:r>
            <w:r w:rsidR="00023C4A">
              <w:t>bloodmatters@redcrossblood.org.au</w:t>
            </w:r>
            <w:r w:rsidRPr="0055119B">
              <w:t>&gt;.</w:t>
            </w:r>
          </w:p>
          <w:p w14:paraId="69820141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3B771C77" w14:textId="05499CE8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1D51DB" w:rsidRPr="00BA4140">
              <w:t>December 2024</w:t>
            </w:r>
            <w:r w:rsidRPr="0055119B">
              <w:t>.</w:t>
            </w:r>
          </w:p>
          <w:p w14:paraId="083DB958" w14:textId="257CD8AE" w:rsidR="001D51DB" w:rsidRDefault="001D51DB" w:rsidP="000C5EE5">
            <w:pPr>
              <w:pStyle w:val="Imprint"/>
            </w:pPr>
            <w:r w:rsidRPr="00BA4140">
              <w:rPr>
                <w:b/>
                <w:bCs/>
              </w:rPr>
              <w:t>ISBN 978-1-76131-734-7 (pdf/word/online)</w:t>
            </w:r>
            <w:r w:rsidRPr="00BA4140">
              <w:t xml:space="preserve"> </w:t>
            </w:r>
          </w:p>
          <w:p w14:paraId="6629046F" w14:textId="05758360" w:rsidR="0055119B" w:rsidRDefault="0055119B" w:rsidP="000C5EE5">
            <w:pPr>
              <w:pStyle w:val="Imprint"/>
            </w:pPr>
            <w:r w:rsidRPr="0055119B">
              <w:t xml:space="preserve">Available at </w:t>
            </w:r>
            <w:hyperlink r:id="rId16" w:history="1">
              <w:r w:rsidR="000C5EE5" w:rsidRPr="000C5EE5">
                <w:rPr>
                  <w:rStyle w:val="Hyperlink"/>
                </w:rPr>
                <w:t>Blood Matters Program</w:t>
              </w:r>
            </w:hyperlink>
            <w:r w:rsidRPr="0055119B">
              <w:t xml:space="preserve"> &lt;</w:t>
            </w:r>
            <w:r w:rsidR="000C5EE5" w:rsidRPr="000C5EE5">
              <w:rPr>
                <w:color w:val="004C97"/>
              </w:rPr>
              <w:t>https://www.health.vic.gov.au/patient-care/blood-matters-program</w:t>
            </w:r>
            <w:r w:rsidRPr="0055119B">
              <w:t>&gt;</w:t>
            </w:r>
          </w:p>
        </w:tc>
      </w:tr>
      <w:bookmarkEnd w:id="0"/>
    </w:tbl>
    <w:p w14:paraId="50D4BBDC" w14:textId="77777777" w:rsidR="00162CA9" w:rsidRDefault="00162CA9" w:rsidP="00162CA9">
      <w:pPr>
        <w:pStyle w:val="Body"/>
      </w:pPr>
    </w:p>
    <w:sectPr w:rsidR="00162CA9" w:rsidSect="00D5409D">
      <w:footerReference w:type="default" r:id="rId1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85DF9" w14:textId="77777777" w:rsidR="00577E56" w:rsidRDefault="00577E56">
      <w:r>
        <w:separator/>
      </w:r>
    </w:p>
  </w:endnote>
  <w:endnote w:type="continuationSeparator" w:id="0">
    <w:p w14:paraId="621C2C8F" w14:textId="77777777" w:rsidR="00577E56" w:rsidRDefault="0057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F52B7" w14:textId="77777777" w:rsidR="00E261B3" w:rsidRPr="00F65AA9" w:rsidRDefault="0001677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6160" behindDoc="1" locked="1" layoutInCell="1" allowOverlap="1" wp14:anchorId="03FD0602" wp14:editId="1CDC377F">
          <wp:simplePos x="0" y="0"/>
          <wp:positionH relativeFrom="page">
            <wp:posOffset>0</wp:posOffset>
          </wp:positionH>
          <wp:positionV relativeFrom="page">
            <wp:posOffset>9536430</wp:posOffset>
          </wp:positionV>
          <wp:extent cx="7559675" cy="1156335"/>
          <wp:effectExtent l="0" t="0" r="0" b="0"/>
          <wp:wrapNone/>
          <wp:docPr id="4" name="Picture 4" descr="Victoria State Government&#10;Australian Red Cross&#10;Blood Matt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Victoria State Government&#10;Australian Red Cross&#10;Blood Matters"/>
                  <pic:cNvPicPr/>
                </pic:nvPicPr>
                <pic:blipFill rotWithShape="1">
                  <a:blip r:embed="rId1"/>
                  <a:srcRect t="89176"/>
                  <a:stretch/>
                </pic:blipFill>
                <pic:spPr bwMode="auto">
                  <a:xfrm>
                    <a:off x="0" y="0"/>
                    <a:ext cx="7559675" cy="1156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4749C287" wp14:editId="73B8822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0C18D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9C287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50C18D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A2778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0" allowOverlap="1" wp14:anchorId="08659BC3" wp14:editId="3D1544E8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8611A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659BC3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0B8611A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B0468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7401538B" wp14:editId="71EEDE7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F17A82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1538B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6F17A82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8885E" w14:textId="77777777" w:rsidR="00577E56" w:rsidRDefault="00577E56" w:rsidP="002862F1">
      <w:pPr>
        <w:spacing w:before="120"/>
      </w:pPr>
      <w:r>
        <w:separator/>
      </w:r>
    </w:p>
  </w:footnote>
  <w:footnote w:type="continuationSeparator" w:id="0">
    <w:p w14:paraId="6D967DE5" w14:textId="77777777" w:rsidR="00577E56" w:rsidRDefault="00577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5F6E8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7C669BC"/>
    <w:multiLevelType w:val="hybridMultilevel"/>
    <w:tmpl w:val="41E68B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034409B"/>
    <w:multiLevelType w:val="hybridMultilevel"/>
    <w:tmpl w:val="51B640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DC70DC"/>
    <w:multiLevelType w:val="hybridMultilevel"/>
    <w:tmpl w:val="86528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D3453F"/>
    <w:multiLevelType w:val="hybridMultilevel"/>
    <w:tmpl w:val="8FA8C3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40AE7"/>
    <w:multiLevelType w:val="hybridMultilevel"/>
    <w:tmpl w:val="DB3E6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3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2FB66ED"/>
    <w:multiLevelType w:val="hybridMultilevel"/>
    <w:tmpl w:val="C8DC13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47043"/>
    <w:multiLevelType w:val="hybridMultilevel"/>
    <w:tmpl w:val="B226E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C03C7E">
      <w:numFmt w:val="bullet"/>
      <w:lvlText w:val="•"/>
      <w:lvlJc w:val="left"/>
      <w:pPr>
        <w:ind w:left="1800" w:hanging="720"/>
      </w:pPr>
      <w:rPr>
        <w:rFonts w:ascii="Arial" w:eastAsia="Times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43123A9"/>
    <w:multiLevelType w:val="hybridMultilevel"/>
    <w:tmpl w:val="14869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8920638">
    <w:abstractNumId w:val="10"/>
  </w:num>
  <w:num w:numId="2" w16cid:durableId="1367021376">
    <w:abstractNumId w:val="22"/>
  </w:num>
  <w:num w:numId="3" w16cid:durableId="1757340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08630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41154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66404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3786599">
    <w:abstractNumId w:val="29"/>
  </w:num>
  <w:num w:numId="8" w16cid:durableId="772172347">
    <w:abstractNumId w:val="21"/>
  </w:num>
  <w:num w:numId="9" w16cid:durableId="308289691">
    <w:abstractNumId w:val="27"/>
  </w:num>
  <w:num w:numId="10" w16cid:durableId="12225207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7185097">
    <w:abstractNumId w:val="30"/>
  </w:num>
  <w:num w:numId="12" w16cid:durableId="19622994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8460523">
    <w:abstractNumId w:val="23"/>
  </w:num>
  <w:num w:numId="14" w16cid:durableId="17640625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84319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25994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04628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5373222">
    <w:abstractNumId w:val="32"/>
  </w:num>
  <w:num w:numId="19" w16cid:durableId="6974625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56336893">
    <w:abstractNumId w:val="15"/>
  </w:num>
  <w:num w:numId="21" w16cid:durableId="1783062819">
    <w:abstractNumId w:val="12"/>
  </w:num>
  <w:num w:numId="22" w16cid:durableId="21457797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036226">
    <w:abstractNumId w:val="18"/>
  </w:num>
  <w:num w:numId="24" w16cid:durableId="1436440505">
    <w:abstractNumId w:val="33"/>
  </w:num>
  <w:num w:numId="25" w16cid:durableId="777988684">
    <w:abstractNumId w:val="31"/>
  </w:num>
  <w:num w:numId="26" w16cid:durableId="86537621">
    <w:abstractNumId w:val="25"/>
  </w:num>
  <w:num w:numId="27" w16cid:durableId="1494641684">
    <w:abstractNumId w:val="11"/>
  </w:num>
  <w:num w:numId="28" w16cid:durableId="433332264">
    <w:abstractNumId w:val="34"/>
  </w:num>
  <w:num w:numId="29" w16cid:durableId="548222136">
    <w:abstractNumId w:val="9"/>
  </w:num>
  <w:num w:numId="30" w16cid:durableId="1425110585">
    <w:abstractNumId w:val="7"/>
  </w:num>
  <w:num w:numId="31" w16cid:durableId="1358852518">
    <w:abstractNumId w:val="6"/>
  </w:num>
  <w:num w:numId="32" w16cid:durableId="99182049">
    <w:abstractNumId w:val="5"/>
  </w:num>
  <w:num w:numId="33" w16cid:durableId="475493899">
    <w:abstractNumId w:val="4"/>
  </w:num>
  <w:num w:numId="34" w16cid:durableId="1943999371">
    <w:abstractNumId w:val="8"/>
  </w:num>
  <w:num w:numId="35" w16cid:durableId="1992363214">
    <w:abstractNumId w:val="3"/>
  </w:num>
  <w:num w:numId="36" w16cid:durableId="113139994">
    <w:abstractNumId w:val="2"/>
  </w:num>
  <w:num w:numId="37" w16cid:durableId="2032219371">
    <w:abstractNumId w:val="1"/>
  </w:num>
  <w:num w:numId="38" w16cid:durableId="276103952">
    <w:abstractNumId w:val="0"/>
  </w:num>
  <w:num w:numId="39" w16cid:durableId="9559824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45333688">
    <w:abstractNumId w:val="28"/>
  </w:num>
  <w:num w:numId="41" w16cid:durableId="756827345">
    <w:abstractNumId w:val="26"/>
  </w:num>
  <w:num w:numId="42" w16cid:durableId="1927616958">
    <w:abstractNumId w:val="24"/>
  </w:num>
  <w:num w:numId="43" w16cid:durableId="1672373672">
    <w:abstractNumId w:val="19"/>
  </w:num>
  <w:num w:numId="44" w16cid:durableId="1007556095">
    <w:abstractNumId w:val="13"/>
  </w:num>
  <w:num w:numId="45" w16cid:durableId="1114514734">
    <w:abstractNumId w:val="17"/>
  </w:num>
  <w:num w:numId="46" w16cid:durableId="1884051001">
    <w:abstractNumId w:val="16"/>
  </w:num>
  <w:num w:numId="47" w16cid:durableId="1330717565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56"/>
    <w:rsid w:val="00000719"/>
    <w:rsid w:val="00003403"/>
    <w:rsid w:val="00005347"/>
    <w:rsid w:val="00005E49"/>
    <w:rsid w:val="000072B6"/>
    <w:rsid w:val="0001021B"/>
    <w:rsid w:val="00011D89"/>
    <w:rsid w:val="000143B9"/>
    <w:rsid w:val="000154FD"/>
    <w:rsid w:val="0001677A"/>
    <w:rsid w:val="00016FBF"/>
    <w:rsid w:val="00022271"/>
    <w:rsid w:val="000235E8"/>
    <w:rsid w:val="00023C4A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491"/>
    <w:rsid w:val="00096CD1"/>
    <w:rsid w:val="000A012C"/>
    <w:rsid w:val="000A0EB9"/>
    <w:rsid w:val="000A186C"/>
    <w:rsid w:val="000A1EA4"/>
    <w:rsid w:val="000A2476"/>
    <w:rsid w:val="000A5C5A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C5EE5"/>
    <w:rsid w:val="000D0D0B"/>
    <w:rsid w:val="000D1242"/>
    <w:rsid w:val="000E0970"/>
    <w:rsid w:val="000E0E7A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4F5"/>
    <w:rsid w:val="00124ED5"/>
    <w:rsid w:val="001276FA"/>
    <w:rsid w:val="001328E8"/>
    <w:rsid w:val="0013508F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16F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1DB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67C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4B5C"/>
    <w:rsid w:val="002763B3"/>
    <w:rsid w:val="002802E3"/>
    <w:rsid w:val="0028213D"/>
    <w:rsid w:val="00282E77"/>
    <w:rsid w:val="002862F1"/>
    <w:rsid w:val="00291373"/>
    <w:rsid w:val="0029597D"/>
    <w:rsid w:val="002962C3"/>
    <w:rsid w:val="0029752B"/>
    <w:rsid w:val="002A026C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3135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33CE8"/>
    <w:rsid w:val="003406C6"/>
    <w:rsid w:val="003418CC"/>
    <w:rsid w:val="003459BD"/>
    <w:rsid w:val="00350BF0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07A"/>
    <w:rsid w:val="003A0853"/>
    <w:rsid w:val="003A6B67"/>
    <w:rsid w:val="003B13B6"/>
    <w:rsid w:val="003B15E6"/>
    <w:rsid w:val="003B24F7"/>
    <w:rsid w:val="003B408A"/>
    <w:rsid w:val="003B5733"/>
    <w:rsid w:val="003B7385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3184"/>
    <w:rsid w:val="00406285"/>
    <w:rsid w:val="004112C6"/>
    <w:rsid w:val="00411CF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2009"/>
    <w:rsid w:val="00503DC6"/>
    <w:rsid w:val="00506F5D"/>
    <w:rsid w:val="00510C37"/>
    <w:rsid w:val="005126D0"/>
    <w:rsid w:val="0051568D"/>
    <w:rsid w:val="005164B9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3D0"/>
    <w:rsid w:val="00576E84"/>
    <w:rsid w:val="00577E56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16397"/>
    <w:rsid w:val="00620154"/>
    <w:rsid w:val="0062408D"/>
    <w:rsid w:val="006240CC"/>
    <w:rsid w:val="00624940"/>
    <w:rsid w:val="006254F8"/>
    <w:rsid w:val="00625D3B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0785"/>
    <w:rsid w:val="006A18C2"/>
    <w:rsid w:val="006A3383"/>
    <w:rsid w:val="006B077C"/>
    <w:rsid w:val="006B0A6F"/>
    <w:rsid w:val="006B6803"/>
    <w:rsid w:val="006D0BCB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46F74"/>
    <w:rsid w:val="00750135"/>
    <w:rsid w:val="00750EC2"/>
    <w:rsid w:val="00752A2D"/>
    <w:rsid w:val="00752B28"/>
    <w:rsid w:val="007541A9"/>
    <w:rsid w:val="00754E36"/>
    <w:rsid w:val="00763139"/>
    <w:rsid w:val="00770F37"/>
    <w:rsid w:val="007711A0"/>
    <w:rsid w:val="00772D5E"/>
    <w:rsid w:val="007743F7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299F"/>
    <w:rsid w:val="007C7301"/>
    <w:rsid w:val="007C7859"/>
    <w:rsid w:val="007C7F05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48B"/>
    <w:rsid w:val="008B2EE4"/>
    <w:rsid w:val="008B4D3D"/>
    <w:rsid w:val="008B57C7"/>
    <w:rsid w:val="008C2F92"/>
    <w:rsid w:val="008C3697"/>
    <w:rsid w:val="008C5557"/>
    <w:rsid w:val="008C589D"/>
    <w:rsid w:val="008C6D51"/>
    <w:rsid w:val="008C7CB1"/>
    <w:rsid w:val="008D2846"/>
    <w:rsid w:val="008D4236"/>
    <w:rsid w:val="008D462F"/>
    <w:rsid w:val="008D6DCF"/>
    <w:rsid w:val="008E3AB1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3128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0C09"/>
    <w:rsid w:val="0099153B"/>
    <w:rsid w:val="00991769"/>
    <w:rsid w:val="0099232C"/>
    <w:rsid w:val="00994386"/>
    <w:rsid w:val="00995AD9"/>
    <w:rsid w:val="009977F7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2269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161F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37E2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0421"/>
    <w:rsid w:val="00A8236D"/>
    <w:rsid w:val="00A854EB"/>
    <w:rsid w:val="00A87258"/>
    <w:rsid w:val="00A872E5"/>
    <w:rsid w:val="00A91406"/>
    <w:rsid w:val="00A9157B"/>
    <w:rsid w:val="00A935A1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E605A"/>
    <w:rsid w:val="00AF0C57"/>
    <w:rsid w:val="00AF26F3"/>
    <w:rsid w:val="00AF43A6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2684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728A"/>
    <w:rsid w:val="00B90729"/>
    <w:rsid w:val="00B907DA"/>
    <w:rsid w:val="00B94CD5"/>
    <w:rsid w:val="00B950BC"/>
    <w:rsid w:val="00B9714C"/>
    <w:rsid w:val="00BA29AD"/>
    <w:rsid w:val="00BA33CF"/>
    <w:rsid w:val="00BA3F8D"/>
    <w:rsid w:val="00BA4140"/>
    <w:rsid w:val="00BB7A10"/>
    <w:rsid w:val="00BC3E8F"/>
    <w:rsid w:val="00BC60BE"/>
    <w:rsid w:val="00BC683C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182F"/>
    <w:rsid w:val="00C32989"/>
    <w:rsid w:val="00C33388"/>
    <w:rsid w:val="00C35484"/>
    <w:rsid w:val="00C4173A"/>
    <w:rsid w:val="00C4590D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3778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386"/>
    <w:rsid w:val="00CF2F50"/>
    <w:rsid w:val="00CF6198"/>
    <w:rsid w:val="00D01E00"/>
    <w:rsid w:val="00D02919"/>
    <w:rsid w:val="00D04C61"/>
    <w:rsid w:val="00D05B8D"/>
    <w:rsid w:val="00D065A2"/>
    <w:rsid w:val="00D079AA"/>
    <w:rsid w:val="00D07F00"/>
    <w:rsid w:val="00D1130F"/>
    <w:rsid w:val="00D16B58"/>
    <w:rsid w:val="00D17B72"/>
    <w:rsid w:val="00D31545"/>
    <w:rsid w:val="00D3185C"/>
    <w:rsid w:val="00D3205F"/>
    <w:rsid w:val="00D3318E"/>
    <w:rsid w:val="00D33E72"/>
    <w:rsid w:val="00D35BD6"/>
    <w:rsid w:val="00D361B5"/>
    <w:rsid w:val="00D36D43"/>
    <w:rsid w:val="00D400B8"/>
    <w:rsid w:val="00D405AC"/>
    <w:rsid w:val="00D411A2"/>
    <w:rsid w:val="00D4606D"/>
    <w:rsid w:val="00D46C92"/>
    <w:rsid w:val="00D50B9C"/>
    <w:rsid w:val="00D52D73"/>
    <w:rsid w:val="00D52E58"/>
    <w:rsid w:val="00D5409D"/>
    <w:rsid w:val="00D56B20"/>
    <w:rsid w:val="00D578B3"/>
    <w:rsid w:val="00D618F4"/>
    <w:rsid w:val="00D6261F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028"/>
    <w:rsid w:val="00DA2619"/>
    <w:rsid w:val="00DA36DF"/>
    <w:rsid w:val="00DA4239"/>
    <w:rsid w:val="00DA65DE"/>
    <w:rsid w:val="00DB0B61"/>
    <w:rsid w:val="00DB1474"/>
    <w:rsid w:val="00DB2962"/>
    <w:rsid w:val="00DB3E6C"/>
    <w:rsid w:val="00DB52FB"/>
    <w:rsid w:val="00DB5412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48AF"/>
    <w:rsid w:val="00E8787E"/>
    <w:rsid w:val="00E92AC3"/>
    <w:rsid w:val="00EA01F6"/>
    <w:rsid w:val="00EA1360"/>
    <w:rsid w:val="00EA2F6A"/>
    <w:rsid w:val="00EB00E0"/>
    <w:rsid w:val="00EB7E14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248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6DDD"/>
    <w:rsid w:val="00FD722A"/>
    <w:rsid w:val="00FE2DCF"/>
    <w:rsid w:val="00FE3FA7"/>
    <w:rsid w:val="00FF188F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5D9F83"/>
  <w15:docId w15:val="{505B1BE2-7D5F-4378-A59D-85E2C162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paragraph" w:styleId="ListParagraph">
    <w:name w:val="List Paragraph"/>
    <w:basedOn w:val="Normal"/>
    <w:uiPriority w:val="72"/>
    <w:semiHidden/>
    <w:qFormat/>
    <w:rsid w:val="000D0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patient-care/blood-matters-progra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bloodmatters@redcrossblood.org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omotion\2024\Branding_templates\New%20templates%20July%202021\Blood%20Matters%20DH%20red%20factsheet_front%20page%20logos%20on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71bad440-a7e7-46c6-81bd-18ed54663c6a"/>
    <ds:schemaRef ds:uri="http://purl.org/dc/terms/"/>
    <ds:schemaRef ds:uri="http://schemas.openxmlformats.org/package/2006/metadata/core-properties"/>
    <ds:schemaRef ds:uri="f9efe166-4f28-4f85-8235-ea2c8913343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0b9b4-4e86-47ad-ba30-80a481ff8f08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Blood Matters DH red factsheet_front page logos only.dotx</Template>
  <TotalTime>9</TotalTime>
  <Pages>5</Pages>
  <Words>1213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Blood Matters DH red factsheet_front page logos only</vt:lpstr>
    </vt:vector>
  </TitlesOfParts>
  <Manager/>
  <Company>Victoria State Government, Department of Health, Blood Matters</Company>
  <LinksUpToDate>false</LinksUpToDate>
  <CharactersWithSpaces>9075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Transfusion Practitioner position description</dc:title>
  <dc:subject/>
  <dc:creator>bloodmatters@dhhs.vic.gov.au</dc:creator>
  <cp:keywords/>
  <dc:description/>
  <cp:lastModifiedBy>Emily Hirst (Health)</cp:lastModifiedBy>
  <cp:revision>6</cp:revision>
  <cp:lastPrinted>2024-11-26T05:01:00Z</cp:lastPrinted>
  <dcterms:created xsi:type="dcterms:W3CDTF">2024-12-17T23:45:00Z</dcterms:created>
  <dcterms:modified xsi:type="dcterms:W3CDTF">2025-01-16T04:06:00Z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