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3309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6D3F9992" wp14:editId="3BF379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BA4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6BE06490" w14:textId="77777777" w:rsidTr="0059262C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33DFB59" w14:textId="02BC30A3" w:rsidR="003B5733" w:rsidRPr="003B5733" w:rsidRDefault="003375FA" w:rsidP="003B5733">
            <w:pPr>
              <w:pStyle w:val="Documenttitle"/>
            </w:pPr>
            <w:r>
              <w:t>Bulletin</w:t>
            </w:r>
            <w:r w:rsidR="002028DD">
              <w:t xml:space="preserve"> </w:t>
            </w:r>
            <w:r w:rsidR="00E27523">
              <w:t>87</w:t>
            </w:r>
          </w:p>
        </w:tc>
      </w:tr>
      <w:tr w:rsidR="003B5733" w14:paraId="10E48AB4" w14:textId="77777777" w:rsidTr="0059262C">
        <w:tc>
          <w:tcPr>
            <w:tcW w:w="10348" w:type="dxa"/>
          </w:tcPr>
          <w:p w14:paraId="1A7EE359" w14:textId="41198A6B" w:rsidR="003B5733" w:rsidRPr="00A1389F" w:rsidRDefault="003375FA" w:rsidP="005F44C0">
            <w:pPr>
              <w:pStyle w:val="Documentsubtitle"/>
            </w:pPr>
            <w:r w:rsidRPr="003375FA">
              <w:t>Mental Health –</w:t>
            </w:r>
            <w:r w:rsidR="00BE6C62">
              <w:t xml:space="preserve"> </w:t>
            </w:r>
            <w:r w:rsidRPr="003375FA">
              <w:t xml:space="preserve">CMI/ODS </w:t>
            </w:r>
            <w:r w:rsidR="007B5004">
              <w:t>r</w:t>
            </w:r>
            <w:r w:rsidRPr="003375FA">
              <w:t>elease 1</w:t>
            </w:r>
            <w:r w:rsidR="002905B1">
              <w:t>4</w:t>
            </w:r>
          </w:p>
        </w:tc>
      </w:tr>
      <w:tr w:rsidR="003B5733" w14:paraId="4E161BF8" w14:textId="77777777" w:rsidTr="0059262C">
        <w:tc>
          <w:tcPr>
            <w:tcW w:w="10348" w:type="dxa"/>
          </w:tcPr>
          <w:p w14:paraId="2AA9C5CD" w14:textId="77777777" w:rsidR="003B5733" w:rsidRPr="001E5058" w:rsidRDefault="003375FA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7125503E" w14:textId="77777777" w:rsidR="00363421" w:rsidRDefault="00363421" w:rsidP="007D68BE">
      <w:pPr>
        <w:pStyle w:val="Body"/>
      </w:pPr>
    </w:p>
    <w:p w14:paraId="4157BFF1" w14:textId="00516A41" w:rsidR="003375FA" w:rsidRDefault="003375FA" w:rsidP="003375FA">
      <w:pPr>
        <w:pStyle w:val="Heading1"/>
      </w:pPr>
      <w:r>
        <w:t xml:space="preserve">CMI/ODS </w:t>
      </w:r>
      <w:r w:rsidR="007B5004">
        <w:t>r</w:t>
      </w:r>
      <w:r>
        <w:t>elease 1</w:t>
      </w:r>
      <w:r w:rsidR="002905B1">
        <w:t>4</w:t>
      </w:r>
    </w:p>
    <w:p w14:paraId="197A4888" w14:textId="77777777" w:rsidR="007D68BE" w:rsidRPr="007D68BE" w:rsidRDefault="007D68BE" w:rsidP="007D68BE">
      <w:pPr>
        <w:pStyle w:val="Body"/>
      </w:pPr>
    </w:p>
    <w:p w14:paraId="5E6B549E" w14:textId="253A85D2" w:rsidR="003375FA" w:rsidRPr="00E91666" w:rsidRDefault="003375FA" w:rsidP="00F12582">
      <w:pPr>
        <w:pStyle w:val="Heading1"/>
        <w:spacing w:before="0"/>
      </w:pPr>
      <w:r w:rsidRPr="00B95A98">
        <w:rPr>
          <w:rStyle w:val="Heading2Char"/>
        </w:rPr>
        <w:t>Purpose</w:t>
      </w:r>
    </w:p>
    <w:p w14:paraId="569A29F5" w14:textId="4BCCCBFA" w:rsidR="003375FA" w:rsidRDefault="003375FA" w:rsidP="003375FA">
      <w:pPr>
        <w:pStyle w:val="DHHSbody"/>
        <w:numPr>
          <w:ilvl w:val="0"/>
          <w:numId w:val="40"/>
        </w:numPr>
        <w:rPr>
          <w:rFonts w:cs="Arial"/>
          <w:sz w:val="22"/>
          <w:lang w:eastAsia="en-AU"/>
        </w:rPr>
      </w:pPr>
      <w:r w:rsidRPr="008745E8">
        <w:rPr>
          <w:rFonts w:cs="Arial"/>
          <w:sz w:val="22"/>
          <w:lang w:eastAsia="en-AU"/>
        </w:rPr>
        <w:t>To outline updates and data reporting requirements as part of CMI/ODS release 1</w:t>
      </w:r>
      <w:r w:rsidR="007D68BE">
        <w:rPr>
          <w:rFonts w:cs="Arial"/>
          <w:sz w:val="22"/>
          <w:lang w:eastAsia="en-AU"/>
        </w:rPr>
        <w:t>4</w:t>
      </w:r>
      <w:r w:rsidRPr="008745E8">
        <w:rPr>
          <w:rFonts w:cs="Arial"/>
          <w:sz w:val="22"/>
          <w:lang w:eastAsia="en-AU"/>
        </w:rPr>
        <w:t xml:space="preserve">. </w:t>
      </w:r>
    </w:p>
    <w:p w14:paraId="156FEE8C" w14:textId="77777777" w:rsidR="00363421" w:rsidRPr="008745E8" w:rsidRDefault="00363421" w:rsidP="00132BBE">
      <w:pPr>
        <w:pStyle w:val="Body"/>
        <w:rPr>
          <w:lang w:eastAsia="en-AU"/>
        </w:rPr>
      </w:pPr>
    </w:p>
    <w:p w14:paraId="73487FCE" w14:textId="0ABA1715" w:rsidR="003375FA" w:rsidRDefault="008D6174" w:rsidP="003375FA">
      <w:pPr>
        <w:pStyle w:val="Heading2"/>
      </w:pPr>
      <w:r>
        <w:t>Compulsory Treatment Order</w:t>
      </w:r>
    </w:p>
    <w:p w14:paraId="48663950" w14:textId="4EE55A66" w:rsidR="008D6174" w:rsidRPr="008D6174" w:rsidRDefault="00276969" w:rsidP="003375FA">
      <w:pPr>
        <w:jc w:val="both"/>
        <w:rPr>
          <w:rFonts w:ascii="Arial" w:eastAsia="Times" w:hAnsi="Arial" w:cs="Arial"/>
          <w:sz w:val="22"/>
          <w:szCs w:val="22"/>
          <w:lang w:eastAsia="en-AU"/>
        </w:rPr>
      </w:pPr>
      <w:r>
        <w:rPr>
          <w:rFonts w:ascii="Arial" w:eastAsia="Times" w:hAnsi="Arial" w:cs="Arial"/>
          <w:sz w:val="22"/>
          <w:szCs w:val="22"/>
          <w:lang w:eastAsia="en-AU"/>
        </w:rPr>
        <w:t xml:space="preserve">The </w:t>
      </w:r>
      <w:r w:rsidR="008D6174" w:rsidRPr="008D6174">
        <w:rPr>
          <w:rFonts w:ascii="Arial" w:eastAsia="Times" w:hAnsi="Arial" w:cs="Arial"/>
          <w:sz w:val="22"/>
          <w:szCs w:val="22"/>
          <w:lang w:eastAsia="en-AU"/>
        </w:rPr>
        <w:t xml:space="preserve">Mental Health Tribunal </w:t>
      </w:r>
      <w:r>
        <w:rPr>
          <w:rFonts w:ascii="Arial" w:eastAsia="Times" w:hAnsi="Arial" w:cs="Arial"/>
          <w:sz w:val="22"/>
          <w:szCs w:val="22"/>
          <w:lang w:eastAsia="en-AU"/>
        </w:rPr>
        <w:t xml:space="preserve">identified </w:t>
      </w:r>
      <w:r w:rsidR="008D6174" w:rsidRPr="008D6174">
        <w:rPr>
          <w:rFonts w:ascii="Arial" w:eastAsia="Times" w:hAnsi="Arial" w:cs="Arial"/>
          <w:sz w:val="22"/>
          <w:szCs w:val="22"/>
          <w:lang w:eastAsia="en-AU"/>
        </w:rPr>
        <w:t>some fields missing from CMI/ODS when AMHS were requesting another treatment order</w:t>
      </w:r>
      <w:r w:rsidR="003375FA" w:rsidRPr="008D6174">
        <w:rPr>
          <w:rFonts w:ascii="Arial" w:eastAsia="Times" w:hAnsi="Arial" w:cs="Arial"/>
          <w:sz w:val="22"/>
          <w:szCs w:val="22"/>
          <w:lang w:eastAsia="en-AU"/>
        </w:rPr>
        <w:t>.</w:t>
      </w:r>
      <w:r w:rsidR="008D6174" w:rsidRPr="008D6174">
        <w:rPr>
          <w:rFonts w:ascii="Arial" w:eastAsia="Times" w:hAnsi="Arial" w:cs="Arial"/>
          <w:sz w:val="22"/>
          <w:szCs w:val="22"/>
          <w:lang w:eastAsia="en-AU"/>
        </w:rPr>
        <w:t xml:space="preserve">  Therefore, new data fields have been added to the TO Hearing screen:</w:t>
      </w:r>
    </w:p>
    <w:p w14:paraId="3F5BFFF1" w14:textId="3E215F39" w:rsidR="003375FA" w:rsidRPr="008D6174" w:rsidRDefault="008D6174" w:rsidP="008D6174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8D6174">
        <w:rPr>
          <w:rFonts w:ascii="Arial" w:hAnsi="Arial" w:cs="Arial"/>
          <w:sz w:val="22"/>
          <w:szCs w:val="22"/>
        </w:rPr>
        <w:t>Date of examination by authorised psychiatrist</w:t>
      </w:r>
      <w:r>
        <w:rPr>
          <w:rFonts w:ascii="Arial" w:hAnsi="Arial" w:cs="Arial"/>
          <w:sz w:val="22"/>
          <w:szCs w:val="22"/>
        </w:rPr>
        <w:t xml:space="preserve"> (mandatory field)</w:t>
      </w:r>
    </w:p>
    <w:p w14:paraId="2552634E" w14:textId="38416F01" w:rsidR="008D6174" w:rsidRPr="008D6174" w:rsidRDefault="008D6174" w:rsidP="008D6174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8D6174">
        <w:rPr>
          <w:rFonts w:ascii="Arial" w:hAnsi="Arial" w:cs="Arial"/>
          <w:sz w:val="22"/>
          <w:szCs w:val="22"/>
        </w:rPr>
        <w:t>Time of examination by authorised psychiatrist</w:t>
      </w:r>
      <w:r>
        <w:rPr>
          <w:rFonts w:ascii="Arial" w:hAnsi="Arial" w:cs="Arial"/>
          <w:sz w:val="22"/>
          <w:szCs w:val="22"/>
        </w:rPr>
        <w:t xml:space="preserve"> (time must not be 00:00, mandatory field</w:t>
      </w:r>
      <w:r w:rsidR="008E3ECE">
        <w:rPr>
          <w:rFonts w:ascii="Arial" w:hAnsi="Arial" w:cs="Arial"/>
          <w:sz w:val="22"/>
          <w:szCs w:val="22"/>
        </w:rPr>
        <w:t xml:space="preserve"> – date and time of most recent examination</w:t>
      </w:r>
      <w:r>
        <w:rPr>
          <w:rFonts w:ascii="Arial" w:hAnsi="Arial" w:cs="Arial"/>
          <w:sz w:val="22"/>
          <w:szCs w:val="22"/>
        </w:rPr>
        <w:t>)</w:t>
      </w:r>
    </w:p>
    <w:p w14:paraId="6B99FEA5" w14:textId="31C2C7CC" w:rsidR="008D6174" w:rsidRPr="008D6174" w:rsidRDefault="008D6174" w:rsidP="008D6174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8D6174">
        <w:rPr>
          <w:rFonts w:ascii="Arial" w:hAnsi="Arial" w:cs="Arial"/>
          <w:sz w:val="22"/>
          <w:szCs w:val="22"/>
        </w:rPr>
        <w:t>Recommended duration of treatment order</w:t>
      </w:r>
      <w:r>
        <w:rPr>
          <w:rFonts w:ascii="Arial" w:hAnsi="Arial" w:cs="Arial"/>
          <w:sz w:val="22"/>
          <w:szCs w:val="22"/>
        </w:rPr>
        <w:t xml:space="preserve"> (maximum 6 months)</w:t>
      </w:r>
    </w:p>
    <w:p w14:paraId="1632C943" w14:textId="461F9953" w:rsidR="008D6174" w:rsidRPr="00132BBE" w:rsidRDefault="008D6174" w:rsidP="00132BBE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 w:rsidRPr="008D6174">
        <w:rPr>
          <w:rFonts w:ascii="Arial" w:hAnsi="Arial" w:cs="Arial"/>
          <w:sz w:val="22"/>
          <w:szCs w:val="22"/>
        </w:rPr>
        <w:t>Duration type – drop down list showing months/weeks value</w:t>
      </w:r>
      <w:r w:rsidR="00C117AE">
        <w:rPr>
          <w:rFonts w:ascii="Arial" w:hAnsi="Arial" w:cs="Arial"/>
          <w:sz w:val="22"/>
          <w:szCs w:val="22"/>
        </w:rPr>
        <w:t>.</w:t>
      </w:r>
    </w:p>
    <w:p w14:paraId="1F4AB02F" w14:textId="77777777" w:rsidR="007D68BE" w:rsidRPr="008D6174" w:rsidRDefault="007D68BE" w:rsidP="00132BBE">
      <w:pPr>
        <w:pStyle w:val="ListParagraph"/>
        <w:jc w:val="both"/>
        <w:rPr>
          <w:rFonts w:ascii="Arial" w:hAnsi="Arial" w:cs="Arial"/>
        </w:rPr>
      </w:pPr>
    </w:p>
    <w:p w14:paraId="2A58D3A9" w14:textId="0DE0EEE1" w:rsidR="003375FA" w:rsidRDefault="008E3ECE" w:rsidP="00132BBE">
      <w:pPr>
        <w:pStyle w:val="Heading2"/>
        <w:spacing w:after="0" w:line="240" w:lineRule="auto"/>
      </w:pPr>
      <w:r>
        <w:t>Bodily Restraint Register &amp; Report</w:t>
      </w:r>
    </w:p>
    <w:p w14:paraId="1F46B641" w14:textId="1E43ADF7" w:rsidR="003375FA" w:rsidRPr="008E3ECE" w:rsidRDefault="008E3ECE" w:rsidP="00132BBE">
      <w:pPr>
        <w:rPr>
          <w:rFonts w:ascii="Arial" w:eastAsia="Times" w:hAnsi="Arial" w:cs="Arial"/>
          <w:sz w:val="22"/>
        </w:rPr>
      </w:pPr>
      <w:r>
        <w:rPr>
          <w:rFonts w:ascii="Arial" w:eastAsia="Times" w:hAnsi="Arial" w:cs="Arial"/>
          <w:sz w:val="22"/>
        </w:rPr>
        <w:t xml:space="preserve">To enable more accurate reporting of bodily restraint in accordance with Chief Psychiatrist </w:t>
      </w:r>
      <w:r w:rsidR="00276969">
        <w:rPr>
          <w:rFonts w:ascii="Arial" w:eastAsia="Times" w:hAnsi="Arial" w:cs="Arial"/>
          <w:sz w:val="22"/>
        </w:rPr>
        <w:t>guidelines the</w:t>
      </w:r>
      <w:r>
        <w:rPr>
          <w:rFonts w:ascii="Arial" w:eastAsia="Times" w:hAnsi="Arial" w:cs="Arial"/>
          <w:sz w:val="22"/>
        </w:rPr>
        <w:t xml:space="preserve"> monthly register and the bodily restraint report have both been modified to display the duration of each form of restraint.</w:t>
      </w:r>
      <w:r w:rsidR="003375FA" w:rsidRPr="008E3ECE">
        <w:rPr>
          <w:rFonts w:ascii="Arial" w:eastAsia="Times" w:hAnsi="Arial" w:cs="Arial"/>
          <w:sz w:val="22"/>
        </w:rPr>
        <w:t xml:space="preserve"> </w:t>
      </w:r>
    </w:p>
    <w:p w14:paraId="7FA157FF" w14:textId="021F338D" w:rsidR="00363421" w:rsidRDefault="00363421" w:rsidP="00132BBE">
      <w:pPr>
        <w:pStyle w:val="ListParagraph"/>
        <w:rPr>
          <w:rFonts w:ascii="Arial" w:eastAsia="Times" w:hAnsi="Arial" w:cs="Arial"/>
          <w:sz w:val="22"/>
          <w:szCs w:val="20"/>
        </w:rPr>
      </w:pPr>
    </w:p>
    <w:p w14:paraId="02094EAA" w14:textId="77777777" w:rsidR="00363421" w:rsidRPr="008745E8" w:rsidRDefault="00363421" w:rsidP="00132BBE">
      <w:pPr>
        <w:pStyle w:val="ListParagraph"/>
        <w:rPr>
          <w:rFonts w:ascii="Arial" w:eastAsia="Times" w:hAnsi="Arial" w:cs="Arial"/>
          <w:sz w:val="22"/>
          <w:szCs w:val="20"/>
        </w:rPr>
      </w:pPr>
    </w:p>
    <w:p w14:paraId="76CA99CD" w14:textId="007CBDBD" w:rsidR="003375FA" w:rsidRDefault="008E3ECE" w:rsidP="00132BBE">
      <w:pPr>
        <w:pStyle w:val="Heading2"/>
        <w:spacing w:before="0" w:after="0" w:line="240" w:lineRule="auto"/>
      </w:pPr>
      <w:r>
        <w:t>Security Treatment Order / Custodial Security Treatment Order</w:t>
      </w:r>
    </w:p>
    <w:p w14:paraId="557B4488" w14:textId="7F8F31E6" w:rsidR="003375FA" w:rsidRPr="006E0166" w:rsidRDefault="00C117AE" w:rsidP="003375FA">
      <w:pPr>
        <w:pStyle w:val="xmsonormal"/>
        <w:jc w:val="both"/>
        <w:rPr>
          <w:rFonts w:ascii="Arial" w:eastAsia="Times" w:hAnsi="Arial" w:cs="Arial"/>
          <w:szCs w:val="20"/>
        </w:rPr>
      </w:pPr>
      <w:r>
        <w:rPr>
          <w:rFonts w:ascii="Arial" w:eastAsia="Times" w:hAnsi="Arial" w:cs="Arial"/>
          <w:szCs w:val="20"/>
        </w:rPr>
        <w:t xml:space="preserve">The previous CSTO/STO expiry calculation did not mirror the </w:t>
      </w:r>
      <w:r w:rsidR="00276969">
        <w:rPr>
          <w:rFonts w:ascii="Arial" w:eastAsia="Times" w:hAnsi="Arial" w:cs="Arial"/>
          <w:szCs w:val="20"/>
        </w:rPr>
        <w:t xml:space="preserve">legislated </w:t>
      </w:r>
      <w:r>
        <w:rPr>
          <w:rFonts w:ascii="Arial" w:eastAsia="Times" w:hAnsi="Arial" w:cs="Arial"/>
          <w:szCs w:val="20"/>
        </w:rPr>
        <w:t>duration of orders in the Mental Health &amp; Wellbeing Act.  Therefore, the calculation has been amended to reflect the correct expiry date.</w:t>
      </w:r>
    </w:p>
    <w:p w14:paraId="7501075F" w14:textId="77777777" w:rsidR="003375FA" w:rsidRDefault="003375FA" w:rsidP="003375FA">
      <w:pPr>
        <w:pStyle w:val="xmsonormal"/>
        <w:jc w:val="both"/>
        <w:rPr>
          <w:rFonts w:ascii="Arial" w:eastAsia="Times" w:hAnsi="Arial" w:cs="Arial"/>
          <w:color w:val="000000"/>
          <w:sz w:val="20"/>
          <w:szCs w:val="20"/>
          <w:lang w:eastAsia="en-US"/>
        </w:rPr>
      </w:pPr>
    </w:p>
    <w:p w14:paraId="522973DF" w14:textId="77777777" w:rsidR="00363421" w:rsidRDefault="00363421">
      <w:pPr>
        <w:rPr>
          <w:rFonts w:ascii="Arial" w:eastAsia="MS Gothic" w:hAnsi="Arial"/>
          <w:bCs/>
          <w:color w:val="53565A"/>
          <w:sz w:val="27"/>
          <w:szCs w:val="26"/>
        </w:rPr>
      </w:pPr>
      <w:r>
        <w:br w:type="page"/>
      </w:r>
    </w:p>
    <w:p w14:paraId="4384ABEA" w14:textId="111A3BB7" w:rsidR="003375FA" w:rsidRPr="00541EFB" w:rsidRDefault="00C117AE" w:rsidP="00C117AE">
      <w:pPr>
        <w:pStyle w:val="Heading2"/>
        <w:rPr>
          <w:color w:val="auto"/>
          <w:sz w:val="24"/>
        </w:rPr>
      </w:pPr>
      <w:r>
        <w:lastRenderedPageBreak/>
        <w:t>Restriction on the Right to Communicate</w:t>
      </w:r>
    </w:p>
    <w:p w14:paraId="7B4FF111" w14:textId="2AB9E77E" w:rsidR="00652BFA" w:rsidRDefault="00C117AE" w:rsidP="003375FA">
      <w:pPr>
        <w:pStyle w:val="xmsonormal"/>
        <w:jc w:val="both"/>
        <w:rPr>
          <w:rFonts w:ascii="Arial" w:eastAsia="Times" w:hAnsi="Arial" w:cs="Arial"/>
          <w:szCs w:val="20"/>
        </w:rPr>
      </w:pPr>
      <w:r>
        <w:rPr>
          <w:rFonts w:ascii="Arial" w:eastAsia="Times" w:hAnsi="Arial" w:cs="Arial"/>
          <w:szCs w:val="20"/>
        </w:rPr>
        <w:t>A new screen has been added to CMI/ODS to capture information pertaining to the restriction of a consumer’s right to communicate.  This is currently being captured by an excel spreadsheet and this new screen will negate the need to complete the spreadsheet.</w:t>
      </w:r>
    </w:p>
    <w:p w14:paraId="4D370601" w14:textId="77777777" w:rsidR="00C117AE" w:rsidRDefault="00C117AE" w:rsidP="003375FA">
      <w:pPr>
        <w:pStyle w:val="xmsonormal"/>
        <w:jc w:val="both"/>
        <w:rPr>
          <w:rFonts w:ascii="Arial" w:eastAsia="Times" w:hAnsi="Arial" w:cs="Arial"/>
          <w:szCs w:val="20"/>
        </w:rPr>
      </w:pPr>
    </w:p>
    <w:p w14:paraId="1658539A" w14:textId="4543AEBE" w:rsidR="00C117AE" w:rsidRDefault="0022372E" w:rsidP="003375FA">
      <w:pPr>
        <w:pStyle w:val="xmsonormal"/>
        <w:jc w:val="both"/>
        <w:rPr>
          <w:rFonts w:ascii="Arial" w:eastAsia="Times" w:hAnsi="Arial" w:cs="Arial"/>
          <w:szCs w:val="20"/>
        </w:rPr>
      </w:pPr>
      <w:r>
        <w:rPr>
          <w:rFonts w:ascii="Arial" w:eastAsia="Times" w:hAnsi="Arial" w:cs="Arial"/>
          <w:szCs w:val="20"/>
        </w:rPr>
        <w:t>Information on occurrences of restrictions on the right to communicate will be included in the extract for</w:t>
      </w:r>
      <w:r w:rsidR="00C117AE">
        <w:rPr>
          <w:rFonts w:ascii="Arial" w:eastAsia="Times" w:hAnsi="Arial" w:cs="Arial"/>
          <w:szCs w:val="20"/>
        </w:rPr>
        <w:t xml:space="preserve"> the Independent Mental health Advocacy Service (IMHA).</w:t>
      </w:r>
    </w:p>
    <w:p w14:paraId="3AA1058B" w14:textId="77777777" w:rsidR="00C117AE" w:rsidRDefault="00C117AE" w:rsidP="003375FA">
      <w:pPr>
        <w:pStyle w:val="xmsonormal"/>
        <w:jc w:val="both"/>
        <w:rPr>
          <w:rFonts w:ascii="Arial" w:eastAsia="Times" w:hAnsi="Arial" w:cs="Arial"/>
          <w:szCs w:val="20"/>
        </w:rPr>
      </w:pPr>
    </w:p>
    <w:p w14:paraId="1750FA0F" w14:textId="50937F32" w:rsidR="00C117AE" w:rsidRDefault="00C117AE" w:rsidP="003375FA">
      <w:pPr>
        <w:pStyle w:val="xmsonormal"/>
        <w:jc w:val="both"/>
        <w:rPr>
          <w:rFonts w:ascii="Arial" w:eastAsia="Times" w:hAnsi="Arial" w:cs="Arial"/>
          <w:szCs w:val="20"/>
        </w:rPr>
      </w:pPr>
      <w:r>
        <w:rPr>
          <w:rFonts w:ascii="Arial" w:eastAsia="Times" w:hAnsi="Arial" w:cs="Arial"/>
          <w:szCs w:val="20"/>
        </w:rPr>
        <w:t xml:space="preserve">Reports and register for this restriction will be </w:t>
      </w:r>
      <w:proofErr w:type="gramStart"/>
      <w:r>
        <w:rPr>
          <w:rFonts w:ascii="Arial" w:eastAsia="Times" w:hAnsi="Arial" w:cs="Arial"/>
          <w:szCs w:val="20"/>
        </w:rPr>
        <w:t>similar to</w:t>
      </w:r>
      <w:proofErr w:type="gramEnd"/>
      <w:r>
        <w:rPr>
          <w:rFonts w:ascii="Arial" w:eastAsia="Times" w:hAnsi="Arial" w:cs="Arial"/>
          <w:szCs w:val="20"/>
        </w:rPr>
        <w:t xml:space="preserve"> restrictive interventions.</w:t>
      </w:r>
    </w:p>
    <w:p w14:paraId="3CC7AB2F" w14:textId="77777777" w:rsidR="00C117AE" w:rsidRDefault="00C117AE" w:rsidP="003375FA">
      <w:pPr>
        <w:pStyle w:val="xmsonormal"/>
        <w:jc w:val="both"/>
        <w:rPr>
          <w:rFonts w:ascii="Arial" w:eastAsia="Times" w:hAnsi="Arial" w:cs="Arial"/>
          <w:szCs w:val="20"/>
        </w:rPr>
      </w:pPr>
    </w:p>
    <w:p w14:paraId="35EBC8CD" w14:textId="70D01E15" w:rsidR="00C117AE" w:rsidRDefault="00C117AE" w:rsidP="00C117AE">
      <w:pPr>
        <w:pStyle w:val="Heading2"/>
        <w:rPr>
          <w:rFonts w:eastAsia="Times"/>
        </w:rPr>
      </w:pPr>
      <w:r>
        <w:rPr>
          <w:rFonts w:eastAsia="Times"/>
        </w:rPr>
        <w:t>Compulsory Orders</w:t>
      </w:r>
    </w:p>
    <w:p w14:paraId="6E9D5893" w14:textId="63D59BB6" w:rsidR="00C117AE" w:rsidRDefault="00C117AE" w:rsidP="00704FC2">
      <w:pPr>
        <w:pStyle w:val="Body"/>
        <w:spacing w:after="0" w:line="240" w:lineRule="auto"/>
      </w:pPr>
      <w:r>
        <w:t>When selecting a compulsory order in the Compulsory Treatment Order screen, the Act reflected in brackets beside the name of the order will now show (MH) instead of (MHA).</w:t>
      </w:r>
    </w:p>
    <w:p w14:paraId="7A2D3744" w14:textId="77777777" w:rsidR="00132BBE" w:rsidRDefault="00132BBE" w:rsidP="00704FC2">
      <w:pPr>
        <w:pStyle w:val="Body"/>
        <w:spacing w:after="0" w:line="240" w:lineRule="auto"/>
      </w:pPr>
    </w:p>
    <w:p w14:paraId="0861D3DD" w14:textId="77777777" w:rsidR="00896C47" w:rsidRDefault="00896C47" w:rsidP="00704FC2">
      <w:pPr>
        <w:pStyle w:val="Body"/>
        <w:spacing w:after="0" w:line="240" w:lineRule="auto"/>
      </w:pPr>
    </w:p>
    <w:p w14:paraId="5273F78E" w14:textId="7FF13326" w:rsidR="00896C47" w:rsidRDefault="00896C47" w:rsidP="00704FC2">
      <w:pPr>
        <w:pStyle w:val="Heading2"/>
        <w:spacing w:before="0" w:after="0" w:line="240" w:lineRule="auto"/>
      </w:pPr>
      <w:r>
        <w:t>New Category Codes</w:t>
      </w:r>
    </w:p>
    <w:p w14:paraId="48749444" w14:textId="0D31124B" w:rsidR="00896C47" w:rsidRDefault="00896C47" w:rsidP="00896C47">
      <w:pPr>
        <w:pStyle w:val="Body"/>
      </w:pPr>
      <w:r>
        <w:t>The following new category codes have been added to the ODS:</w:t>
      </w:r>
    </w:p>
    <w:p w14:paraId="03C1E317" w14:textId="06D5FA26" w:rsidR="00896C47" w:rsidRDefault="00896C47" w:rsidP="00704FC2">
      <w:pPr>
        <w:pStyle w:val="Body"/>
        <w:spacing w:after="0" w:line="240" w:lineRule="auto"/>
      </w:pPr>
      <w:r>
        <w:t>Service Recipient:</w:t>
      </w:r>
      <w:r>
        <w:tab/>
        <w:t>VACCA – Victorian Aboriginal Child Care Agency</w:t>
      </w:r>
    </w:p>
    <w:p w14:paraId="093AD820" w14:textId="576DD9D4" w:rsidR="00896C47" w:rsidRDefault="00896C47" w:rsidP="00704FC2">
      <w:pPr>
        <w:pStyle w:val="Body"/>
        <w:spacing w:after="0" w:line="240" w:lineRule="auto"/>
      </w:pPr>
      <w:r>
        <w:tab/>
      </w:r>
      <w:r>
        <w:tab/>
      </w:r>
      <w:r>
        <w:tab/>
        <w:t xml:space="preserve">NGWALA – </w:t>
      </w:r>
      <w:proofErr w:type="spellStart"/>
      <w:r>
        <w:t>Ngwala</w:t>
      </w:r>
      <w:proofErr w:type="spellEnd"/>
      <w:r>
        <w:t xml:space="preserve"> </w:t>
      </w:r>
      <w:proofErr w:type="spellStart"/>
      <w:r>
        <w:t>Willumbong</w:t>
      </w:r>
      <w:proofErr w:type="spellEnd"/>
      <w:r>
        <w:t xml:space="preserve"> Aboriginal Corporation</w:t>
      </w:r>
    </w:p>
    <w:p w14:paraId="6218BF46" w14:textId="77777777" w:rsidR="00896C47" w:rsidRDefault="00896C47" w:rsidP="00896C47">
      <w:pPr>
        <w:pStyle w:val="Body"/>
      </w:pPr>
    </w:p>
    <w:p w14:paraId="35DB5001" w14:textId="390DAADB" w:rsidR="00896C47" w:rsidRDefault="00896C47" w:rsidP="00704FC2">
      <w:pPr>
        <w:pStyle w:val="Body"/>
        <w:spacing w:after="0" w:line="240" w:lineRule="auto"/>
      </w:pPr>
      <w:r>
        <w:t>Program Type</w:t>
      </w:r>
      <w:r>
        <w:tab/>
      </w:r>
      <w:r>
        <w:tab/>
        <w:t>CB4 Comm, Eating Disorders EII</w:t>
      </w:r>
      <w:r w:rsidR="00C6194C">
        <w:t>L</w:t>
      </w:r>
    </w:p>
    <w:p w14:paraId="2151F8AF" w14:textId="19162DAE" w:rsidR="00896C47" w:rsidRDefault="00896C47" w:rsidP="00704FC2">
      <w:pPr>
        <w:pStyle w:val="Body"/>
        <w:spacing w:after="0" w:line="240" w:lineRule="auto"/>
      </w:pPr>
      <w:r>
        <w:tab/>
      </w:r>
      <w:r>
        <w:tab/>
      </w:r>
      <w:r>
        <w:tab/>
        <w:t xml:space="preserve">CB5 Comm, CAMHS Eating Disorders </w:t>
      </w:r>
      <w:proofErr w:type="gramStart"/>
      <w:r>
        <w:t>In</w:t>
      </w:r>
      <w:proofErr w:type="gramEnd"/>
      <w:r>
        <w:t xml:space="preserve"> Home Intensive</w:t>
      </w:r>
    </w:p>
    <w:p w14:paraId="02F66226" w14:textId="457335EF" w:rsidR="00896C47" w:rsidRDefault="00896C47" w:rsidP="00704FC2">
      <w:pPr>
        <w:pStyle w:val="Body"/>
        <w:spacing w:after="0" w:line="240" w:lineRule="auto"/>
      </w:pPr>
      <w:r>
        <w:tab/>
      </w:r>
      <w:r>
        <w:tab/>
      </w:r>
      <w:r>
        <w:tab/>
        <w:t xml:space="preserve">CB6 Comm, Adult Eating Disorders </w:t>
      </w:r>
      <w:proofErr w:type="gramStart"/>
      <w:r>
        <w:t>In</w:t>
      </w:r>
      <w:proofErr w:type="gramEnd"/>
      <w:r>
        <w:t xml:space="preserve"> Home Intensive</w:t>
      </w:r>
    </w:p>
    <w:p w14:paraId="42540D8B" w14:textId="71D90D80" w:rsidR="00CA4038" w:rsidRDefault="00CA4038" w:rsidP="00704FC2">
      <w:pPr>
        <w:pStyle w:val="Body"/>
        <w:spacing w:after="0" w:line="240" w:lineRule="auto"/>
      </w:pPr>
      <w:r>
        <w:tab/>
      </w:r>
      <w:r>
        <w:tab/>
      </w:r>
      <w:r>
        <w:tab/>
        <w:t xml:space="preserve">CB7 Comm, Aged Eating Disorders </w:t>
      </w:r>
      <w:proofErr w:type="gramStart"/>
      <w:r>
        <w:t>In</w:t>
      </w:r>
      <w:proofErr w:type="gramEnd"/>
      <w:r>
        <w:t xml:space="preserve"> Home Intensive</w:t>
      </w:r>
    </w:p>
    <w:p w14:paraId="5501D1CD" w14:textId="0DE90A9E" w:rsidR="00896C47" w:rsidRDefault="00896C47" w:rsidP="00704FC2">
      <w:pPr>
        <w:pStyle w:val="Body"/>
        <w:spacing w:after="0" w:line="240" w:lineRule="auto"/>
      </w:pPr>
      <w:r>
        <w:tab/>
      </w:r>
      <w:r>
        <w:tab/>
      </w:r>
      <w:r>
        <w:tab/>
        <w:t>CB8 Comm, CAMHS Eating Disorders Day Program</w:t>
      </w:r>
    </w:p>
    <w:p w14:paraId="4B4B0532" w14:textId="204C5A11" w:rsidR="00896C47" w:rsidRDefault="00896C47" w:rsidP="00704FC2">
      <w:pPr>
        <w:pStyle w:val="Body"/>
        <w:spacing w:after="0" w:line="240" w:lineRule="auto"/>
      </w:pPr>
      <w:r>
        <w:tab/>
      </w:r>
      <w:r>
        <w:tab/>
      </w:r>
      <w:r>
        <w:tab/>
        <w:t>CB9 Comm, Adult Eating Disorders Day Program</w:t>
      </w:r>
    </w:p>
    <w:p w14:paraId="0DA5E4B3" w14:textId="41356065" w:rsidR="00CA4038" w:rsidRDefault="00CA4038" w:rsidP="00704FC2">
      <w:pPr>
        <w:pStyle w:val="Body"/>
        <w:spacing w:after="0" w:line="240" w:lineRule="auto"/>
      </w:pPr>
      <w:r>
        <w:tab/>
      </w:r>
      <w:r>
        <w:tab/>
      </w:r>
      <w:r>
        <w:tab/>
        <w:t>CB10 Comm, Aged Eating Disorders Day Program</w:t>
      </w:r>
    </w:p>
    <w:p w14:paraId="26C87BAD" w14:textId="77777777" w:rsidR="00704FC2" w:rsidRDefault="00704FC2" w:rsidP="00896C47">
      <w:pPr>
        <w:pStyle w:val="Body"/>
      </w:pPr>
    </w:p>
    <w:p w14:paraId="709463C0" w14:textId="47E903B3" w:rsidR="00704FC2" w:rsidRDefault="00704FC2" w:rsidP="00896C47">
      <w:pPr>
        <w:pStyle w:val="Body"/>
      </w:pPr>
      <w:r>
        <w:t>Reasons for Restriction of Communication (RTCRSN)</w:t>
      </w:r>
    </w:p>
    <w:p w14:paraId="158955FD" w14:textId="311EA736" w:rsidR="00704FC2" w:rsidRDefault="00704FC2" w:rsidP="00704FC2">
      <w:pPr>
        <w:pStyle w:val="Body"/>
        <w:spacing w:after="0" w:line="240" w:lineRule="auto"/>
      </w:pPr>
      <w:r>
        <w:tab/>
      </w:r>
      <w:r>
        <w:tab/>
      </w:r>
      <w:r>
        <w:tab/>
        <w:t xml:space="preserve">01 To protect the HSW of the </w:t>
      </w:r>
      <w:r w:rsidR="00ED30D6">
        <w:t>inpatient</w:t>
      </w:r>
    </w:p>
    <w:p w14:paraId="2CD8D1D8" w14:textId="7B76B791" w:rsidR="00704FC2" w:rsidRDefault="00704FC2" w:rsidP="00704FC2">
      <w:pPr>
        <w:pStyle w:val="Body"/>
        <w:spacing w:after="0" w:line="240" w:lineRule="auto"/>
      </w:pPr>
      <w:r>
        <w:tab/>
      </w:r>
      <w:r>
        <w:tab/>
      </w:r>
      <w:r>
        <w:tab/>
        <w:t>02 To protect the HSW of another person</w:t>
      </w:r>
    </w:p>
    <w:p w14:paraId="3B4E9AC8" w14:textId="7450A05B" w:rsidR="00704FC2" w:rsidRDefault="00704FC2" w:rsidP="00704FC2">
      <w:pPr>
        <w:pStyle w:val="Body"/>
        <w:spacing w:after="0" w:line="240" w:lineRule="auto"/>
      </w:pPr>
      <w:r>
        <w:tab/>
      </w:r>
      <w:r>
        <w:tab/>
      </w:r>
      <w:r>
        <w:tab/>
        <w:t xml:space="preserve">03 To protect the HSW of the </w:t>
      </w:r>
      <w:r w:rsidR="00ED30D6">
        <w:t>person</w:t>
      </w:r>
      <w:r>
        <w:t xml:space="preserve"> &amp; another person</w:t>
      </w:r>
    </w:p>
    <w:p w14:paraId="67D27B41" w14:textId="77777777" w:rsidR="00704FC2" w:rsidRDefault="00704FC2" w:rsidP="00704FC2">
      <w:pPr>
        <w:pStyle w:val="Body"/>
        <w:spacing w:after="0" w:line="240" w:lineRule="auto"/>
      </w:pPr>
    </w:p>
    <w:p w14:paraId="7B6F9A91" w14:textId="27B1E5A7" w:rsidR="00704FC2" w:rsidRDefault="00704FC2" w:rsidP="00704FC2">
      <w:pPr>
        <w:pStyle w:val="Body"/>
        <w:spacing w:after="0" w:line="240" w:lineRule="auto"/>
      </w:pPr>
      <w:r>
        <w:t>(HSW = health, safety and wellbeing)</w:t>
      </w:r>
    </w:p>
    <w:p w14:paraId="2BE71F3C" w14:textId="77777777" w:rsidR="00896C47" w:rsidRDefault="00896C47" w:rsidP="00896C47">
      <w:pPr>
        <w:pStyle w:val="Body"/>
      </w:pPr>
    </w:p>
    <w:p w14:paraId="4C08DEF3" w14:textId="67FA53FE" w:rsidR="003375FA" w:rsidRDefault="003375FA" w:rsidP="003375FA">
      <w:pPr>
        <w:pStyle w:val="DHHSbody"/>
        <w:sectPr w:rsidR="003375FA" w:rsidSect="003375F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6E45EEEB" w14:textId="77777777" w:rsidR="00704FC2" w:rsidRDefault="00704FC2">
      <w:pPr>
        <w:rPr>
          <w:rFonts w:ascii="Arial" w:hAnsi="Arial"/>
          <w:b/>
          <w:color w:val="53565A"/>
          <w:sz w:val="32"/>
          <w:szCs w:val="28"/>
        </w:rPr>
      </w:pPr>
      <w:r>
        <w:br w:type="page"/>
      </w:r>
    </w:p>
    <w:p w14:paraId="5D0FBFD0" w14:textId="6EC3F2C9" w:rsidR="003375FA" w:rsidRPr="00E91666" w:rsidRDefault="003375FA" w:rsidP="003375FA">
      <w:pPr>
        <w:pStyle w:val="Heading2"/>
      </w:pPr>
      <w:r>
        <w:lastRenderedPageBreak/>
        <w:t>Further information</w:t>
      </w:r>
    </w:p>
    <w:p w14:paraId="75B5D288" w14:textId="77777777" w:rsidR="00C117AE" w:rsidRDefault="00C117AE" w:rsidP="003375FA">
      <w:pPr>
        <w:pStyle w:val="Healthbody"/>
        <w:spacing w:after="0" w:line="360" w:lineRule="auto"/>
        <w:jc w:val="both"/>
        <w:rPr>
          <w:rFonts w:eastAsia="Times"/>
          <w:szCs w:val="20"/>
        </w:rPr>
      </w:pPr>
      <w:r>
        <w:rPr>
          <w:rFonts w:eastAsia="Times"/>
          <w:szCs w:val="20"/>
        </w:rPr>
        <w:t>Further specific information regarding the update to CMI/ODS can be obtained by reading the CMI User Guide &amp; Release Notes, February 2025 Release 14.</w:t>
      </w:r>
    </w:p>
    <w:p w14:paraId="5D6F953D" w14:textId="77777777" w:rsidR="00C117AE" w:rsidRDefault="00C117AE" w:rsidP="003375FA">
      <w:pPr>
        <w:pStyle w:val="Healthbody"/>
        <w:spacing w:after="0" w:line="360" w:lineRule="auto"/>
        <w:jc w:val="both"/>
        <w:rPr>
          <w:rFonts w:eastAsia="Times"/>
          <w:szCs w:val="20"/>
        </w:rPr>
      </w:pPr>
    </w:p>
    <w:p w14:paraId="403E6DF2" w14:textId="6B8B635B" w:rsidR="003375FA" w:rsidRDefault="003375FA" w:rsidP="003375FA">
      <w:pPr>
        <w:pStyle w:val="Healthbody"/>
        <w:spacing w:after="0" w:line="360" w:lineRule="auto"/>
        <w:jc w:val="both"/>
        <w:rPr>
          <w:rFonts w:eastAsia="Times"/>
          <w:szCs w:val="20"/>
        </w:rPr>
      </w:pPr>
      <w:r w:rsidRPr="00A45ED9">
        <w:rPr>
          <w:rFonts w:eastAsia="Times"/>
          <w:szCs w:val="20"/>
        </w:rPr>
        <w:t xml:space="preserve">This bulletin has been developed by the </w:t>
      </w:r>
      <w:r>
        <w:rPr>
          <w:rFonts w:eastAsia="Times"/>
          <w:szCs w:val="20"/>
        </w:rPr>
        <w:t>M</w:t>
      </w:r>
      <w:r w:rsidRPr="00A45ED9">
        <w:rPr>
          <w:rFonts w:eastAsia="Times"/>
          <w:szCs w:val="20"/>
        </w:rPr>
        <w:t xml:space="preserve">ental </w:t>
      </w:r>
      <w:r>
        <w:rPr>
          <w:rFonts w:eastAsia="Times"/>
          <w:szCs w:val="20"/>
        </w:rPr>
        <w:t>H</w:t>
      </w:r>
      <w:r w:rsidRPr="00A45ED9">
        <w:rPr>
          <w:rFonts w:eastAsia="Times"/>
          <w:szCs w:val="20"/>
        </w:rPr>
        <w:t xml:space="preserve">ealth and </w:t>
      </w:r>
      <w:r w:rsidR="00C117AE">
        <w:rPr>
          <w:rFonts w:eastAsia="Times"/>
          <w:szCs w:val="20"/>
        </w:rPr>
        <w:t>Community Services</w:t>
      </w:r>
      <w:r w:rsidRPr="00A45ED9">
        <w:rPr>
          <w:rFonts w:eastAsia="Times"/>
          <w:szCs w:val="20"/>
        </w:rPr>
        <w:t xml:space="preserve"> </w:t>
      </w:r>
      <w:r>
        <w:rPr>
          <w:rFonts w:eastAsia="Times"/>
          <w:szCs w:val="20"/>
        </w:rPr>
        <w:t>D</w:t>
      </w:r>
      <w:r w:rsidRPr="00A45ED9">
        <w:rPr>
          <w:rFonts w:eastAsia="Times"/>
          <w:szCs w:val="20"/>
        </w:rPr>
        <w:t xml:space="preserve">ata team. For further information, please email: </w:t>
      </w:r>
      <w:hyperlink r:id="rId19" w:history="1">
        <w:r w:rsidRPr="00877087">
          <w:rPr>
            <w:rStyle w:val="Hyperlink"/>
            <w:rFonts w:eastAsia="Times"/>
            <w:szCs w:val="20"/>
          </w:rPr>
          <w:t>MHDReporting@health.vic.gov.au</w:t>
        </w:r>
      </w:hyperlink>
      <w:r>
        <w:rPr>
          <w:rFonts w:eastAsia="Times"/>
          <w:szCs w:val="20"/>
        </w:rPr>
        <w:t xml:space="preserve"> </w:t>
      </w:r>
    </w:p>
    <w:p w14:paraId="08F08B8B" w14:textId="77777777" w:rsidR="00200176" w:rsidRPr="00200176" w:rsidRDefault="00200176" w:rsidP="00200176">
      <w:pPr>
        <w:pStyle w:val="Body"/>
      </w:pPr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22372E" w:rsidRPr="006B6A18" w14:paraId="3BCF9677" w14:textId="77777777" w:rsidTr="00263BA2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4800" w:type="pct"/>
              <w:tblInd w:w="113" w:type="dxa"/>
              <w:tblCellMar>
                <w:top w:w="113" w:type="dxa"/>
                <w:bottom w:w="57" w:type="dxa"/>
              </w:tblCellMar>
              <w:tblLook w:val="00A0" w:firstRow="1" w:lastRow="0" w:firstColumn="1" w:lastColumn="0" w:noHBand="0" w:noVBand="0"/>
            </w:tblPr>
            <w:tblGrid>
              <w:gridCol w:w="9300"/>
            </w:tblGrid>
            <w:tr w:rsidR="0022372E" w:rsidRPr="00BA5EAE" w14:paraId="13B819EF" w14:textId="77777777" w:rsidTr="00263BA2">
              <w:trPr>
                <w:cantSplit/>
              </w:trPr>
              <w:tc>
                <w:tcPr>
                  <w:tcW w:w="5000" w:type="pct"/>
                  <w:vAlign w:val="bottom"/>
                </w:tcPr>
                <w:p w14:paraId="1418F443" w14:textId="77777777" w:rsidR="0022372E" w:rsidRPr="00E20063" w:rsidRDefault="0022372E" w:rsidP="00263BA2">
                  <w:pPr>
                    <w:pStyle w:val="DHHSaccessibilitypara"/>
                    <w:rPr>
                      <w:sz w:val="20"/>
                      <w:szCs w:val="20"/>
                    </w:rPr>
                  </w:pPr>
                  <w:r w:rsidRPr="00E20063">
                    <w:rPr>
                      <w:sz w:val="20"/>
                      <w:szCs w:val="20"/>
                    </w:rPr>
                    <w:t>To receive this publication in an accessible format email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hyperlink r:id="rId20" w:history="1">
                    <w:r w:rsidRPr="00362FB2">
                      <w:rPr>
                        <w:rStyle w:val="Hyperlink"/>
                        <w:sz w:val="20"/>
                        <w:szCs w:val="20"/>
                      </w:rPr>
                      <w:t>MHD Reporting</w:t>
                    </w:r>
                  </w:hyperlink>
                  <w:r w:rsidRPr="00E2006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&lt;</w:t>
                  </w:r>
                  <w:r w:rsidRPr="00362FB2">
                    <w:rPr>
                      <w:sz w:val="20"/>
                      <w:szCs w:val="20"/>
                    </w:rPr>
                    <w:t>MHDReporting@health.vic.gov.au</w:t>
                  </w:r>
                  <w:r>
                    <w:rPr>
                      <w:sz w:val="20"/>
                      <w:szCs w:val="20"/>
                    </w:rPr>
                    <w:t>&gt;</w:t>
                  </w:r>
                </w:p>
                <w:p w14:paraId="1C5F797F" w14:textId="77777777" w:rsidR="0022372E" w:rsidRDefault="0022372E" w:rsidP="00263BA2">
                  <w:pPr>
                    <w:pStyle w:val="DHHSbody"/>
                  </w:pPr>
                  <w:r w:rsidRPr="00E20063">
                    <w:t>Authorised and published by the Victorian Government, 1 Treasury Place, Melbourne.</w:t>
                  </w:r>
                </w:p>
                <w:p w14:paraId="15C4B7BC" w14:textId="77777777" w:rsidR="0022372E" w:rsidRPr="00C549AC" w:rsidRDefault="0022372E" w:rsidP="00263BA2">
                  <w:pPr>
                    <w:pStyle w:val="DHHSbody"/>
                    <w:rPr>
                      <w:rFonts w:cs="Arial"/>
                      <w:sz w:val="21"/>
                      <w:szCs w:val="21"/>
                    </w:rPr>
                  </w:pPr>
                  <w:r w:rsidRPr="00C549AC">
                    <w:rPr>
                      <w:rFonts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ISSN </w:t>
                  </w:r>
                  <w:r w:rsidRPr="00C549AC">
                    <w:rPr>
                      <w:rFonts w:cs="Arial"/>
                      <w:color w:val="000000"/>
                      <w:sz w:val="21"/>
                      <w:szCs w:val="21"/>
                    </w:rPr>
                    <w:t>2653-620X</w:t>
                  </w:r>
                  <w:r w:rsidRPr="00C549AC">
                    <w:rPr>
                      <w:rFonts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- Online (pdf/word)</w:t>
                  </w:r>
                </w:p>
                <w:p w14:paraId="36C95C6C" w14:textId="2823A8A5" w:rsidR="0022372E" w:rsidRDefault="0022372E" w:rsidP="00263BA2">
                  <w:pPr>
                    <w:pStyle w:val="DHHSbody"/>
                  </w:pPr>
                  <w:r w:rsidRPr="00E20063">
                    <w:t>© State of Victoria, Department of Health</w:t>
                  </w:r>
                  <w:r>
                    <w:t>, February 2025</w:t>
                  </w:r>
                </w:p>
                <w:p w14:paraId="65EB6CC1" w14:textId="77777777" w:rsidR="0022372E" w:rsidRPr="00BA5EAE" w:rsidRDefault="0022372E" w:rsidP="00263BA2">
                  <w:pPr>
                    <w:pStyle w:val="DHHSbody"/>
                  </w:pPr>
                  <w:r w:rsidRPr="00713BA6">
                    <w:t xml:space="preserve">Available at </w:t>
                  </w:r>
                  <w:hyperlink r:id="rId21" w:history="1">
                    <w:r w:rsidRPr="00713BA6">
                      <w:rPr>
                        <w:rStyle w:val="Hyperlink"/>
                      </w:rPr>
                      <w:t>Bulletins and Program Management Circulars (PMC)</w:t>
                    </w:r>
                  </w:hyperlink>
                  <w:r w:rsidRPr="00713BA6">
                    <w:t xml:space="preserve"> &lt;</w:t>
                  </w:r>
                  <w:r w:rsidRPr="00362FB2">
                    <w:t>https://www.health.vic.gov.au/research-and-reporting/bulletins-and-program-management-circulars-pmc</w:t>
                  </w:r>
                  <w:r w:rsidRPr="00713BA6">
                    <w:t>&gt;.</w:t>
                  </w:r>
                </w:p>
              </w:tc>
            </w:tr>
          </w:tbl>
          <w:p w14:paraId="18C795EE" w14:textId="77777777" w:rsidR="0022372E" w:rsidRPr="006B6A18" w:rsidRDefault="0022372E" w:rsidP="00263BA2">
            <w:pPr>
              <w:pStyle w:val="DHHSbody"/>
              <w:rPr>
                <w:rFonts w:cs="Arial"/>
              </w:rPr>
            </w:pPr>
          </w:p>
        </w:tc>
      </w:tr>
    </w:tbl>
    <w:p w14:paraId="5339D8D1" w14:textId="77777777" w:rsidR="00162CA9" w:rsidRDefault="00162CA9" w:rsidP="00162CA9">
      <w:pPr>
        <w:pStyle w:val="Body"/>
      </w:pPr>
    </w:p>
    <w:sectPr w:rsidR="00162CA9" w:rsidSect="00E62622">
      <w:footerReference w:type="even" r:id="rId22"/>
      <w:footerReference w:type="default" r:id="rId23"/>
      <w:footerReference w:type="firs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966D" w14:textId="77777777" w:rsidR="008F56D1" w:rsidRDefault="008F56D1">
      <w:r>
        <w:separator/>
      </w:r>
    </w:p>
  </w:endnote>
  <w:endnote w:type="continuationSeparator" w:id="0">
    <w:p w14:paraId="6D6EF4E9" w14:textId="77777777" w:rsidR="008F56D1" w:rsidRDefault="008F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9D8A" w14:textId="38A857E2" w:rsidR="0059262C" w:rsidRDefault="005926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2D404CDF" wp14:editId="0D5539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33937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917F5" w14:textId="16B8C1E3" w:rsidR="0059262C" w:rsidRPr="0059262C" w:rsidRDefault="0059262C" w:rsidP="0059262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59262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04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7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D1917F5" w14:textId="16B8C1E3" w:rsidR="0059262C" w:rsidRPr="0059262C" w:rsidRDefault="0059262C" w:rsidP="0059262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59262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A4B9" w14:textId="1A39885B" w:rsidR="00E261B3" w:rsidRPr="00F65AA9" w:rsidRDefault="0059262C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7184" behindDoc="0" locked="0" layoutInCell="1" allowOverlap="1" wp14:anchorId="2C30DCCF" wp14:editId="68321CE0">
              <wp:simplePos x="537882" y="981251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532325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B6744" w14:textId="73558E31" w:rsidR="0059262C" w:rsidRPr="0059262C" w:rsidRDefault="0059262C" w:rsidP="0059262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59262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0DC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7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1B6744" w14:textId="73558E31" w:rsidR="0059262C" w:rsidRPr="0059262C" w:rsidRDefault="0059262C" w:rsidP="0059262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59262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751117AB" wp14:editId="2BC5F6D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751B" w14:textId="0608607D" w:rsidR="00E261B3" w:rsidRDefault="005926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0A6A4B85" wp14:editId="2E3BB0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380023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67706" w14:textId="2C9104E9" w:rsidR="0059262C" w:rsidRPr="0059262C" w:rsidRDefault="0059262C" w:rsidP="0059262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59262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A4B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7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7867706" w14:textId="2C9104E9" w:rsidR="0059262C" w:rsidRPr="0059262C" w:rsidRDefault="0059262C" w:rsidP="0059262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59262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6725" w14:textId="6D27EBE2" w:rsidR="003375FA" w:rsidRDefault="005926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232" behindDoc="0" locked="0" layoutInCell="1" allowOverlap="1" wp14:anchorId="2F913E21" wp14:editId="5DE057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314211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E91A7" w14:textId="6C06A448" w:rsidR="0059262C" w:rsidRPr="0059262C" w:rsidRDefault="0059262C" w:rsidP="0059262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59262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13E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7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95E91A7" w14:textId="6C06A448" w:rsidR="0059262C" w:rsidRPr="0059262C" w:rsidRDefault="0059262C" w:rsidP="0059262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59262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25D3" w14:textId="3A3BD608" w:rsidR="003375FA" w:rsidRPr="00A11421" w:rsidRDefault="0059262C" w:rsidP="0051568D">
    <w:pPr>
      <w:pStyle w:val="DHHSfooter"/>
    </w:pPr>
    <w:r>
      <w:rPr>
        <w:noProof/>
      </w:rPr>
      <mc:AlternateContent>
        <mc:Choice Requires="wps">
          <w:drawing>
            <wp:anchor distT="0" distB="0" distL="0" distR="0" simplePos="0" relativeHeight="251680256" behindDoc="0" locked="0" layoutInCell="1" allowOverlap="1" wp14:anchorId="248EC787" wp14:editId="3B060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0220481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8ED0B" w14:textId="635AAF03" w:rsidR="0059262C" w:rsidRPr="0059262C" w:rsidRDefault="0059262C" w:rsidP="0059262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59262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EC7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1.7pt;height:29.1pt;z-index:25168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B68ED0B" w14:textId="635AAF03" w:rsidR="0059262C" w:rsidRPr="0059262C" w:rsidRDefault="0059262C" w:rsidP="0059262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59262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75FA">
      <w:t xml:space="preserve">Mental Health Bulletin </w:t>
    </w:r>
    <w:r w:rsidR="00E27523">
      <w:t>87</w:t>
    </w:r>
    <w:r w:rsidR="00C117AE">
      <w:t xml:space="preserve"> </w:t>
    </w:r>
    <w:r w:rsidR="00B04D7E">
      <w:t>–</w:t>
    </w:r>
    <w:r w:rsidR="001F501F">
      <w:t xml:space="preserve"> </w:t>
    </w:r>
    <w:r w:rsidR="00B04D7E">
      <w:t>CMI/ODS Release 1</w:t>
    </w:r>
    <w:r w:rsidR="00C117AE">
      <w:t>4</w:t>
    </w:r>
    <w:r w:rsidR="003375FA" w:rsidRPr="00A11421">
      <w:tab/>
    </w:r>
    <w:r w:rsidR="003375FA" w:rsidRPr="00A11421">
      <w:fldChar w:fldCharType="begin"/>
    </w:r>
    <w:r w:rsidR="003375FA" w:rsidRPr="00A11421">
      <w:instrText xml:space="preserve"> PAGE </w:instrText>
    </w:r>
    <w:r w:rsidR="003375FA" w:rsidRPr="00A11421">
      <w:fldChar w:fldCharType="separate"/>
    </w:r>
    <w:r w:rsidR="003375FA">
      <w:rPr>
        <w:noProof/>
      </w:rPr>
      <w:t>3</w:t>
    </w:r>
    <w:r w:rsidR="003375FA" w:rsidRPr="00A11421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4395" w14:textId="120E5CB0" w:rsidR="003375FA" w:rsidRDefault="005926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208" behindDoc="0" locked="0" layoutInCell="1" allowOverlap="1" wp14:anchorId="4C068E40" wp14:editId="2DDA67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6868786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BBF74" w14:textId="6F3C90D1" w:rsidR="0059262C" w:rsidRPr="0059262C" w:rsidRDefault="0059262C" w:rsidP="0059262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59262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68E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7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F8BBF74" w14:textId="6F3C90D1" w:rsidR="0059262C" w:rsidRPr="0059262C" w:rsidRDefault="0059262C" w:rsidP="0059262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59262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0176" w14:textId="50890AD6" w:rsidR="0059262C" w:rsidRDefault="005926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304" behindDoc="0" locked="0" layoutInCell="1" allowOverlap="1" wp14:anchorId="34718F9B" wp14:editId="469278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73693317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CDCFD" w14:textId="49168F4E" w:rsidR="0059262C" w:rsidRPr="0059262C" w:rsidRDefault="0059262C" w:rsidP="0059262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59262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18F9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left:0;text-align:left;margin-left:0;margin-top:0;width:51.7pt;height:29.1pt;z-index:25168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DCDCFD" w14:textId="49168F4E" w:rsidR="0059262C" w:rsidRPr="0059262C" w:rsidRDefault="0059262C" w:rsidP="0059262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59262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8506" w14:textId="245C350B" w:rsidR="00373890" w:rsidRPr="00F65AA9" w:rsidRDefault="0059262C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3328" behindDoc="0" locked="0" layoutInCell="1" allowOverlap="1" wp14:anchorId="006BB227" wp14:editId="22FEB8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041703384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3D380" w14:textId="5735BF4C" w:rsidR="0059262C" w:rsidRPr="0059262C" w:rsidRDefault="0059262C" w:rsidP="0059262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59262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BB2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left:0;text-align:left;margin-left:0;margin-top:0;width:51.7pt;height:29.1pt;z-index:25168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E3D380" w14:textId="5735BF4C" w:rsidR="0059262C" w:rsidRPr="0059262C" w:rsidRDefault="0059262C" w:rsidP="0059262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59262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FAF2" w14:textId="3592951D" w:rsidR="0059262C" w:rsidRDefault="005926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280" behindDoc="0" locked="0" layoutInCell="1" allowOverlap="1" wp14:anchorId="536F41C4" wp14:editId="7C6D42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8111606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F3CFA" w14:textId="0F230C1A" w:rsidR="0059262C" w:rsidRPr="0059262C" w:rsidRDefault="0059262C" w:rsidP="0059262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59262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F41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left:0;text-align:left;margin-left:0;margin-top:0;width:51.7pt;height:29.1pt;z-index:25168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18F3CFA" w14:textId="0F230C1A" w:rsidR="0059262C" w:rsidRPr="0059262C" w:rsidRDefault="0059262C" w:rsidP="0059262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59262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3037" w14:textId="77777777" w:rsidR="008F56D1" w:rsidRDefault="008F56D1" w:rsidP="002862F1">
      <w:pPr>
        <w:spacing w:before="120"/>
      </w:pPr>
      <w:r>
        <w:separator/>
      </w:r>
    </w:p>
  </w:footnote>
  <w:footnote w:type="continuationSeparator" w:id="0">
    <w:p w14:paraId="40B169C4" w14:textId="77777777" w:rsidR="008F56D1" w:rsidRDefault="008F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3B65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A2B" w14:textId="77777777" w:rsidR="003375FA" w:rsidRDefault="003375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8E95" w14:textId="77777777" w:rsidR="003375FA" w:rsidRPr="0051568D" w:rsidRDefault="003375FA" w:rsidP="0051568D">
    <w:pPr>
      <w:pStyle w:val="DHHS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CCC1" w14:textId="77777777" w:rsidR="003375FA" w:rsidRDefault="00337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417111A"/>
    <w:multiLevelType w:val="multilevel"/>
    <w:tmpl w:val="9AEE1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A622C"/>
    <w:multiLevelType w:val="hybridMultilevel"/>
    <w:tmpl w:val="083C5D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C036E65"/>
    <w:multiLevelType w:val="hybridMultilevel"/>
    <w:tmpl w:val="13483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7405686">
    <w:abstractNumId w:val="10"/>
  </w:num>
  <w:num w:numId="2" w16cid:durableId="648293296">
    <w:abstractNumId w:val="20"/>
  </w:num>
  <w:num w:numId="3" w16cid:durableId="7702732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7080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3118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9823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6840116">
    <w:abstractNumId w:val="24"/>
  </w:num>
  <w:num w:numId="8" w16cid:durableId="940913116">
    <w:abstractNumId w:val="18"/>
  </w:num>
  <w:num w:numId="9" w16cid:durableId="1751928526">
    <w:abstractNumId w:val="23"/>
  </w:num>
  <w:num w:numId="10" w16cid:durableId="11453138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365765">
    <w:abstractNumId w:val="25"/>
  </w:num>
  <w:num w:numId="12" w16cid:durableId="5204407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2354951">
    <w:abstractNumId w:val="21"/>
  </w:num>
  <w:num w:numId="14" w16cid:durableId="20213936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88710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82879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97843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8153089">
    <w:abstractNumId w:val="27"/>
  </w:num>
  <w:num w:numId="19" w16cid:durableId="100306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3815472">
    <w:abstractNumId w:val="15"/>
  </w:num>
  <w:num w:numId="21" w16cid:durableId="651328911">
    <w:abstractNumId w:val="12"/>
  </w:num>
  <w:num w:numId="22" w16cid:durableId="133063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478308">
    <w:abstractNumId w:val="16"/>
  </w:num>
  <w:num w:numId="24" w16cid:durableId="542059286">
    <w:abstractNumId w:val="28"/>
  </w:num>
  <w:num w:numId="25" w16cid:durableId="866262199">
    <w:abstractNumId w:val="26"/>
  </w:num>
  <w:num w:numId="26" w16cid:durableId="1595939688">
    <w:abstractNumId w:val="22"/>
  </w:num>
  <w:num w:numId="27" w16cid:durableId="1668707874">
    <w:abstractNumId w:val="11"/>
  </w:num>
  <w:num w:numId="28" w16cid:durableId="75371169">
    <w:abstractNumId w:val="29"/>
  </w:num>
  <w:num w:numId="29" w16cid:durableId="1867404710">
    <w:abstractNumId w:val="9"/>
  </w:num>
  <w:num w:numId="30" w16cid:durableId="34476221">
    <w:abstractNumId w:val="7"/>
  </w:num>
  <w:num w:numId="31" w16cid:durableId="1229536099">
    <w:abstractNumId w:val="6"/>
  </w:num>
  <w:num w:numId="32" w16cid:durableId="1780175782">
    <w:abstractNumId w:val="5"/>
  </w:num>
  <w:num w:numId="33" w16cid:durableId="1450468061">
    <w:abstractNumId w:val="4"/>
  </w:num>
  <w:num w:numId="34" w16cid:durableId="1909922570">
    <w:abstractNumId w:val="8"/>
  </w:num>
  <w:num w:numId="35" w16cid:durableId="2007898504">
    <w:abstractNumId w:val="3"/>
  </w:num>
  <w:num w:numId="36" w16cid:durableId="440027430">
    <w:abstractNumId w:val="2"/>
  </w:num>
  <w:num w:numId="37" w16cid:durableId="1816141739">
    <w:abstractNumId w:val="1"/>
  </w:num>
  <w:num w:numId="38" w16cid:durableId="1702238986">
    <w:abstractNumId w:val="0"/>
  </w:num>
  <w:num w:numId="39" w16cid:durableId="14626517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5212795">
    <w:abstractNumId w:val="19"/>
  </w:num>
  <w:num w:numId="41" w16cid:durableId="490414963">
    <w:abstractNumId w:val="13"/>
  </w:num>
  <w:num w:numId="42" w16cid:durableId="199190498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FA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0F1F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1CAC"/>
    <w:rsid w:val="001120C5"/>
    <w:rsid w:val="0011701A"/>
    <w:rsid w:val="00120BD3"/>
    <w:rsid w:val="00122FEA"/>
    <w:rsid w:val="001232BD"/>
    <w:rsid w:val="00124ED5"/>
    <w:rsid w:val="001276FA"/>
    <w:rsid w:val="00132BBE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480"/>
    <w:rsid w:val="001B058F"/>
    <w:rsid w:val="001B738B"/>
    <w:rsid w:val="001C09DB"/>
    <w:rsid w:val="001C277E"/>
    <w:rsid w:val="001C2A72"/>
    <w:rsid w:val="001C31B7"/>
    <w:rsid w:val="001D0B75"/>
    <w:rsid w:val="001D2506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501F"/>
    <w:rsid w:val="001F6E46"/>
    <w:rsid w:val="001F7186"/>
    <w:rsid w:val="001F7C91"/>
    <w:rsid w:val="00200176"/>
    <w:rsid w:val="002028DD"/>
    <w:rsid w:val="002033B7"/>
    <w:rsid w:val="00206463"/>
    <w:rsid w:val="00206F2F"/>
    <w:rsid w:val="0021053D"/>
    <w:rsid w:val="00210A92"/>
    <w:rsid w:val="00216C03"/>
    <w:rsid w:val="00220C04"/>
    <w:rsid w:val="0022278D"/>
    <w:rsid w:val="0022372E"/>
    <w:rsid w:val="0022701F"/>
    <w:rsid w:val="00227C68"/>
    <w:rsid w:val="002333F5"/>
    <w:rsid w:val="00233724"/>
    <w:rsid w:val="002365B4"/>
    <w:rsid w:val="0024014C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76969"/>
    <w:rsid w:val="002802E3"/>
    <w:rsid w:val="0028213D"/>
    <w:rsid w:val="002862F1"/>
    <w:rsid w:val="002905B1"/>
    <w:rsid w:val="00291373"/>
    <w:rsid w:val="00291EBA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75FA"/>
    <w:rsid w:val="003406C6"/>
    <w:rsid w:val="003418CC"/>
    <w:rsid w:val="003459BD"/>
    <w:rsid w:val="00350D38"/>
    <w:rsid w:val="00351B36"/>
    <w:rsid w:val="00357B4E"/>
    <w:rsid w:val="00363421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1261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262C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2D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3C1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BFA"/>
    <w:rsid w:val="006557A7"/>
    <w:rsid w:val="00656290"/>
    <w:rsid w:val="006608D8"/>
    <w:rsid w:val="006621D7"/>
    <w:rsid w:val="0066302A"/>
    <w:rsid w:val="00667770"/>
    <w:rsid w:val="00670597"/>
    <w:rsid w:val="006706D0"/>
    <w:rsid w:val="00674077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2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D53"/>
    <w:rsid w:val="00796E20"/>
    <w:rsid w:val="00797C32"/>
    <w:rsid w:val="007A11E8"/>
    <w:rsid w:val="007B0914"/>
    <w:rsid w:val="007B1374"/>
    <w:rsid w:val="007B32E5"/>
    <w:rsid w:val="007B3DB9"/>
    <w:rsid w:val="007B5004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8BE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4727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1DC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6C47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174"/>
    <w:rsid w:val="008D6DCF"/>
    <w:rsid w:val="008E3DE9"/>
    <w:rsid w:val="008E3ECE"/>
    <w:rsid w:val="008E4376"/>
    <w:rsid w:val="008E7A0A"/>
    <w:rsid w:val="008E7B49"/>
    <w:rsid w:val="008F56D1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15FB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60C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6547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C67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6E5A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4D7E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5ACC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E6C62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17AE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194C"/>
    <w:rsid w:val="00C621B1"/>
    <w:rsid w:val="00C62F7A"/>
    <w:rsid w:val="00C63B9C"/>
    <w:rsid w:val="00C6682F"/>
    <w:rsid w:val="00C67BF4"/>
    <w:rsid w:val="00C7275E"/>
    <w:rsid w:val="00C74C5D"/>
    <w:rsid w:val="00C80EA0"/>
    <w:rsid w:val="00C85545"/>
    <w:rsid w:val="00C863C4"/>
    <w:rsid w:val="00C8746D"/>
    <w:rsid w:val="00C920EA"/>
    <w:rsid w:val="00C93C3E"/>
    <w:rsid w:val="00CA12E3"/>
    <w:rsid w:val="00CA1476"/>
    <w:rsid w:val="00CA4038"/>
    <w:rsid w:val="00CA6611"/>
    <w:rsid w:val="00CA6AE6"/>
    <w:rsid w:val="00CA782F"/>
    <w:rsid w:val="00CB187B"/>
    <w:rsid w:val="00CB25E8"/>
    <w:rsid w:val="00CB2835"/>
    <w:rsid w:val="00CB2EC5"/>
    <w:rsid w:val="00CB3285"/>
    <w:rsid w:val="00CB4500"/>
    <w:rsid w:val="00CB7800"/>
    <w:rsid w:val="00CC0C72"/>
    <w:rsid w:val="00CC2BFD"/>
    <w:rsid w:val="00CD3476"/>
    <w:rsid w:val="00CD64DF"/>
    <w:rsid w:val="00CE225F"/>
    <w:rsid w:val="00CF2ABC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27B8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523"/>
    <w:rsid w:val="00E27FFC"/>
    <w:rsid w:val="00E30B15"/>
    <w:rsid w:val="00E33237"/>
    <w:rsid w:val="00E40181"/>
    <w:rsid w:val="00E413D4"/>
    <w:rsid w:val="00E54950"/>
    <w:rsid w:val="00E56A01"/>
    <w:rsid w:val="00E62622"/>
    <w:rsid w:val="00E629A1"/>
    <w:rsid w:val="00E6794C"/>
    <w:rsid w:val="00E71591"/>
    <w:rsid w:val="00E71CEB"/>
    <w:rsid w:val="00E7474F"/>
    <w:rsid w:val="00E7645B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30D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03D6"/>
    <w:rsid w:val="00EF109B"/>
    <w:rsid w:val="00EF201C"/>
    <w:rsid w:val="00EF36AF"/>
    <w:rsid w:val="00EF59A3"/>
    <w:rsid w:val="00EF5DD5"/>
    <w:rsid w:val="00EF6675"/>
    <w:rsid w:val="00F00F9C"/>
    <w:rsid w:val="00F01E5F"/>
    <w:rsid w:val="00F024F3"/>
    <w:rsid w:val="00F02ABA"/>
    <w:rsid w:val="00F0437A"/>
    <w:rsid w:val="00F101B8"/>
    <w:rsid w:val="00F11037"/>
    <w:rsid w:val="00F12582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87228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D9A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5FA"/>
    <w:rPr>
      <w:rFonts w:ascii="Verdana" w:hAnsi="Verdan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3375FA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Healthbody">
    <w:name w:val="Health body"/>
    <w:uiPriority w:val="99"/>
    <w:rsid w:val="003375FA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paragraph" w:customStyle="1" w:styleId="DHHSmainsubheading">
    <w:name w:val="DHHS main subheading"/>
    <w:uiPriority w:val="8"/>
    <w:rsid w:val="003375FA"/>
    <w:rPr>
      <w:rFonts w:ascii="Arial" w:hAnsi="Arial"/>
      <w:color w:val="FFFFFF"/>
      <w:sz w:val="28"/>
      <w:szCs w:val="24"/>
      <w:lang w:eastAsia="en-US"/>
    </w:rPr>
  </w:style>
  <w:style w:type="paragraph" w:customStyle="1" w:styleId="DHHSfooter">
    <w:name w:val="DHHS footer"/>
    <w:uiPriority w:val="11"/>
    <w:rsid w:val="003375FA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3375FA"/>
  </w:style>
  <w:style w:type="paragraph" w:styleId="ListParagraph">
    <w:name w:val="List Paragraph"/>
    <w:basedOn w:val="Normal"/>
    <w:uiPriority w:val="34"/>
    <w:qFormat/>
    <w:rsid w:val="003375FA"/>
    <w:pPr>
      <w:ind w:left="720"/>
      <w:contextualSpacing/>
    </w:pPr>
    <w:rPr>
      <w:rFonts w:ascii="Times New Roman" w:hAnsi="Times New Roman"/>
      <w:sz w:val="24"/>
      <w:szCs w:val="24"/>
      <w:lang w:eastAsia="en-AU"/>
    </w:rPr>
  </w:style>
  <w:style w:type="paragraph" w:customStyle="1" w:styleId="xmsonormal">
    <w:name w:val="x_msonormal"/>
    <w:basedOn w:val="Normal"/>
    <w:rsid w:val="003375FA"/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DHHSbodyChar">
    <w:name w:val="DHHS body Char"/>
    <w:link w:val="DHHSbody"/>
    <w:rsid w:val="003375FA"/>
    <w:rPr>
      <w:rFonts w:ascii="Arial" w:eastAsia="Times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75FA"/>
    <w:rPr>
      <w:rFonts w:ascii="Arial" w:hAnsi="Arial" w:cs="Arial"/>
      <w:b/>
      <w:color w:val="53565A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75FA"/>
    <w:rPr>
      <w:rFonts w:ascii="Arial" w:hAnsi="Arial" w:cs="Arial"/>
      <w:szCs w:val="18"/>
      <w:lang w:eastAsia="en-US"/>
    </w:rPr>
  </w:style>
  <w:style w:type="paragraph" w:customStyle="1" w:styleId="DHHSaccessibilitypara">
    <w:name w:val="DHHS accessibility para"/>
    <w:uiPriority w:val="8"/>
    <w:rsid w:val="0022372E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health.vic.gov.au/research-and-reporting/bulletins-and-program-management-circulars-pmc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mailto:MHDReporting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yperlink" Target="mailto:MHDReporting@health.vic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2985</Characters>
  <Application>Microsoft Office Word</Application>
  <DocSecurity>0</DocSecurity>
  <Lines>84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Bulletin 87 - CMI Release 14</vt:lpstr>
    </vt:vector>
  </TitlesOfParts>
  <Manager/>
  <Company/>
  <LinksUpToDate>false</LinksUpToDate>
  <CharactersWithSpaces>3490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Bulletin 87 - CMI Release 14</dc:title>
  <dc:subject/>
  <dc:creator/>
  <cp:keywords>CMI, Release 14, Restrict communication, program codes</cp:keywords>
  <dc:description/>
  <cp:lastModifiedBy/>
  <cp:revision>1</cp:revision>
  <dcterms:created xsi:type="dcterms:W3CDTF">2025-02-06T04:51:00Z</dcterms:created>
  <dcterms:modified xsi:type="dcterms:W3CDTF">2025-02-06T04:51:00Z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1a1b62c6,df198f2,7a61d79e,637627f8,756ffdf,7161578b,4c5c479c,2becb537,3e1721d8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2025-02-03T03:58:19Z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888d2dc9-bb17-4704-9ea1-bb5521320f16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GrammarlyDocumentId">
    <vt:lpwstr>ae8d2a93024535dbfd38cac69c65d628eb5452633f12414d34bcaa9d69b6e779</vt:lpwstr>
  </property>
</Properties>
</file>