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1E7C" w14:textId="1CA76523" w:rsidR="0074696E" w:rsidRPr="004C6EEE" w:rsidRDefault="00E357E3" w:rsidP="00EC40D5">
      <w:pPr>
        <w:pStyle w:val="Sectionbreakfirstpage"/>
      </w:pPr>
      <w: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p>
    <w:p w14:paraId="0A3021F0"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00E96CA7">
        <w:tc>
          <w:tcPr>
            <w:tcW w:w="0" w:type="auto"/>
            <w:tcMar>
              <w:top w:w="1588" w:type="dxa"/>
              <w:left w:w="0" w:type="dxa"/>
              <w:right w:w="0" w:type="dxa"/>
            </w:tcMar>
          </w:tcPr>
          <w:p w14:paraId="7392B213" w14:textId="72160095" w:rsidR="003B5733" w:rsidRPr="003B5733" w:rsidRDefault="00DD1E53" w:rsidP="003B5733">
            <w:pPr>
              <w:pStyle w:val="Documenttitle"/>
            </w:pPr>
            <w:r>
              <w:t>HDSS Bulletin</w:t>
            </w:r>
          </w:p>
        </w:tc>
      </w:tr>
      <w:tr w:rsidR="003B5733" w14:paraId="1E97BDFA" w14:textId="77777777" w:rsidTr="00C01933">
        <w:tc>
          <w:tcPr>
            <w:tcW w:w="0" w:type="auto"/>
          </w:tcPr>
          <w:p w14:paraId="23D4323B" w14:textId="48E0953C" w:rsidR="003B5733" w:rsidRPr="00A1389F" w:rsidRDefault="00DD1E53" w:rsidP="00C01933">
            <w:pPr>
              <w:pStyle w:val="Documentsubtitle"/>
            </w:pPr>
            <w:r>
              <w:t xml:space="preserve">Issue </w:t>
            </w:r>
            <w:r w:rsidR="00E577D0">
              <w:t>284</w:t>
            </w:r>
            <w:r w:rsidRPr="001369CD">
              <w:t xml:space="preserve">: </w:t>
            </w:r>
            <w:r w:rsidR="001369CD" w:rsidRPr="001369CD">
              <w:t>29</w:t>
            </w:r>
            <w:r w:rsidRPr="001369CD">
              <w:t xml:space="preserve"> </w:t>
            </w:r>
            <w:r w:rsidR="00261E05" w:rsidRPr="001369CD">
              <w:t>May</w:t>
            </w:r>
            <w:r w:rsidRPr="00261E05">
              <w:t xml:space="preserve"> </w:t>
            </w:r>
            <w:r w:rsidR="00261E05" w:rsidRPr="00261E05">
              <w:t>2025</w:t>
            </w:r>
          </w:p>
        </w:tc>
      </w:tr>
      <w:tr w:rsidR="003B5733" w14:paraId="01A0A997" w14:textId="77777777" w:rsidTr="00C01933">
        <w:tc>
          <w:tcPr>
            <w:tcW w:w="0" w:type="auto"/>
          </w:tcPr>
          <w:p w14:paraId="3E5FF0AB" w14:textId="77777777" w:rsidR="003B5733" w:rsidRDefault="00274726" w:rsidP="00C01933">
            <w:pPr>
              <w:pStyle w:val="Bannermarking"/>
            </w:pPr>
            <w:fldSimple w:instr="FILLIN  &quot;Type the protective marking&quot; \d OFFICIAL \o  \* MERGEFORMAT">
              <w:r>
                <w:t>OFFICIAL</w:t>
              </w:r>
            </w:fldSimple>
          </w:p>
        </w:tc>
      </w:tr>
    </w:tbl>
    <w:p w14:paraId="534F25BB" w14:textId="77777777" w:rsidR="008A2BC3" w:rsidRDefault="008A2BC3" w:rsidP="002F2187">
      <w:pPr>
        <w:pStyle w:val="Body"/>
        <w:rPr>
          <w:b/>
          <w:bCs/>
          <w:sz w:val="32"/>
          <w:szCs w:val="32"/>
        </w:rPr>
      </w:pPr>
    </w:p>
    <w:p w14:paraId="7B23E143" w14:textId="77777777" w:rsidR="00C61B7D" w:rsidRPr="00536EF9" w:rsidRDefault="00C61B7D" w:rsidP="00C61B7D">
      <w:pPr>
        <w:pStyle w:val="Body"/>
        <w:rPr>
          <w:b/>
          <w:bCs/>
          <w:sz w:val="32"/>
          <w:szCs w:val="32"/>
        </w:rPr>
      </w:pPr>
      <w:r w:rsidRPr="00536EF9">
        <w:rPr>
          <w:b/>
          <w:bCs/>
          <w:color w:val="53565A"/>
          <w:sz w:val="32"/>
          <w:szCs w:val="32"/>
        </w:rPr>
        <w:t>Contents</w:t>
      </w:r>
    </w:p>
    <w:p w14:paraId="2313DA19" w14:textId="7F1E55B0" w:rsidR="001369CD"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99411185" w:history="1">
        <w:r w:rsidR="001369CD" w:rsidRPr="00A95D67">
          <w:rPr>
            <w:rStyle w:val="Hyperlink"/>
          </w:rPr>
          <w:t>Agency Information Management System (AIMS)</w:t>
        </w:r>
        <w:r w:rsidR="001369CD">
          <w:rPr>
            <w:webHidden/>
          </w:rPr>
          <w:tab/>
        </w:r>
        <w:r w:rsidR="001369CD">
          <w:rPr>
            <w:webHidden/>
          </w:rPr>
          <w:fldChar w:fldCharType="begin"/>
        </w:r>
        <w:r w:rsidR="001369CD">
          <w:rPr>
            <w:webHidden/>
          </w:rPr>
          <w:instrText xml:space="preserve"> PAGEREF _Toc199411185 \h </w:instrText>
        </w:r>
        <w:r w:rsidR="001369CD">
          <w:rPr>
            <w:webHidden/>
          </w:rPr>
        </w:r>
        <w:r w:rsidR="001369CD">
          <w:rPr>
            <w:webHidden/>
          </w:rPr>
          <w:fldChar w:fldCharType="separate"/>
        </w:r>
        <w:r w:rsidR="001369CD">
          <w:rPr>
            <w:webHidden/>
          </w:rPr>
          <w:t>2</w:t>
        </w:r>
        <w:r w:rsidR="001369CD">
          <w:rPr>
            <w:webHidden/>
          </w:rPr>
          <w:fldChar w:fldCharType="end"/>
        </w:r>
      </w:hyperlink>
    </w:p>
    <w:p w14:paraId="4BA2A408" w14:textId="4E0AC69A" w:rsidR="001369CD" w:rsidRDefault="001369C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9411186" w:history="1">
        <w:r w:rsidRPr="00A95D67">
          <w:rPr>
            <w:rStyle w:val="Hyperlink"/>
          </w:rPr>
          <w:t>284.1</w:t>
        </w:r>
        <w:r>
          <w:rPr>
            <w:rFonts w:asciiTheme="minorHAnsi" w:eastAsiaTheme="minorEastAsia" w:hAnsiTheme="minorHAnsi" w:cstheme="minorBidi"/>
            <w:kern w:val="2"/>
            <w:sz w:val="24"/>
            <w:szCs w:val="24"/>
            <w:lang w:eastAsia="en-AU"/>
            <w14:ligatures w14:val="standardContextual"/>
          </w:rPr>
          <w:tab/>
        </w:r>
        <w:r w:rsidRPr="00A95D67">
          <w:rPr>
            <w:rStyle w:val="Hyperlink"/>
          </w:rPr>
          <w:t>Update for VINAH MDS and/or NADC reporting sites requirement to complete AIMS S10, S11, S11A and S12 forms</w:t>
        </w:r>
        <w:r>
          <w:rPr>
            <w:webHidden/>
          </w:rPr>
          <w:tab/>
        </w:r>
        <w:r>
          <w:rPr>
            <w:webHidden/>
          </w:rPr>
          <w:fldChar w:fldCharType="begin"/>
        </w:r>
        <w:r>
          <w:rPr>
            <w:webHidden/>
          </w:rPr>
          <w:instrText xml:space="preserve"> PAGEREF _Toc199411186 \h </w:instrText>
        </w:r>
        <w:r>
          <w:rPr>
            <w:webHidden/>
          </w:rPr>
        </w:r>
        <w:r>
          <w:rPr>
            <w:webHidden/>
          </w:rPr>
          <w:fldChar w:fldCharType="separate"/>
        </w:r>
        <w:r>
          <w:rPr>
            <w:webHidden/>
          </w:rPr>
          <w:t>2</w:t>
        </w:r>
        <w:r>
          <w:rPr>
            <w:webHidden/>
          </w:rPr>
          <w:fldChar w:fldCharType="end"/>
        </w:r>
      </w:hyperlink>
    </w:p>
    <w:p w14:paraId="397BB487" w14:textId="45C290A2" w:rsidR="001369CD" w:rsidRDefault="001369CD">
      <w:pPr>
        <w:pStyle w:val="TOC1"/>
        <w:rPr>
          <w:rFonts w:asciiTheme="minorHAnsi" w:eastAsiaTheme="minorEastAsia" w:hAnsiTheme="minorHAnsi" w:cstheme="minorBidi"/>
          <w:b w:val="0"/>
          <w:kern w:val="2"/>
          <w:sz w:val="24"/>
          <w:szCs w:val="24"/>
          <w:lang w:eastAsia="en-AU"/>
          <w14:ligatures w14:val="standardContextual"/>
        </w:rPr>
      </w:pPr>
      <w:hyperlink w:anchor="_Toc199411187" w:history="1">
        <w:r w:rsidRPr="00A95D67">
          <w:rPr>
            <w:rStyle w:val="Hyperlink"/>
          </w:rPr>
          <w:t>Victorian Admitted Episode Dataset (VAED)</w:t>
        </w:r>
        <w:r>
          <w:rPr>
            <w:webHidden/>
          </w:rPr>
          <w:tab/>
        </w:r>
        <w:r>
          <w:rPr>
            <w:webHidden/>
          </w:rPr>
          <w:fldChar w:fldCharType="begin"/>
        </w:r>
        <w:r>
          <w:rPr>
            <w:webHidden/>
          </w:rPr>
          <w:instrText xml:space="preserve"> PAGEREF _Toc199411187 \h </w:instrText>
        </w:r>
        <w:r>
          <w:rPr>
            <w:webHidden/>
          </w:rPr>
        </w:r>
        <w:r>
          <w:rPr>
            <w:webHidden/>
          </w:rPr>
          <w:fldChar w:fldCharType="separate"/>
        </w:r>
        <w:r>
          <w:rPr>
            <w:webHidden/>
          </w:rPr>
          <w:t>2</w:t>
        </w:r>
        <w:r>
          <w:rPr>
            <w:webHidden/>
          </w:rPr>
          <w:fldChar w:fldCharType="end"/>
        </w:r>
      </w:hyperlink>
    </w:p>
    <w:p w14:paraId="59C96EEA" w14:textId="4A8A157B" w:rsidR="001369CD" w:rsidRDefault="001369C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9411188" w:history="1">
        <w:r w:rsidRPr="00A95D67">
          <w:rPr>
            <w:rStyle w:val="Hyperlink"/>
          </w:rPr>
          <w:t>284.2</w:t>
        </w:r>
        <w:r>
          <w:rPr>
            <w:rFonts w:asciiTheme="minorHAnsi" w:eastAsiaTheme="minorEastAsia" w:hAnsiTheme="minorHAnsi" w:cstheme="minorBidi"/>
            <w:kern w:val="2"/>
            <w:sz w:val="24"/>
            <w:szCs w:val="24"/>
            <w:lang w:eastAsia="en-AU"/>
            <w14:ligatures w14:val="standardContextual"/>
          </w:rPr>
          <w:tab/>
        </w:r>
        <w:r w:rsidRPr="00A95D67">
          <w:rPr>
            <w:rStyle w:val="Hyperlink"/>
          </w:rPr>
          <w:t>ICD-10-AM 13</w:t>
        </w:r>
        <w:r w:rsidRPr="00A95D67">
          <w:rPr>
            <w:rStyle w:val="Hyperlink"/>
            <w:vertAlign w:val="superscript"/>
          </w:rPr>
          <w:t>th</w:t>
        </w:r>
        <w:r w:rsidRPr="00A95D67">
          <w:rPr>
            <w:rStyle w:val="Hyperlink"/>
          </w:rPr>
          <w:t xml:space="preserve"> edition Library file</w:t>
        </w:r>
        <w:r>
          <w:rPr>
            <w:webHidden/>
          </w:rPr>
          <w:tab/>
        </w:r>
        <w:r>
          <w:rPr>
            <w:webHidden/>
          </w:rPr>
          <w:fldChar w:fldCharType="begin"/>
        </w:r>
        <w:r>
          <w:rPr>
            <w:webHidden/>
          </w:rPr>
          <w:instrText xml:space="preserve"> PAGEREF _Toc199411188 \h </w:instrText>
        </w:r>
        <w:r>
          <w:rPr>
            <w:webHidden/>
          </w:rPr>
        </w:r>
        <w:r>
          <w:rPr>
            <w:webHidden/>
          </w:rPr>
          <w:fldChar w:fldCharType="separate"/>
        </w:r>
        <w:r>
          <w:rPr>
            <w:webHidden/>
          </w:rPr>
          <w:t>2</w:t>
        </w:r>
        <w:r>
          <w:rPr>
            <w:webHidden/>
          </w:rPr>
          <w:fldChar w:fldCharType="end"/>
        </w:r>
      </w:hyperlink>
    </w:p>
    <w:p w14:paraId="1FB0F8FA" w14:textId="165B2B3D" w:rsidR="001369CD" w:rsidRDefault="001369C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9411189" w:history="1">
        <w:r w:rsidRPr="00A95D67">
          <w:rPr>
            <w:rStyle w:val="Hyperlink"/>
          </w:rPr>
          <w:t>284.3</w:t>
        </w:r>
        <w:r>
          <w:rPr>
            <w:rFonts w:asciiTheme="minorHAnsi" w:eastAsiaTheme="minorEastAsia" w:hAnsiTheme="minorHAnsi" w:cstheme="minorBidi"/>
            <w:kern w:val="2"/>
            <w:sz w:val="24"/>
            <w:szCs w:val="24"/>
            <w:lang w:eastAsia="en-AU"/>
            <w14:ligatures w14:val="standardContextual"/>
          </w:rPr>
          <w:tab/>
        </w:r>
        <w:r w:rsidRPr="00A95D67">
          <w:rPr>
            <w:rStyle w:val="Hyperlink"/>
            <w:rFonts w:eastAsia="MS Gothic"/>
          </w:rPr>
          <w:t>Application of ACS 0004 Diagnosis cluster identifier and reporting of Diagnosis Cluster Identifier (DCID)</w:t>
        </w:r>
        <w:r>
          <w:rPr>
            <w:webHidden/>
          </w:rPr>
          <w:tab/>
        </w:r>
        <w:r>
          <w:rPr>
            <w:webHidden/>
          </w:rPr>
          <w:fldChar w:fldCharType="begin"/>
        </w:r>
        <w:r>
          <w:rPr>
            <w:webHidden/>
          </w:rPr>
          <w:instrText xml:space="preserve"> PAGEREF _Toc199411189 \h </w:instrText>
        </w:r>
        <w:r>
          <w:rPr>
            <w:webHidden/>
          </w:rPr>
        </w:r>
        <w:r>
          <w:rPr>
            <w:webHidden/>
          </w:rPr>
          <w:fldChar w:fldCharType="separate"/>
        </w:r>
        <w:r>
          <w:rPr>
            <w:webHidden/>
          </w:rPr>
          <w:t>2</w:t>
        </w:r>
        <w:r>
          <w:rPr>
            <w:webHidden/>
          </w:rPr>
          <w:fldChar w:fldCharType="end"/>
        </w:r>
      </w:hyperlink>
    </w:p>
    <w:p w14:paraId="634C4CDC" w14:textId="32E52B97" w:rsidR="001369CD" w:rsidRDefault="001369C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9411190" w:history="1">
        <w:r w:rsidRPr="00A95D67">
          <w:rPr>
            <w:rStyle w:val="Hyperlink"/>
          </w:rPr>
          <w:t>284.4</w:t>
        </w:r>
        <w:r>
          <w:rPr>
            <w:rFonts w:asciiTheme="minorHAnsi" w:eastAsiaTheme="minorEastAsia" w:hAnsiTheme="minorHAnsi" w:cstheme="minorBidi"/>
            <w:kern w:val="2"/>
            <w:sz w:val="24"/>
            <w:szCs w:val="24"/>
            <w:lang w:eastAsia="en-AU"/>
            <w14:ligatures w14:val="standardContextual"/>
          </w:rPr>
          <w:tab/>
        </w:r>
        <w:r w:rsidRPr="00A95D67">
          <w:rPr>
            <w:rStyle w:val="Hyperlink"/>
          </w:rPr>
          <w:t>DCID Validation for 2025-26</w:t>
        </w:r>
        <w:r>
          <w:rPr>
            <w:webHidden/>
          </w:rPr>
          <w:tab/>
        </w:r>
        <w:r>
          <w:rPr>
            <w:webHidden/>
          </w:rPr>
          <w:fldChar w:fldCharType="begin"/>
        </w:r>
        <w:r>
          <w:rPr>
            <w:webHidden/>
          </w:rPr>
          <w:instrText xml:space="preserve"> PAGEREF _Toc199411190 \h </w:instrText>
        </w:r>
        <w:r>
          <w:rPr>
            <w:webHidden/>
          </w:rPr>
        </w:r>
        <w:r>
          <w:rPr>
            <w:webHidden/>
          </w:rPr>
          <w:fldChar w:fldCharType="separate"/>
        </w:r>
        <w:r>
          <w:rPr>
            <w:webHidden/>
          </w:rPr>
          <w:t>3</w:t>
        </w:r>
        <w:r>
          <w:rPr>
            <w:webHidden/>
          </w:rPr>
          <w:fldChar w:fldCharType="end"/>
        </w:r>
      </w:hyperlink>
    </w:p>
    <w:p w14:paraId="012D7D0D" w14:textId="0F25AF43" w:rsidR="001369CD" w:rsidRDefault="001369C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9411191" w:history="1">
        <w:r w:rsidRPr="00A95D67">
          <w:rPr>
            <w:rStyle w:val="Hyperlink"/>
          </w:rPr>
          <w:t>284.5</w:t>
        </w:r>
        <w:r>
          <w:rPr>
            <w:rFonts w:asciiTheme="minorHAnsi" w:eastAsiaTheme="minorEastAsia" w:hAnsiTheme="minorHAnsi" w:cstheme="minorBidi"/>
            <w:kern w:val="2"/>
            <w:sz w:val="24"/>
            <w:szCs w:val="24"/>
            <w:lang w:eastAsia="en-AU"/>
            <w14:ligatures w14:val="standardContextual"/>
          </w:rPr>
          <w:tab/>
        </w:r>
        <w:r w:rsidRPr="00A95D67">
          <w:rPr>
            <w:rStyle w:val="Hyperlink"/>
          </w:rPr>
          <w:t>Clinically ready for discharge date and Reason for delay</w:t>
        </w:r>
        <w:r>
          <w:rPr>
            <w:webHidden/>
          </w:rPr>
          <w:tab/>
        </w:r>
        <w:r>
          <w:rPr>
            <w:webHidden/>
          </w:rPr>
          <w:fldChar w:fldCharType="begin"/>
        </w:r>
        <w:r>
          <w:rPr>
            <w:webHidden/>
          </w:rPr>
          <w:instrText xml:space="preserve"> PAGEREF _Toc199411191 \h </w:instrText>
        </w:r>
        <w:r>
          <w:rPr>
            <w:webHidden/>
          </w:rPr>
        </w:r>
        <w:r>
          <w:rPr>
            <w:webHidden/>
          </w:rPr>
          <w:fldChar w:fldCharType="separate"/>
        </w:r>
        <w:r>
          <w:rPr>
            <w:webHidden/>
          </w:rPr>
          <w:t>4</w:t>
        </w:r>
        <w:r>
          <w:rPr>
            <w:webHidden/>
          </w:rPr>
          <w:fldChar w:fldCharType="end"/>
        </w:r>
      </w:hyperlink>
    </w:p>
    <w:p w14:paraId="49230921" w14:textId="62DD54F1" w:rsidR="001369CD" w:rsidRDefault="001369C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9411192" w:history="1">
        <w:r w:rsidRPr="00A95D67">
          <w:rPr>
            <w:rStyle w:val="Hyperlink"/>
          </w:rPr>
          <w:t>284.6</w:t>
        </w:r>
        <w:r>
          <w:rPr>
            <w:rFonts w:asciiTheme="minorHAnsi" w:eastAsiaTheme="minorEastAsia" w:hAnsiTheme="minorHAnsi" w:cstheme="minorBidi"/>
            <w:kern w:val="2"/>
            <w:sz w:val="24"/>
            <w:szCs w:val="24"/>
            <w:lang w:eastAsia="en-AU"/>
            <w14:ligatures w14:val="standardContextual"/>
          </w:rPr>
          <w:tab/>
        </w:r>
        <w:r w:rsidRPr="00A95D67">
          <w:rPr>
            <w:rStyle w:val="Hyperlink"/>
          </w:rPr>
          <w:t>Elective surgery blitz codes</w:t>
        </w:r>
        <w:r>
          <w:rPr>
            <w:webHidden/>
          </w:rPr>
          <w:tab/>
        </w:r>
        <w:r>
          <w:rPr>
            <w:webHidden/>
          </w:rPr>
          <w:fldChar w:fldCharType="begin"/>
        </w:r>
        <w:r>
          <w:rPr>
            <w:webHidden/>
          </w:rPr>
          <w:instrText xml:space="preserve"> PAGEREF _Toc199411192 \h </w:instrText>
        </w:r>
        <w:r>
          <w:rPr>
            <w:webHidden/>
          </w:rPr>
        </w:r>
        <w:r>
          <w:rPr>
            <w:webHidden/>
          </w:rPr>
          <w:fldChar w:fldCharType="separate"/>
        </w:r>
        <w:r>
          <w:rPr>
            <w:webHidden/>
          </w:rPr>
          <w:t>4</w:t>
        </w:r>
        <w:r>
          <w:rPr>
            <w:webHidden/>
          </w:rPr>
          <w:fldChar w:fldCharType="end"/>
        </w:r>
      </w:hyperlink>
    </w:p>
    <w:p w14:paraId="602213AD" w14:textId="401B4831" w:rsidR="001369CD" w:rsidRDefault="001369CD">
      <w:pPr>
        <w:pStyle w:val="TOC1"/>
        <w:rPr>
          <w:rFonts w:asciiTheme="minorHAnsi" w:eastAsiaTheme="minorEastAsia" w:hAnsiTheme="minorHAnsi" w:cstheme="minorBidi"/>
          <w:b w:val="0"/>
          <w:kern w:val="2"/>
          <w:sz w:val="24"/>
          <w:szCs w:val="24"/>
          <w:lang w:eastAsia="en-AU"/>
          <w14:ligatures w14:val="standardContextual"/>
        </w:rPr>
      </w:pPr>
      <w:hyperlink w:anchor="_Toc199411193" w:history="1">
        <w:r w:rsidRPr="00A95D67">
          <w:rPr>
            <w:rStyle w:val="Hyperlink"/>
          </w:rPr>
          <w:t>Victorian Emergency Minimum Dataset (VEMD)</w:t>
        </w:r>
        <w:r>
          <w:rPr>
            <w:webHidden/>
          </w:rPr>
          <w:tab/>
        </w:r>
        <w:r>
          <w:rPr>
            <w:webHidden/>
          </w:rPr>
          <w:fldChar w:fldCharType="begin"/>
        </w:r>
        <w:r>
          <w:rPr>
            <w:webHidden/>
          </w:rPr>
          <w:instrText xml:space="preserve"> PAGEREF _Toc199411193 \h </w:instrText>
        </w:r>
        <w:r>
          <w:rPr>
            <w:webHidden/>
          </w:rPr>
        </w:r>
        <w:r>
          <w:rPr>
            <w:webHidden/>
          </w:rPr>
          <w:fldChar w:fldCharType="separate"/>
        </w:r>
        <w:r>
          <w:rPr>
            <w:webHidden/>
          </w:rPr>
          <w:t>5</w:t>
        </w:r>
        <w:r>
          <w:rPr>
            <w:webHidden/>
          </w:rPr>
          <w:fldChar w:fldCharType="end"/>
        </w:r>
      </w:hyperlink>
    </w:p>
    <w:p w14:paraId="1659AD3D" w14:textId="5F293AB7" w:rsidR="001369CD" w:rsidRDefault="001369C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9411194" w:history="1">
        <w:r w:rsidRPr="00A95D67">
          <w:rPr>
            <w:rStyle w:val="Hyperlink"/>
          </w:rPr>
          <w:t>284.7</w:t>
        </w:r>
        <w:r>
          <w:rPr>
            <w:rFonts w:asciiTheme="minorHAnsi" w:eastAsiaTheme="minorEastAsia" w:hAnsiTheme="minorHAnsi" w:cstheme="minorBidi"/>
            <w:kern w:val="2"/>
            <w:sz w:val="24"/>
            <w:szCs w:val="24"/>
            <w:lang w:eastAsia="en-AU"/>
            <w14:ligatures w14:val="standardContextual"/>
          </w:rPr>
          <w:tab/>
        </w:r>
        <w:r w:rsidRPr="00A95D67">
          <w:rPr>
            <w:rStyle w:val="Hyperlink"/>
          </w:rPr>
          <w:t>VEMD editing matrix 2025-26</w:t>
        </w:r>
        <w:r>
          <w:rPr>
            <w:webHidden/>
          </w:rPr>
          <w:tab/>
        </w:r>
        <w:r>
          <w:rPr>
            <w:webHidden/>
          </w:rPr>
          <w:fldChar w:fldCharType="begin"/>
        </w:r>
        <w:r>
          <w:rPr>
            <w:webHidden/>
          </w:rPr>
          <w:instrText xml:space="preserve"> PAGEREF _Toc199411194 \h </w:instrText>
        </w:r>
        <w:r>
          <w:rPr>
            <w:webHidden/>
          </w:rPr>
        </w:r>
        <w:r>
          <w:rPr>
            <w:webHidden/>
          </w:rPr>
          <w:fldChar w:fldCharType="separate"/>
        </w:r>
        <w:r>
          <w:rPr>
            <w:webHidden/>
          </w:rPr>
          <w:t>5</w:t>
        </w:r>
        <w:r>
          <w:rPr>
            <w:webHidden/>
          </w:rPr>
          <w:fldChar w:fldCharType="end"/>
        </w:r>
      </w:hyperlink>
    </w:p>
    <w:p w14:paraId="0957CB64" w14:textId="6C18B18E" w:rsidR="001369CD" w:rsidRDefault="001369C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9411195" w:history="1">
        <w:r w:rsidRPr="00A95D67">
          <w:rPr>
            <w:rStyle w:val="Hyperlink"/>
          </w:rPr>
          <w:t>284.8</w:t>
        </w:r>
        <w:r>
          <w:rPr>
            <w:rFonts w:asciiTheme="minorHAnsi" w:eastAsiaTheme="minorEastAsia" w:hAnsiTheme="minorHAnsi" w:cstheme="minorBidi"/>
            <w:kern w:val="2"/>
            <w:sz w:val="24"/>
            <w:szCs w:val="24"/>
            <w:lang w:eastAsia="en-AU"/>
            <w14:ligatures w14:val="standardContextual"/>
          </w:rPr>
          <w:tab/>
        </w:r>
        <w:r w:rsidRPr="00A95D67">
          <w:rPr>
            <w:rStyle w:val="Hyperlink"/>
          </w:rPr>
          <w:t>VEMD diagnosis codes 2025-26</w:t>
        </w:r>
        <w:r>
          <w:rPr>
            <w:webHidden/>
          </w:rPr>
          <w:tab/>
        </w:r>
        <w:r>
          <w:rPr>
            <w:webHidden/>
          </w:rPr>
          <w:fldChar w:fldCharType="begin"/>
        </w:r>
        <w:r>
          <w:rPr>
            <w:webHidden/>
          </w:rPr>
          <w:instrText xml:space="preserve"> PAGEREF _Toc199411195 \h </w:instrText>
        </w:r>
        <w:r>
          <w:rPr>
            <w:webHidden/>
          </w:rPr>
        </w:r>
        <w:r>
          <w:rPr>
            <w:webHidden/>
          </w:rPr>
          <w:fldChar w:fldCharType="separate"/>
        </w:r>
        <w:r>
          <w:rPr>
            <w:webHidden/>
          </w:rPr>
          <w:t>5</w:t>
        </w:r>
        <w:r>
          <w:rPr>
            <w:webHidden/>
          </w:rPr>
          <w:fldChar w:fldCharType="end"/>
        </w:r>
      </w:hyperlink>
    </w:p>
    <w:p w14:paraId="082260B9" w14:textId="61ECC7C7" w:rsidR="001369CD" w:rsidRDefault="001369CD">
      <w:pPr>
        <w:pStyle w:val="TOC1"/>
        <w:rPr>
          <w:rFonts w:asciiTheme="minorHAnsi" w:eastAsiaTheme="minorEastAsia" w:hAnsiTheme="minorHAnsi" w:cstheme="minorBidi"/>
          <w:b w:val="0"/>
          <w:kern w:val="2"/>
          <w:sz w:val="24"/>
          <w:szCs w:val="24"/>
          <w:lang w:eastAsia="en-AU"/>
          <w14:ligatures w14:val="standardContextual"/>
        </w:rPr>
      </w:pPr>
      <w:hyperlink w:anchor="_Toc199411196" w:history="1">
        <w:r w:rsidRPr="00A95D67">
          <w:rPr>
            <w:rStyle w:val="Hyperlink"/>
          </w:rPr>
          <w:t>Victorian Integrated Non-Admitted Health Minimum Data Set (VINAH MDS)</w:t>
        </w:r>
        <w:r>
          <w:rPr>
            <w:webHidden/>
          </w:rPr>
          <w:tab/>
        </w:r>
        <w:r>
          <w:rPr>
            <w:webHidden/>
          </w:rPr>
          <w:fldChar w:fldCharType="begin"/>
        </w:r>
        <w:r>
          <w:rPr>
            <w:webHidden/>
          </w:rPr>
          <w:instrText xml:space="preserve"> PAGEREF _Toc199411196 \h </w:instrText>
        </w:r>
        <w:r>
          <w:rPr>
            <w:webHidden/>
          </w:rPr>
        </w:r>
        <w:r>
          <w:rPr>
            <w:webHidden/>
          </w:rPr>
          <w:fldChar w:fldCharType="separate"/>
        </w:r>
        <w:r>
          <w:rPr>
            <w:webHidden/>
          </w:rPr>
          <w:t>5</w:t>
        </w:r>
        <w:r>
          <w:rPr>
            <w:webHidden/>
          </w:rPr>
          <w:fldChar w:fldCharType="end"/>
        </w:r>
      </w:hyperlink>
    </w:p>
    <w:p w14:paraId="29E53ED3" w14:textId="033C63BC" w:rsidR="001369CD" w:rsidRDefault="001369C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9411197" w:history="1">
        <w:r w:rsidRPr="00A95D67">
          <w:rPr>
            <w:rStyle w:val="Hyperlink"/>
          </w:rPr>
          <w:t>284.9</w:t>
        </w:r>
        <w:r>
          <w:rPr>
            <w:rFonts w:asciiTheme="minorHAnsi" w:eastAsiaTheme="minorEastAsia" w:hAnsiTheme="minorHAnsi" w:cstheme="minorBidi"/>
            <w:kern w:val="2"/>
            <w:sz w:val="24"/>
            <w:szCs w:val="24"/>
            <w:lang w:eastAsia="en-AU"/>
            <w14:ligatures w14:val="standardContextual"/>
          </w:rPr>
          <w:tab/>
        </w:r>
        <w:r w:rsidRPr="00A95D67">
          <w:rPr>
            <w:rStyle w:val="Hyperlink"/>
          </w:rPr>
          <w:t>Corrections to the VINAH MDS manual 2024-25</w:t>
        </w:r>
        <w:r>
          <w:rPr>
            <w:webHidden/>
          </w:rPr>
          <w:tab/>
        </w:r>
        <w:r>
          <w:rPr>
            <w:webHidden/>
          </w:rPr>
          <w:fldChar w:fldCharType="begin"/>
        </w:r>
        <w:r>
          <w:rPr>
            <w:webHidden/>
          </w:rPr>
          <w:instrText xml:space="preserve"> PAGEREF _Toc199411197 \h </w:instrText>
        </w:r>
        <w:r>
          <w:rPr>
            <w:webHidden/>
          </w:rPr>
        </w:r>
        <w:r>
          <w:rPr>
            <w:webHidden/>
          </w:rPr>
          <w:fldChar w:fldCharType="separate"/>
        </w:r>
        <w:r>
          <w:rPr>
            <w:webHidden/>
          </w:rPr>
          <w:t>5</w:t>
        </w:r>
        <w:r>
          <w:rPr>
            <w:webHidden/>
          </w:rPr>
          <w:fldChar w:fldCharType="end"/>
        </w:r>
      </w:hyperlink>
    </w:p>
    <w:p w14:paraId="5AA7DF2C" w14:textId="4BFC77F7" w:rsidR="001369CD" w:rsidRDefault="001369CD">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199411198" w:history="1">
        <w:r w:rsidRPr="00A95D67">
          <w:rPr>
            <w:rStyle w:val="Hyperlink"/>
          </w:rPr>
          <w:t>284.10</w:t>
        </w:r>
        <w:r>
          <w:rPr>
            <w:rFonts w:asciiTheme="minorHAnsi" w:eastAsiaTheme="minorEastAsia" w:hAnsiTheme="minorHAnsi" w:cstheme="minorBidi"/>
            <w:kern w:val="2"/>
            <w:sz w:val="24"/>
            <w:szCs w:val="24"/>
            <w:lang w:eastAsia="en-AU"/>
            <w14:ligatures w14:val="standardContextual"/>
          </w:rPr>
          <w:tab/>
        </w:r>
        <w:r w:rsidRPr="00A95D67">
          <w:rPr>
            <w:rStyle w:val="Hyperlink"/>
          </w:rPr>
          <w:t>Infusion Therapy - SCIg program/stream</w:t>
        </w:r>
        <w:r>
          <w:rPr>
            <w:webHidden/>
          </w:rPr>
          <w:tab/>
        </w:r>
        <w:r>
          <w:rPr>
            <w:webHidden/>
          </w:rPr>
          <w:fldChar w:fldCharType="begin"/>
        </w:r>
        <w:r>
          <w:rPr>
            <w:webHidden/>
          </w:rPr>
          <w:instrText xml:space="preserve"> PAGEREF _Toc199411198 \h </w:instrText>
        </w:r>
        <w:r>
          <w:rPr>
            <w:webHidden/>
          </w:rPr>
        </w:r>
        <w:r>
          <w:rPr>
            <w:webHidden/>
          </w:rPr>
          <w:fldChar w:fldCharType="separate"/>
        </w:r>
        <w:r>
          <w:rPr>
            <w:webHidden/>
          </w:rPr>
          <w:t>6</w:t>
        </w:r>
        <w:r>
          <w:rPr>
            <w:webHidden/>
          </w:rPr>
          <w:fldChar w:fldCharType="end"/>
        </w:r>
      </w:hyperlink>
    </w:p>
    <w:p w14:paraId="75296F80" w14:textId="13818ED5" w:rsidR="001369CD" w:rsidRDefault="001369CD">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199411199" w:history="1">
        <w:r w:rsidRPr="00A95D67">
          <w:rPr>
            <w:rStyle w:val="Hyperlink"/>
          </w:rPr>
          <w:t>284.11</w:t>
        </w:r>
        <w:r>
          <w:rPr>
            <w:rFonts w:asciiTheme="minorHAnsi" w:eastAsiaTheme="minorEastAsia" w:hAnsiTheme="minorHAnsi" w:cstheme="minorBidi"/>
            <w:kern w:val="2"/>
            <w:sz w:val="24"/>
            <w:szCs w:val="24"/>
            <w:lang w:eastAsia="en-AU"/>
            <w14:ligatures w14:val="standardContextual"/>
          </w:rPr>
          <w:tab/>
        </w:r>
        <w:r w:rsidRPr="00A95D67">
          <w:rPr>
            <w:rStyle w:val="Hyperlink"/>
          </w:rPr>
          <w:t>Impact of changes when VINAH MDS / NADC reporting sites cease completion of the AIMS S10, S11, S11A and S12 forms</w:t>
        </w:r>
        <w:r>
          <w:rPr>
            <w:webHidden/>
          </w:rPr>
          <w:tab/>
        </w:r>
        <w:r>
          <w:rPr>
            <w:webHidden/>
          </w:rPr>
          <w:fldChar w:fldCharType="begin"/>
        </w:r>
        <w:r>
          <w:rPr>
            <w:webHidden/>
          </w:rPr>
          <w:instrText xml:space="preserve"> PAGEREF _Toc199411199 \h </w:instrText>
        </w:r>
        <w:r>
          <w:rPr>
            <w:webHidden/>
          </w:rPr>
        </w:r>
        <w:r>
          <w:rPr>
            <w:webHidden/>
          </w:rPr>
          <w:fldChar w:fldCharType="separate"/>
        </w:r>
        <w:r>
          <w:rPr>
            <w:webHidden/>
          </w:rPr>
          <w:t>7</w:t>
        </w:r>
        <w:r>
          <w:rPr>
            <w:webHidden/>
          </w:rPr>
          <w:fldChar w:fldCharType="end"/>
        </w:r>
      </w:hyperlink>
    </w:p>
    <w:p w14:paraId="0645478F" w14:textId="51A77D81" w:rsidR="007173CA" w:rsidRDefault="00AD784C" w:rsidP="00D079AA">
      <w:pPr>
        <w:pStyle w:val="Body"/>
      </w:pPr>
      <w:r>
        <w:fldChar w:fldCharType="end"/>
      </w:r>
    </w:p>
    <w:p w14:paraId="2AD7000F"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512EA674" w14:textId="77777777" w:rsidR="00577A2C" w:rsidRDefault="00577A2C">
      <w:pPr>
        <w:spacing w:after="0" w:line="240" w:lineRule="auto"/>
        <w:rPr>
          <w:rFonts w:eastAsia="MS Gothic" w:cs="Arial"/>
          <w:bCs/>
          <w:color w:val="53565A"/>
          <w:kern w:val="32"/>
          <w:sz w:val="40"/>
          <w:szCs w:val="40"/>
        </w:rPr>
      </w:pPr>
      <w:bookmarkStart w:id="0" w:name="_Toc199311734"/>
      <w:r>
        <w:br w:type="page"/>
      </w:r>
    </w:p>
    <w:p w14:paraId="13B0898D" w14:textId="5EAA954D" w:rsidR="00DE646C" w:rsidRDefault="00DE646C" w:rsidP="00DE646C">
      <w:pPr>
        <w:pStyle w:val="Heading1"/>
      </w:pPr>
      <w:bookmarkStart w:id="1" w:name="_Toc199411185"/>
      <w:r>
        <w:lastRenderedPageBreak/>
        <w:t>A</w:t>
      </w:r>
      <w:r w:rsidR="007F085E">
        <w:t xml:space="preserve">gency </w:t>
      </w:r>
      <w:r>
        <w:t>I</w:t>
      </w:r>
      <w:r w:rsidR="007F085E">
        <w:t xml:space="preserve">nformation </w:t>
      </w:r>
      <w:r>
        <w:t>M</w:t>
      </w:r>
      <w:r w:rsidR="007F085E">
        <w:t xml:space="preserve">anagement </w:t>
      </w:r>
      <w:r>
        <w:t>S</w:t>
      </w:r>
      <w:r w:rsidR="007F085E">
        <w:t>ystem</w:t>
      </w:r>
      <w:r w:rsidR="00E55092">
        <w:t xml:space="preserve"> (AIMS)</w:t>
      </w:r>
      <w:bookmarkEnd w:id="0"/>
      <w:bookmarkEnd w:id="1"/>
    </w:p>
    <w:p w14:paraId="367792DA" w14:textId="5F71663A" w:rsidR="0078069F" w:rsidRDefault="003676CF" w:rsidP="00304103">
      <w:pPr>
        <w:pStyle w:val="Heading2"/>
        <w:ind w:left="709" w:hanging="283"/>
      </w:pPr>
      <w:bookmarkStart w:id="2" w:name="_Toc199311735"/>
      <w:bookmarkStart w:id="3" w:name="_Toc199411186"/>
      <w:r w:rsidRPr="003676CF">
        <w:t>Update for VINAH MDS and/or NADC reporting sites requirement to complete AIMS S10, S11, S11A and S12 forms</w:t>
      </w:r>
      <w:bookmarkEnd w:id="2"/>
      <w:bookmarkEnd w:id="3"/>
    </w:p>
    <w:p w14:paraId="1F37535B" w14:textId="19EDA108" w:rsidR="00981063" w:rsidRPr="001A304F" w:rsidRDefault="00D80741" w:rsidP="00981063">
      <w:pPr>
        <w:pStyle w:val="Bodyafterbullets"/>
      </w:pPr>
      <w:r>
        <w:t>Effective for 2025-26 reporting, h</w:t>
      </w:r>
      <w:r w:rsidRPr="001A304F">
        <w:t xml:space="preserve">ealth services submitting patient-level non-admitted data to the Victorian Integrated Non-Admitted Health (VINAH) Minimum Data Set and/or the Non-Admitted Data Collection (NADC) </w:t>
      </w:r>
      <w:r>
        <w:t xml:space="preserve">will cease completing </w:t>
      </w:r>
      <w:r w:rsidRPr="001A304F">
        <w:t>AIMS forms S10, S11, S11A, and S12.</w:t>
      </w:r>
      <w:r w:rsidR="00981063" w:rsidRPr="001A304F">
        <w:t xml:space="preserve"> This change aligns with national requirements to use patient-level data for calculating activity against the National Weighted Activity Unit (NWAU).</w:t>
      </w:r>
    </w:p>
    <w:p w14:paraId="2885955D" w14:textId="77777777" w:rsidR="00981063" w:rsidRPr="001A304F" w:rsidRDefault="00981063" w:rsidP="00981063">
      <w:pPr>
        <w:pStyle w:val="Bodyafterbullets"/>
      </w:pPr>
      <w:r w:rsidRPr="001A304F">
        <w:t>As a result:</w:t>
      </w:r>
    </w:p>
    <w:p w14:paraId="27BFD951" w14:textId="77777777" w:rsidR="00981063" w:rsidRPr="001A304F" w:rsidRDefault="00981063" w:rsidP="00DE457F">
      <w:pPr>
        <w:pStyle w:val="Bullet1"/>
      </w:pPr>
      <w:r w:rsidRPr="001A304F">
        <w:t>AIMS forms S10, S11, S11A, and S12 will not be available</w:t>
      </w:r>
      <w:r>
        <w:t xml:space="preserve"> for these health services</w:t>
      </w:r>
      <w:r w:rsidRPr="001A304F">
        <w:t xml:space="preserve"> for 2025–26 data.</w:t>
      </w:r>
    </w:p>
    <w:p w14:paraId="0600CBAD" w14:textId="77777777" w:rsidR="00981063" w:rsidRPr="001A304F" w:rsidRDefault="00981063" w:rsidP="00DE457F">
      <w:pPr>
        <w:pStyle w:val="Bullet1"/>
      </w:pPr>
      <w:r w:rsidRPr="001A304F">
        <w:t>The AIMS vs VINAH report will also not be available for 2025–26 (previous years remain accessible).</w:t>
      </w:r>
    </w:p>
    <w:p w14:paraId="679257C1" w14:textId="26247A81" w:rsidR="00981063" w:rsidRPr="001A304F" w:rsidRDefault="00981063" w:rsidP="00981063">
      <w:pPr>
        <w:pStyle w:val="Bodyafterbullets"/>
      </w:pPr>
      <w:r w:rsidRPr="001A304F">
        <w:t xml:space="preserve">Health services must continue to register acute non-admitted </w:t>
      </w:r>
      <w:r w:rsidR="00BA592E">
        <w:t xml:space="preserve">specialist </w:t>
      </w:r>
      <w:r w:rsidRPr="001A304F">
        <w:t xml:space="preserve">clinics in the Non-Admitted Clinic Management System (NACMS) and report activity data via </w:t>
      </w:r>
      <w:r w:rsidR="00FE21E9">
        <w:t xml:space="preserve">the </w:t>
      </w:r>
      <w:r w:rsidRPr="001A304F">
        <w:t>VINAH</w:t>
      </w:r>
      <w:r w:rsidR="00FE21E9">
        <w:t xml:space="preserve"> MDS</w:t>
      </w:r>
      <w:r w:rsidRPr="001A304F">
        <w:t xml:space="preserve"> and/or NADC using the NACMS clinic ID, which determines Tier 2 classification and NWAU.</w:t>
      </w:r>
    </w:p>
    <w:p w14:paraId="743D71E2" w14:textId="77777777" w:rsidR="00981063" w:rsidRPr="001A304F" w:rsidRDefault="00981063" w:rsidP="00981063">
      <w:pPr>
        <w:pStyle w:val="Bodyafterbullets"/>
      </w:pPr>
      <w:r w:rsidRPr="001A304F">
        <w:rPr>
          <w:b/>
          <w:bCs/>
        </w:rPr>
        <w:t>Important:</w:t>
      </w:r>
      <w:r w:rsidRPr="001A304F">
        <w:t> </w:t>
      </w:r>
      <w:r>
        <w:t>health s</w:t>
      </w:r>
      <w:r w:rsidRPr="001A304F">
        <w:t xml:space="preserve">ervices not submitting data to </w:t>
      </w:r>
      <w:r>
        <w:t xml:space="preserve">the </w:t>
      </w:r>
      <w:r w:rsidRPr="001A304F">
        <w:t>VINAH</w:t>
      </w:r>
      <w:r>
        <w:t xml:space="preserve"> MDS</w:t>
      </w:r>
      <w:r w:rsidRPr="001A304F">
        <w:t xml:space="preserve"> and/or NADC must continue to complete the AIMS forms.</w:t>
      </w:r>
    </w:p>
    <w:p w14:paraId="7446E515" w14:textId="77777777" w:rsidR="00981063" w:rsidRPr="001A304F" w:rsidRDefault="00981063" w:rsidP="00981063">
      <w:pPr>
        <w:pStyle w:val="Bodyafterbullets"/>
      </w:pPr>
      <w:r w:rsidRPr="001A304F">
        <w:t>For further details, refer to:</w:t>
      </w:r>
    </w:p>
    <w:p w14:paraId="5ECF4BBE" w14:textId="77777777" w:rsidR="00981063" w:rsidRPr="001A304F" w:rsidRDefault="00981063" w:rsidP="00DE457F">
      <w:pPr>
        <w:pStyle w:val="Bullet1"/>
      </w:pPr>
      <w:hyperlink r:id="rId16" w:history="1">
        <w:r w:rsidRPr="000E3460">
          <w:rPr>
            <w:rStyle w:val="Hyperlink"/>
          </w:rPr>
          <w:t>Policy and Funding Guidelines</w:t>
        </w:r>
      </w:hyperlink>
      <w:r>
        <w:t xml:space="preserve"> 2024-25 funding rules,</w:t>
      </w:r>
      <w:r w:rsidRPr="005E721C">
        <w:t xml:space="preserve"> </w:t>
      </w:r>
      <w:r>
        <w:t>Section 10 &lt;</w:t>
      </w:r>
      <w:r w:rsidRPr="00BE6ED9">
        <w:t>https://www.health.vic.gov.au/policy-and-funding-guidelines-for-health-services</w:t>
      </w:r>
      <w:r>
        <w:t>&gt;</w:t>
      </w:r>
    </w:p>
    <w:p w14:paraId="51998E44" w14:textId="77777777" w:rsidR="00981063" w:rsidRPr="001A304F" w:rsidRDefault="00981063" w:rsidP="00DE457F">
      <w:pPr>
        <w:pStyle w:val="Bullet1"/>
      </w:pPr>
      <w:hyperlink r:id="rId17" w:history="1">
        <w:r w:rsidRPr="006A6ECA">
          <w:rPr>
            <w:rStyle w:val="Hyperlink"/>
          </w:rPr>
          <w:t>NACMS Manual</w:t>
        </w:r>
      </w:hyperlink>
      <w:r w:rsidRPr="001A304F">
        <w:t xml:space="preserve">: </w:t>
      </w:r>
      <w:r>
        <w:t>&lt;</w:t>
      </w:r>
      <w:r w:rsidRPr="001A304F">
        <w:t>health.vic.gov.au/publications/non-admitted-clinic-management-system-nacms-manual</w:t>
      </w:r>
      <w:r>
        <w:t>&gt;</w:t>
      </w:r>
    </w:p>
    <w:p w14:paraId="6A9B8D5C" w14:textId="0AF3A32B" w:rsidR="00276160" w:rsidRPr="00044362" w:rsidRDefault="00981063" w:rsidP="00DE457F">
      <w:pPr>
        <w:pStyle w:val="Bullet1"/>
      </w:pPr>
      <w:r>
        <w:t xml:space="preserve">Previous communications in </w:t>
      </w:r>
      <w:hyperlink r:id="rId18" w:history="1">
        <w:r w:rsidRPr="002D2649">
          <w:rPr>
            <w:rStyle w:val="Hyperlink"/>
          </w:rPr>
          <w:t>HDSS Bulletin</w:t>
        </w:r>
      </w:hyperlink>
      <w:r>
        <w:t>s 10 December 2024, 25 February 2025, and 14 April 2025 &lt;</w:t>
      </w:r>
      <w:r w:rsidRPr="00AA6013">
        <w:t>https://www.health.vic.gov.au/data-reporting/health-data-standards-and-systems-communications</w:t>
      </w:r>
      <w:r>
        <w:t>&gt;</w:t>
      </w:r>
    </w:p>
    <w:p w14:paraId="07A5AFFD" w14:textId="3F87DD25" w:rsidR="001D716C" w:rsidRDefault="001D716C" w:rsidP="001D716C">
      <w:pPr>
        <w:pStyle w:val="Heading1"/>
      </w:pPr>
      <w:bookmarkStart w:id="4" w:name="_Toc199311736"/>
      <w:bookmarkStart w:id="5" w:name="_Toc199411187"/>
      <w:r>
        <w:t>Victorian Admitted Episode Dataset (VAED)</w:t>
      </w:r>
      <w:bookmarkEnd w:id="4"/>
      <w:bookmarkEnd w:id="5"/>
    </w:p>
    <w:p w14:paraId="3BB3067A" w14:textId="77777777" w:rsidR="00584E40" w:rsidRDefault="00584E40" w:rsidP="00584E40">
      <w:pPr>
        <w:pStyle w:val="Heading2"/>
        <w:numPr>
          <w:ilvl w:val="0"/>
          <w:numId w:val="11"/>
        </w:numPr>
      </w:pPr>
      <w:bookmarkStart w:id="6" w:name="_Toc199311737"/>
      <w:bookmarkStart w:id="7" w:name="_Toc199411188"/>
      <w:r>
        <w:t>ICD-10-AM 13</w:t>
      </w:r>
      <w:r w:rsidRPr="00584E40">
        <w:rPr>
          <w:vertAlign w:val="superscript"/>
        </w:rPr>
        <w:t>th</w:t>
      </w:r>
      <w:r>
        <w:t xml:space="preserve"> edition Library file</w:t>
      </w:r>
      <w:bookmarkEnd w:id="6"/>
      <w:bookmarkEnd w:id="7"/>
    </w:p>
    <w:p w14:paraId="5E0C48AA" w14:textId="2AF6F65F" w:rsidR="00584E40" w:rsidRPr="004E5141" w:rsidRDefault="00584E40" w:rsidP="00584E40">
      <w:pPr>
        <w:pStyle w:val="Body"/>
      </w:pPr>
      <w:r w:rsidRPr="004E5141">
        <w:t xml:space="preserve">The </w:t>
      </w:r>
      <w:r w:rsidR="009E27DF">
        <w:t>Thirteenth</w:t>
      </w:r>
      <w:r w:rsidRPr="004E5141">
        <w:t xml:space="preserve"> Edition library file is currently being finali</w:t>
      </w:r>
      <w:r>
        <w:t>s</w:t>
      </w:r>
      <w:r w:rsidRPr="004E5141">
        <w:t>ed and will be available soon.</w:t>
      </w:r>
    </w:p>
    <w:p w14:paraId="184C9380" w14:textId="64E27448" w:rsidR="00584E40" w:rsidRDefault="00584E40" w:rsidP="00584E40">
      <w:pPr>
        <w:pStyle w:val="Body"/>
      </w:pPr>
      <w:r w:rsidRPr="004E5141">
        <w:t>We are now accepting requests for the 2025</w:t>
      </w:r>
      <w:r w:rsidR="00457C82">
        <w:t>-</w:t>
      </w:r>
      <w:r w:rsidRPr="004E5141">
        <w:t xml:space="preserve">26 library file. Health services can submit their requests by emailing </w:t>
      </w:r>
      <w:hyperlink r:id="rId19">
        <w:r w:rsidRPr="7AC170FA">
          <w:rPr>
            <w:rStyle w:val="Hyperlink"/>
          </w:rPr>
          <w:t>hdss.helpdesk@health.vic.gov.au</w:t>
        </w:r>
      </w:hyperlink>
      <w:r>
        <w:t xml:space="preserve"> </w:t>
      </w:r>
      <w:r w:rsidRPr="004E5141">
        <w:t xml:space="preserve">, using the subject line: </w:t>
      </w:r>
      <w:r w:rsidRPr="004E5141">
        <w:rPr>
          <w:b/>
          <w:bCs/>
        </w:rPr>
        <w:t>VAED Library File Request</w:t>
      </w:r>
      <w:r w:rsidRPr="004E5141">
        <w:t>.</w:t>
      </w:r>
    </w:p>
    <w:p w14:paraId="08324334" w14:textId="77777777" w:rsidR="00584E40" w:rsidRDefault="00584E40" w:rsidP="008A4623">
      <w:pPr>
        <w:pStyle w:val="Body"/>
        <w:rPr>
          <w:highlight w:val="yellow"/>
        </w:rPr>
      </w:pPr>
    </w:p>
    <w:p w14:paraId="1C362062" w14:textId="7714D397" w:rsidR="007772C0" w:rsidRPr="007772C0" w:rsidRDefault="007772C0" w:rsidP="007772C0">
      <w:pPr>
        <w:pStyle w:val="Heading2"/>
      </w:pPr>
      <w:bookmarkStart w:id="8" w:name="_Toc199311738"/>
      <w:bookmarkStart w:id="9" w:name="_Toc199411189"/>
      <w:r w:rsidRPr="007772C0">
        <w:rPr>
          <w:rStyle w:val="normaltextrun"/>
          <w:rFonts w:eastAsia="MS Gothic"/>
        </w:rPr>
        <w:t>Application of ACS 0004 Diagnosis cluster identifier and</w:t>
      </w:r>
      <w:r w:rsidR="001369CD">
        <w:rPr>
          <w:rStyle w:val="normaltextrun"/>
          <w:rFonts w:eastAsia="MS Gothic"/>
        </w:rPr>
        <w:t xml:space="preserve"> </w:t>
      </w:r>
      <w:r w:rsidRPr="007772C0">
        <w:rPr>
          <w:rStyle w:val="normaltextrun"/>
          <w:rFonts w:eastAsia="MS Gothic"/>
        </w:rPr>
        <w:t>reporting of Diagnosis Cluster Identifier (DCID)</w:t>
      </w:r>
      <w:bookmarkEnd w:id="8"/>
      <w:bookmarkEnd w:id="9"/>
      <w:r w:rsidRPr="007772C0">
        <w:rPr>
          <w:rStyle w:val="normaltextrun"/>
          <w:rFonts w:eastAsia="MS Gothic"/>
        </w:rPr>
        <w:t> </w:t>
      </w:r>
      <w:r w:rsidRPr="007772C0">
        <w:rPr>
          <w:rStyle w:val="eop"/>
          <w:rFonts w:eastAsia="MS Mincho"/>
        </w:rPr>
        <w:t> </w:t>
      </w:r>
    </w:p>
    <w:p w14:paraId="63851D13" w14:textId="77777777" w:rsidR="007772C0" w:rsidRPr="007772C0" w:rsidRDefault="007772C0" w:rsidP="007772C0">
      <w:pPr>
        <w:pStyle w:val="Body"/>
      </w:pPr>
      <w:r w:rsidRPr="007772C0">
        <w:rPr>
          <w:rStyle w:val="normaltextrun"/>
        </w:rPr>
        <w:t>For Thirteenth Edition ICD-10-AM/ACHI/ACS a new Australian Coding Standard ACS 0004 Diagnosis cluster identifier (DCID) has been created to allow the clinical coder to assign a cluster code to each diagnosis reported to the Victorian Admitted Episodes Dataset (VAED).</w:t>
      </w:r>
      <w:r w:rsidRPr="007772C0">
        <w:rPr>
          <w:rStyle w:val="eop"/>
        </w:rPr>
        <w:t> </w:t>
      </w:r>
    </w:p>
    <w:p w14:paraId="04B95B11" w14:textId="77777777" w:rsidR="007772C0" w:rsidRPr="007772C0" w:rsidRDefault="007772C0" w:rsidP="007772C0">
      <w:pPr>
        <w:pStyle w:val="Body"/>
      </w:pPr>
      <w:r w:rsidRPr="007772C0">
        <w:rPr>
          <w:rStyle w:val="normaltextrun"/>
        </w:rPr>
        <w:t>While the application of ACS 0004 Diagnosis cluster identifier (DCID) is mandatory for separations on and from 1 July 2025, the department is aware that health services and hospitals both public and private are at different stages of software readiness. The term 'readiness' also includes operational readiness. While a health service or hospital may be ready from a technical perspective, there may be operational issues specific to a health service or private hospital to consider in terms of readiness. </w:t>
      </w:r>
      <w:r w:rsidRPr="007772C0">
        <w:rPr>
          <w:rStyle w:val="eop"/>
        </w:rPr>
        <w:t> </w:t>
      </w:r>
    </w:p>
    <w:p w14:paraId="55E743A3" w14:textId="77777777" w:rsidR="007772C0" w:rsidRPr="007772C0" w:rsidRDefault="007772C0" w:rsidP="007772C0">
      <w:pPr>
        <w:pStyle w:val="Body"/>
      </w:pPr>
      <w:r w:rsidRPr="007772C0">
        <w:rPr>
          <w:rStyle w:val="normaltextrun"/>
        </w:rPr>
        <w:lastRenderedPageBreak/>
        <w:t>To support reporting of accurate and interpretable coded data, the department instructs public and private health services and hospitals to:</w:t>
      </w:r>
      <w:r w:rsidRPr="007772C0">
        <w:rPr>
          <w:rStyle w:val="eop"/>
        </w:rPr>
        <w:t> </w:t>
      </w:r>
    </w:p>
    <w:p w14:paraId="241AA15A" w14:textId="69627619" w:rsidR="007772C0" w:rsidRPr="007772C0" w:rsidRDefault="007772C0" w:rsidP="007772C0">
      <w:pPr>
        <w:pStyle w:val="Bullet1"/>
        <w:rPr>
          <w:rFonts w:cs="Arial"/>
          <w:szCs w:val="21"/>
        </w:rPr>
      </w:pPr>
      <w:r w:rsidRPr="007772C0">
        <w:rPr>
          <w:rStyle w:val="normaltextrun"/>
          <w:rFonts w:cs="Arial"/>
          <w:szCs w:val="21"/>
        </w:rPr>
        <w:t>Apply ACS 0004 Diagnosis cluster identifier and report a valid DCID against each diagnosis code once both your coding software and Patient Administration System (PAS) are updated to collect and report DCID</w:t>
      </w:r>
      <w:r w:rsidR="001B5076">
        <w:rPr>
          <w:rStyle w:val="eop"/>
          <w:rFonts w:cs="Arial"/>
          <w:szCs w:val="21"/>
        </w:rPr>
        <w:t>.</w:t>
      </w:r>
    </w:p>
    <w:p w14:paraId="2CACCB12" w14:textId="63AF2550" w:rsidR="007772C0" w:rsidRPr="007772C0" w:rsidRDefault="007772C0" w:rsidP="007772C0">
      <w:pPr>
        <w:pStyle w:val="Bullet1"/>
        <w:rPr>
          <w:rFonts w:cs="Arial"/>
          <w:szCs w:val="21"/>
        </w:rPr>
      </w:pPr>
      <w:r w:rsidRPr="007772C0">
        <w:rPr>
          <w:rStyle w:val="normaltextrun"/>
          <w:rFonts w:cs="Arial"/>
          <w:szCs w:val="21"/>
        </w:rPr>
        <w:t>If you do not use coding software, apply ACS 0004 Diagnosis cluster identifier and report a valid DCID against each diagnosis code once your Patient Administration System (PAS) is updated to collect and report DCID</w:t>
      </w:r>
      <w:r w:rsidR="001B5076">
        <w:rPr>
          <w:rStyle w:val="eop"/>
          <w:rFonts w:cs="Arial"/>
          <w:szCs w:val="21"/>
        </w:rPr>
        <w:t>.</w:t>
      </w:r>
    </w:p>
    <w:p w14:paraId="7BF72F0D" w14:textId="77777777" w:rsidR="007772C0" w:rsidRPr="007772C0" w:rsidRDefault="007772C0" w:rsidP="007772C0">
      <w:pPr>
        <w:pStyle w:val="Bullet1"/>
        <w:rPr>
          <w:rFonts w:cs="Arial"/>
          <w:szCs w:val="21"/>
        </w:rPr>
      </w:pPr>
      <w:r w:rsidRPr="007772C0">
        <w:rPr>
          <w:rStyle w:val="normaltextrun"/>
          <w:rFonts w:cs="Arial"/>
          <w:szCs w:val="21"/>
        </w:rPr>
        <w:t>Ensure operational readiness: While technical readiness is crucial, it is equally important to consider operational readiness. This means that all operational aspects should be fully prepared to support the implementation and reporting processes.</w:t>
      </w:r>
      <w:r w:rsidRPr="007772C0">
        <w:rPr>
          <w:rStyle w:val="eop"/>
          <w:rFonts w:cs="Arial"/>
          <w:szCs w:val="21"/>
        </w:rPr>
        <w:t> </w:t>
      </w:r>
    </w:p>
    <w:p w14:paraId="54D50ACB" w14:textId="54C21888" w:rsidR="007772C0" w:rsidRPr="007772C0" w:rsidRDefault="007772C0" w:rsidP="007772C0">
      <w:pPr>
        <w:pStyle w:val="Bullet1"/>
        <w:rPr>
          <w:rFonts w:cs="Arial"/>
          <w:szCs w:val="21"/>
        </w:rPr>
      </w:pPr>
      <w:r w:rsidRPr="007772C0">
        <w:rPr>
          <w:rStyle w:val="normaltextrun"/>
          <w:rFonts w:cs="Arial"/>
          <w:b/>
          <w:bCs/>
          <w:szCs w:val="21"/>
        </w:rPr>
        <w:t>Do not apply ACS 0004 Diagnosis cluster identifier and double code if you cannot report a valid DCID.</w:t>
      </w:r>
      <w:r w:rsidRPr="007772C0">
        <w:rPr>
          <w:rStyle w:val="normaltextrun"/>
          <w:rFonts w:cs="Arial"/>
          <w:szCs w:val="21"/>
        </w:rPr>
        <w:t xml:space="preserve"> The department does not support double coding as per ACS 0004 if it cannot be interpreted with a valid DCID</w:t>
      </w:r>
      <w:r w:rsidR="001B5076">
        <w:rPr>
          <w:rStyle w:val="eop"/>
          <w:rFonts w:cs="Arial"/>
          <w:szCs w:val="21"/>
        </w:rPr>
        <w:t>.</w:t>
      </w:r>
    </w:p>
    <w:p w14:paraId="0C0BFE5E" w14:textId="354F362F" w:rsidR="007772C0" w:rsidRPr="007D36EF" w:rsidRDefault="007772C0" w:rsidP="007772C0">
      <w:pPr>
        <w:pStyle w:val="Bullet1"/>
        <w:rPr>
          <w:rStyle w:val="eop"/>
          <w:rFonts w:cs="Arial"/>
        </w:rPr>
      </w:pPr>
      <w:r w:rsidRPr="007D36EF">
        <w:rPr>
          <w:rStyle w:val="normaltextrun"/>
          <w:rFonts w:cs="Arial"/>
        </w:rPr>
        <w:t xml:space="preserve">Report spaces </w:t>
      </w:r>
      <w:r w:rsidR="00AA06C4" w:rsidRPr="007D36EF">
        <w:rPr>
          <w:rStyle w:val="normaltextrun"/>
          <w:rFonts w:cs="Arial"/>
        </w:rPr>
        <w:t xml:space="preserve">for the DCID code </w:t>
      </w:r>
      <w:r w:rsidRPr="007D36EF">
        <w:rPr>
          <w:rStyle w:val="normaltextrun"/>
          <w:rFonts w:cs="Arial"/>
        </w:rPr>
        <w:t>against each diagnosis code if you cannot report a valid DCID</w:t>
      </w:r>
      <w:r w:rsidR="001B5076" w:rsidRPr="007D36EF">
        <w:rPr>
          <w:rStyle w:val="eop"/>
          <w:rFonts w:cs="Arial"/>
        </w:rPr>
        <w:t>.</w:t>
      </w:r>
    </w:p>
    <w:p w14:paraId="19B7AA69" w14:textId="77777777" w:rsidR="00163452" w:rsidRPr="007772C0" w:rsidRDefault="00163452" w:rsidP="00163452">
      <w:pPr>
        <w:pStyle w:val="Bullet1"/>
        <w:numPr>
          <w:ilvl w:val="0"/>
          <w:numId w:val="0"/>
        </w:numPr>
        <w:rPr>
          <w:rFonts w:cs="Arial"/>
          <w:szCs w:val="21"/>
        </w:rPr>
      </w:pPr>
    </w:p>
    <w:p w14:paraId="432A0FD9" w14:textId="77777777" w:rsidR="007772C0" w:rsidRPr="00163452" w:rsidRDefault="007772C0" w:rsidP="00163452">
      <w:pPr>
        <w:pStyle w:val="Body"/>
      </w:pPr>
      <w:r w:rsidRPr="00163452">
        <w:rPr>
          <w:rStyle w:val="normaltextrun"/>
        </w:rPr>
        <w:t>Public and private health services and hospitals are also reminded that:</w:t>
      </w:r>
      <w:r w:rsidRPr="00163452">
        <w:rPr>
          <w:rStyle w:val="eop"/>
        </w:rPr>
        <w:t> </w:t>
      </w:r>
    </w:p>
    <w:p w14:paraId="3FAEDE69" w14:textId="77777777" w:rsidR="007772C0" w:rsidRPr="007772C0" w:rsidRDefault="007772C0" w:rsidP="007772C0">
      <w:pPr>
        <w:pStyle w:val="Bullet1"/>
        <w:rPr>
          <w:rFonts w:cs="Arial"/>
          <w:szCs w:val="21"/>
        </w:rPr>
      </w:pPr>
      <w:r w:rsidRPr="007772C0">
        <w:rPr>
          <w:rStyle w:val="normaltextrun"/>
          <w:rFonts w:cs="Arial"/>
          <w:szCs w:val="21"/>
        </w:rPr>
        <w:t>A valid DCID must be reported against each diagnosis code; there cannot be a combination of spaces and a DCID within one diagnosis record</w:t>
      </w:r>
      <w:r w:rsidRPr="007772C0">
        <w:rPr>
          <w:rStyle w:val="eop"/>
          <w:rFonts w:cs="Arial"/>
          <w:szCs w:val="21"/>
        </w:rPr>
        <w:t> </w:t>
      </w:r>
    </w:p>
    <w:p w14:paraId="32972F2C" w14:textId="77777777" w:rsidR="007772C0" w:rsidRPr="003C4A55" w:rsidRDefault="007772C0" w:rsidP="007772C0">
      <w:pPr>
        <w:pStyle w:val="Bullet1"/>
        <w:rPr>
          <w:rFonts w:cs="Arial"/>
        </w:rPr>
      </w:pPr>
      <w:r w:rsidRPr="003C4A55">
        <w:rPr>
          <w:rStyle w:val="normaltextrun"/>
          <w:rFonts w:cs="Arial"/>
        </w:rPr>
        <w:t>Once a site commences reporting of valid DCIDs, a DCID must be assigned to all diagnosis records reported to the VAED; there cannot be a combination of episodes with and without a DCID</w:t>
      </w:r>
      <w:r w:rsidRPr="003C4A55">
        <w:rPr>
          <w:rStyle w:val="eop"/>
          <w:rFonts w:cs="Arial"/>
        </w:rPr>
        <w:t> </w:t>
      </w:r>
    </w:p>
    <w:p w14:paraId="6CF97A55" w14:textId="77777777" w:rsidR="007772C0" w:rsidRPr="003C4A55" w:rsidRDefault="007772C0" w:rsidP="007772C0">
      <w:pPr>
        <w:pStyle w:val="Bullet1"/>
        <w:rPr>
          <w:rFonts w:cs="Arial"/>
        </w:rPr>
      </w:pPr>
      <w:r w:rsidRPr="003C4A55">
        <w:rPr>
          <w:rStyle w:val="normaltextrun"/>
          <w:rFonts w:cs="Arial"/>
        </w:rPr>
        <w:t>Once a site commences reporting of valid DCIDs, you must continue to report DCIDs; you cannot stop reporting once started</w:t>
      </w:r>
      <w:r w:rsidRPr="003C4A55">
        <w:rPr>
          <w:rStyle w:val="eop"/>
          <w:rFonts w:cs="Arial"/>
        </w:rPr>
        <w:t> </w:t>
      </w:r>
    </w:p>
    <w:p w14:paraId="39D6F66E" w14:textId="77777777" w:rsidR="007772C0" w:rsidRPr="007772C0" w:rsidRDefault="007772C0" w:rsidP="007772C0">
      <w:pPr>
        <w:pStyle w:val="Body"/>
      </w:pPr>
      <w:r w:rsidRPr="007772C0">
        <w:rPr>
          <w:rStyle w:val="normaltextrun"/>
        </w:rPr>
        <w:t>The department is committed to meeting its national reporting obligations while balancing the constraints faced by public and private health services and hospitals in their ability to report valid DCIDs.</w:t>
      </w:r>
      <w:r w:rsidRPr="007772C0">
        <w:rPr>
          <w:rStyle w:val="eop"/>
        </w:rPr>
        <w:t> </w:t>
      </w:r>
    </w:p>
    <w:p w14:paraId="06B8B501" w14:textId="77777777" w:rsidR="007772C0" w:rsidRPr="007772C0" w:rsidRDefault="007772C0" w:rsidP="007772C0">
      <w:pPr>
        <w:pStyle w:val="Body"/>
      </w:pPr>
      <w:r w:rsidRPr="007772C0">
        <w:rPr>
          <w:rStyle w:val="normaltextrun"/>
        </w:rPr>
        <w:t>The department encourages clinical coders to undertake IHACPA’s Thirteenth Edition education to familiarise themselves with ACS 0004 even if a site is not ready to report DCIDs.</w:t>
      </w:r>
      <w:r w:rsidRPr="007772C0">
        <w:rPr>
          <w:rStyle w:val="eop"/>
        </w:rPr>
        <w:t> </w:t>
      </w:r>
    </w:p>
    <w:p w14:paraId="77048F12" w14:textId="77777777" w:rsidR="007772C0" w:rsidRDefault="007772C0" w:rsidP="007772C0">
      <w:pPr>
        <w:pStyle w:val="paragraph"/>
        <w:spacing w:before="0" w:beforeAutospacing="0" w:after="0" w:afterAutospacing="0"/>
        <w:textAlignment w:val="baseline"/>
        <w:rPr>
          <w:rFonts w:ascii="Segoe UI" w:hAnsi="Segoe UI" w:cs="Segoe UI"/>
          <w:sz w:val="18"/>
          <w:szCs w:val="18"/>
        </w:rPr>
      </w:pPr>
      <w:r>
        <w:rPr>
          <w:rStyle w:val="eop"/>
          <w:rFonts w:ascii="Calibri" w:eastAsia="MS Mincho" w:hAnsi="Calibri" w:cs="Calibri"/>
          <w:sz w:val="22"/>
        </w:rPr>
        <w:t> </w:t>
      </w:r>
    </w:p>
    <w:p w14:paraId="55E5724A" w14:textId="73BDB5EC" w:rsidR="004D6857" w:rsidRDefault="00167E31" w:rsidP="002C20AF">
      <w:pPr>
        <w:pStyle w:val="Heading2"/>
        <w:numPr>
          <w:ilvl w:val="0"/>
          <w:numId w:val="11"/>
        </w:numPr>
        <w:ind w:left="709" w:hanging="283"/>
      </w:pPr>
      <w:bookmarkStart w:id="10" w:name="_Toc199311739"/>
      <w:bookmarkStart w:id="11" w:name="_Toc199411190"/>
      <w:r>
        <w:t xml:space="preserve">DCID </w:t>
      </w:r>
      <w:r w:rsidR="00F327AD" w:rsidRPr="00426FE0">
        <w:t>Validation</w:t>
      </w:r>
      <w:r>
        <w:t xml:space="preserve"> for 2025</w:t>
      </w:r>
      <w:r w:rsidR="00E50A2E">
        <w:t>-</w:t>
      </w:r>
      <w:r>
        <w:t>26</w:t>
      </w:r>
      <w:bookmarkEnd w:id="10"/>
      <w:bookmarkEnd w:id="11"/>
    </w:p>
    <w:p w14:paraId="166FD405" w14:textId="1C42F64E" w:rsidR="003908D9" w:rsidRPr="00E860F5" w:rsidRDefault="003908D9" w:rsidP="003908D9">
      <w:pPr>
        <w:pStyle w:val="Bodyafterbullets"/>
      </w:pPr>
      <w:r w:rsidRPr="00E860F5">
        <w:t xml:space="preserve">A new PRS2 validation will be implemented for VAED reporting </w:t>
      </w:r>
      <w:r w:rsidR="00966139" w:rsidRPr="00E860F5">
        <w:t xml:space="preserve">for </w:t>
      </w:r>
      <w:r w:rsidRPr="00E860F5">
        <w:t>2025-26 which prevents a diagnosis (X5/Y5) record from reporting a combination of both DCID code/s and spaces (no DCID code/s).</w:t>
      </w:r>
    </w:p>
    <w:p w14:paraId="5B257C03" w14:textId="21CA93B4" w:rsidR="003908D9" w:rsidRPr="00E860F5" w:rsidRDefault="003908D9" w:rsidP="007B432B">
      <w:pPr>
        <w:pStyle w:val="ListParagraph"/>
        <w:numPr>
          <w:ilvl w:val="0"/>
          <w:numId w:val="45"/>
        </w:numPr>
      </w:pPr>
      <w:r w:rsidRPr="00E860F5">
        <w:t>When reporting DCID codes, the total number of DCID codes must match the number of diagnosis codes</w:t>
      </w:r>
      <w:r w:rsidR="00966139" w:rsidRPr="00E860F5">
        <w:t xml:space="preserve"> e.g.</w:t>
      </w:r>
      <w:r w:rsidRPr="00E860F5">
        <w:t xml:space="preserve"> if a diagnosis record (X5/Y5) is reporting a total of 20 diagnosis codes, the total number of DCID codes reported must also be 20. </w:t>
      </w:r>
    </w:p>
    <w:p w14:paraId="481361C5" w14:textId="77777777" w:rsidR="003908D9" w:rsidRPr="00E860F5" w:rsidRDefault="003908D9" w:rsidP="007B432B">
      <w:pPr>
        <w:pStyle w:val="Bodyafterbullets"/>
        <w:numPr>
          <w:ilvl w:val="0"/>
          <w:numId w:val="45"/>
        </w:numPr>
      </w:pPr>
      <w:r w:rsidRPr="00E860F5">
        <w:t xml:space="preserve">The new validation will reject a diagnosis record that reports a total number of DCID codes fewer than the total number of diagnosis codes for that diagnosis record (X5/Y5). When one DCID code is reported, the PRS2 application logic will require a DCID code to be reported for all corresponding diagnosis code/s on the X5/Y5 record.  </w:t>
      </w:r>
    </w:p>
    <w:p w14:paraId="2A9AA4E0" w14:textId="77777777" w:rsidR="003908D9" w:rsidRPr="00E860F5" w:rsidRDefault="003908D9" w:rsidP="003908D9">
      <w:pPr>
        <w:pStyle w:val="Bodyafterbullets"/>
      </w:pPr>
      <w:r w:rsidRPr="00E860F5">
        <w:t xml:space="preserve">Hospitals unable to report the DCID code/s in 2025-26 will report spaces for all DCID codes in the diagnosis (X5/Y5) record. </w:t>
      </w:r>
    </w:p>
    <w:p w14:paraId="555EE02D" w14:textId="36C099D6" w:rsidR="003908D9" w:rsidRPr="00E860F5" w:rsidRDefault="003908D9" w:rsidP="003908D9">
      <w:pPr>
        <w:pStyle w:val="Bodyafterbullets"/>
      </w:pPr>
      <w:r w:rsidRPr="00E860F5">
        <w:t>If during 2025-26 hospitals commence reporting DCID (e.g. for discharges from January 2026 onwards), PRS2 (VAED) will accept diagnosis records (X5/Y5) that report DCID codes as well as records that do not, in the one submission file</w:t>
      </w:r>
      <w:r w:rsidR="007B432B" w:rsidRPr="00E860F5">
        <w:t xml:space="preserve"> e.g.</w:t>
      </w:r>
      <w:r w:rsidRPr="00E860F5">
        <w:t xml:space="preserve"> PRS2 will accept December diagnosis records with no DCID codes and January </w:t>
      </w:r>
      <w:r w:rsidRPr="00E860F5">
        <w:lastRenderedPageBreak/>
        <w:t xml:space="preserve">diagnosis records with DCID codes </w:t>
      </w:r>
      <w:r w:rsidR="007B432B" w:rsidRPr="00E860F5">
        <w:t>in</w:t>
      </w:r>
      <w:r w:rsidRPr="00E860F5">
        <w:t xml:space="preserve"> the one submission file.</w:t>
      </w:r>
      <w:r w:rsidR="00EA055F" w:rsidRPr="00E860F5">
        <w:t xml:space="preserve"> </w:t>
      </w:r>
      <w:r w:rsidRPr="00E860F5">
        <w:t>Diagnosis (X5/Y5) records that were generated for episodes prior to the commencement of DCID reporting will report spaces instead of DCID codes in the one PRS2 (VAED) submission file.</w:t>
      </w:r>
    </w:p>
    <w:p w14:paraId="78646FC5" w14:textId="5BA20D7D" w:rsidR="00167E31" w:rsidRPr="005C177E" w:rsidRDefault="005C177E" w:rsidP="005C177E">
      <w:pPr>
        <w:autoSpaceDE w:val="0"/>
        <w:autoSpaceDN w:val="0"/>
        <w:adjustRightInd w:val="0"/>
        <w:rPr>
          <w:rFonts w:cs="Calibri"/>
          <w:sz w:val="22"/>
          <w:szCs w:val="22"/>
          <w:lang w:eastAsia="en-AU"/>
        </w:rPr>
      </w:pPr>
      <w:r>
        <w:rPr>
          <w:rFonts w:cs="Calibri"/>
          <w:sz w:val="22"/>
          <w:szCs w:val="22"/>
          <w:lang w:eastAsia="en-AU"/>
        </w:rPr>
        <w:br/>
      </w:r>
      <w:r w:rsidR="00167E31" w:rsidRPr="005C177E">
        <w:rPr>
          <w:b/>
          <w:bCs/>
          <w:sz w:val="32"/>
          <w:szCs w:val="32"/>
        </w:rPr>
        <w:t>751 Total DCID codes &lt; total number of diagnosis codes</w:t>
      </w:r>
      <w:r w:rsidRPr="005C177E">
        <w:rPr>
          <w:b/>
          <w:bCs/>
          <w:sz w:val="32"/>
          <w:szCs w:val="32"/>
        </w:rPr>
        <w:t xml:space="preserve"> </w:t>
      </w:r>
    </w:p>
    <w:tbl>
      <w:tblPr>
        <w:tblW w:w="9431" w:type="dxa"/>
        <w:tblLayout w:type="fixed"/>
        <w:tblLook w:val="04A0" w:firstRow="1" w:lastRow="0" w:firstColumn="1" w:lastColumn="0" w:noHBand="0" w:noVBand="1"/>
      </w:tblPr>
      <w:tblGrid>
        <w:gridCol w:w="1115"/>
        <w:gridCol w:w="8316"/>
      </w:tblGrid>
      <w:tr w:rsidR="00167E31" w14:paraId="356261F1" w14:textId="77777777" w:rsidTr="39C704B7">
        <w:trPr>
          <w:cantSplit/>
        </w:trPr>
        <w:tc>
          <w:tcPr>
            <w:tcW w:w="1115" w:type="dxa"/>
            <w:hideMark/>
          </w:tcPr>
          <w:p w14:paraId="4020C48A" w14:textId="77777777" w:rsidR="00167E31" w:rsidRPr="00C96763" w:rsidRDefault="00167E31" w:rsidP="00DE4D78">
            <w:pPr>
              <w:pStyle w:val="Tablecolhead"/>
              <w:rPr>
                <w:rStyle w:val="Strong"/>
                <w:b/>
                <w:bCs w:val="0"/>
              </w:rPr>
            </w:pPr>
            <w:r w:rsidRPr="00C96763">
              <w:rPr>
                <w:rStyle w:val="Strong"/>
              </w:rPr>
              <w:t>Effect</w:t>
            </w:r>
          </w:p>
        </w:tc>
        <w:tc>
          <w:tcPr>
            <w:tcW w:w="8316" w:type="dxa"/>
          </w:tcPr>
          <w:p w14:paraId="4420B23B" w14:textId="77777777" w:rsidR="00167E31" w:rsidRPr="00C96763" w:rsidRDefault="00167E31" w:rsidP="00DE4D78">
            <w:pPr>
              <w:pStyle w:val="Tablecolhead"/>
              <w:rPr>
                <w:rStyle w:val="Strong"/>
                <w:b/>
                <w:bCs w:val="0"/>
              </w:rPr>
            </w:pPr>
            <w:r w:rsidRPr="00C96763">
              <w:rPr>
                <w:rStyle w:val="Strong"/>
              </w:rPr>
              <w:t>REJECTION</w:t>
            </w:r>
          </w:p>
        </w:tc>
      </w:tr>
      <w:tr w:rsidR="00167E31" w14:paraId="60A19603" w14:textId="77777777" w:rsidTr="39C704B7">
        <w:trPr>
          <w:cantSplit/>
        </w:trPr>
        <w:tc>
          <w:tcPr>
            <w:tcW w:w="1115" w:type="dxa"/>
            <w:hideMark/>
          </w:tcPr>
          <w:p w14:paraId="1A543298" w14:textId="77777777" w:rsidR="00167E31" w:rsidRPr="000C3DFB" w:rsidRDefault="00167E31" w:rsidP="00DE4D78">
            <w:pPr>
              <w:pStyle w:val="Tablecolhead"/>
              <w:rPr>
                <w:rStyle w:val="Strong"/>
              </w:rPr>
            </w:pPr>
            <w:r w:rsidRPr="000C3DFB">
              <w:rPr>
                <w:rStyle w:val="Strong"/>
              </w:rPr>
              <w:t>Problem</w:t>
            </w:r>
          </w:p>
        </w:tc>
        <w:tc>
          <w:tcPr>
            <w:tcW w:w="8316" w:type="dxa"/>
          </w:tcPr>
          <w:p w14:paraId="2B25B51B" w14:textId="52E2970B" w:rsidR="00167E31" w:rsidRDefault="00167E31" w:rsidP="00DE4D78">
            <w:pPr>
              <w:pStyle w:val="Tabletext"/>
            </w:pPr>
            <w:r>
              <w:t>The diagnosis (X5/Y5) record is reporting a combination of DCID</w:t>
            </w:r>
            <w:r w:rsidR="738D3927">
              <w:t xml:space="preserve"> codes</w:t>
            </w:r>
            <w:r>
              <w:t>/s                               and spaces. If one DCID code is reported than DCID code/s must be                  reported for all corresponding diagnosis codes.</w:t>
            </w:r>
          </w:p>
        </w:tc>
      </w:tr>
      <w:tr w:rsidR="00167E31" w14:paraId="2B90DF33" w14:textId="77777777" w:rsidTr="39C704B7">
        <w:trPr>
          <w:cantSplit/>
        </w:trPr>
        <w:tc>
          <w:tcPr>
            <w:tcW w:w="1115" w:type="dxa"/>
            <w:hideMark/>
          </w:tcPr>
          <w:p w14:paraId="3204DCB0" w14:textId="77777777" w:rsidR="00167E31" w:rsidRPr="00C96763" w:rsidRDefault="00167E31" w:rsidP="00DE4D78">
            <w:pPr>
              <w:pStyle w:val="Tablecolhead"/>
              <w:rPr>
                <w:rStyle w:val="Strong"/>
                <w:b/>
                <w:bCs w:val="0"/>
              </w:rPr>
            </w:pPr>
            <w:r w:rsidRPr="00C96763">
              <w:rPr>
                <w:rStyle w:val="Strong"/>
              </w:rPr>
              <w:t>Remedy</w:t>
            </w:r>
          </w:p>
        </w:tc>
        <w:tc>
          <w:tcPr>
            <w:tcW w:w="8316" w:type="dxa"/>
          </w:tcPr>
          <w:p w14:paraId="40E16E20" w14:textId="3DB6F330" w:rsidR="00584E40" w:rsidRDefault="00167E31" w:rsidP="00DE4D78">
            <w:pPr>
              <w:pStyle w:val="Tabletext"/>
            </w:pPr>
            <w:r>
              <w:t>Correct the diagnosis (X5/Y5) record to report all DCID code/s for all         corresponding diagnosis codes or all spaces and re-submit.</w:t>
            </w:r>
          </w:p>
          <w:p w14:paraId="069F6275" w14:textId="7618C7B3" w:rsidR="007A6D24" w:rsidRDefault="007A6D24" w:rsidP="00DE4D78">
            <w:pPr>
              <w:pStyle w:val="Tabletext"/>
            </w:pPr>
          </w:p>
        </w:tc>
      </w:tr>
    </w:tbl>
    <w:p w14:paraId="319D1C22" w14:textId="3D94E154" w:rsidR="00613945" w:rsidRDefault="000E4A1C" w:rsidP="00304103">
      <w:pPr>
        <w:pStyle w:val="Heading2"/>
        <w:ind w:left="709" w:hanging="283"/>
      </w:pPr>
      <w:bookmarkStart w:id="12" w:name="_Toc199311740"/>
      <w:bookmarkStart w:id="13" w:name="_Toc199411191"/>
      <w:r>
        <w:t>Clinically ready for discharge date and Reason for delay</w:t>
      </w:r>
      <w:bookmarkEnd w:id="12"/>
      <w:bookmarkEnd w:id="13"/>
    </w:p>
    <w:p w14:paraId="10F01162" w14:textId="77777777" w:rsidR="000E4A1C" w:rsidRDefault="000E4A1C" w:rsidP="00F87A03">
      <w:pPr>
        <w:pStyle w:val="Body"/>
      </w:pPr>
      <w:r>
        <w:t xml:space="preserve">Health services are reminded to: </w:t>
      </w:r>
    </w:p>
    <w:p w14:paraId="601D49AA" w14:textId="336E5A48" w:rsidR="000E4A1C" w:rsidRPr="000E4A1C" w:rsidRDefault="000E4A1C" w:rsidP="00C50747">
      <w:pPr>
        <w:pStyle w:val="Bullet1"/>
      </w:pPr>
      <w:r w:rsidRPr="000E4A1C">
        <w:t>review the clinically ready for discharge data they are submitting t</w:t>
      </w:r>
      <w:r w:rsidR="0067418F">
        <w:t>o</w:t>
      </w:r>
      <w:r w:rsidRPr="000E4A1C">
        <w:t xml:space="preserve"> the VAED to see if it accords with their expectations</w:t>
      </w:r>
    </w:p>
    <w:p w14:paraId="5E9FEF26" w14:textId="3890E612" w:rsidR="000E4A1C" w:rsidRDefault="000E4A1C" w:rsidP="00C50747">
      <w:pPr>
        <w:pStyle w:val="Bullet1"/>
        <w:rPr>
          <w:rFonts w:eastAsia="Times New Roman"/>
        </w:rPr>
      </w:pPr>
      <w:r>
        <w:rPr>
          <w:rFonts w:eastAsia="Times New Roman"/>
        </w:rPr>
        <w:t>institute measures to improve reporting</w:t>
      </w:r>
      <w:r w:rsidR="00F87A03">
        <w:rPr>
          <w:rFonts w:eastAsia="Times New Roman"/>
        </w:rPr>
        <w:br/>
      </w:r>
    </w:p>
    <w:p w14:paraId="00FD40BE" w14:textId="3F5EA031" w:rsidR="00DF6B28" w:rsidRPr="00F87A03" w:rsidRDefault="000E4A1C" w:rsidP="00F87A03">
      <w:pPr>
        <w:pStyle w:val="Body"/>
      </w:pPr>
      <w:r w:rsidRPr="00F87A03">
        <w:t>Current reporting does not seem to reflect feedback the department is receiving from health services.</w:t>
      </w:r>
      <w:r w:rsidRPr="00F87A03">
        <w:br/>
      </w:r>
      <w:r w:rsidRPr="00F87A03">
        <w:br/>
        <w:t>Th</w:t>
      </w:r>
      <w:r w:rsidR="009E0292" w:rsidRPr="00F87A03">
        <w:t>is</w:t>
      </w:r>
      <w:r w:rsidRPr="00F87A03">
        <w:t xml:space="preserve"> </w:t>
      </w:r>
      <w:r w:rsidR="002C4838" w:rsidRPr="00F87A03">
        <w:t xml:space="preserve">data element </w:t>
      </w:r>
      <w:r w:rsidR="00BF1AEB" w:rsidRPr="00F87A03">
        <w:t xml:space="preserve">feeds into </w:t>
      </w:r>
      <w:r w:rsidRPr="00F87A03">
        <w:t>measure</w:t>
      </w:r>
      <w:r w:rsidR="00BF1AEB" w:rsidRPr="00F87A03">
        <w:t xml:space="preserve">s that </w:t>
      </w:r>
      <w:r w:rsidRPr="00F87A03">
        <w:t>provide evidence of drivers for discharge delay and assists in targeting improvements, including through the Strengthening Medicare – Supporting Older Australians Initiative.</w:t>
      </w:r>
      <w:r w:rsidR="009F5858" w:rsidRPr="00F87A03">
        <w:t xml:space="preserve"> </w:t>
      </w:r>
      <w:r w:rsidRPr="00F87A03">
        <w:t xml:space="preserve">Further information can be found in </w:t>
      </w:r>
      <w:r w:rsidR="00225D43" w:rsidRPr="00F87A03">
        <w:t>S</w:t>
      </w:r>
      <w:r w:rsidRPr="00F87A03">
        <w:t xml:space="preserve">ection 3 of the </w:t>
      </w:r>
      <w:hyperlink r:id="rId20" w:history="1">
        <w:r w:rsidRPr="00F87A03">
          <w:rPr>
            <w:rStyle w:val="Hyperlink"/>
            <w:color w:val="auto"/>
            <w:u w:val="none"/>
          </w:rPr>
          <w:t>VAED manual</w:t>
        </w:r>
      </w:hyperlink>
      <w:r w:rsidR="00225D43" w:rsidRPr="00F87A03">
        <w:t>.</w:t>
      </w:r>
      <w:r w:rsidRPr="00F87A03">
        <w:t xml:space="preserve"> </w:t>
      </w:r>
    </w:p>
    <w:p w14:paraId="1363F6CE" w14:textId="77777777" w:rsidR="00DF6B28" w:rsidRDefault="00DF6B28" w:rsidP="00DF6B28">
      <w:pPr>
        <w:pStyle w:val="Body"/>
        <w:rPr>
          <w:rFonts w:eastAsia="Times New Roman" w:cs="Arial"/>
          <w:color w:val="000000"/>
          <w:szCs w:val="21"/>
        </w:rPr>
      </w:pPr>
    </w:p>
    <w:p w14:paraId="43025EBD" w14:textId="0EA963BD" w:rsidR="000B6E5A" w:rsidRPr="00DF6B28" w:rsidRDefault="00774040" w:rsidP="00DF6B28">
      <w:pPr>
        <w:pStyle w:val="Heading2"/>
      </w:pPr>
      <w:bookmarkStart w:id="14" w:name="_Toc199311741"/>
      <w:bookmarkStart w:id="15" w:name="_Toc199411192"/>
      <w:r w:rsidRPr="00DF6B28">
        <w:t>Elective surgery blitz codes</w:t>
      </w:r>
      <w:bookmarkEnd w:id="14"/>
      <w:bookmarkEnd w:id="15"/>
    </w:p>
    <w:p w14:paraId="56375F40" w14:textId="2C629B3F" w:rsidR="00643B8A" w:rsidRPr="002F5D14" w:rsidRDefault="00643B8A" w:rsidP="00643B8A">
      <w:pPr>
        <w:jc w:val="both"/>
        <w:rPr>
          <w:rFonts w:cs="Arial"/>
          <w:szCs w:val="21"/>
        </w:rPr>
      </w:pPr>
      <w:r w:rsidRPr="002F5D14">
        <w:rPr>
          <w:rFonts w:cs="Arial"/>
          <w:szCs w:val="21"/>
        </w:rPr>
        <w:t xml:space="preserve">Health services </w:t>
      </w:r>
      <w:r w:rsidR="00090FE4">
        <w:rPr>
          <w:rFonts w:cs="Arial"/>
          <w:szCs w:val="21"/>
        </w:rPr>
        <w:t xml:space="preserve">are reminded they </w:t>
      </w:r>
      <w:r w:rsidRPr="002F5D14">
        <w:rPr>
          <w:rFonts w:cs="Arial"/>
          <w:szCs w:val="21"/>
        </w:rPr>
        <w:t xml:space="preserve">should not report the following elective surgery blitz codes </w:t>
      </w:r>
      <w:r>
        <w:rPr>
          <w:rFonts w:cs="Arial"/>
          <w:szCs w:val="21"/>
        </w:rPr>
        <w:t xml:space="preserve">for separations </w:t>
      </w:r>
      <w:r w:rsidRPr="002F5D14">
        <w:rPr>
          <w:rFonts w:cs="Arial"/>
          <w:szCs w:val="21"/>
        </w:rPr>
        <w:t>after 30 June 2024:</w:t>
      </w:r>
    </w:p>
    <w:p w14:paraId="254E04CD" w14:textId="77777777" w:rsidR="00643B8A" w:rsidRDefault="00643B8A" w:rsidP="00643B8A">
      <w:pPr>
        <w:pStyle w:val="ListParagraph"/>
        <w:numPr>
          <w:ilvl w:val="0"/>
          <w:numId w:val="28"/>
        </w:numPr>
        <w:jc w:val="both"/>
        <w:rPr>
          <w:rFonts w:cs="Arial"/>
          <w:szCs w:val="21"/>
        </w:rPr>
      </w:pPr>
      <w:r w:rsidRPr="002F5D14">
        <w:rPr>
          <w:rFonts w:cs="Arial"/>
          <w:szCs w:val="21"/>
        </w:rPr>
        <w:t>Funding Arrangement = B Elective Surgery Blitz</w:t>
      </w:r>
    </w:p>
    <w:p w14:paraId="27EEB527" w14:textId="77777777" w:rsidR="00CA37C7" w:rsidRPr="00CA37C7" w:rsidRDefault="00CA37C7" w:rsidP="00CA37C7">
      <w:pPr>
        <w:pStyle w:val="ListParagraph"/>
        <w:numPr>
          <w:ilvl w:val="0"/>
          <w:numId w:val="28"/>
        </w:numPr>
        <w:rPr>
          <w:rFonts w:cs="Arial"/>
          <w:szCs w:val="21"/>
        </w:rPr>
      </w:pPr>
      <w:r w:rsidRPr="00CA37C7">
        <w:rPr>
          <w:rFonts w:cs="Arial"/>
          <w:szCs w:val="21"/>
        </w:rPr>
        <w:t>Program Identifier = 08 COVID-19 Surge Response</w:t>
      </w:r>
    </w:p>
    <w:p w14:paraId="3D1AEB30" w14:textId="77777777" w:rsidR="00643B8A" w:rsidRPr="002F5D14" w:rsidRDefault="00643B8A" w:rsidP="00643B8A">
      <w:pPr>
        <w:pStyle w:val="ListParagraph"/>
        <w:numPr>
          <w:ilvl w:val="0"/>
          <w:numId w:val="28"/>
        </w:numPr>
        <w:jc w:val="both"/>
        <w:rPr>
          <w:rFonts w:cs="Arial"/>
          <w:szCs w:val="21"/>
        </w:rPr>
      </w:pPr>
      <w:r w:rsidRPr="002F5D14">
        <w:rPr>
          <w:rFonts w:cs="Arial"/>
          <w:szCs w:val="21"/>
        </w:rPr>
        <w:t>Program Identifier = 13 Elective Surgery Blitz</w:t>
      </w:r>
    </w:p>
    <w:p w14:paraId="4CBD6B8D" w14:textId="77777777" w:rsidR="00643B8A" w:rsidRDefault="00643B8A" w:rsidP="00643B8A">
      <w:pPr>
        <w:jc w:val="both"/>
        <w:rPr>
          <w:rFonts w:cs="Arial"/>
          <w:szCs w:val="21"/>
        </w:rPr>
      </w:pPr>
      <w:r w:rsidRPr="002F5D14">
        <w:rPr>
          <w:rFonts w:cs="Arial"/>
          <w:szCs w:val="21"/>
        </w:rPr>
        <w:t>These codes were introduced to flag additional elective</w:t>
      </w:r>
      <w:r>
        <w:rPr>
          <w:rFonts w:cs="Arial"/>
          <w:szCs w:val="21"/>
        </w:rPr>
        <w:t>/planned</w:t>
      </w:r>
      <w:r w:rsidRPr="002F5D14">
        <w:rPr>
          <w:rFonts w:cs="Arial"/>
          <w:szCs w:val="21"/>
        </w:rPr>
        <w:t xml:space="preserve"> surgery activity funded </w:t>
      </w:r>
      <w:r>
        <w:rPr>
          <w:rFonts w:cs="Arial"/>
          <w:szCs w:val="21"/>
        </w:rPr>
        <w:t xml:space="preserve">between 2020-21 and 2023-24 </w:t>
      </w:r>
      <w:r w:rsidRPr="002F5D14">
        <w:rPr>
          <w:rFonts w:cs="Arial"/>
          <w:szCs w:val="21"/>
        </w:rPr>
        <w:t>for public health services post-COVID.</w:t>
      </w:r>
      <w:r>
        <w:rPr>
          <w:rFonts w:cs="Arial"/>
          <w:szCs w:val="21"/>
        </w:rPr>
        <w:t xml:space="preserve"> This funding has now ceased.</w:t>
      </w:r>
    </w:p>
    <w:p w14:paraId="33A60269" w14:textId="5844F1A3" w:rsidR="00774040" w:rsidRPr="00774040" w:rsidRDefault="00643B8A" w:rsidP="00643B8A">
      <w:pPr>
        <w:pStyle w:val="Body"/>
        <w:jc w:val="both"/>
      </w:pPr>
      <w:r>
        <w:rPr>
          <w:lang w:eastAsia="en-AU"/>
        </w:rPr>
        <w:t>A</w:t>
      </w:r>
      <w:r w:rsidRPr="00E51BC7">
        <w:rPr>
          <w:lang w:eastAsia="en-AU"/>
        </w:rPr>
        <w:t>dmitted activity performed under a contract between a public health service and a private hospital</w:t>
      </w:r>
      <w:r>
        <w:rPr>
          <w:lang w:eastAsia="en-AU"/>
        </w:rPr>
        <w:t>/DPC/public hospital</w:t>
      </w:r>
      <w:r w:rsidRPr="00E51BC7">
        <w:rPr>
          <w:lang w:eastAsia="en-AU"/>
        </w:rPr>
        <w:t xml:space="preserve"> must be reported to the VAED according to the usual reporting arrangements </w:t>
      </w:r>
      <w:r>
        <w:rPr>
          <w:lang w:eastAsia="en-AU"/>
        </w:rPr>
        <w:t xml:space="preserve">for contracted services </w:t>
      </w:r>
      <w:r w:rsidRPr="00E51BC7">
        <w:rPr>
          <w:lang w:eastAsia="en-AU"/>
        </w:rPr>
        <w:t>outlined in Section 4 of the VAED manual</w:t>
      </w:r>
      <w:r w:rsidR="00090FE4">
        <w:rPr>
          <w:lang w:eastAsia="en-AU"/>
        </w:rPr>
        <w:t>.</w:t>
      </w:r>
    </w:p>
    <w:p w14:paraId="1AD35004" w14:textId="57B51FE1" w:rsidR="004E5141" w:rsidRDefault="004E5141" w:rsidP="005B0610">
      <w:pPr>
        <w:pStyle w:val="Body"/>
      </w:pPr>
    </w:p>
    <w:p w14:paraId="73026FCC" w14:textId="77777777" w:rsidR="00577A2C" w:rsidRDefault="00577A2C">
      <w:pPr>
        <w:spacing w:after="0" w:line="240" w:lineRule="auto"/>
        <w:rPr>
          <w:rFonts w:eastAsia="MS Gothic" w:cs="Arial"/>
          <w:bCs/>
          <w:color w:val="53565A"/>
          <w:kern w:val="32"/>
          <w:sz w:val="40"/>
          <w:szCs w:val="40"/>
        </w:rPr>
      </w:pPr>
      <w:bookmarkStart w:id="16" w:name="_Toc199311742"/>
      <w:r>
        <w:br w:type="page"/>
      </w:r>
    </w:p>
    <w:p w14:paraId="05121865" w14:textId="3FB3E26E" w:rsidR="0074789E" w:rsidRDefault="00252035" w:rsidP="0074789E">
      <w:pPr>
        <w:pStyle w:val="Heading1"/>
      </w:pPr>
      <w:bookmarkStart w:id="17" w:name="_Toc199411193"/>
      <w:r>
        <w:lastRenderedPageBreak/>
        <w:t xml:space="preserve">Victorian </w:t>
      </w:r>
      <w:r w:rsidR="00AC1BE3">
        <w:t>Emergency Minimum Dataset (VEMD)</w:t>
      </w:r>
      <w:bookmarkEnd w:id="16"/>
      <w:bookmarkEnd w:id="17"/>
    </w:p>
    <w:p w14:paraId="30B8F576" w14:textId="77777777" w:rsidR="00F01030" w:rsidRDefault="00F01030" w:rsidP="00F01030">
      <w:pPr>
        <w:pStyle w:val="Heading2"/>
        <w:ind w:left="709" w:hanging="283"/>
      </w:pPr>
      <w:bookmarkStart w:id="18" w:name="_Toc199311743"/>
      <w:bookmarkStart w:id="19" w:name="_Toc199411194"/>
      <w:r>
        <w:t>VEMD editing matrix 2025-26</w:t>
      </w:r>
      <w:bookmarkEnd w:id="18"/>
      <w:bookmarkEnd w:id="19"/>
    </w:p>
    <w:p w14:paraId="42AD77B9" w14:textId="6B169AB2" w:rsidR="00F01030" w:rsidRDefault="00F01030" w:rsidP="00F01030">
      <w:pPr>
        <w:pStyle w:val="Body"/>
        <w:rPr>
          <w:b/>
          <w:bCs/>
          <w:i/>
          <w:iCs/>
        </w:rPr>
      </w:pPr>
      <w:r>
        <w:t>The VEMD editing matrix for 2025-26 is now available to health services and their vendors. The VEMD editing matrix specifies diagnosis codes subject to completion of injury surveillance data items, age and sex at birth validations.  Health services and their vendors can obtain a copy of the VEMD editing matrix 202</w:t>
      </w:r>
      <w:r w:rsidR="00625FC6">
        <w:t>5</w:t>
      </w:r>
      <w:r>
        <w:t>-2</w:t>
      </w:r>
      <w:r w:rsidR="00625FC6">
        <w:t>6</w:t>
      </w:r>
      <w:r>
        <w:t xml:space="preserve"> by emailing the </w:t>
      </w:r>
      <w:hyperlink r:id="rId21" w:history="1">
        <w:r w:rsidRPr="003E7514">
          <w:rPr>
            <w:rStyle w:val="Hyperlink"/>
          </w:rPr>
          <w:t>HDSS Helpdesk</w:t>
        </w:r>
      </w:hyperlink>
      <w:r>
        <w:t xml:space="preserve"> </w:t>
      </w:r>
      <w:r w:rsidR="003E7514">
        <w:t>&lt;</w:t>
      </w:r>
      <w:r>
        <w:t>hdss.helpdesk@health.vic.gov.au</w:t>
      </w:r>
      <w:r w:rsidR="003E7514">
        <w:t>&gt;</w:t>
      </w:r>
      <w:r>
        <w:t xml:space="preserve"> </w:t>
      </w:r>
      <w:r w:rsidR="0072457B">
        <w:t>wit</w:t>
      </w:r>
      <w:r w:rsidR="004C0103">
        <w:t>h</w:t>
      </w:r>
      <w:r w:rsidR="0072457B">
        <w:t xml:space="preserve"> subject line</w:t>
      </w:r>
      <w:r w:rsidR="004C0103">
        <w:t>:</w:t>
      </w:r>
      <w:r w:rsidR="00731447">
        <w:t xml:space="preserve"> </w:t>
      </w:r>
      <w:r w:rsidR="00731447" w:rsidRPr="00731447">
        <w:rPr>
          <w:b/>
          <w:bCs/>
          <w:i/>
          <w:iCs/>
        </w:rPr>
        <w:t>Requesting VEMD editing matrix</w:t>
      </w:r>
      <w:r w:rsidR="009F5858">
        <w:rPr>
          <w:b/>
          <w:bCs/>
          <w:i/>
          <w:iCs/>
        </w:rPr>
        <w:t>.</w:t>
      </w:r>
    </w:p>
    <w:p w14:paraId="6B0236B8" w14:textId="77777777" w:rsidR="009F5858" w:rsidRDefault="009F5858" w:rsidP="00F01030">
      <w:pPr>
        <w:pStyle w:val="Body"/>
      </w:pPr>
    </w:p>
    <w:p w14:paraId="13D6D578" w14:textId="77777777" w:rsidR="00F01030" w:rsidRDefault="00F01030" w:rsidP="00127E59">
      <w:pPr>
        <w:pStyle w:val="Heading2"/>
      </w:pPr>
      <w:bookmarkStart w:id="20" w:name="_Toc199311744"/>
      <w:bookmarkStart w:id="21" w:name="_Toc199411195"/>
      <w:r>
        <w:t>VEMD diagnosis codes 2025-26</w:t>
      </w:r>
      <w:bookmarkEnd w:id="20"/>
      <w:bookmarkEnd w:id="21"/>
    </w:p>
    <w:p w14:paraId="33C8073B" w14:textId="04B599F4" w:rsidR="00F01030" w:rsidRDefault="00F01030" w:rsidP="00F01030">
      <w:pPr>
        <w:pStyle w:val="Body"/>
      </w:pPr>
      <w:r>
        <w:t xml:space="preserve">Reminder that Data Collections no longer release an annual VEMD library file. The code set for Primary and Additional diagnoses for the VEMD 2025-26 is the IHACPA Emergency Care ICD-10-AM Thirteenth Edition Principal Diagnosis Short List (the ‘IHACPA EPD Short List’). The IHACPA EPD Short List and User Guide is available from the IHACPA website </w:t>
      </w:r>
      <w:r w:rsidR="00481D59">
        <w:t>&lt;</w:t>
      </w:r>
      <w:r w:rsidRPr="00481D59">
        <w:t>https://www.ihacpa.gov.au/health-care/classification/emergency-care/epd-short-list</w:t>
      </w:r>
      <w:r w:rsidR="00481D59">
        <w:t>&gt;.</w:t>
      </w:r>
    </w:p>
    <w:p w14:paraId="40D82944" w14:textId="0886143A" w:rsidR="00F01030" w:rsidRPr="00F01030" w:rsidRDefault="00F01030" w:rsidP="00F01030">
      <w:pPr>
        <w:pStyle w:val="Body"/>
      </w:pPr>
      <w:r w:rsidRPr="00C413D6">
        <w:t>Ensure all punctuation (decimal points, full stops or obliques) are removed from the ICD-10-AM codes before submission.</w:t>
      </w:r>
    </w:p>
    <w:p w14:paraId="721CB595" w14:textId="4420FEB4" w:rsidR="00252035" w:rsidRDefault="00252035" w:rsidP="00252035">
      <w:pPr>
        <w:pStyle w:val="Heading1"/>
      </w:pPr>
      <w:bookmarkStart w:id="22" w:name="_Toc199311745"/>
      <w:bookmarkStart w:id="23" w:name="_Toc199411196"/>
      <w:r>
        <w:t xml:space="preserve">Victorian </w:t>
      </w:r>
      <w:r w:rsidR="00A94B57">
        <w:t xml:space="preserve">Integrated Non-Admitted </w:t>
      </w:r>
      <w:r w:rsidR="00046135">
        <w:t>Health Minimum Data Set (VINAH MDS)</w:t>
      </w:r>
      <w:bookmarkEnd w:id="22"/>
      <w:bookmarkEnd w:id="23"/>
    </w:p>
    <w:p w14:paraId="78F81817" w14:textId="0F7E9810" w:rsidR="005C1F08" w:rsidRDefault="00F407B0" w:rsidP="00304103">
      <w:pPr>
        <w:pStyle w:val="Heading2"/>
        <w:ind w:left="709" w:hanging="283"/>
      </w:pPr>
      <w:bookmarkStart w:id="24" w:name="_Toc161231602"/>
      <w:bookmarkStart w:id="25" w:name="_Toc199311746"/>
      <w:bookmarkStart w:id="26" w:name="_Toc199411197"/>
      <w:r>
        <w:t>Corrections to the VINAH MDS manual 2024-2</w:t>
      </w:r>
      <w:bookmarkEnd w:id="24"/>
      <w:r>
        <w:t>5</w:t>
      </w:r>
      <w:bookmarkEnd w:id="25"/>
      <w:bookmarkEnd w:id="26"/>
    </w:p>
    <w:p w14:paraId="33D4488B" w14:textId="06E3BF42" w:rsidR="00E6054D" w:rsidRDefault="00E6054D" w:rsidP="00E6054D">
      <w:pPr>
        <w:pStyle w:val="Heading3"/>
      </w:pPr>
      <w:r>
        <w:t>Section 2 – concepts and derived items</w:t>
      </w:r>
    </w:p>
    <w:p w14:paraId="18875D29" w14:textId="0AA4EB31" w:rsidR="00F7508D" w:rsidRDefault="00F7508D" w:rsidP="00F7508D">
      <w:pPr>
        <w:pStyle w:val="Heading4"/>
      </w:pPr>
      <w:r>
        <w:t>Contact</w:t>
      </w:r>
    </w:p>
    <w:p w14:paraId="73A2E249" w14:textId="77777777" w:rsidR="00A47B36" w:rsidRDefault="00A47B36" w:rsidP="00A47B36">
      <w:pPr>
        <w:pStyle w:val="DHHSfigurecaption"/>
        <w:spacing w:before="0" w:line="280" w:lineRule="atLeast"/>
        <w:rPr>
          <w:rStyle w:val="Strong"/>
        </w:rPr>
      </w:pPr>
      <w:r w:rsidRPr="20889BFD">
        <w:rPr>
          <w:rStyle w:val="Strong"/>
        </w:rPr>
        <w:t>Contact type and reporting requirements by program</w:t>
      </w:r>
    </w:p>
    <w:tbl>
      <w:tblPr>
        <w:tblStyle w:val="TableGrid"/>
        <w:tblW w:w="9609" w:type="dxa"/>
        <w:tblInd w:w="-14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2112"/>
        <w:gridCol w:w="399"/>
        <w:gridCol w:w="401"/>
        <w:gridCol w:w="411"/>
        <w:gridCol w:w="411"/>
        <w:gridCol w:w="411"/>
        <w:gridCol w:w="412"/>
        <w:gridCol w:w="412"/>
        <w:gridCol w:w="411"/>
        <w:gridCol w:w="412"/>
        <w:gridCol w:w="15"/>
        <w:gridCol w:w="397"/>
        <w:gridCol w:w="13"/>
        <w:gridCol w:w="399"/>
        <w:gridCol w:w="8"/>
        <w:gridCol w:w="402"/>
        <w:gridCol w:w="9"/>
        <w:gridCol w:w="412"/>
        <w:gridCol w:w="411"/>
        <w:gridCol w:w="409"/>
        <w:gridCol w:w="428"/>
        <w:gridCol w:w="11"/>
        <w:gridCol w:w="423"/>
        <w:gridCol w:w="16"/>
        <w:gridCol w:w="464"/>
      </w:tblGrid>
      <w:tr w:rsidR="00A47B36" w:rsidRPr="001F648B" w14:paraId="2AC9F523" w14:textId="77777777" w:rsidTr="00ED3F74">
        <w:trPr>
          <w:cantSplit/>
          <w:trHeight w:val="1701"/>
        </w:trPr>
        <w:tc>
          <w:tcPr>
            <w:tcW w:w="2112" w:type="dxa"/>
            <w:vAlign w:val="center"/>
          </w:tcPr>
          <w:p w14:paraId="4ACFF43E" w14:textId="77777777" w:rsidR="00A47B36" w:rsidRPr="001F648B" w:rsidRDefault="00A47B36">
            <w:pPr>
              <w:spacing w:before="80" w:after="60" w:line="240" w:lineRule="auto"/>
              <w:rPr>
                <w:b/>
                <w:color w:val="53565A"/>
              </w:rPr>
            </w:pPr>
            <w:r w:rsidRPr="001F648B">
              <w:rPr>
                <w:b/>
                <w:color w:val="53565A"/>
              </w:rPr>
              <w:t>Contact type (service)</w:t>
            </w:r>
          </w:p>
        </w:tc>
        <w:tc>
          <w:tcPr>
            <w:tcW w:w="399" w:type="dxa"/>
            <w:textDirection w:val="tbRl"/>
            <w:vAlign w:val="bottom"/>
          </w:tcPr>
          <w:p w14:paraId="26D9D3C1" w14:textId="77777777" w:rsidR="00A47B36" w:rsidRPr="00B303BB" w:rsidRDefault="00A47B36">
            <w:pPr>
              <w:spacing w:before="80" w:after="60" w:line="240" w:lineRule="auto"/>
              <w:jc w:val="right"/>
              <w:rPr>
                <w:b/>
                <w:color w:val="53565A"/>
              </w:rPr>
            </w:pPr>
            <w:r w:rsidRPr="00AA521C">
              <w:rPr>
                <w:b/>
                <w:color w:val="53565A"/>
              </w:rPr>
              <w:t>EPC</w:t>
            </w:r>
            <w:r w:rsidRPr="00B303BB">
              <w:rPr>
                <w:b/>
                <w:color w:val="53565A"/>
              </w:rPr>
              <w:t xml:space="preserve"> </w:t>
            </w:r>
          </w:p>
        </w:tc>
        <w:tc>
          <w:tcPr>
            <w:tcW w:w="401" w:type="dxa"/>
            <w:textDirection w:val="tbRl"/>
            <w:vAlign w:val="bottom"/>
          </w:tcPr>
          <w:p w14:paraId="0D9D55CE" w14:textId="77777777" w:rsidR="00A47B36" w:rsidRPr="001F648B" w:rsidRDefault="00A47B36">
            <w:pPr>
              <w:spacing w:before="80" w:after="60" w:line="240" w:lineRule="auto"/>
              <w:jc w:val="right"/>
              <w:rPr>
                <w:b/>
                <w:color w:val="53565A"/>
              </w:rPr>
            </w:pPr>
            <w:r w:rsidRPr="001F648B">
              <w:rPr>
                <w:b/>
                <w:color w:val="53565A"/>
              </w:rPr>
              <w:t>FCP</w:t>
            </w:r>
          </w:p>
        </w:tc>
        <w:tc>
          <w:tcPr>
            <w:tcW w:w="411" w:type="dxa"/>
            <w:textDirection w:val="tbRl"/>
            <w:vAlign w:val="bottom"/>
          </w:tcPr>
          <w:p w14:paraId="67F16646" w14:textId="77777777" w:rsidR="00A47B36" w:rsidRPr="001F648B" w:rsidRDefault="00A47B36">
            <w:pPr>
              <w:spacing w:before="80" w:after="60" w:line="240" w:lineRule="auto"/>
              <w:jc w:val="right"/>
              <w:rPr>
                <w:b/>
                <w:color w:val="53565A"/>
              </w:rPr>
            </w:pPr>
            <w:r w:rsidRPr="001F648B">
              <w:rPr>
                <w:b/>
                <w:color w:val="53565A"/>
              </w:rPr>
              <w:t>HARP</w:t>
            </w:r>
          </w:p>
        </w:tc>
        <w:tc>
          <w:tcPr>
            <w:tcW w:w="411" w:type="dxa"/>
            <w:textDirection w:val="tbRl"/>
            <w:vAlign w:val="bottom"/>
          </w:tcPr>
          <w:p w14:paraId="32ED6C3D" w14:textId="77777777" w:rsidR="00A47B36" w:rsidRPr="001F648B" w:rsidRDefault="00A47B36">
            <w:pPr>
              <w:spacing w:before="80" w:after="60" w:line="240" w:lineRule="auto"/>
              <w:jc w:val="right"/>
              <w:rPr>
                <w:b/>
                <w:color w:val="53565A"/>
              </w:rPr>
            </w:pPr>
            <w:r w:rsidRPr="001F648B">
              <w:rPr>
                <w:b/>
                <w:color w:val="53565A"/>
              </w:rPr>
              <w:t>HBD</w:t>
            </w:r>
          </w:p>
        </w:tc>
        <w:tc>
          <w:tcPr>
            <w:tcW w:w="411" w:type="dxa"/>
            <w:textDirection w:val="tbRl"/>
            <w:vAlign w:val="bottom"/>
          </w:tcPr>
          <w:p w14:paraId="595E2DB6" w14:textId="77777777" w:rsidR="00A47B36" w:rsidRPr="001F648B" w:rsidRDefault="00A47B36">
            <w:pPr>
              <w:spacing w:before="80" w:after="60" w:line="240" w:lineRule="auto"/>
              <w:jc w:val="right"/>
              <w:rPr>
                <w:b/>
                <w:color w:val="53565A"/>
              </w:rPr>
            </w:pPr>
            <w:r w:rsidRPr="001F648B">
              <w:rPr>
                <w:b/>
                <w:color w:val="53565A"/>
              </w:rPr>
              <w:t>HBPCCT</w:t>
            </w:r>
          </w:p>
        </w:tc>
        <w:tc>
          <w:tcPr>
            <w:tcW w:w="412" w:type="dxa"/>
            <w:textDirection w:val="tbRl"/>
            <w:vAlign w:val="bottom"/>
          </w:tcPr>
          <w:p w14:paraId="0D0C78E2" w14:textId="77777777" w:rsidR="00A47B36" w:rsidRPr="002C74C7" w:rsidRDefault="00A47B36">
            <w:pPr>
              <w:spacing w:before="80" w:after="60" w:line="240" w:lineRule="auto"/>
              <w:jc w:val="right"/>
              <w:rPr>
                <w:b/>
                <w:color w:val="53565A"/>
              </w:rPr>
            </w:pPr>
            <w:r w:rsidRPr="001F648B">
              <w:rPr>
                <w:b/>
                <w:color w:val="53565A"/>
              </w:rPr>
              <w:t xml:space="preserve">HEN </w:t>
            </w:r>
          </w:p>
        </w:tc>
        <w:tc>
          <w:tcPr>
            <w:tcW w:w="412" w:type="dxa"/>
            <w:textDirection w:val="tbRl"/>
            <w:vAlign w:val="bottom"/>
          </w:tcPr>
          <w:p w14:paraId="328640CE" w14:textId="77777777" w:rsidR="00A47B36" w:rsidRPr="003E218B" w:rsidRDefault="00A47B36">
            <w:pPr>
              <w:spacing w:before="80" w:after="60" w:line="240" w:lineRule="auto"/>
              <w:jc w:val="right"/>
              <w:rPr>
                <w:b/>
                <w:color w:val="53565A"/>
              </w:rPr>
            </w:pPr>
            <w:r w:rsidRPr="002C74C7">
              <w:rPr>
                <w:b/>
                <w:color w:val="53565A"/>
              </w:rPr>
              <w:t>IT</w:t>
            </w:r>
          </w:p>
        </w:tc>
        <w:tc>
          <w:tcPr>
            <w:tcW w:w="411" w:type="dxa"/>
            <w:textDirection w:val="tbRl"/>
            <w:vAlign w:val="bottom"/>
          </w:tcPr>
          <w:p w14:paraId="6370FC58" w14:textId="77777777" w:rsidR="00A47B36" w:rsidRPr="001F648B" w:rsidRDefault="00A47B36">
            <w:pPr>
              <w:spacing w:before="80" w:after="60" w:line="240" w:lineRule="auto"/>
              <w:jc w:val="right"/>
              <w:rPr>
                <w:b/>
                <w:color w:val="53565A"/>
              </w:rPr>
            </w:pPr>
            <w:r w:rsidRPr="001F648B">
              <w:rPr>
                <w:b/>
                <w:color w:val="53565A"/>
              </w:rPr>
              <w:t>Medi-Hotel</w:t>
            </w:r>
          </w:p>
        </w:tc>
        <w:tc>
          <w:tcPr>
            <w:tcW w:w="427" w:type="dxa"/>
            <w:gridSpan w:val="2"/>
            <w:textDirection w:val="tbRl"/>
            <w:vAlign w:val="bottom"/>
          </w:tcPr>
          <w:p w14:paraId="008DB030" w14:textId="77777777" w:rsidR="00A47B36" w:rsidRPr="001F648B" w:rsidRDefault="00A47B36">
            <w:pPr>
              <w:spacing w:before="80" w:after="60" w:line="240" w:lineRule="auto"/>
              <w:jc w:val="right"/>
              <w:rPr>
                <w:b/>
                <w:color w:val="53565A"/>
              </w:rPr>
            </w:pPr>
            <w:r w:rsidRPr="001F648B">
              <w:rPr>
                <w:b/>
                <w:color w:val="53565A"/>
              </w:rPr>
              <w:t>OP</w:t>
            </w:r>
          </w:p>
        </w:tc>
        <w:tc>
          <w:tcPr>
            <w:tcW w:w="410" w:type="dxa"/>
            <w:gridSpan w:val="2"/>
            <w:textDirection w:val="tbRl"/>
            <w:vAlign w:val="bottom"/>
          </w:tcPr>
          <w:p w14:paraId="56ACCA59" w14:textId="77777777" w:rsidR="00A47B36" w:rsidRPr="001F648B" w:rsidRDefault="00A47B36">
            <w:pPr>
              <w:spacing w:before="80" w:after="60" w:line="240" w:lineRule="auto"/>
              <w:jc w:val="right"/>
              <w:rPr>
                <w:b/>
                <w:color w:val="53565A"/>
              </w:rPr>
            </w:pPr>
            <w:r w:rsidRPr="001F648B">
              <w:rPr>
                <w:b/>
                <w:color w:val="53565A"/>
              </w:rPr>
              <w:t>PC</w:t>
            </w:r>
          </w:p>
        </w:tc>
        <w:tc>
          <w:tcPr>
            <w:tcW w:w="407" w:type="dxa"/>
            <w:gridSpan w:val="2"/>
            <w:textDirection w:val="tbRl"/>
            <w:vAlign w:val="bottom"/>
          </w:tcPr>
          <w:p w14:paraId="3DDB98EB" w14:textId="77777777" w:rsidR="00A47B36" w:rsidRPr="001F648B" w:rsidRDefault="00A47B36">
            <w:pPr>
              <w:spacing w:before="80" w:after="60" w:line="240" w:lineRule="auto"/>
              <w:jc w:val="right"/>
              <w:rPr>
                <w:b/>
                <w:color w:val="53565A"/>
              </w:rPr>
            </w:pPr>
            <w:r w:rsidRPr="001F648B">
              <w:rPr>
                <w:b/>
                <w:color w:val="53565A"/>
              </w:rPr>
              <w:t>PAC</w:t>
            </w:r>
          </w:p>
        </w:tc>
        <w:tc>
          <w:tcPr>
            <w:tcW w:w="411" w:type="dxa"/>
            <w:gridSpan w:val="2"/>
            <w:textDirection w:val="tbRl"/>
            <w:vAlign w:val="bottom"/>
          </w:tcPr>
          <w:p w14:paraId="2C86337C" w14:textId="77777777" w:rsidR="00A47B36" w:rsidRPr="001F648B" w:rsidRDefault="00A47B36">
            <w:pPr>
              <w:spacing w:before="80" w:after="60" w:line="240" w:lineRule="auto"/>
              <w:jc w:val="right"/>
              <w:rPr>
                <w:b/>
                <w:color w:val="53565A"/>
              </w:rPr>
            </w:pPr>
            <w:r w:rsidRPr="001F648B">
              <w:rPr>
                <w:b/>
                <w:color w:val="53565A"/>
              </w:rPr>
              <w:t>RIR</w:t>
            </w:r>
          </w:p>
        </w:tc>
        <w:tc>
          <w:tcPr>
            <w:tcW w:w="412" w:type="dxa"/>
            <w:textDirection w:val="tbRl"/>
            <w:vAlign w:val="bottom"/>
          </w:tcPr>
          <w:p w14:paraId="3371D3CB" w14:textId="77777777" w:rsidR="00A47B36" w:rsidRPr="001F648B" w:rsidRDefault="00A47B36">
            <w:pPr>
              <w:spacing w:before="80" w:after="60" w:line="240" w:lineRule="auto"/>
              <w:jc w:val="right"/>
              <w:rPr>
                <w:b/>
                <w:color w:val="53565A"/>
              </w:rPr>
            </w:pPr>
            <w:r w:rsidRPr="001F648B">
              <w:rPr>
                <w:b/>
                <w:color w:val="53565A"/>
              </w:rPr>
              <w:t>SACS</w:t>
            </w:r>
          </w:p>
        </w:tc>
        <w:tc>
          <w:tcPr>
            <w:tcW w:w="411" w:type="dxa"/>
            <w:textDirection w:val="tbRl"/>
            <w:vAlign w:val="bottom"/>
          </w:tcPr>
          <w:p w14:paraId="30D6F1FB" w14:textId="77777777" w:rsidR="00A47B36" w:rsidRPr="001F648B" w:rsidRDefault="00A47B36">
            <w:pPr>
              <w:spacing w:before="80" w:after="60" w:line="240" w:lineRule="auto"/>
              <w:jc w:val="right"/>
              <w:rPr>
                <w:b/>
                <w:color w:val="53565A"/>
              </w:rPr>
            </w:pPr>
            <w:r>
              <w:rPr>
                <w:b/>
                <w:color w:val="53565A"/>
              </w:rPr>
              <w:t>TCP</w:t>
            </w:r>
          </w:p>
        </w:tc>
        <w:tc>
          <w:tcPr>
            <w:tcW w:w="409" w:type="dxa"/>
            <w:textDirection w:val="tbRl"/>
            <w:vAlign w:val="bottom"/>
          </w:tcPr>
          <w:p w14:paraId="410DFEDA" w14:textId="77777777" w:rsidR="00A47B36" w:rsidRPr="001F648B" w:rsidRDefault="00A47B36">
            <w:pPr>
              <w:spacing w:before="80" w:after="60" w:line="240" w:lineRule="auto"/>
              <w:jc w:val="right"/>
              <w:rPr>
                <w:b/>
                <w:color w:val="53565A"/>
              </w:rPr>
            </w:pPr>
            <w:r>
              <w:rPr>
                <w:b/>
                <w:color w:val="53565A"/>
              </w:rPr>
              <w:t>TPN</w:t>
            </w:r>
          </w:p>
        </w:tc>
        <w:tc>
          <w:tcPr>
            <w:tcW w:w="428" w:type="dxa"/>
            <w:textDirection w:val="tbRl"/>
            <w:vAlign w:val="bottom"/>
          </w:tcPr>
          <w:p w14:paraId="50F6D4C6" w14:textId="77777777" w:rsidR="00A47B36" w:rsidRPr="001F648B" w:rsidRDefault="00A47B36">
            <w:pPr>
              <w:spacing w:before="80" w:after="60" w:line="240" w:lineRule="auto"/>
              <w:jc w:val="right"/>
              <w:rPr>
                <w:b/>
                <w:color w:val="53565A"/>
              </w:rPr>
            </w:pPr>
            <w:r w:rsidRPr="001F648B">
              <w:rPr>
                <w:b/>
                <w:color w:val="53565A"/>
              </w:rPr>
              <w:t>VALP</w:t>
            </w:r>
          </w:p>
        </w:tc>
        <w:tc>
          <w:tcPr>
            <w:tcW w:w="434" w:type="dxa"/>
            <w:gridSpan w:val="2"/>
            <w:textDirection w:val="tbRl"/>
            <w:vAlign w:val="bottom"/>
          </w:tcPr>
          <w:p w14:paraId="284D9921" w14:textId="77777777" w:rsidR="00A47B36" w:rsidRPr="001F648B" w:rsidRDefault="00A47B36">
            <w:pPr>
              <w:spacing w:before="80" w:after="60" w:line="240" w:lineRule="auto"/>
              <w:jc w:val="right"/>
              <w:rPr>
                <w:b/>
                <w:color w:val="53565A"/>
              </w:rPr>
            </w:pPr>
            <w:r w:rsidRPr="001F648B">
              <w:rPr>
                <w:b/>
                <w:color w:val="53565A"/>
              </w:rPr>
              <w:t>VHS</w:t>
            </w:r>
          </w:p>
        </w:tc>
        <w:tc>
          <w:tcPr>
            <w:tcW w:w="480" w:type="dxa"/>
            <w:gridSpan w:val="2"/>
            <w:textDirection w:val="tbRl"/>
            <w:vAlign w:val="bottom"/>
          </w:tcPr>
          <w:p w14:paraId="43F861BA" w14:textId="77777777" w:rsidR="00A47B36" w:rsidRPr="001F648B" w:rsidRDefault="00A47B36">
            <w:pPr>
              <w:spacing w:before="80" w:after="60" w:line="240" w:lineRule="auto"/>
              <w:jc w:val="right"/>
              <w:rPr>
                <w:b/>
                <w:color w:val="53565A"/>
              </w:rPr>
            </w:pPr>
            <w:r w:rsidRPr="001F648B">
              <w:rPr>
                <w:b/>
                <w:color w:val="53565A"/>
              </w:rPr>
              <w:t>VRSS</w:t>
            </w:r>
          </w:p>
        </w:tc>
      </w:tr>
      <w:tr w:rsidR="00A47B36" w:rsidRPr="00B303BB" w14:paraId="1BFC822D" w14:textId="77777777" w:rsidTr="00AA778F">
        <w:trPr>
          <w:cantSplit/>
          <w:trHeight w:val="66"/>
        </w:trPr>
        <w:tc>
          <w:tcPr>
            <w:tcW w:w="9605" w:type="dxa"/>
            <w:gridSpan w:val="25"/>
            <w:shd w:val="clear" w:color="auto" w:fill="auto"/>
            <w:vAlign w:val="center"/>
          </w:tcPr>
          <w:p w14:paraId="20CE0E04" w14:textId="77777777" w:rsidR="00A47B36" w:rsidRPr="003E218B" w:rsidRDefault="00A47B36">
            <w:pPr>
              <w:spacing w:before="80" w:after="60" w:line="240" w:lineRule="auto"/>
            </w:pPr>
            <w:r w:rsidRPr="003E218B">
              <w:rPr>
                <w:b/>
                <w:bCs/>
              </w:rPr>
              <w:t>Direct</w:t>
            </w:r>
          </w:p>
        </w:tc>
      </w:tr>
      <w:tr w:rsidR="00A60349" w:rsidRPr="00914582" w14:paraId="0C634EDA" w14:textId="77777777" w:rsidTr="00ED3F74">
        <w:trPr>
          <w:cantSplit/>
          <w:trHeight w:val="68"/>
        </w:trPr>
        <w:tc>
          <w:tcPr>
            <w:tcW w:w="2112" w:type="dxa"/>
            <w:vAlign w:val="center"/>
          </w:tcPr>
          <w:p w14:paraId="411AC034" w14:textId="77777777" w:rsidR="00A47B36" w:rsidRPr="004E79D7" w:rsidRDefault="00A47B36" w:rsidP="00A47B36">
            <w:pPr>
              <w:pStyle w:val="ListParagraph"/>
              <w:numPr>
                <w:ilvl w:val="0"/>
                <w:numId w:val="29"/>
              </w:numPr>
              <w:spacing w:before="80" w:after="60" w:line="240" w:lineRule="auto"/>
              <w:rPr>
                <w:bCs/>
                <w:color w:val="53565A"/>
                <w:lang w:eastAsia="en-AU"/>
              </w:rPr>
            </w:pPr>
            <w:r w:rsidRPr="001F648B">
              <w:rPr>
                <w:lang w:eastAsia="en-AU"/>
              </w:rPr>
              <w:t>Attended</w:t>
            </w:r>
          </w:p>
        </w:tc>
        <w:tc>
          <w:tcPr>
            <w:tcW w:w="399" w:type="dxa"/>
            <w:vAlign w:val="center"/>
          </w:tcPr>
          <w:p w14:paraId="3A4C6C26" w14:textId="77777777" w:rsidR="00A47B36" w:rsidRPr="004E79D7" w:rsidRDefault="00A47B36">
            <w:pPr>
              <w:spacing w:before="80" w:after="60" w:line="240" w:lineRule="auto"/>
              <w:jc w:val="center"/>
              <w:rPr>
                <w:bCs/>
                <w:color w:val="53565A"/>
                <w:lang w:eastAsia="en-AU"/>
              </w:rPr>
            </w:pPr>
            <w:r>
              <w:rPr>
                <w:bCs/>
              </w:rPr>
              <w:t>Y</w:t>
            </w:r>
          </w:p>
        </w:tc>
        <w:tc>
          <w:tcPr>
            <w:tcW w:w="401" w:type="dxa"/>
            <w:vAlign w:val="center"/>
          </w:tcPr>
          <w:p w14:paraId="20DDBECE" w14:textId="77777777" w:rsidR="00A47B36" w:rsidRPr="004E79D7" w:rsidRDefault="00A47B36">
            <w:pPr>
              <w:spacing w:before="80" w:after="60" w:line="240" w:lineRule="auto"/>
              <w:jc w:val="center"/>
              <w:rPr>
                <w:bCs/>
                <w:color w:val="53565A"/>
              </w:rPr>
            </w:pPr>
            <w:r>
              <w:rPr>
                <w:bCs/>
                <w:color w:val="53565A"/>
              </w:rPr>
              <w:t>Y</w:t>
            </w:r>
          </w:p>
        </w:tc>
        <w:tc>
          <w:tcPr>
            <w:tcW w:w="411" w:type="dxa"/>
            <w:vAlign w:val="center"/>
          </w:tcPr>
          <w:p w14:paraId="75EDA5DF" w14:textId="77777777" w:rsidR="00A47B36" w:rsidRPr="00914582" w:rsidRDefault="00A47B36">
            <w:pPr>
              <w:spacing w:before="80" w:after="60" w:line="240" w:lineRule="auto"/>
              <w:jc w:val="right"/>
              <w:rPr>
                <w:bCs/>
                <w:lang w:eastAsia="en-AU"/>
              </w:rPr>
            </w:pPr>
            <w:r w:rsidRPr="00914582">
              <w:rPr>
                <w:bCs/>
              </w:rPr>
              <w:t>Y</w:t>
            </w:r>
          </w:p>
        </w:tc>
        <w:tc>
          <w:tcPr>
            <w:tcW w:w="411" w:type="dxa"/>
            <w:shd w:val="clear" w:color="auto" w:fill="BFBFBF" w:themeFill="background1" w:themeFillShade="BF"/>
            <w:vAlign w:val="center"/>
          </w:tcPr>
          <w:p w14:paraId="39014F54" w14:textId="77777777" w:rsidR="00A47B36" w:rsidRDefault="00A47B36">
            <w:pPr>
              <w:spacing w:before="80" w:after="60" w:line="240" w:lineRule="auto"/>
              <w:jc w:val="right"/>
              <w:rPr>
                <w:bCs/>
              </w:rPr>
            </w:pPr>
            <w:r>
              <w:rPr>
                <w:bCs/>
                <w:color w:val="53565A"/>
              </w:rPr>
              <w:t>N</w:t>
            </w:r>
          </w:p>
        </w:tc>
        <w:tc>
          <w:tcPr>
            <w:tcW w:w="411" w:type="dxa"/>
            <w:vAlign w:val="center"/>
          </w:tcPr>
          <w:p w14:paraId="024D11FA" w14:textId="77777777" w:rsidR="00A47B36" w:rsidRPr="00914582" w:rsidRDefault="00A47B36">
            <w:pPr>
              <w:spacing w:before="80" w:after="60" w:line="240" w:lineRule="auto"/>
              <w:jc w:val="right"/>
              <w:rPr>
                <w:bCs/>
                <w:lang w:eastAsia="en-AU"/>
              </w:rPr>
            </w:pPr>
            <w:r>
              <w:rPr>
                <w:bCs/>
              </w:rPr>
              <w:t>Y</w:t>
            </w:r>
          </w:p>
        </w:tc>
        <w:tc>
          <w:tcPr>
            <w:tcW w:w="412" w:type="dxa"/>
            <w:shd w:val="clear" w:color="auto" w:fill="BFBFBF" w:themeFill="background1" w:themeFillShade="BF"/>
            <w:vAlign w:val="center"/>
          </w:tcPr>
          <w:p w14:paraId="61B749BB" w14:textId="77777777" w:rsidR="00A47B36" w:rsidRDefault="00A47B36">
            <w:pPr>
              <w:spacing w:before="80" w:after="60" w:line="240" w:lineRule="auto"/>
              <w:jc w:val="right"/>
              <w:rPr>
                <w:bCs/>
              </w:rPr>
            </w:pPr>
            <w:r>
              <w:rPr>
                <w:bCs/>
                <w:color w:val="53565A"/>
              </w:rPr>
              <w:t>N</w:t>
            </w:r>
          </w:p>
        </w:tc>
        <w:tc>
          <w:tcPr>
            <w:tcW w:w="412" w:type="dxa"/>
            <w:vAlign w:val="center"/>
          </w:tcPr>
          <w:p w14:paraId="4F9487B1" w14:textId="77777777" w:rsidR="00A47B36" w:rsidRPr="00914582" w:rsidRDefault="00A47B36">
            <w:pPr>
              <w:spacing w:before="80" w:after="60" w:line="240" w:lineRule="auto"/>
              <w:jc w:val="right"/>
              <w:rPr>
                <w:bCs/>
                <w:lang w:eastAsia="en-AU"/>
              </w:rPr>
            </w:pPr>
            <w:r>
              <w:rPr>
                <w:bCs/>
              </w:rPr>
              <w:t>Y</w:t>
            </w:r>
          </w:p>
        </w:tc>
        <w:tc>
          <w:tcPr>
            <w:tcW w:w="411" w:type="dxa"/>
            <w:vAlign w:val="center"/>
          </w:tcPr>
          <w:p w14:paraId="10266C58" w14:textId="77777777" w:rsidR="00A47B36" w:rsidRPr="00914582" w:rsidRDefault="00A47B36">
            <w:pPr>
              <w:spacing w:before="80" w:after="60" w:line="240" w:lineRule="auto"/>
              <w:jc w:val="right"/>
              <w:rPr>
                <w:bCs/>
                <w:lang w:eastAsia="en-AU"/>
              </w:rPr>
            </w:pPr>
            <w:r>
              <w:rPr>
                <w:bCs/>
              </w:rPr>
              <w:t>Y</w:t>
            </w:r>
          </w:p>
        </w:tc>
        <w:tc>
          <w:tcPr>
            <w:tcW w:w="412" w:type="dxa"/>
            <w:vAlign w:val="center"/>
          </w:tcPr>
          <w:p w14:paraId="2D1713AF" w14:textId="77777777" w:rsidR="00A47B36" w:rsidRPr="00914582" w:rsidRDefault="00A47B36">
            <w:pPr>
              <w:spacing w:before="80" w:after="60" w:line="240" w:lineRule="auto"/>
              <w:jc w:val="right"/>
              <w:rPr>
                <w:bCs/>
                <w:lang w:eastAsia="en-AU"/>
              </w:rPr>
            </w:pPr>
            <w:r>
              <w:rPr>
                <w:bCs/>
              </w:rPr>
              <w:t>Y</w:t>
            </w:r>
          </w:p>
        </w:tc>
        <w:tc>
          <w:tcPr>
            <w:tcW w:w="412" w:type="dxa"/>
            <w:gridSpan w:val="2"/>
            <w:vAlign w:val="center"/>
          </w:tcPr>
          <w:p w14:paraId="695ADE63" w14:textId="77777777" w:rsidR="00A47B36" w:rsidRPr="00914582" w:rsidRDefault="00A47B36">
            <w:pPr>
              <w:spacing w:before="80" w:after="60" w:line="240" w:lineRule="auto"/>
              <w:jc w:val="right"/>
              <w:rPr>
                <w:bCs/>
                <w:lang w:eastAsia="en-AU"/>
              </w:rPr>
            </w:pPr>
            <w:r>
              <w:rPr>
                <w:bCs/>
              </w:rPr>
              <w:t>Y</w:t>
            </w:r>
          </w:p>
        </w:tc>
        <w:tc>
          <w:tcPr>
            <w:tcW w:w="412" w:type="dxa"/>
            <w:gridSpan w:val="2"/>
            <w:vAlign w:val="center"/>
          </w:tcPr>
          <w:p w14:paraId="5E12768C" w14:textId="77777777" w:rsidR="00A47B36" w:rsidRPr="00914582" w:rsidRDefault="00A47B36">
            <w:pPr>
              <w:spacing w:before="80" w:after="60" w:line="240" w:lineRule="auto"/>
              <w:jc w:val="right"/>
              <w:rPr>
                <w:bCs/>
                <w:lang w:eastAsia="en-AU"/>
              </w:rPr>
            </w:pPr>
            <w:r>
              <w:rPr>
                <w:bCs/>
              </w:rPr>
              <w:t>Y</w:t>
            </w:r>
          </w:p>
        </w:tc>
        <w:tc>
          <w:tcPr>
            <w:tcW w:w="410" w:type="dxa"/>
            <w:gridSpan w:val="2"/>
            <w:vAlign w:val="center"/>
          </w:tcPr>
          <w:p w14:paraId="055AB8FF" w14:textId="77777777" w:rsidR="00A47B36" w:rsidRPr="00914582" w:rsidRDefault="00A47B36">
            <w:pPr>
              <w:spacing w:before="80" w:after="60" w:line="240" w:lineRule="auto"/>
              <w:jc w:val="right"/>
              <w:rPr>
                <w:bCs/>
                <w:lang w:eastAsia="en-AU"/>
              </w:rPr>
            </w:pPr>
            <w:r>
              <w:rPr>
                <w:bCs/>
              </w:rPr>
              <w:t>Y</w:t>
            </w:r>
          </w:p>
        </w:tc>
        <w:tc>
          <w:tcPr>
            <w:tcW w:w="421" w:type="dxa"/>
            <w:gridSpan w:val="2"/>
            <w:vAlign w:val="center"/>
          </w:tcPr>
          <w:p w14:paraId="0477C3D7" w14:textId="77777777" w:rsidR="00A47B36" w:rsidRPr="00914582" w:rsidRDefault="00A47B36">
            <w:pPr>
              <w:spacing w:before="80" w:after="60" w:line="240" w:lineRule="auto"/>
              <w:jc w:val="right"/>
              <w:rPr>
                <w:bCs/>
                <w:lang w:eastAsia="en-AU"/>
              </w:rPr>
            </w:pPr>
            <w:r>
              <w:rPr>
                <w:bCs/>
              </w:rPr>
              <w:t>Y</w:t>
            </w:r>
          </w:p>
        </w:tc>
        <w:tc>
          <w:tcPr>
            <w:tcW w:w="411" w:type="dxa"/>
            <w:vAlign w:val="center"/>
          </w:tcPr>
          <w:p w14:paraId="01A0C13D" w14:textId="77777777" w:rsidR="00A47B36" w:rsidRPr="00914582" w:rsidRDefault="00A47B36">
            <w:pPr>
              <w:spacing w:before="80" w:after="60" w:line="240" w:lineRule="auto"/>
              <w:jc w:val="right"/>
              <w:rPr>
                <w:bCs/>
              </w:rPr>
            </w:pPr>
            <w:r>
              <w:rPr>
                <w:bCs/>
              </w:rPr>
              <w:t>Y</w:t>
            </w:r>
          </w:p>
        </w:tc>
        <w:tc>
          <w:tcPr>
            <w:tcW w:w="409" w:type="dxa"/>
            <w:shd w:val="clear" w:color="auto" w:fill="BFBFBF" w:themeFill="background1" w:themeFillShade="BF"/>
            <w:vAlign w:val="center"/>
          </w:tcPr>
          <w:p w14:paraId="0F21E222" w14:textId="77777777" w:rsidR="00A47B36" w:rsidRPr="004E79D7" w:rsidRDefault="00A47B36">
            <w:pPr>
              <w:spacing w:before="80" w:after="60" w:line="240" w:lineRule="auto"/>
              <w:jc w:val="center"/>
              <w:rPr>
                <w:bCs/>
                <w:color w:val="53565A"/>
              </w:rPr>
            </w:pPr>
            <w:r>
              <w:rPr>
                <w:bCs/>
                <w:color w:val="53565A"/>
              </w:rPr>
              <w:t>N</w:t>
            </w:r>
          </w:p>
        </w:tc>
        <w:tc>
          <w:tcPr>
            <w:tcW w:w="439" w:type="dxa"/>
            <w:gridSpan w:val="2"/>
            <w:vAlign w:val="center"/>
          </w:tcPr>
          <w:p w14:paraId="21ECE2D5" w14:textId="77777777" w:rsidR="00A47B36" w:rsidRPr="00914582" w:rsidRDefault="00A47B36">
            <w:pPr>
              <w:spacing w:before="80" w:after="60" w:line="240" w:lineRule="auto"/>
              <w:jc w:val="center"/>
              <w:rPr>
                <w:bCs/>
                <w:lang w:eastAsia="en-AU"/>
              </w:rPr>
            </w:pPr>
            <w:r w:rsidRPr="00914582">
              <w:rPr>
                <w:bCs/>
              </w:rPr>
              <w:t>Y</w:t>
            </w:r>
          </w:p>
        </w:tc>
        <w:tc>
          <w:tcPr>
            <w:tcW w:w="439" w:type="dxa"/>
            <w:gridSpan w:val="2"/>
            <w:vAlign w:val="center"/>
          </w:tcPr>
          <w:p w14:paraId="17C6D85D" w14:textId="77777777" w:rsidR="00A47B36" w:rsidRPr="00914582" w:rsidRDefault="00A47B36">
            <w:pPr>
              <w:spacing w:before="80" w:after="60" w:line="240" w:lineRule="auto"/>
              <w:jc w:val="center"/>
              <w:rPr>
                <w:bCs/>
                <w:lang w:eastAsia="en-AU"/>
              </w:rPr>
            </w:pPr>
            <w:r>
              <w:rPr>
                <w:bCs/>
              </w:rPr>
              <w:t>Y</w:t>
            </w:r>
          </w:p>
        </w:tc>
        <w:tc>
          <w:tcPr>
            <w:tcW w:w="464" w:type="dxa"/>
            <w:vAlign w:val="center"/>
          </w:tcPr>
          <w:p w14:paraId="426734D9" w14:textId="77777777" w:rsidR="00A47B36" w:rsidRPr="00914582" w:rsidRDefault="00A47B36">
            <w:pPr>
              <w:spacing w:before="80" w:after="60" w:line="240" w:lineRule="auto"/>
              <w:jc w:val="center"/>
              <w:rPr>
                <w:bCs/>
              </w:rPr>
            </w:pPr>
            <w:r>
              <w:rPr>
                <w:bCs/>
              </w:rPr>
              <w:t>Y</w:t>
            </w:r>
          </w:p>
        </w:tc>
      </w:tr>
      <w:tr w:rsidR="00A60349" w:rsidRPr="00914582" w14:paraId="21D6CF1F" w14:textId="77777777" w:rsidTr="00ED3F74">
        <w:trPr>
          <w:trHeight w:val="68"/>
        </w:trPr>
        <w:tc>
          <w:tcPr>
            <w:tcW w:w="2112" w:type="dxa"/>
          </w:tcPr>
          <w:p w14:paraId="58D4AD1A" w14:textId="77777777" w:rsidR="00A47B36" w:rsidRPr="004E79D7" w:rsidRDefault="00A47B36" w:rsidP="00A47B36">
            <w:pPr>
              <w:pStyle w:val="ListParagraph"/>
              <w:numPr>
                <w:ilvl w:val="0"/>
                <w:numId w:val="29"/>
              </w:numPr>
              <w:spacing w:before="80" w:after="60" w:line="240" w:lineRule="auto"/>
              <w:rPr>
                <w:bCs/>
                <w:color w:val="53565A"/>
                <w:lang w:eastAsia="en-AU"/>
              </w:rPr>
            </w:pPr>
            <w:r w:rsidRPr="001F648B">
              <w:rPr>
                <w:lang w:eastAsia="en-AU"/>
              </w:rPr>
              <w:t>Non-attended</w:t>
            </w:r>
          </w:p>
        </w:tc>
        <w:tc>
          <w:tcPr>
            <w:tcW w:w="399" w:type="dxa"/>
          </w:tcPr>
          <w:p w14:paraId="7201A937" w14:textId="77777777" w:rsidR="00A47B36" w:rsidRPr="004E79D7" w:rsidRDefault="00A47B36">
            <w:pPr>
              <w:spacing w:before="80" w:after="60" w:line="240" w:lineRule="auto"/>
              <w:jc w:val="center"/>
              <w:rPr>
                <w:bCs/>
                <w:color w:val="53565A"/>
                <w:lang w:eastAsia="en-AU"/>
              </w:rPr>
            </w:pPr>
            <w:r>
              <w:rPr>
                <w:bCs/>
              </w:rPr>
              <w:t>Y</w:t>
            </w:r>
          </w:p>
        </w:tc>
        <w:tc>
          <w:tcPr>
            <w:tcW w:w="401" w:type="dxa"/>
          </w:tcPr>
          <w:p w14:paraId="44C59CF7" w14:textId="77777777" w:rsidR="00A47B36" w:rsidRPr="004E79D7" w:rsidRDefault="00A47B36">
            <w:pPr>
              <w:spacing w:before="80" w:after="60" w:line="240" w:lineRule="auto"/>
              <w:jc w:val="center"/>
              <w:rPr>
                <w:bCs/>
                <w:color w:val="53565A"/>
              </w:rPr>
            </w:pPr>
            <w:r>
              <w:rPr>
                <w:bCs/>
                <w:color w:val="53565A"/>
              </w:rPr>
              <w:t>Y</w:t>
            </w:r>
          </w:p>
        </w:tc>
        <w:tc>
          <w:tcPr>
            <w:tcW w:w="411" w:type="dxa"/>
          </w:tcPr>
          <w:p w14:paraId="6C237E7A" w14:textId="77777777" w:rsidR="00A47B36" w:rsidRPr="00914582" w:rsidRDefault="00A47B36">
            <w:pPr>
              <w:spacing w:before="80" w:after="60" w:line="240" w:lineRule="auto"/>
              <w:jc w:val="right"/>
              <w:rPr>
                <w:bCs/>
                <w:lang w:eastAsia="en-AU"/>
              </w:rPr>
            </w:pPr>
            <w:r w:rsidRPr="00914582">
              <w:rPr>
                <w:bCs/>
              </w:rPr>
              <w:t>Y</w:t>
            </w:r>
          </w:p>
        </w:tc>
        <w:tc>
          <w:tcPr>
            <w:tcW w:w="411" w:type="dxa"/>
            <w:shd w:val="clear" w:color="auto" w:fill="BFBFBF" w:themeFill="background1" w:themeFillShade="BF"/>
          </w:tcPr>
          <w:p w14:paraId="28B80ADA" w14:textId="77777777" w:rsidR="00A47B36" w:rsidRDefault="00A47B36">
            <w:pPr>
              <w:spacing w:before="80" w:after="60" w:line="240" w:lineRule="auto"/>
              <w:jc w:val="right"/>
              <w:rPr>
                <w:bCs/>
              </w:rPr>
            </w:pPr>
            <w:r>
              <w:rPr>
                <w:bCs/>
                <w:color w:val="53565A"/>
              </w:rPr>
              <w:t>N</w:t>
            </w:r>
          </w:p>
        </w:tc>
        <w:tc>
          <w:tcPr>
            <w:tcW w:w="411" w:type="dxa"/>
          </w:tcPr>
          <w:p w14:paraId="378522D7" w14:textId="77777777" w:rsidR="00A47B36" w:rsidRPr="00914582" w:rsidRDefault="00A47B36">
            <w:pPr>
              <w:spacing w:before="80" w:after="60" w:line="240" w:lineRule="auto"/>
              <w:jc w:val="right"/>
              <w:rPr>
                <w:bCs/>
                <w:lang w:eastAsia="en-AU"/>
              </w:rPr>
            </w:pPr>
            <w:r>
              <w:rPr>
                <w:bCs/>
              </w:rPr>
              <w:t>Y</w:t>
            </w:r>
          </w:p>
        </w:tc>
        <w:tc>
          <w:tcPr>
            <w:tcW w:w="412" w:type="dxa"/>
            <w:shd w:val="clear" w:color="auto" w:fill="BFBFBF" w:themeFill="background1" w:themeFillShade="BF"/>
          </w:tcPr>
          <w:p w14:paraId="09965D30" w14:textId="77777777" w:rsidR="00A47B36" w:rsidRDefault="00A47B36">
            <w:pPr>
              <w:spacing w:before="80" w:after="60" w:line="240" w:lineRule="auto"/>
              <w:jc w:val="right"/>
              <w:rPr>
                <w:bCs/>
              </w:rPr>
            </w:pPr>
            <w:r>
              <w:rPr>
                <w:bCs/>
                <w:color w:val="53565A"/>
              </w:rPr>
              <w:t>N</w:t>
            </w:r>
          </w:p>
        </w:tc>
        <w:tc>
          <w:tcPr>
            <w:tcW w:w="412" w:type="dxa"/>
          </w:tcPr>
          <w:p w14:paraId="6881AE10" w14:textId="77777777" w:rsidR="00A47B36" w:rsidRPr="00914582" w:rsidRDefault="00A47B36">
            <w:pPr>
              <w:spacing w:before="80" w:after="60" w:line="240" w:lineRule="auto"/>
              <w:jc w:val="right"/>
              <w:rPr>
                <w:bCs/>
                <w:lang w:eastAsia="en-AU"/>
              </w:rPr>
            </w:pPr>
            <w:r>
              <w:rPr>
                <w:bCs/>
              </w:rPr>
              <w:t>Y</w:t>
            </w:r>
          </w:p>
        </w:tc>
        <w:tc>
          <w:tcPr>
            <w:tcW w:w="411" w:type="dxa"/>
          </w:tcPr>
          <w:p w14:paraId="51FF7B6C" w14:textId="77777777" w:rsidR="00A47B36" w:rsidRPr="00914582" w:rsidRDefault="00A47B36">
            <w:pPr>
              <w:spacing w:before="80" w:after="60" w:line="240" w:lineRule="auto"/>
              <w:jc w:val="right"/>
              <w:rPr>
                <w:bCs/>
                <w:lang w:eastAsia="en-AU"/>
              </w:rPr>
            </w:pPr>
            <w:r>
              <w:rPr>
                <w:bCs/>
              </w:rPr>
              <w:t>Y</w:t>
            </w:r>
          </w:p>
        </w:tc>
        <w:tc>
          <w:tcPr>
            <w:tcW w:w="412" w:type="dxa"/>
          </w:tcPr>
          <w:p w14:paraId="512EAF62" w14:textId="77777777" w:rsidR="00A47B36" w:rsidRPr="00914582" w:rsidRDefault="00A47B36">
            <w:pPr>
              <w:spacing w:before="80" w:after="60" w:line="240" w:lineRule="auto"/>
              <w:jc w:val="right"/>
              <w:rPr>
                <w:bCs/>
                <w:lang w:eastAsia="en-AU"/>
              </w:rPr>
            </w:pPr>
            <w:r>
              <w:rPr>
                <w:bCs/>
              </w:rPr>
              <w:t>Y</w:t>
            </w:r>
          </w:p>
        </w:tc>
        <w:tc>
          <w:tcPr>
            <w:tcW w:w="412" w:type="dxa"/>
            <w:gridSpan w:val="2"/>
            <w:shd w:val="clear" w:color="auto" w:fill="BFBFBF" w:themeFill="background1" w:themeFillShade="BF"/>
          </w:tcPr>
          <w:p w14:paraId="070B1194" w14:textId="42DE98F5" w:rsidR="00A47B36" w:rsidRPr="00CD0A76" w:rsidRDefault="00CD0A76">
            <w:pPr>
              <w:spacing w:before="80" w:after="60" w:line="240" w:lineRule="auto"/>
              <w:jc w:val="right"/>
              <w:rPr>
                <w:bCs/>
                <w:color w:val="FF0000"/>
                <w:lang w:eastAsia="en-AU"/>
              </w:rPr>
            </w:pPr>
            <w:r w:rsidRPr="00CD0A76">
              <w:rPr>
                <w:bCs/>
                <w:strike/>
                <w:color w:val="FF0000"/>
              </w:rPr>
              <w:t>Y</w:t>
            </w:r>
            <w:r w:rsidR="00A47B36" w:rsidRPr="00CD0A76">
              <w:rPr>
                <w:bCs/>
                <w:color w:val="FF0000"/>
              </w:rPr>
              <w:t>N</w:t>
            </w:r>
          </w:p>
        </w:tc>
        <w:tc>
          <w:tcPr>
            <w:tcW w:w="412" w:type="dxa"/>
            <w:gridSpan w:val="2"/>
          </w:tcPr>
          <w:p w14:paraId="4EAE1F79" w14:textId="77777777" w:rsidR="00A47B36" w:rsidRPr="00914582" w:rsidRDefault="00A47B36">
            <w:pPr>
              <w:spacing w:before="80" w:after="60" w:line="240" w:lineRule="auto"/>
              <w:jc w:val="right"/>
              <w:rPr>
                <w:bCs/>
                <w:lang w:eastAsia="en-AU"/>
              </w:rPr>
            </w:pPr>
            <w:r>
              <w:rPr>
                <w:bCs/>
              </w:rPr>
              <w:t>Y</w:t>
            </w:r>
          </w:p>
        </w:tc>
        <w:tc>
          <w:tcPr>
            <w:tcW w:w="410" w:type="dxa"/>
            <w:gridSpan w:val="2"/>
          </w:tcPr>
          <w:p w14:paraId="08FA5474" w14:textId="77777777" w:rsidR="00A47B36" w:rsidRPr="00914582" w:rsidRDefault="00A47B36">
            <w:pPr>
              <w:spacing w:before="80" w:after="60" w:line="240" w:lineRule="auto"/>
              <w:jc w:val="right"/>
              <w:rPr>
                <w:bCs/>
                <w:lang w:eastAsia="en-AU"/>
              </w:rPr>
            </w:pPr>
            <w:r>
              <w:rPr>
                <w:bCs/>
              </w:rPr>
              <w:t>Y</w:t>
            </w:r>
          </w:p>
        </w:tc>
        <w:tc>
          <w:tcPr>
            <w:tcW w:w="421" w:type="dxa"/>
            <w:gridSpan w:val="2"/>
          </w:tcPr>
          <w:p w14:paraId="0686A469" w14:textId="77777777" w:rsidR="00A47B36" w:rsidRPr="00914582" w:rsidRDefault="00A47B36">
            <w:pPr>
              <w:spacing w:before="80" w:after="60" w:line="240" w:lineRule="auto"/>
              <w:jc w:val="right"/>
              <w:rPr>
                <w:bCs/>
                <w:lang w:eastAsia="en-AU"/>
              </w:rPr>
            </w:pPr>
            <w:r>
              <w:rPr>
                <w:bCs/>
              </w:rPr>
              <w:t>Y</w:t>
            </w:r>
          </w:p>
        </w:tc>
        <w:tc>
          <w:tcPr>
            <w:tcW w:w="411" w:type="dxa"/>
          </w:tcPr>
          <w:p w14:paraId="765E0172" w14:textId="77777777" w:rsidR="00A47B36" w:rsidRPr="00914582" w:rsidRDefault="00A47B36">
            <w:pPr>
              <w:spacing w:before="80" w:after="60" w:line="240" w:lineRule="auto"/>
              <w:jc w:val="right"/>
              <w:rPr>
                <w:bCs/>
              </w:rPr>
            </w:pPr>
            <w:r>
              <w:rPr>
                <w:bCs/>
              </w:rPr>
              <w:t>Y</w:t>
            </w:r>
          </w:p>
        </w:tc>
        <w:tc>
          <w:tcPr>
            <w:tcW w:w="409" w:type="dxa"/>
            <w:shd w:val="clear" w:color="auto" w:fill="BFBFBF" w:themeFill="background1" w:themeFillShade="BF"/>
          </w:tcPr>
          <w:p w14:paraId="0F6A6030" w14:textId="77777777" w:rsidR="00A47B36" w:rsidRPr="004E79D7" w:rsidRDefault="00A47B36">
            <w:pPr>
              <w:spacing w:before="80" w:after="60" w:line="240" w:lineRule="auto"/>
              <w:jc w:val="center"/>
              <w:rPr>
                <w:bCs/>
                <w:color w:val="53565A"/>
              </w:rPr>
            </w:pPr>
            <w:r>
              <w:rPr>
                <w:bCs/>
                <w:color w:val="53565A"/>
              </w:rPr>
              <w:t>N</w:t>
            </w:r>
          </w:p>
        </w:tc>
        <w:tc>
          <w:tcPr>
            <w:tcW w:w="439" w:type="dxa"/>
            <w:gridSpan w:val="2"/>
          </w:tcPr>
          <w:p w14:paraId="7EF8C8F5" w14:textId="77777777" w:rsidR="00A47B36" w:rsidRPr="00914582" w:rsidRDefault="00A47B36">
            <w:pPr>
              <w:spacing w:before="80" w:after="60" w:line="240" w:lineRule="auto"/>
              <w:jc w:val="center"/>
              <w:rPr>
                <w:bCs/>
                <w:lang w:eastAsia="en-AU"/>
              </w:rPr>
            </w:pPr>
            <w:r w:rsidRPr="00914582">
              <w:rPr>
                <w:bCs/>
              </w:rPr>
              <w:t>Y</w:t>
            </w:r>
          </w:p>
        </w:tc>
        <w:tc>
          <w:tcPr>
            <w:tcW w:w="439" w:type="dxa"/>
            <w:gridSpan w:val="2"/>
          </w:tcPr>
          <w:p w14:paraId="29424FB3" w14:textId="77777777" w:rsidR="00A47B36" w:rsidRPr="00914582" w:rsidRDefault="00A47B36">
            <w:pPr>
              <w:spacing w:before="80" w:after="60" w:line="240" w:lineRule="auto"/>
              <w:jc w:val="center"/>
              <w:rPr>
                <w:bCs/>
                <w:lang w:eastAsia="en-AU"/>
              </w:rPr>
            </w:pPr>
            <w:r>
              <w:rPr>
                <w:bCs/>
              </w:rPr>
              <w:t>Y</w:t>
            </w:r>
          </w:p>
        </w:tc>
        <w:tc>
          <w:tcPr>
            <w:tcW w:w="464" w:type="dxa"/>
          </w:tcPr>
          <w:p w14:paraId="6FF840B2" w14:textId="77777777" w:rsidR="00A47B36" w:rsidRPr="00914582" w:rsidRDefault="00A47B36">
            <w:pPr>
              <w:spacing w:before="80" w:after="60" w:line="240" w:lineRule="auto"/>
              <w:jc w:val="center"/>
              <w:rPr>
                <w:bCs/>
              </w:rPr>
            </w:pPr>
            <w:r>
              <w:rPr>
                <w:bCs/>
              </w:rPr>
              <w:t>Y</w:t>
            </w:r>
          </w:p>
        </w:tc>
      </w:tr>
      <w:tr w:rsidR="00460E5B" w:rsidRPr="004E79D7" w14:paraId="40C5170B" w14:textId="77777777" w:rsidTr="00ED3F74">
        <w:trPr>
          <w:trHeight w:val="68"/>
        </w:trPr>
        <w:tc>
          <w:tcPr>
            <w:tcW w:w="2112" w:type="dxa"/>
          </w:tcPr>
          <w:p w14:paraId="48D4A5D0" w14:textId="77777777" w:rsidR="00A47B36" w:rsidRPr="004E79D7" w:rsidRDefault="00A47B36" w:rsidP="00A47B36">
            <w:pPr>
              <w:pStyle w:val="ListParagraph"/>
              <w:numPr>
                <w:ilvl w:val="0"/>
                <w:numId w:val="29"/>
              </w:numPr>
              <w:spacing w:before="80" w:after="60" w:line="240" w:lineRule="auto"/>
              <w:rPr>
                <w:bCs/>
                <w:color w:val="53565A"/>
                <w:lang w:eastAsia="en-AU"/>
              </w:rPr>
            </w:pPr>
            <w:r w:rsidRPr="001F648B">
              <w:rPr>
                <w:lang w:eastAsia="en-AU"/>
              </w:rPr>
              <w:t>Screening</w:t>
            </w:r>
          </w:p>
        </w:tc>
        <w:tc>
          <w:tcPr>
            <w:tcW w:w="399" w:type="dxa"/>
            <w:shd w:val="clear" w:color="auto" w:fill="BFBFBF" w:themeFill="background1" w:themeFillShade="BF"/>
          </w:tcPr>
          <w:p w14:paraId="20E9F654" w14:textId="77777777" w:rsidR="00A47B36" w:rsidRPr="004E79D7" w:rsidRDefault="00A47B36">
            <w:pPr>
              <w:spacing w:before="80" w:after="60" w:line="240" w:lineRule="auto"/>
              <w:jc w:val="center"/>
              <w:rPr>
                <w:bCs/>
                <w:color w:val="53565A"/>
                <w:lang w:eastAsia="en-AU"/>
              </w:rPr>
            </w:pPr>
            <w:r>
              <w:rPr>
                <w:bCs/>
                <w:color w:val="53565A"/>
              </w:rPr>
              <w:t>N</w:t>
            </w:r>
          </w:p>
        </w:tc>
        <w:tc>
          <w:tcPr>
            <w:tcW w:w="401" w:type="dxa"/>
            <w:shd w:val="clear" w:color="auto" w:fill="BFBFBF" w:themeFill="background1" w:themeFillShade="BF"/>
          </w:tcPr>
          <w:p w14:paraId="4A9BBF38" w14:textId="77777777" w:rsidR="00A47B36" w:rsidRPr="004E79D7" w:rsidRDefault="00A47B36">
            <w:pPr>
              <w:spacing w:before="80" w:after="60" w:line="240" w:lineRule="auto"/>
              <w:jc w:val="center"/>
              <w:rPr>
                <w:bCs/>
                <w:color w:val="53565A"/>
                <w:lang w:eastAsia="en-AU"/>
              </w:rPr>
            </w:pPr>
            <w:r>
              <w:rPr>
                <w:bCs/>
                <w:color w:val="53565A"/>
              </w:rPr>
              <w:t>N</w:t>
            </w:r>
          </w:p>
        </w:tc>
        <w:tc>
          <w:tcPr>
            <w:tcW w:w="411" w:type="dxa"/>
            <w:shd w:val="clear" w:color="auto" w:fill="BFBFBF" w:themeFill="background1" w:themeFillShade="BF"/>
          </w:tcPr>
          <w:p w14:paraId="5403A4DA" w14:textId="77777777" w:rsidR="00A47B36" w:rsidRPr="004E79D7" w:rsidRDefault="00A47B36">
            <w:pPr>
              <w:spacing w:before="80" w:after="60" w:line="240" w:lineRule="auto"/>
              <w:jc w:val="center"/>
              <w:rPr>
                <w:bCs/>
                <w:color w:val="53565A"/>
                <w:lang w:eastAsia="en-AU"/>
              </w:rPr>
            </w:pPr>
            <w:r>
              <w:rPr>
                <w:bCs/>
                <w:color w:val="53565A"/>
              </w:rPr>
              <w:t>N</w:t>
            </w:r>
          </w:p>
        </w:tc>
        <w:tc>
          <w:tcPr>
            <w:tcW w:w="411" w:type="dxa"/>
            <w:shd w:val="clear" w:color="auto" w:fill="BFBFBF" w:themeFill="background1" w:themeFillShade="BF"/>
          </w:tcPr>
          <w:p w14:paraId="2AD83369" w14:textId="77777777" w:rsidR="00A47B36" w:rsidRDefault="00A47B36">
            <w:pPr>
              <w:spacing w:before="80" w:after="60" w:line="240" w:lineRule="auto"/>
              <w:jc w:val="center"/>
              <w:rPr>
                <w:bCs/>
                <w:color w:val="53565A"/>
              </w:rPr>
            </w:pPr>
            <w:r>
              <w:rPr>
                <w:bCs/>
                <w:color w:val="53565A"/>
              </w:rPr>
              <w:t>N</w:t>
            </w:r>
          </w:p>
        </w:tc>
        <w:tc>
          <w:tcPr>
            <w:tcW w:w="411" w:type="dxa"/>
            <w:shd w:val="clear" w:color="auto" w:fill="BFBFBF" w:themeFill="background1" w:themeFillShade="BF"/>
          </w:tcPr>
          <w:p w14:paraId="4339126B" w14:textId="77777777" w:rsidR="00A47B36" w:rsidRPr="004E79D7" w:rsidRDefault="00A47B36">
            <w:pPr>
              <w:spacing w:before="80" w:after="60" w:line="240" w:lineRule="auto"/>
              <w:jc w:val="center"/>
              <w:rPr>
                <w:bCs/>
                <w:color w:val="53565A"/>
                <w:lang w:eastAsia="en-AU"/>
              </w:rPr>
            </w:pPr>
            <w:r>
              <w:rPr>
                <w:bCs/>
                <w:color w:val="53565A"/>
              </w:rPr>
              <w:t>N</w:t>
            </w:r>
          </w:p>
        </w:tc>
        <w:tc>
          <w:tcPr>
            <w:tcW w:w="412" w:type="dxa"/>
            <w:shd w:val="clear" w:color="auto" w:fill="BFBFBF" w:themeFill="background1" w:themeFillShade="BF"/>
          </w:tcPr>
          <w:p w14:paraId="7F847373" w14:textId="77777777" w:rsidR="00A47B36" w:rsidRDefault="00A47B36">
            <w:pPr>
              <w:spacing w:before="80" w:after="60" w:line="240" w:lineRule="auto"/>
              <w:jc w:val="center"/>
              <w:rPr>
                <w:bCs/>
                <w:color w:val="53565A"/>
              </w:rPr>
            </w:pPr>
            <w:r>
              <w:rPr>
                <w:bCs/>
                <w:color w:val="53565A"/>
              </w:rPr>
              <w:t>N</w:t>
            </w:r>
          </w:p>
        </w:tc>
        <w:tc>
          <w:tcPr>
            <w:tcW w:w="412" w:type="dxa"/>
            <w:shd w:val="clear" w:color="auto" w:fill="BFBFBF" w:themeFill="background1" w:themeFillShade="BF"/>
          </w:tcPr>
          <w:p w14:paraId="174E0827" w14:textId="77777777" w:rsidR="00A47B36" w:rsidRPr="004E79D7" w:rsidRDefault="00A47B36">
            <w:pPr>
              <w:spacing w:before="80" w:after="60" w:line="240" w:lineRule="auto"/>
              <w:jc w:val="center"/>
              <w:rPr>
                <w:bCs/>
                <w:color w:val="53565A"/>
                <w:lang w:eastAsia="en-AU"/>
              </w:rPr>
            </w:pPr>
            <w:r>
              <w:rPr>
                <w:bCs/>
                <w:color w:val="53565A"/>
              </w:rPr>
              <w:t>N</w:t>
            </w:r>
          </w:p>
        </w:tc>
        <w:tc>
          <w:tcPr>
            <w:tcW w:w="411" w:type="dxa"/>
            <w:shd w:val="clear" w:color="auto" w:fill="BFBFBF" w:themeFill="background1" w:themeFillShade="BF"/>
          </w:tcPr>
          <w:p w14:paraId="279B7FEF" w14:textId="77777777" w:rsidR="00A47B36" w:rsidRPr="004E79D7" w:rsidRDefault="00A47B36">
            <w:pPr>
              <w:spacing w:before="80" w:after="60" w:line="240" w:lineRule="auto"/>
              <w:jc w:val="center"/>
              <w:rPr>
                <w:bCs/>
                <w:color w:val="53565A"/>
                <w:lang w:eastAsia="en-AU"/>
              </w:rPr>
            </w:pPr>
            <w:r>
              <w:rPr>
                <w:bCs/>
                <w:color w:val="53565A"/>
              </w:rPr>
              <w:t>N</w:t>
            </w:r>
          </w:p>
        </w:tc>
        <w:tc>
          <w:tcPr>
            <w:tcW w:w="412" w:type="dxa"/>
            <w:shd w:val="clear" w:color="auto" w:fill="BFBFBF" w:themeFill="background1" w:themeFillShade="BF"/>
          </w:tcPr>
          <w:p w14:paraId="1387BD68" w14:textId="77777777" w:rsidR="00A47B36" w:rsidRPr="004E79D7" w:rsidRDefault="00A47B36">
            <w:pPr>
              <w:spacing w:before="80" w:after="60" w:line="240" w:lineRule="auto"/>
              <w:jc w:val="center"/>
              <w:rPr>
                <w:bCs/>
                <w:color w:val="53565A"/>
              </w:rPr>
            </w:pPr>
            <w:r>
              <w:rPr>
                <w:bCs/>
                <w:color w:val="53565A"/>
              </w:rPr>
              <w:t>N</w:t>
            </w:r>
          </w:p>
        </w:tc>
        <w:tc>
          <w:tcPr>
            <w:tcW w:w="412" w:type="dxa"/>
            <w:gridSpan w:val="2"/>
          </w:tcPr>
          <w:p w14:paraId="597A007E" w14:textId="77777777" w:rsidR="00A47B36" w:rsidRPr="00914582" w:rsidRDefault="00A47B36">
            <w:pPr>
              <w:spacing w:before="80" w:after="60" w:line="240" w:lineRule="auto"/>
              <w:jc w:val="right"/>
              <w:rPr>
                <w:bCs/>
              </w:rPr>
            </w:pPr>
            <w:r w:rsidRPr="00914582">
              <w:rPr>
                <w:bCs/>
              </w:rPr>
              <w:t>Y</w:t>
            </w:r>
          </w:p>
        </w:tc>
        <w:tc>
          <w:tcPr>
            <w:tcW w:w="412" w:type="dxa"/>
            <w:gridSpan w:val="2"/>
            <w:shd w:val="clear" w:color="auto" w:fill="BFBFBF" w:themeFill="background1" w:themeFillShade="BF"/>
          </w:tcPr>
          <w:p w14:paraId="3871C714" w14:textId="77777777" w:rsidR="00A47B36" w:rsidRPr="004E79D7" w:rsidRDefault="00A47B36">
            <w:pPr>
              <w:spacing w:before="80" w:after="60" w:line="240" w:lineRule="auto"/>
              <w:jc w:val="center"/>
              <w:rPr>
                <w:bCs/>
                <w:color w:val="53565A"/>
                <w:lang w:eastAsia="en-AU"/>
              </w:rPr>
            </w:pPr>
            <w:r>
              <w:rPr>
                <w:bCs/>
                <w:color w:val="53565A"/>
              </w:rPr>
              <w:t>N</w:t>
            </w:r>
          </w:p>
        </w:tc>
        <w:tc>
          <w:tcPr>
            <w:tcW w:w="410" w:type="dxa"/>
            <w:gridSpan w:val="2"/>
            <w:shd w:val="clear" w:color="auto" w:fill="BFBFBF" w:themeFill="background1" w:themeFillShade="BF"/>
          </w:tcPr>
          <w:p w14:paraId="7FEF13EB" w14:textId="77777777" w:rsidR="00A47B36" w:rsidRPr="004E79D7" w:rsidRDefault="00A47B36">
            <w:pPr>
              <w:spacing w:before="80" w:after="60" w:line="240" w:lineRule="auto"/>
              <w:jc w:val="center"/>
              <w:rPr>
                <w:bCs/>
                <w:color w:val="53565A"/>
                <w:lang w:eastAsia="en-AU"/>
              </w:rPr>
            </w:pPr>
            <w:r>
              <w:rPr>
                <w:bCs/>
                <w:color w:val="53565A"/>
              </w:rPr>
              <w:t>N</w:t>
            </w:r>
          </w:p>
        </w:tc>
        <w:tc>
          <w:tcPr>
            <w:tcW w:w="421" w:type="dxa"/>
            <w:gridSpan w:val="2"/>
            <w:shd w:val="clear" w:color="auto" w:fill="BFBFBF" w:themeFill="background1" w:themeFillShade="BF"/>
          </w:tcPr>
          <w:p w14:paraId="11DC0D6B" w14:textId="77777777" w:rsidR="00A47B36" w:rsidRPr="004E79D7" w:rsidRDefault="00A47B36">
            <w:pPr>
              <w:spacing w:before="80" w:after="60" w:line="240" w:lineRule="auto"/>
              <w:jc w:val="center"/>
              <w:rPr>
                <w:bCs/>
                <w:color w:val="53565A"/>
                <w:lang w:eastAsia="en-AU"/>
              </w:rPr>
            </w:pPr>
            <w:r>
              <w:rPr>
                <w:bCs/>
                <w:color w:val="53565A"/>
              </w:rPr>
              <w:t>N</w:t>
            </w:r>
          </w:p>
        </w:tc>
        <w:tc>
          <w:tcPr>
            <w:tcW w:w="411" w:type="dxa"/>
            <w:shd w:val="clear" w:color="auto" w:fill="BFBFBF" w:themeFill="background1" w:themeFillShade="BF"/>
          </w:tcPr>
          <w:p w14:paraId="41FB7CD7" w14:textId="77777777" w:rsidR="00A47B36" w:rsidRPr="004E79D7" w:rsidRDefault="00A47B36">
            <w:pPr>
              <w:spacing w:before="80" w:after="60" w:line="240" w:lineRule="auto"/>
              <w:jc w:val="center"/>
              <w:rPr>
                <w:bCs/>
                <w:color w:val="53565A"/>
                <w:lang w:eastAsia="en-AU"/>
              </w:rPr>
            </w:pPr>
            <w:r>
              <w:rPr>
                <w:bCs/>
                <w:color w:val="53565A"/>
              </w:rPr>
              <w:t>N</w:t>
            </w:r>
          </w:p>
        </w:tc>
        <w:tc>
          <w:tcPr>
            <w:tcW w:w="409" w:type="dxa"/>
            <w:shd w:val="clear" w:color="auto" w:fill="BFBFBF" w:themeFill="background1" w:themeFillShade="BF"/>
          </w:tcPr>
          <w:p w14:paraId="67F11C12" w14:textId="77777777" w:rsidR="00A47B36" w:rsidRPr="004E79D7" w:rsidRDefault="00A47B36">
            <w:pPr>
              <w:spacing w:before="80" w:after="60" w:line="240" w:lineRule="auto"/>
              <w:jc w:val="center"/>
              <w:rPr>
                <w:bCs/>
                <w:color w:val="53565A"/>
                <w:lang w:eastAsia="en-AU"/>
              </w:rPr>
            </w:pPr>
            <w:r>
              <w:rPr>
                <w:bCs/>
                <w:color w:val="53565A"/>
              </w:rPr>
              <w:t>N</w:t>
            </w:r>
          </w:p>
        </w:tc>
        <w:tc>
          <w:tcPr>
            <w:tcW w:w="439" w:type="dxa"/>
            <w:gridSpan w:val="2"/>
            <w:shd w:val="clear" w:color="auto" w:fill="BFBFBF" w:themeFill="background1" w:themeFillShade="BF"/>
          </w:tcPr>
          <w:p w14:paraId="27CEC1D2" w14:textId="77777777" w:rsidR="00A47B36" w:rsidRPr="004E79D7" w:rsidRDefault="00A47B36">
            <w:pPr>
              <w:spacing w:before="80" w:after="60" w:line="240" w:lineRule="auto"/>
              <w:jc w:val="center"/>
              <w:rPr>
                <w:bCs/>
                <w:color w:val="53565A"/>
                <w:lang w:eastAsia="en-AU"/>
              </w:rPr>
            </w:pPr>
            <w:r>
              <w:rPr>
                <w:bCs/>
                <w:color w:val="53565A"/>
              </w:rPr>
              <w:t>N</w:t>
            </w:r>
          </w:p>
        </w:tc>
        <w:tc>
          <w:tcPr>
            <w:tcW w:w="439" w:type="dxa"/>
            <w:gridSpan w:val="2"/>
            <w:shd w:val="clear" w:color="auto" w:fill="BFBFBF" w:themeFill="background1" w:themeFillShade="BF"/>
          </w:tcPr>
          <w:p w14:paraId="41EE629E" w14:textId="77777777" w:rsidR="00A47B36" w:rsidRPr="004E79D7" w:rsidRDefault="00A47B36">
            <w:pPr>
              <w:spacing w:before="80" w:after="60" w:line="240" w:lineRule="auto"/>
              <w:jc w:val="center"/>
              <w:rPr>
                <w:bCs/>
                <w:color w:val="53565A"/>
                <w:lang w:eastAsia="en-AU"/>
              </w:rPr>
            </w:pPr>
            <w:r>
              <w:rPr>
                <w:bCs/>
                <w:color w:val="53565A"/>
              </w:rPr>
              <w:t>N</w:t>
            </w:r>
          </w:p>
        </w:tc>
        <w:tc>
          <w:tcPr>
            <w:tcW w:w="464" w:type="dxa"/>
            <w:shd w:val="clear" w:color="auto" w:fill="BFBFBF" w:themeFill="background1" w:themeFillShade="BF"/>
          </w:tcPr>
          <w:p w14:paraId="714A0C41" w14:textId="77777777" w:rsidR="00A47B36" w:rsidRPr="004E79D7" w:rsidRDefault="00A47B36">
            <w:pPr>
              <w:spacing w:before="80" w:after="60" w:line="240" w:lineRule="auto"/>
              <w:jc w:val="center"/>
              <w:rPr>
                <w:bCs/>
                <w:color w:val="53565A"/>
              </w:rPr>
            </w:pPr>
            <w:r>
              <w:rPr>
                <w:bCs/>
                <w:color w:val="53565A"/>
              </w:rPr>
              <w:t>N</w:t>
            </w:r>
          </w:p>
        </w:tc>
      </w:tr>
      <w:tr w:rsidR="00A47B36" w:rsidRPr="00B303BB" w14:paraId="1C6C90C3" w14:textId="77777777" w:rsidTr="00AA778F">
        <w:trPr>
          <w:cantSplit/>
          <w:trHeight w:val="66"/>
        </w:trPr>
        <w:tc>
          <w:tcPr>
            <w:tcW w:w="9605" w:type="dxa"/>
            <w:gridSpan w:val="25"/>
            <w:shd w:val="clear" w:color="auto" w:fill="auto"/>
            <w:vAlign w:val="center"/>
          </w:tcPr>
          <w:p w14:paraId="6411DD88" w14:textId="77777777" w:rsidR="00A47B36" w:rsidRPr="00B303BB" w:rsidRDefault="00A47B36">
            <w:pPr>
              <w:spacing w:before="80" w:after="60" w:line="240" w:lineRule="auto"/>
            </w:pPr>
            <w:r>
              <w:rPr>
                <w:b/>
                <w:bCs/>
              </w:rPr>
              <w:t>Ind</w:t>
            </w:r>
            <w:r w:rsidRPr="001F648B">
              <w:rPr>
                <w:b/>
                <w:bCs/>
              </w:rPr>
              <w:t>irect</w:t>
            </w:r>
          </w:p>
        </w:tc>
      </w:tr>
      <w:tr w:rsidR="00460E5B" w:rsidRPr="004E79D7" w14:paraId="3A0CA8A6" w14:textId="77777777" w:rsidTr="00ED3F74">
        <w:trPr>
          <w:trHeight w:val="68"/>
        </w:trPr>
        <w:tc>
          <w:tcPr>
            <w:tcW w:w="2112" w:type="dxa"/>
          </w:tcPr>
          <w:p w14:paraId="0BFA40F7" w14:textId="77777777" w:rsidR="00A47B36" w:rsidRPr="00914582" w:rsidRDefault="00A47B36" w:rsidP="00A47B36">
            <w:pPr>
              <w:pStyle w:val="ListParagraph"/>
              <w:numPr>
                <w:ilvl w:val="0"/>
                <w:numId w:val="29"/>
              </w:numPr>
              <w:spacing w:before="80" w:after="60" w:line="240" w:lineRule="auto"/>
              <w:rPr>
                <w:bCs/>
                <w:color w:val="53565A"/>
                <w:lang w:eastAsia="en-AU"/>
              </w:rPr>
            </w:pPr>
            <w:r w:rsidRPr="001F648B">
              <w:rPr>
                <w:lang w:eastAsia="en-AU"/>
              </w:rPr>
              <w:t>Indirect</w:t>
            </w:r>
          </w:p>
        </w:tc>
        <w:tc>
          <w:tcPr>
            <w:tcW w:w="399" w:type="dxa"/>
            <w:shd w:val="clear" w:color="auto" w:fill="BFBFBF" w:themeFill="background1" w:themeFillShade="BF"/>
          </w:tcPr>
          <w:p w14:paraId="1A9AF915" w14:textId="77777777" w:rsidR="00A47B36" w:rsidRPr="004E79D7" w:rsidRDefault="00A47B36">
            <w:pPr>
              <w:spacing w:before="80" w:after="60" w:line="240" w:lineRule="auto"/>
              <w:jc w:val="center"/>
              <w:rPr>
                <w:bCs/>
                <w:color w:val="53565A"/>
                <w:lang w:eastAsia="en-AU"/>
              </w:rPr>
            </w:pPr>
            <w:r>
              <w:rPr>
                <w:bCs/>
                <w:color w:val="53565A"/>
              </w:rPr>
              <w:t>N</w:t>
            </w:r>
          </w:p>
        </w:tc>
        <w:tc>
          <w:tcPr>
            <w:tcW w:w="401" w:type="dxa"/>
            <w:shd w:val="clear" w:color="auto" w:fill="BFBFBF" w:themeFill="background1" w:themeFillShade="BF"/>
          </w:tcPr>
          <w:p w14:paraId="46525AB1" w14:textId="77777777" w:rsidR="00A47B36" w:rsidRPr="004E79D7" w:rsidRDefault="00A47B36">
            <w:pPr>
              <w:spacing w:before="80" w:after="60" w:line="240" w:lineRule="auto"/>
              <w:jc w:val="center"/>
              <w:rPr>
                <w:bCs/>
                <w:color w:val="53565A"/>
                <w:lang w:eastAsia="en-AU"/>
              </w:rPr>
            </w:pPr>
            <w:r>
              <w:rPr>
                <w:bCs/>
                <w:color w:val="53565A"/>
              </w:rPr>
              <w:t>N</w:t>
            </w:r>
          </w:p>
        </w:tc>
        <w:tc>
          <w:tcPr>
            <w:tcW w:w="411" w:type="dxa"/>
            <w:shd w:val="clear" w:color="auto" w:fill="BFBFBF" w:themeFill="background1" w:themeFillShade="BF"/>
          </w:tcPr>
          <w:p w14:paraId="606E1DC1" w14:textId="77777777" w:rsidR="00A47B36" w:rsidRPr="004E79D7" w:rsidRDefault="00A47B36">
            <w:pPr>
              <w:spacing w:before="80" w:after="60" w:line="240" w:lineRule="auto"/>
              <w:jc w:val="center"/>
              <w:rPr>
                <w:bCs/>
                <w:color w:val="53565A"/>
                <w:lang w:eastAsia="en-AU"/>
              </w:rPr>
            </w:pPr>
            <w:r>
              <w:rPr>
                <w:bCs/>
                <w:color w:val="53565A"/>
              </w:rPr>
              <w:t>N</w:t>
            </w:r>
          </w:p>
        </w:tc>
        <w:tc>
          <w:tcPr>
            <w:tcW w:w="411" w:type="dxa"/>
            <w:shd w:val="clear" w:color="auto" w:fill="BFBFBF" w:themeFill="background1" w:themeFillShade="BF"/>
          </w:tcPr>
          <w:p w14:paraId="7B784CB3" w14:textId="77777777" w:rsidR="00A47B36" w:rsidRDefault="00A47B36">
            <w:pPr>
              <w:spacing w:before="80" w:after="60" w:line="240" w:lineRule="auto"/>
              <w:jc w:val="center"/>
              <w:rPr>
                <w:bCs/>
                <w:color w:val="53565A"/>
              </w:rPr>
            </w:pPr>
            <w:r>
              <w:rPr>
                <w:bCs/>
                <w:color w:val="53565A"/>
              </w:rPr>
              <w:t>N</w:t>
            </w:r>
          </w:p>
        </w:tc>
        <w:tc>
          <w:tcPr>
            <w:tcW w:w="411" w:type="dxa"/>
            <w:shd w:val="clear" w:color="auto" w:fill="BFBFBF" w:themeFill="background1" w:themeFillShade="BF"/>
          </w:tcPr>
          <w:p w14:paraId="51237C31" w14:textId="77777777" w:rsidR="00A47B36" w:rsidRPr="004E79D7" w:rsidRDefault="00A47B36">
            <w:pPr>
              <w:spacing w:before="80" w:after="60" w:line="240" w:lineRule="auto"/>
              <w:jc w:val="center"/>
              <w:rPr>
                <w:bCs/>
                <w:color w:val="53565A"/>
                <w:lang w:eastAsia="en-AU"/>
              </w:rPr>
            </w:pPr>
            <w:r>
              <w:rPr>
                <w:bCs/>
                <w:color w:val="53565A"/>
              </w:rPr>
              <w:t>N</w:t>
            </w:r>
          </w:p>
        </w:tc>
        <w:tc>
          <w:tcPr>
            <w:tcW w:w="412" w:type="dxa"/>
            <w:shd w:val="clear" w:color="auto" w:fill="BFBFBF" w:themeFill="background1" w:themeFillShade="BF"/>
          </w:tcPr>
          <w:p w14:paraId="596045BB" w14:textId="77777777" w:rsidR="00A47B36" w:rsidRDefault="00A47B36">
            <w:pPr>
              <w:spacing w:before="80" w:after="60" w:line="240" w:lineRule="auto"/>
              <w:jc w:val="center"/>
              <w:rPr>
                <w:bCs/>
                <w:color w:val="53565A"/>
              </w:rPr>
            </w:pPr>
            <w:r>
              <w:rPr>
                <w:bCs/>
                <w:color w:val="53565A"/>
              </w:rPr>
              <w:t>N</w:t>
            </w:r>
          </w:p>
        </w:tc>
        <w:tc>
          <w:tcPr>
            <w:tcW w:w="412" w:type="dxa"/>
            <w:shd w:val="clear" w:color="auto" w:fill="BFBFBF" w:themeFill="background1" w:themeFillShade="BF"/>
          </w:tcPr>
          <w:p w14:paraId="5D600048" w14:textId="77777777" w:rsidR="00A47B36" w:rsidRPr="004E79D7" w:rsidRDefault="00A47B36">
            <w:pPr>
              <w:spacing w:before="80" w:after="60" w:line="240" w:lineRule="auto"/>
              <w:jc w:val="center"/>
              <w:rPr>
                <w:bCs/>
                <w:color w:val="53565A"/>
                <w:lang w:eastAsia="en-AU"/>
              </w:rPr>
            </w:pPr>
            <w:r>
              <w:rPr>
                <w:bCs/>
                <w:color w:val="53565A"/>
              </w:rPr>
              <w:t>N</w:t>
            </w:r>
          </w:p>
        </w:tc>
        <w:tc>
          <w:tcPr>
            <w:tcW w:w="411" w:type="dxa"/>
            <w:shd w:val="clear" w:color="auto" w:fill="BFBFBF" w:themeFill="background1" w:themeFillShade="BF"/>
          </w:tcPr>
          <w:p w14:paraId="46F7B2D5" w14:textId="77777777" w:rsidR="00A47B36" w:rsidRPr="004E79D7" w:rsidRDefault="00A47B36">
            <w:pPr>
              <w:spacing w:before="80" w:after="60" w:line="240" w:lineRule="auto"/>
              <w:jc w:val="center"/>
              <w:rPr>
                <w:bCs/>
                <w:color w:val="53565A"/>
                <w:lang w:eastAsia="en-AU"/>
              </w:rPr>
            </w:pPr>
            <w:r>
              <w:rPr>
                <w:bCs/>
                <w:color w:val="53565A"/>
              </w:rPr>
              <w:t>N</w:t>
            </w:r>
          </w:p>
        </w:tc>
        <w:tc>
          <w:tcPr>
            <w:tcW w:w="412" w:type="dxa"/>
            <w:shd w:val="clear" w:color="auto" w:fill="BFBFBF" w:themeFill="background1" w:themeFillShade="BF"/>
          </w:tcPr>
          <w:p w14:paraId="279465B4" w14:textId="77777777" w:rsidR="00A47B36" w:rsidRPr="004E79D7" w:rsidRDefault="00A47B36">
            <w:pPr>
              <w:spacing w:before="80" w:after="60" w:line="240" w:lineRule="auto"/>
              <w:jc w:val="center"/>
              <w:rPr>
                <w:bCs/>
                <w:color w:val="53565A"/>
              </w:rPr>
            </w:pPr>
            <w:r>
              <w:rPr>
                <w:bCs/>
                <w:color w:val="53565A"/>
              </w:rPr>
              <w:t>N</w:t>
            </w:r>
          </w:p>
        </w:tc>
        <w:tc>
          <w:tcPr>
            <w:tcW w:w="412" w:type="dxa"/>
            <w:gridSpan w:val="2"/>
          </w:tcPr>
          <w:p w14:paraId="030E7972" w14:textId="77777777" w:rsidR="00A47B36" w:rsidRPr="00914582" w:rsidRDefault="00A47B36">
            <w:pPr>
              <w:spacing w:before="80" w:after="60" w:line="240" w:lineRule="auto"/>
              <w:jc w:val="right"/>
              <w:rPr>
                <w:bCs/>
              </w:rPr>
            </w:pPr>
            <w:r w:rsidRPr="00914582">
              <w:rPr>
                <w:bCs/>
              </w:rPr>
              <w:t>Y</w:t>
            </w:r>
          </w:p>
        </w:tc>
        <w:tc>
          <w:tcPr>
            <w:tcW w:w="412" w:type="dxa"/>
            <w:gridSpan w:val="2"/>
            <w:shd w:val="clear" w:color="auto" w:fill="BFBFBF" w:themeFill="background1" w:themeFillShade="BF"/>
          </w:tcPr>
          <w:p w14:paraId="5D55AFBA" w14:textId="77777777" w:rsidR="00A47B36" w:rsidRPr="004E79D7" w:rsidRDefault="00A47B36">
            <w:pPr>
              <w:spacing w:before="80" w:after="60" w:line="240" w:lineRule="auto"/>
              <w:jc w:val="center"/>
              <w:rPr>
                <w:bCs/>
                <w:color w:val="53565A"/>
                <w:lang w:eastAsia="en-AU"/>
              </w:rPr>
            </w:pPr>
            <w:r>
              <w:rPr>
                <w:bCs/>
                <w:color w:val="53565A"/>
              </w:rPr>
              <w:t>N</w:t>
            </w:r>
          </w:p>
        </w:tc>
        <w:tc>
          <w:tcPr>
            <w:tcW w:w="410" w:type="dxa"/>
            <w:gridSpan w:val="2"/>
            <w:shd w:val="clear" w:color="auto" w:fill="BFBFBF" w:themeFill="background1" w:themeFillShade="BF"/>
          </w:tcPr>
          <w:p w14:paraId="3B435DF2" w14:textId="77777777" w:rsidR="00A47B36" w:rsidRPr="004E79D7" w:rsidRDefault="00A47B36">
            <w:pPr>
              <w:spacing w:before="80" w:after="60" w:line="240" w:lineRule="auto"/>
              <w:jc w:val="center"/>
              <w:rPr>
                <w:bCs/>
                <w:color w:val="53565A"/>
                <w:lang w:eastAsia="en-AU"/>
              </w:rPr>
            </w:pPr>
            <w:r>
              <w:rPr>
                <w:bCs/>
                <w:color w:val="53565A"/>
              </w:rPr>
              <w:t>N</w:t>
            </w:r>
          </w:p>
        </w:tc>
        <w:tc>
          <w:tcPr>
            <w:tcW w:w="421" w:type="dxa"/>
            <w:gridSpan w:val="2"/>
            <w:shd w:val="clear" w:color="auto" w:fill="BFBFBF" w:themeFill="background1" w:themeFillShade="BF"/>
          </w:tcPr>
          <w:p w14:paraId="2277E28F" w14:textId="77777777" w:rsidR="00A47B36" w:rsidRPr="004E79D7" w:rsidRDefault="00A47B36">
            <w:pPr>
              <w:spacing w:before="80" w:after="60" w:line="240" w:lineRule="auto"/>
              <w:jc w:val="center"/>
              <w:rPr>
                <w:bCs/>
                <w:color w:val="53565A"/>
                <w:lang w:eastAsia="en-AU"/>
              </w:rPr>
            </w:pPr>
            <w:r>
              <w:rPr>
                <w:bCs/>
                <w:color w:val="53565A"/>
              </w:rPr>
              <w:t>N</w:t>
            </w:r>
          </w:p>
        </w:tc>
        <w:tc>
          <w:tcPr>
            <w:tcW w:w="411" w:type="dxa"/>
            <w:shd w:val="clear" w:color="auto" w:fill="BFBFBF" w:themeFill="background1" w:themeFillShade="BF"/>
          </w:tcPr>
          <w:p w14:paraId="6C3B5306" w14:textId="77777777" w:rsidR="00A47B36" w:rsidRPr="004E79D7" w:rsidRDefault="00A47B36">
            <w:pPr>
              <w:spacing w:before="80" w:after="60" w:line="240" w:lineRule="auto"/>
              <w:jc w:val="center"/>
              <w:rPr>
                <w:bCs/>
                <w:color w:val="53565A"/>
                <w:lang w:eastAsia="en-AU"/>
              </w:rPr>
            </w:pPr>
            <w:r>
              <w:rPr>
                <w:bCs/>
                <w:color w:val="53565A"/>
              </w:rPr>
              <w:t>N</w:t>
            </w:r>
          </w:p>
        </w:tc>
        <w:tc>
          <w:tcPr>
            <w:tcW w:w="409" w:type="dxa"/>
            <w:shd w:val="clear" w:color="auto" w:fill="BFBFBF" w:themeFill="background1" w:themeFillShade="BF"/>
          </w:tcPr>
          <w:p w14:paraId="3AED0D88" w14:textId="77777777" w:rsidR="00A47B36" w:rsidRPr="004E79D7" w:rsidRDefault="00A47B36">
            <w:pPr>
              <w:spacing w:before="80" w:after="60" w:line="240" w:lineRule="auto"/>
              <w:jc w:val="center"/>
              <w:rPr>
                <w:bCs/>
                <w:color w:val="53565A"/>
                <w:lang w:eastAsia="en-AU"/>
              </w:rPr>
            </w:pPr>
            <w:r>
              <w:rPr>
                <w:bCs/>
                <w:color w:val="53565A"/>
              </w:rPr>
              <w:t>N</w:t>
            </w:r>
          </w:p>
        </w:tc>
        <w:tc>
          <w:tcPr>
            <w:tcW w:w="439" w:type="dxa"/>
            <w:gridSpan w:val="2"/>
            <w:shd w:val="clear" w:color="auto" w:fill="BFBFBF" w:themeFill="background1" w:themeFillShade="BF"/>
          </w:tcPr>
          <w:p w14:paraId="332CFA17" w14:textId="77777777" w:rsidR="00A47B36" w:rsidRPr="004E79D7" w:rsidRDefault="00A47B36">
            <w:pPr>
              <w:spacing w:before="80" w:after="60" w:line="240" w:lineRule="auto"/>
              <w:jc w:val="center"/>
              <w:rPr>
                <w:bCs/>
                <w:color w:val="53565A"/>
                <w:lang w:eastAsia="en-AU"/>
              </w:rPr>
            </w:pPr>
            <w:r>
              <w:rPr>
                <w:bCs/>
                <w:color w:val="53565A"/>
              </w:rPr>
              <w:t>N</w:t>
            </w:r>
          </w:p>
        </w:tc>
        <w:tc>
          <w:tcPr>
            <w:tcW w:w="439" w:type="dxa"/>
            <w:gridSpan w:val="2"/>
            <w:shd w:val="clear" w:color="auto" w:fill="BFBFBF" w:themeFill="background1" w:themeFillShade="BF"/>
          </w:tcPr>
          <w:p w14:paraId="5F831C78" w14:textId="77777777" w:rsidR="00A47B36" w:rsidRPr="004E79D7" w:rsidRDefault="00A47B36">
            <w:pPr>
              <w:spacing w:before="80" w:after="60" w:line="240" w:lineRule="auto"/>
              <w:jc w:val="center"/>
              <w:rPr>
                <w:bCs/>
                <w:color w:val="53565A"/>
                <w:lang w:eastAsia="en-AU"/>
              </w:rPr>
            </w:pPr>
            <w:r>
              <w:rPr>
                <w:bCs/>
                <w:color w:val="53565A"/>
              </w:rPr>
              <w:t>N</w:t>
            </w:r>
          </w:p>
        </w:tc>
        <w:tc>
          <w:tcPr>
            <w:tcW w:w="464" w:type="dxa"/>
            <w:shd w:val="clear" w:color="auto" w:fill="BFBFBF" w:themeFill="background1" w:themeFillShade="BF"/>
          </w:tcPr>
          <w:p w14:paraId="43E818CF" w14:textId="77777777" w:rsidR="00A47B36" w:rsidRPr="004E79D7" w:rsidRDefault="00A47B36">
            <w:pPr>
              <w:spacing w:before="80" w:after="60" w:line="240" w:lineRule="auto"/>
              <w:jc w:val="center"/>
              <w:rPr>
                <w:bCs/>
                <w:color w:val="53565A"/>
              </w:rPr>
            </w:pPr>
            <w:r>
              <w:rPr>
                <w:bCs/>
                <w:color w:val="53565A"/>
              </w:rPr>
              <w:t>N</w:t>
            </w:r>
          </w:p>
        </w:tc>
      </w:tr>
      <w:tr w:rsidR="00A60349" w:rsidRPr="00914582" w14:paraId="6A541DBD" w14:textId="77777777" w:rsidTr="00ED3F74">
        <w:trPr>
          <w:trHeight w:val="68"/>
        </w:trPr>
        <w:tc>
          <w:tcPr>
            <w:tcW w:w="2112" w:type="dxa"/>
          </w:tcPr>
          <w:p w14:paraId="12AEADEB" w14:textId="77777777" w:rsidR="00A47B36" w:rsidRPr="00914582" w:rsidRDefault="00A47B36" w:rsidP="00A47B36">
            <w:pPr>
              <w:pStyle w:val="ListParagraph"/>
              <w:numPr>
                <w:ilvl w:val="0"/>
                <w:numId w:val="29"/>
              </w:numPr>
              <w:spacing w:before="80" w:after="60" w:line="240" w:lineRule="auto"/>
              <w:rPr>
                <w:bCs/>
                <w:color w:val="53565A"/>
                <w:lang w:eastAsia="en-AU"/>
              </w:rPr>
            </w:pPr>
            <w:r w:rsidRPr="001F648B">
              <w:rPr>
                <w:lang w:eastAsia="en-AU"/>
              </w:rPr>
              <w:lastRenderedPageBreak/>
              <w:t>Indirect-MDCC patient not present</w:t>
            </w:r>
          </w:p>
        </w:tc>
        <w:tc>
          <w:tcPr>
            <w:tcW w:w="399" w:type="dxa"/>
          </w:tcPr>
          <w:p w14:paraId="5252BA08" w14:textId="77777777" w:rsidR="00A47B36" w:rsidRPr="00914582" w:rsidRDefault="00A47B36">
            <w:pPr>
              <w:spacing w:before="80" w:after="60" w:line="240" w:lineRule="auto"/>
              <w:jc w:val="center"/>
              <w:rPr>
                <w:bCs/>
                <w:lang w:eastAsia="en-AU"/>
              </w:rPr>
            </w:pPr>
            <w:r>
              <w:rPr>
                <w:bCs/>
              </w:rPr>
              <w:t>Y</w:t>
            </w:r>
          </w:p>
        </w:tc>
        <w:tc>
          <w:tcPr>
            <w:tcW w:w="401" w:type="dxa"/>
          </w:tcPr>
          <w:p w14:paraId="4AB79E72" w14:textId="77777777" w:rsidR="00A47B36" w:rsidRPr="00914582" w:rsidRDefault="00A47B36">
            <w:pPr>
              <w:spacing w:before="80" w:after="60" w:line="240" w:lineRule="auto"/>
              <w:jc w:val="center"/>
              <w:rPr>
                <w:bCs/>
              </w:rPr>
            </w:pPr>
            <w:r>
              <w:rPr>
                <w:bCs/>
              </w:rPr>
              <w:t>Y</w:t>
            </w:r>
          </w:p>
        </w:tc>
        <w:tc>
          <w:tcPr>
            <w:tcW w:w="411" w:type="dxa"/>
          </w:tcPr>
          <w:p w14:paraId="01465794" w14:textId="77777777" w:rsidR="00A47B36" w:rsidRPr="004E79D7" w:rsidRDefault="00A47B36">
            <w:pPr>
              <w:spacing w:before="80" w:after="60" w:line="240" w:lineRule="auto"/>
              <w:jc w:val="center"/>
              <w:rPr>
                <w:bCs/>
                <w:color w:val="53565A"/>
              </w:rPr>
            </w:pPr>
            <w:r w:rsidRPr="00914582">
              <w:rPr>
                <w:bCs/>
              </w:rPr>
              <w:t>Y</w:t>
            </w:r>
          </w:p>
        </w:tc>
        <w:tc>
          <w:tcPr>
            <w:tcW w:w="411" w:type="dxa"/>
            <w:shd w:val="clear" w:color="auto" w:fill="BFBFBF" w:themeFill="background1" w:themeFillShade="BF"/>
          </w:tcPr>
          <w:p w14:paraId="029A8C48" w14:textId="77777777" w:rsidR="00A47B36" w:rsidRDefault="00A47B36">
            <w:pPr>
              <w:spacing w:before="80" w:after="60" w:line="240" w:lineRule="auto"/>
              <w:jc w:val="center"/>
              <w:rPr>
                <w:bCs/>
                <w:color w:val="53565A"/>
              </w:rPr>
            </w:pPr>
            <w:r>
              <w:rPr>
                <w:bCs/>
                <w:color w:val="53565A"/>
              </w:rPr>
              <w:t>N</w:t>
            </w:r>
          </w:p>
        </w:tc>
        <w:tc>
          <w:tcPr>
            <w:tcW w:w="411" w:type="dxa"/>
            <w:shd w:val="clear" w:color="auto" w:fill="BFBFBF" w:themeFill="background1" w:themeFillShade="BF"/>
          </w:tcPr>
          <w:p w14:paraId="7E044C84" w14:textId="77777777" w:rsidR="00A47B36" w:rsidRPr="004E79D7" w:rsidRDefault="00A47B36">
            <w:pPr>
              <w:spacing w:before="80" w:after="60" w:line="240" w:lineRule="auto"/>
              <w:jc w:val="center"/>
              <w:rPr>
                <w:bCs/>
                <w:color w:val="53565A"/>
                <w:lang w:eastAsia="en-AU"/>
              </w:rPr>
            </w:pPr>
            <w:r>
              <w:rPr>
                <w:bCs/>
                <w:color w:val="53565A"/>
              </w:rPr>
              <w:t>N</w:t>
            </w:r>
          </w:p>
        </w:tc>
        <w:tc>
          <w:tcPr>
            <w:tcW w:w="412" w:type="dxa"/>
            <w:shd w:val="clear" w:color="auto" w:fill="BFBFBF" w:themeFill="background1" w:themeFillShade="BF"/>
          </w:tcPr>
          <w:p w14:paraId="05F86FA9" w14:textId="77777777" w:rsidR="00A47B36" w:rsidRDefault="00A47B36">
            <w:pPr>
              <w:spacing w:before="80" w:after="60" w:line="240" w:lineRule="auto"/>
              <w:jc w:val="center"/>
              <w:rPr>
                <w:bCs/>
                <w:color w:val="53565A"/>
              </w:rPr>
            </w:pPr>
            <w:r>
              <w:rPr>
                <w:bCs/>
                <w:color w:val="53565A"/>
              </w:rPr>
              <w:t>N</w:t>
            </w:r>
          </w:p>
        </w:tc>
        <w:tc>
          <w:tcPr>
            <w:tcW w:w="412" w:type="dxa"/>
            <w:shd w:val="clear" w:color="auto" w:fill="BFBFBF" w:themeFill="background1" w:themeFillShade="BF"/>
          </w:tcPr>
          <w:p w14:paraId="26E04963" w14:textId="77777777" w:rsidR="00A47B36" w:rsidRPr="004E79D7" w:rsidRDefault="00A47B36">
            <w:pPr>
              <w:spacing w:before="80" w:after="60" w:line="240" w:lineRule="auto"/>
              <w:jc w:val="center"/>
              <w:rPr>
                <w:bCs/>
                <w:color w:val="53565A"/>
                <w:lang w:eastAsia="en-AU"/>
              </w:rPr>
            </w:pPr>
            <w:r>
              <w:rPr>
                <w:bCs/>
                <w:color w:val="53565A"/>
              </w:rPr>
              <w:t>N</w:t>
            </w:r>
          </w:p>
        </w:tc>
        <w:tc>
          <w:tcPr>
            <w:tcW w:w="411" w:type="dxa"/>
            <w:shd w:val="clear" w:color="auto" w:fill="BFBFBF" w:themeFill="background1" w:themeFillShade="BF"/>
          </w:tcPr>
          <w:p w14:paraId="056C2E24" w14:textId="77777777" w:rsidR="00A47B36" w:rsidRPr="004E79D7" w:rsidRDefault="00A47B36">
            <w:pPr>
              <w:spacing w:before="80" w:after="60" w:line="240" w:lineRule="auto"/>
              <w:jc w:val="center"/>
              <w:rPr>
                <w:bCs/>
                <w:color w:val="53565A"/>
              </w:rPr>
            </w:pPr>
            <w:r>
              <w:rPr>
                <w:bCs/>
                <w:color w:val="53565A"/>
              </w:rPr>
              <w:t>N</w:t>
            </w:r>
          </w:p>
        </w:tc>
        <w:tc>
          <w:tcPr>
            <w:tcW w:w="412" w:type="dxa"/>
          </w:tcPr>
          <w:p w14:paraId="2232C005" w14:textId="77777777" w:rsidR="00A47B36" w:rsidRPr="00914582" w:rsidRDefault="00A47B36">
            <w:pPr>
              <w:spacing w:before="80" w:after="60" w:line="240" w:lineRule="auto"/>
              <w:jc w:val="center"/>
              <w:rPr>
                <w:bCs/>
                <w:lang w:eastAsia="en-AU"/>
              </w:rPr>
            </w:pPr>
            <w:r>
              <w:rPr>
                <w:bCs/>
              </w:rPr>
              <w:t>Y</w:t>
            </w:r>
          </w:p>
        </w:tc>
        <w:tc>
          <w:tcPr>
            <w:tcW w:w="412" w:type="dxa"/>
            <w:gridSpan w:val="2"/>
          </w:tcPr>
          <w:p w14:paraId="0FFD485A" w14:textId="77777777" w:rsidR="00A47B36" w:rsidRPr="00914582" w:rsidRDefault="00A47B36">
            <w:pPr>
              <w:spacing w:before="80" w:after="60" w:line="240" w:lineRule="auto"/>
              <w:jc w:val="center"/>
              <w:rPr>
                <w:bCs/>
                <w:lang w:eastAsia="en-AU"/>
              </w:rPr>
            </w:pPr>
            <w:r>
              <w:rPr>
                <w:bCs/>
              </w:rPr>
              <w:t>Y</w:t>
            </w:r>
          </w:p>
        </w:tc>
        <w:tc>
          <w:tcPr>
            <w:tcW w:w="412" w:type="dxa"/>
            <w:gridSpan w:val="2"/>
          </w:tcPr>
          <w:p w14:paraId="02CD5195" w14:textId="77777777" w:rsidR="00A47B36" w:rsidRPr="00914582" w:rsidRDefault="00A47B36">
            <w:pPr>
              <w:spacing w:before="80" w:after="60" w:line="240" w:lineRule="auto"/>
              <w:jc w:val="center"/>
              <w:rPr>
                <w:bCs/>
                <w:lang w:eastAsia="en-AU"/>
              </w:rPr>
            </w:pPr>
            <w:r>
              <w:rPr>
                <w:bCs/>
              </w:rPr>
              <w:t>Y</w:t>
            </w:r>
          </w:p>
        </w:tc>
        <w:tc>
          <w:tcPr>
            <w:tcW w:w="410" w:type="dxa"/>
            <w:gridSpan w:val="2"/>
          </w:tcPr>
          <w:p w14:paraId="19BF6D0A" w14:textId="77777777" w:rsidR="00A47B36" w:rsidRPr="00914582" w:rsidRDefault="00A47B36">
            <w:pPr>
              <w:spacing w:before="80" w:after="60" w:line="240" w:lineRule="auto"/>
              <w:jc w:val="center"/>
              <w:rPr>
                <w:bCs/>
                <w:lang w:eastAsia="en-AU"/>
              </w:rPr>
            </w:pPr>
            <w:r>
              <w:rPr>
                <w:bCs/>
              </w:rPr>
              <w:t>Y</w:t>
            </w:r>
          </w:p>
        </w:tc>
        <w:tc>
          <w:tcPr>
            <w:tcW w:w="421" w:type="dxa"/>
            <w:gridSpan w:val="2"/>
          </w:tcPr>
          <w:p w14:paraId="5FC6DD0B" w14:textId="77777777" w:rsidR="00A47B36" w:rsidRPr="00914582" w:rsidRDefault="00A47B36">
            <w:pPr>
              <w:spacing w:before="80" w:after="60" w:line="240" w:lineRule="auto"/>
              <w:jc w:val="center"/>
              <w:rPr>
                <w:bCs/>
              </w:rPr>
            </w:pPr>
            <w:r>
              <w:rPr>
                <w:bCs/>
              </w:rPr>
              <w:t>Y</w:t>
            </w:r>
          </w:p>
        </w:tc>
        <w:tc>
          <w:tcPr>
            <w:tcW w:w="411" w:type="dxa"/>
            <w:shd w:val="clear" w:color="auto" w:fill="BFBFBF" w:themeFill="background1" w:themeFillShade="BF"/>
          </w:tcPr>
          <w:p w14:paraId="6B1AD99E" w14:textId="77777777" w:rsidR="00A47B36" w:rsidRPr="004E79D7" w:rsidRDefault="00A47B36">
            <w:pPr>
              <w:spacing w:before="80" w:after="60" w:line="240" w:lineRule="auto"/>
              <w:jc w:val="center"/>
              <w:rPr>
                <w:bCs/>
                <w:color w:val="53565A"/>
                <w:lang w:eastAsia="en-AU"/>
              </w:rPr>
            </w:pPr>
            <w:r>
              <w:rPr>
                <w:bCs/>
                <w:color w:val="53565A"/>
              </w:rPr>
              <w:t>N</w:t>
            </w:r>
          </w:p>
        </w:tc>
        <w:tc>
          <w:tcPr>
            <w:tcW w:w="409" w:type="dxa"/>
            <w:shd w:val="clear" w:color="auto" w:fill="BFBFBF" w:themeFill="background1" w:themeFillShade="BF"/>
          </w:tcPr>
          <w:p w14:paraId="001B6E73" w14:textId="77777777" w:rsidR="00A47B36" w:rsidRPr="004E79D7" w:rsidRDefault="00A47B36">
            <w:pPr>
              <w:spacing w:before="80" w:after="60" w:line="240" w:lineRule="auto"/>
              <w:jc w:val="center"/>
              <w:rPr>
                <w:bCs/>
                <w:color w:val="53565A"/>
              </w:rPr>
            </w:pPr>
            <w:r>
              <w:rPr>
                <w:bCs/>
                <w:color w:val="53565A"/>
              </w:rPr>
              <w:t>N</w:t>
            </w:r>
          </w:p>
        </w:tc>
        <w:tc>
          <w:tcPr>
            <w:tcW w:w="439" w:type="dxa"/>
            <w:gridSpan w:val="2"/>
          </w:tcPr>
          <w:p w14:paraId="3768E28E" w14:textId="77777777" w:rsidR="00A47B36" w:rsidRPr="00914582" w:rsidRDefault="00A47B36">
            <w:pPr>
              <w:spacing w:before="80" w:after="60" w:line="240" w:lineRule="auto"/>
              <w:jc w:val="center"/>
              <w:rPr>
                <w:bCs/>
                <w:lang w:eastAsia="en-AU"/>
              </w:rPr>
            </w:pPr>
            <w:r>
              <w:rPr>
                <w:bCs/>
              </w:rPr>
              <w:t>Y</w:t>
            </w:r>
          </w:p>
        </w:tc>
        <w:tc>
          <w:tcPr>
            <w:tcW w:w="439" w:type="dxa"/>
            <w:gridSpan w:val="2"/>
          </w:tcPr>
          <w:p w14:paraId="4DC844F1" w14:textId="77777777" w:rsidR="00A47B36" w:rsidRPr="00914582" w:rsidRDefault="00A47B36">
            <w:pPr>
              <w:spacing w:before="80" w:after="60" w:line="240" w:lineRule="auto"/>
              <w:jc w:val="center"/>
              <w:rPr>
                <w:bCs/>
                <w:lang w:eastAsia="en-AU"/>
              </w:rPr>
            </w:pPr>
            <w:r>
              <w:rPr>
                <w:bCs/>
              </w:rPr>
              <w:t>Y</w:t>
            </w:r>
          </w:p>
        </w:tc>
        <w:tc>
          <w:tcPr>
            <w:tcW w:w="464" w:type="dxa"/>
          </w:tcPr>
          <w:p w14:paraId="1709B43C" w14:textId="77777777" w:rsidR="00A47B36" w:rsidRPr="00914582" w:rsidRDefault="00A47B36">
            <w:pPr>
              <w:spacing w:before="80" w:after="60" w:line="240" w:lineRule="auto"/>
              <w:jc w:val="center"/>
              <w:rPr>
                <w:bCs/>
              </w:rPr>
            </w:pPr>
            <w:r>
              <w:rPr>
                <w:bCs/>
              </w:rPr>
              <w:t>Y</w:t>
            </w:r>
          </w:p>
        </w:tc>
      </w:tr>
      <w:tr w:rsidR="00460E5B" w:rsidRPr="004E79D7" w14:paraId="46A97A51" w14:textId="77777777" w:rsidTr="00ED3F74">
        <w:trPr>
          <w:trHeight w:val="68"/>
        </w:trPr>
        <w:tc>
          <w:tcPr>
            <w:tcW w:w="2112" w:type="dxa"/>
          </w:tcPr>
          <w:p w14:paraId="3805C17D" w14:textId="77777777" w:rsidR="00A47B36" w:rsidRPr="00914582" w:rsidRDefault="00A47B36" w:rsidP="00A47B36">
            <w:pPr>
              <w:pStyle w:val="ListParagraph"/>
              <w:numPr>
                <w:ilvl w:val="0"/>
                <w:numId w:val="29"/>
              </w:numPr>
              <w:spacing w:before="80" w:after="60" w:line="240" w:lineRule="auto"/>
              <w:rPr>
                <w:bCs/>
                <w:color w:val="53565A"/>
                <w:lang w:eastAsia="en-AU"/>
              </w:rPr>
            </w:pPr>
            <w:r w:rsidRPr="001F648B">
              <w:rPr>
                <w:lang w:eastAsia="en-AU"/>
              </w:rPr>
              <w:t>Screening</w:t>
            </w:r>
          </w:p>
        </w:tc>
        <w:tc>
          <w:tcPr>
            <w:tcW w:w="399" w:type="dxa"/>
            <w:shd w:val="clear" w:color="auto" w:fill="BFBFBF" w:themeFill="background1" w:themeFillShade="BF"/>
          </w:tcPr>
          <w:p w14:paraId="4FDCAC7B" w14:textId="77777777" w:rsidR="00A47B36" w:rsidRPr="004E79D7" w:rsidRDefault="00A47B36">
            <w:pPr>
              <w:spacing w:before="80" w:after="60" w:line="240" w:lineRule="auto"/>
              <w:jc w:val="center"/>
              <w:rPr>
                <w:bCs/>
                <w:color w:val="53565A"/>
                <w:lang w:eastAsia="en-AU"/>
              </w:rPr>
            </w:pPr>
            <w:r>
              <w:rPr>
                <w:bCs/>
                <w:color w:val="53565A"/>
              </w:rPr>
              <w:t>N</w:t>
            </w:r>
          </w:p>
        </w:tc>
        <w:tc>
          <w:tcPr>
            <w:tcW w:w="401" w:type="dxa"/>
            <w:shd w:val="clear" w:color="auto" w:fill="BFBFBF" w:themeFill="background1" w:themeFillShade="BF"/>
          </w:tcPr>
          <w:p w14:paraId="5FD1BCE1" w14:textId="77777777" w:rsidR="00A47B36" w:rsidRPr="004E79D7" w:rsidRDefault="00A47B36">
            <w:pPr>
              <w:spacing w:before="80" w:after="60" w:line="240" w:lineRule="auto"/>
              <w:jc w:val="center"/>
              <w:rPr>
                <w:bCs/>
                <w:color w:val="53565A"/>
                <w:lang w:eastAsia="en-AU"/>
              </w:rPr>
            </w:pPr>
            <w:r>
              <w:rPr>
                <w:bCs/>
                <w:color w:val="53565A"/>
              </w:rPr>
              <w:t>N</w:t>
            </w:r>
          </w:p>
        </w:tc>
        <w:tc>
          <w:tcPr>
            <w:tcW w:w="411" w:type="dxa"/>
            <w:shd w:val="clear" w:color="auto" w:fill="BFBFBF" w:themeFill="background1" w:themeFillShade="BF"/>
          </w:tcPr>
          <w:p w14:paraId="0C47E78C" w14:textId="77777777" w:rsidR="00A47B36" w:rsidRPr="004E79D7" w:rsidRDefault="00A47B36">
            <w:pPr>
              <w:spacing w:before="80" w:after="60" w:line="240" w:lineRule="auto"/>
              <w:jc w:val="center"/>
              <w:rPr>
                <w:bCs/>
                <w:color w:val="53565A"/>
                <w:lang w:eastAsia="en-AU"/>
              </w:rPr>
            </w:pPr>
            <w:r>
              <w:rPr>
                <w:bCs/>
                <w:color w:val="53565A"/>
              </w:rPr>
              <w:t>N</w:t>
            </w:r>
          </w:p>
        </w:tc>
        <w:tc>
          <w:tcPr>
            <w:tcW w:w="411" w:type="dxa"/>
            <w:shd w:val="clear" w:color="auto" w:fill="BFBFBF" w:themeFill="background1" w:themeFillShade="BF"/>
          </w:tcPr>
          <w:p w14:paraId="3D8A973D" w14:textId="77777777" w:rsidR="00A47B36" w:rsidRDefault="00A47B36">
            <w:pPr>
              <w:spacing w:before="80" w:after="60" w:line="240" w:lineRule="auto"/>
              <w:jc w:val="center"/>
              <w:rPr>
                <w:bCs/>
                <w:color w:val="53565A"/>
              </w:rPr>
            </w:pPr>
            <w:r>
              <w:rPr>
                <w:bCs/>
                <w:color w:val="53565A"/>
              </w:rPr>
              <w:t>N</w:t>
            </w:r>
          </w:p>
        </w:tc>
        <w:tc>
          <w:tcPr>
            <w:tcW w:w="411" w:type="dxa"/>
            <w:shd w:val="clear" w:color="auto" w:fill="BFBFBF" w:themeFill="background1" w:themeFillShade="BF"/>
          </w:tcPr>
          <w:p w14:paraId="08D8CD8A" w14:textId="77777777" w:rsidR="00A47B36" w:rsidRPr="004E79D7" w:rsidRDefault="00A47B36">
            <w:pPr>
              <w:spacing w:before="80" w:after="60" w:line="240" w:lineRule="auto"/>
              <w:jc w:val="center"/>
              <w:rPr>
                <w:bCs/>
                <w:color w:val="53565A"/>
                <w:lang w:eastAsia="en-AU"/>
              </w:rPr>
            </w:pPr>
            <w:r>
              <w:rPr>
                <w:bCs/>
                <w:color w:val="53565A"/>
              </w:rPr>
              <w:t>N</w:t>
            </w:r>
          </w:p>
        </w:tc>
        <w:tc>
          <w:tcPr>
            <w:tcW w:w="412" w:type="dxa"/>
            <w:shd w:val="clear" w:color="auto" w:fill="BFBFBF" w:themeFill="background1" w:themeFillShade="BF"/>
          </w:tcPr>
          <w:p w14:paraId="0051DA77" w14:textId="77777777" w:rsidR="00A47B36" w:rsidRDefault="00A47B36">
            <w:pPr>
              <w:spacing w:before="80" w:after="60" w:line="240" w:lineRule="auto"/>
              <w:jc w:val="center"/>
              <w:rPr>
                <w:bCs/>
                <w:color w:val="53565A"/>
              </w:rPr>
            </w:pPr>
            <w:r>
              <w:rPr>
                <w:bCs/>
                <w:color w:val="53565A"/>
              </w:rPr>
              <w:t>N</w:t>
            </w:r>
          </w:p>
        </w:tc>
        <w:tc>
          <w:tcPr>
            <w:tcW w:w="412" w:type="dxa"/>
            <w:shd w:val="clear" w:color="auto" w:fill="BFBFBF" w:themeFill="background1" w:themeFillShade="BF"/>
          </w:tcPr>
          <w:p w14:paraId="5F36A49A" w14:textId="77777777" w:rsidR="00A47B36" w:rsidRPr="004E79D7" w:rsidRDefault="00A47B36">
            <w:pPr>
              <w:spacing w:before="80" w:after="60" w:line="240" w:lineRule="auto"/>
              <w:jc w:val="center"/>
              <w:rPr>
                <w:bCs/>
                <w:color w:val="53565A"/>
                <w:lang w:eastAsia="en-AU"/>
              </w:rPr>
            </w:pPr>
            <w:r>
              <w:rPr>
                <w:bCs/>
                <w:color w:val="53565A"/>
              </w:rPr>
              <w:t>N</w:t>
            </w:r>
          </w:p>
        </w:tc>
        <w:tc>
          <w:tcPr>
            <w:tcW w:w="411" w:type="dxa"/>
            <w:shd w:val="clear" w:color="auto" w:fill="BFBFBF" w:themeFill="background1" w:themeFillShade="BF"/>
          </w:tcPr>
          <w:p w14:paraId="4E558994" w14:textId="77777777" w:rsidR="00A47B36" w:rsidRPr="004E79D7" w:rsidRDefault="00A47B36">
            <w:pPr>
              <w:spacing w:before="80" w:after="60" w:line="240" w:lineRule="auto"/>
              <w:jc w:val="center"/>
              <w:rPr>
                <w:bCs/>
                <w:color w:val="53565A"/>
                <w:lang w:eastAsia="en-AU"/>
              </w:rPr>
            </w:pPr>
            <w:r>
              <w:rPr>
                <w:bCs/>
                <w:color w:val="53565A"/>
              </w:rPr>
              <w:t>N</w:t>
            </w:r>
          </w:p>
        </w:tc>
        <w:tc>
          <w:tcPr>
            <w:tcW w:w="412" w:type="dxa"/>
            <w:shd w:val="clear" w:color="auto" w:fill="BFBFBF" w:themeFill="background1" w:themeFillShade="BF"/>
          </w:tcPr>
          <w:p w14:paraId="428BCEA1" w14:textId="77777777" w:rsidR="00A47B36" w:rsidRPr="004E79D7" w:rsidRDefault="00A47B36">
            <w:pPr>
              <w:spacing w:before="80" w:after="60" w:line="240" w:lineRule="auto"/>
              <w:jc w:val="center"/>
              <w:rPr>
                <w:bCs/>
                <w:color w:val="53565A"/>
              </w:rPr>
            </w:pPr>
            <w:r>
              <w:rPr>
                <w:bCs/>
                <w:color w:val="53565A"/>
              </w:rPr>
              <w:t>N</w:t>
            </w:r>
          </w:p>
        </w:tc>
        <w:tc>
          <w:tcPr>
            <w:tcW w:w="412" w:type="dxa"/>
            <w:gridSpan w:val="2"/>
          </w:tcPr>
          <w:p w14:paraId="0882C47E" w14:textId="77777777" w:rsidR="00A47B36" w:rsidRPr="004E79D7" w:rsidRDefault="00A47B36">
            <w:pPr>
              <w:spacing w:before="80" w:after="60" w:line="240" w:lineRule="auto"/>
              <w:jc w:val="center"/>
              <w:rPr>
                <w:bCs/>
                <w:color w:val="53565A"/>
              </w:rPr>
            </w:pPr>
            <w:r w:rsidRPr="000A5507">
              <w:rPr>
                <w:bCs/>
              </w:rPr>
              <w:t>Y</w:t>
            </w:r>
          </w:p>
        </w:tc>
        <w:tc>
          <w:tcPr>
            <w:tcW w:w="412" w:type="dxa"/>
            <w:gridSpan w:val="2"/>
            <w:shd w:val="clear" w:color="auto" w:fill="BFBFBF" w:themeFill="background1" w:themeFillShade="BF"/>
          </w:tcPr>
          <w:p w14:paraId="1BB8CCA0" w14:textId="77777777" w:rsidR="00A47B36" w:rsidRPr="004E79D7" w:rsidRDefault="00A47B36">
            <w:pPr>
              <w:spacing w:before="80" w:after="60" w:line="240" w:lineRule="auto"/>
              <w:jc w:val="center"/>
              <w:rPr>
                <w:bCs/>
                <w:color w:val="53565A"/>
                <w:lang w:eastAsia="en-AU"/>
              </w:rPr>
            </w:pPr>
            <w:r>
              <w:rPr>
                <w:bCs/>
                <w:color w:val="53565A"/>
              </w:rPr>
              <w:t>N</w:t>
            </w:r>
          </w:p>
        </w:tc>
        <w:tc>
          <w:tcPr>
            <w:tcW w:w="410" w:type="dxa"/>
            <w:gridSpan w:val="2"/>
            <w:shd w:val="clear" w:color="auto" w:fill="BFBFBF" w:themeFill="background1" w:themeFillShade="BF"/>
          </w:tcPr>
          <w:p w14:paraId="1B8EC81B" w14:textId="77777777" w:rsidR="00A47B36" w:rsidRPr="004E79D7" w:rsidRDefault="00A47B36">
            <w:pPr>
              <w:spacing w:before="80" w:after="60" w:line="240" w:lineRule="auto"/>
              <w:jc w:val="center"/>
              <w:rPr>
                <w:bCs/>
                <w:color w:val="53565A"/>
                <w:lang w:eastAsia="en-AU"/>
              </w:rPr>
            </w:pPr>
            <w:r>
              <w:rPr>
                <w:bCs/>
                <w:color w:val="53565A"/>
              </w:rPr>
              <w:t>N</w:t>
            </w:r>
          </w:p>
        </w:tc>
        <w:tc>
          <w:tcPr>
            <w:tcW w:w="421" w:type="dxa"/>
            <w:gridSpan w:val="2"/>
            <w:shd w:val="clear" w:color="auto" w:fill="BFBFBF" w:themeFill="background1" w:themeFillShade="BF"/>
          </w:tcPr>
          <w:p w14:paraId="4F9F6D34" w14:textId="77777777" w:rsidR="00A47B36" w:rsidRPr="004E79D7" w:rsidRDefault="00A47B36">
            <w:pPr>
              <w:spacing w:before="80" w:after="60" w:line="240" w:lineRule="auto"/>
              <w:jc w:val="center"/>
              <w:rPr>
                <w:bCs/>
                <w:color w:val="53565A"/>
                <w:lang w:eastAsia="en-AU"/>
              </w:rPr>
            </w:pPr>
            <w:r>
              <w:rPr>
                <w:bCs/>
                <w:color w:val="53565A"/>
              </w:rPr>
              <w:t>N</w:t>
            </w:r>
          </w:p>
        </w:tc>
        <w:tc>
          <w:tcPr>
            <w:tcW w:w="411" w:type="dxa"/>
            <w:shd w:val="clear" w:color="auto" w:fill="BFBFBF" w:themeFill="background1" w:themeFillShade="BF"/>
          </w:tcPr>
          <w:p w14:paraId="322D42FA" w14:textId="77777777" w:rsidR="00A47B36" w:rsidRPr="004E79D7" w:rsidRDefault="00A47B36">
            <w:pPr>
              <w:spacing w:before="80" w:after="60" w:line="240" w:lineRule="auto"/>
              <w:jc w:val="center"/>
              <w:rPr>
                <w:bCs/>
                <w:color w:val="53565A"/>
                <w:lang w:eastAsia="en-AU"/>
              </w:rPr>
            </w:pPr>
            <w:r>
              <w:rPr>
                <w:bCs/>
                <w:color w:val="53565A"/>
              </w:rPr>
              <w:t>N</w:t>
            </w:r>
          </w:p>
        </w:tc>
        <w:tc>
          <w:tcPr>
            <w:tcW w:w="409" w:type="dxa"/>
            <w:shd w:val="clear" w:color="auto" w:fill="BFBFBF" w:themeFill="background1" w:themeFillShade="BF"/>
          </w:tcPr>
          <w:p w14:paraId="0D6F378E" w14:textId="77777777" w:rsidR="00A47B36" w:rsidRPr="004E79D7" w:rsidRDefault="00A47B36">
            <w:pPr>
              <w:spacing w:before="80" w:after="60" w:line="240" w:lineRule="auto"/>
              <w:jc w:val="center"/>
              <w:rPr>
                <w:bCs/>
                <w:color w:val="53565A"/>
                <w:lang w:eastAsia="en-AU"/>
              </w:rPr>
            </w:pPr>
            <w:r>
              <w:rPr>
                <w:bCs/>
                <w:color w:val="53565A"/>
              </w:rPr>
              <w:t>N</w:t>
            </w:r>
          </w:p>
        </w:tc>
        <w:tc>
          <w:tcPr>
            <w:tcW w:w="439" w:type="dxa"/>
            <w:gridSpan w:val="2"/>
            <w:shd w:val="clear" w:color="auto" w:fill="BFBFBF" w:themeFill="background1" w:themeFillShade="BF"/>
          </w:tcPr>
          <w:p w14:paraId="7EB3080A" w14:textId="77777777" w:rsidR="00A47B36" w:rsidRPr="004E79D7" w:rsidRDefault="00A47B36">
            <w:pPr>
              <w:spacing w:before="80" w:after="60" w:line="240" w:lineRule="auto"/>
              <w:jc w:val="center"/>
              <w:rPr>
                <w:bCs/>
                <w:color w:val="53565A"/>
                <w:lang w:eastAsia="en-AU"/>
              </w:rPr>
            </w:pPr>
            <w:r>
              <w:rPr>
                <w:bCs/>
                <w:color w:val="53565A"/>
              </w:rPr>
              <w:t>N</w:t>
            </w:r>
          </w:p>
        </w:tc>
        <w:tc>
          <w:tcPr>
            <w:tcW w:w="439" w:type="dxa"/>
            <w:gridSpan w:val="2"/>
            <w:shd w:val="clear" w:color="auto" w:fill="BFBFBF" w:themeFill="background1" w:themeFillShade="BF"/>
          </w:tcPr>
          <w:p w14:paraId="35487672" w14:textId="77777777" w:rsidR="00A47B36" w:rsidRPr="004E79D7" w:rsidRDefault="00A47B36">
            <w:pPr>
              <w:spacing w:before="80" w:after="60" w:line="240" w:lineRule="auto"/>
              <w:jc w:val="center"/>
              <w:rPr>
                <w:bCs/>
                <w:color w:val="53565A"/>
                <w:lang w:eastAsia="en-AU"/>
              </w:rPr>
            </w:pPr>
            <w:r>
              <w:rPr>
                <w:bCs/>
                <w:color w:val="53565A"/>
              </w:rPr>
              <w:t>N</w:t>
            </w:r>
          </w:p>
        </w:tc>
        <w:tc>
          <w:tcPr>
            <w:tcW w:w="464" w:type="dxa"/>
            <w:shd w:val="clear" w:color="auto" w:fill="BFBFBF" w:themeFill="background1" w:themeFillShade="BF"/>
          </w:tcPr>
          <w:p w14:paraId="37F4D559" w14:textId="77777777" w:rsidR="00A47B36" w:rsidRPr="004E79D7" w:rsidRDefault="00A47B36">
            <w:pPr>
              <w:spacing w:before="80" w:after="60" w:line="240" w:lineRule="auto"/>
              <w:jc w:val="center"/>
              <w:rPr>
                <w:bCs/>
                <w:color w:val="53565A"/>
              </w:rPr>
            </w:pPr>
            <w:r>
              <w:rPr>
                <w:bCs/>
                <w:color w:val="53565A"/>
              </w:rPr>
              <w:t>N</w:t>
            </w:r>
          </w:p>
        </w:tc>
      </w:tr>
      <w:tr w:rsidR="00A47B36" w:rsidRPr="00B303BB" w14:paraId="7A3FE39D" w14:textId="77777777" w:rsidTr="00AA778F">
        <w:trPr>
          <w:cantSplit/>
          <w:trHeight w:val="66"/>
        </w:trPr>
        <w:tc>
          <w:tcPr>
            <w:tcW w:w="2112" w:type="dxa"/>
          </w:tcPr>
          <w:p w14:paraId="6EC65E19" w14:textId="77777777" w:rsidR="00A47B36" w:rsidRPr="001F648B" w:rsidRDefault="00A47B36">
            <w:pPr>
              <w:spacing w:before="80" w:after="60" w:line="240" w:lineRule="auto"/>
              <w:rPr>
                <w:b/>
                <w:bCs/>
              </w:rPr>
            </w:pPr>
            <w:r>
              <w:rPr>
                <w:b/>
                <w:bCs/>
              </w:rPr>
              <w:t>Administrative</w:t>
            </w:r>
          </w:p>
        </w:tc>
        <w:tc>
          <w:tcPr>
            <w:tcW w:w="7493" w:type="dxa"/>
            <w:gridSpan w:val="24"/>
            <w:shd w:val="clear" w:color="auto" w:fill="BFBFBF" w:themeFill="background1" w:themeFillShade="BF"/>
            <w:vAlign w:val="center"/>
          </w:tcPr>
          <w:p w14:paraId="4B14DBC5" w14:textId="77777777" w:rsidR="00A47B36" w:rsidRPr="00B303BB" w:rsidRDefault="00A47B36">
            <w:pPr>
              <w:spacing w:before="80" w:after="60" w:line="240" w:lineRule="auto"/>
              <w:jc w:val="center"/>
            </w:pPr>
            <w:r>
              <w:rPr>
                <w:bCs/>
                <w:color w:val="53565A"/>
              </w:rPr>
              <w:t>N</w:t>
            </w:r>
          </w:p>
        </w:tc>
      </w:tr>
    </w:tbl>
    <w:p w14:paraId="46A99AC2" w14:textId="77777777" w:rsidR="00A47B36" w:rsidRPr="00A47B36" w:rsidRDefault="00A47B36" w:rsidP="00A47B36">
      <w:pPr>
        <w:pStyle w:val="Body"/>
      </w:pPr>
    </w:p>
    <w:p w14:paraId="3D500DFA" w14:textId="77777777" w:rsidR="00A847D9" w:rsidRPr="00D4423F" w:rsidRDefault="00A847D9" w:rsidP="00A847D9">
      <w:pPr>
        <w:pStyle w:val="Heading3"/>
        <w:rPr>
          <w:rFonts w:asciiTheme="majorHAnsi" w:hAnsiTheme="majorHAnsi"/>
          <w:sz w:val="26"/>
        </w:rPr>
      </w:pPr>
      <w:r>
        <w:t>Section 9 - code set</w:t>
      </w:r>
    </w:p>
    <w:p w14:paraId="43350E15" w14:textId="77777777" w:rsidR="00A847D9" w:rsidRDefault="00A847D9" w:rsidP="00A847D9">
      <w:pPr>
        <w:pStyle w:val="Heading4"/>
      </w:pPr>
      <w:r>
        <w:t>Contact Campus Code</w:t>
      </w:r>
    </w:p>
    <w:tbl>
      <w:tblPr>
        <w:tblStyle w:val="TableGrid"/>
        <w:tblW w:w="5000" w:type="pct"/>
        <w:tblLook w:val="04A0" w:firstRow="1" w:lastRow="0" w:firstColumn="1" w:lastColumn="0" w:noHBand="0" w:noVBand="1"/>
      </w:tblPr>
      <w:tblGrid>
        <w:gridCol w:w="1638"/>
        <w:gridCol w:w="1207"/>
        <w:gridCol w:w="1095"/>
        <w:gridCol w:w="838"/>
        <w:gridCol w:w="2667"/>
        <w:gridCol w:w="1499"/>
        <w:gridCol w:w="1250"/>
      </w:tblGrid>
      <w:tr w:rsidR="00A847D9" w:rsidRPr="00892DCD" w14:paraId="62B665C8" w14:textId="77777777">
        <w:trPr>
          <w:trHeight w:val="545"/>
        </w:trPr>
        <w:tc>
          <w:tcPr>
            <w:tcW w:w="804" w:type="pct"/>
          </w:tcPr>
          <w:p w14:paraId="656A026F" w14:textId="77777777" w:rsidR="00A847D9" w:rsidRPr="00892DCD" w:rsidRDefault="00A847D9">
            <w:pPr>
              <w:pStyle w:val="DHHStabletext"/>
              <w:rPr>
                <w:b/>
                <w:bCs/>
                <w:color w:val="000000" w:themeColor="text1"/>
                <w:sz w:val="18"/>
                <w:szCs w:val="18"/>
              </w:rPr>
            </w:pPr>
            <w:r w:rsidRPr="00892DCD">
              <w:rPr>
                <w:b/>
                <w:bCs/>
                <w:color w:val="000000" w:themeColor="text1"/>
                <w:sz w:val="18"/>
                <w:szCs w:val="18"/>
              </w:rPr>
              <w:t>Data Element Name</w:t>
            </w:r>
          </w:p>
        </w:tc>
        <w:tc>
          <w:tcPr>
            <w:tcW w:w="592" w:type="pct"/>
          </w:tcPr>
          <w:p w14:paraId="2EEC4F1E" w14:textId="77777777" w:rsidR="00A847D9" w:rsidRPr="00892DCD" w:rsidRDefault="00A847D9">
            <w:pPr>
              <w:pStyle w:val="Tablecolhead"/>
              <w:rPr>
                <w:rFonts w:cs="Arial"/>
                <w:color w:val="000000" w:themeColor="text1"/>
                <w:sz w:val="18"/>
                <w:szCs w:val="18"/>
              </w:rPr>
            </w:pPr>
            <w:r w:rsidRPr="00892DCD">
              <w:rPr>
                <w:rFonts w:cs="Arial"/>
                <w:color w:val="000000" w:themeColor="text1"/>
                <w:sz w:val="18"/>
                <w:szCs w:val="18"/>
              </w:rPr>
              <w:t>Code Set Identifier</w:t>
            </w:r>
          </w:p>
        </w:tc>
        <w:tc>
          <w:tcPr>
            <w:tcW w:w="537" w:type="pct"/>
          </w:tcPr>
          <w:p w14:paraId="3AA3EFDD" w14:textId="77777777" w:rsidR="00A847D9" w:rsidRPr="00892DCD" w:rsidRDefault="00A847D9">
            <w:pPr>
              <w:pStyle w:val="Tablecolhead"/>
              <w:rPr>
                <w:rFonts w:cs="Arial"/>
                <w:color w:val="000000" w:themeColor="text1"/>
                <w:sz w:val="18"/>
                <w:szCs w:val="18"/>
              </w:rPr>
            </w:pPr>
            <w:r w:rsidRPr="00892DCD">
              <w:rPr>
                <w:rFonts w:cs="Arial"/>
                <w:color w:val="000000" w:themeColor="text1"/>
                <w:sz w:val="18"/>
                <w:szCs w:val="18"/>
              </w:rPr>
              <w:t>Code Set Type</w:t>
            </w:r>
          </w:p>
        </w:tc>
        <w:tc>
          <w:tcPr>
            <w:tcW w:w="411" w:type="pct"/>
          </w:tcPr>
          <w:p w14:paraId="3E35D371" w14:textId="77777777" w:rsidR="00A847D9" w:rsidRPr="00892DCD" w:rsidRDefault="00A847D9">
            <w:pPr>
              <w:pStyle w:val="Tablecolhead"/>
              <w:rPr>
                <w:rFonts w:cs="Arial"/>
                <w:color w:val="000000" w:themeColor="text1"/>
                <w:sz w:val="18"/>
                <w:szCs w:val="18"/>
              </w:rPr>
            </w:pPr>
            <w:r w:rsidRPr="00892DCD">
              <w:rPr>
                <w:rFonts w:cs="Arial"/>
                <w:color w:val="000000" w:themeColor="text1"/>
                <w:sz w:val="18"/>
                <w:szCs w:val="18"/>
              </w:rPr>
              <w:t>Code</w:t>
            </w:r>
          </w:p>
        </w:tc>
        <w:tc>
          <w:tcPr>
            <w:tcW w:w="1308" w:type="pct"/>
          </w:tcPr>
          <w:p w14:paraId="31FD6DF1" w14:textId="77777777" w:rsidR="00A847D9" w:rsidRPr="00892DCD" w:rsidRDefault="00A847D9">
            <w:pPr>
              <w:pStyle w:val="Tablecolhead"/>
              <w:rPr>
                <w:rFonts w:cs="Arial"/>
                <w:color w:val="000000" w:themeColor="text1"/>
                <w:sz w:val="18"/>
                <w:szCs w:val="18"/>
              </w:rPr>
            </w:pPr>
            <w:r w:rsidRPr="00892DCD">
              <w:rPr>
                <w:rFonts w:cs="Arial"/>
                <w:color w:val="000000" w:themeColor="text1"/>
                <w:sz w:val="18"/>
                <w:szCs w:val="18"/>
              </w:rPr>
              <w:t>Descriptor</w:t>
            </w:r>
          </w:p>
        </w:tc>
        <w:tc>
          <w:tcPr>
            <w:tcW w:w="735" w:type="pct"/>
          </w:tcPr>
          <w:p w14:paraId="626F92DC" w14:textId="77777777" w:rsidR="00A847D9" w:rsidRPr="00892DCD" w:rsidRDefault="00A847D9">
            <w:pPr>
              <w:pStyle w:val="Tablecolhead"/>
              <w:rPr>
                <w:rFonts w:cs="Arial"/>
                <w:color w:val="000000" w:themeColor="text1"/>
                <w:sz w:val="18"/>
                <w:szCs w:val="18"/>
                <w:lang w:eastAsia="en-AU"/>
              </w:rPr>
            </w:pPr>
            <w:r w:rsidRPr="00892DCD">
              <w:rPr>
                <w:rFonts w:cs="Arial"/>
                <w:color w:val="000000" w:themeColor="text1"/>
                <w:sz w:val="18"/>
                <w:szCs w:val="18"/>
              </w:rPr>
              <w:t>Reportable Requirements</w:t>
            </w:r>
          </w:p>
        </w:tc>
        <w:tc>
          <w:tcPr>
            <w:tcW w:w="613" w:type="pct"/>
          </w:tcPr>
          <w:p w14:paraId="6D61F9BB" w14:textId="77777777" w:rsidR="00A847D9" w:rsidRPr="00892DCD" w:rsidRDefault="00A847D9">
            <w:pPr>
              <w:pStyle w:val="Tablecolhead"/>
              <w:rPr>
                <w:rFonts w:cs="Arial"/>
                <w:color w:val="000000" w:themeColor="text1"/>
                <w:sz w:val="18"/>
                <w:szCs w:val="18"/>
              </w:rPr>
            </w:pPr>
            <w:r>
              <w:rPr>
                <w:rFonts w:cs="Arial"/>
                <w:color w:val="000000" w:themeColor="text1"/>
                <w:sz w:val="18"/>
                <w:szCs w:val="18"/>
              </w:rPr>
              <w:t>Change</w:t>
            </w:r>
          </w:p>
        </w:tc>
      </w:tr>
      <w:tr w:rsidR="00A847D9" w:rsidRPr="00892DCD" w14:paraId="7D9242F9" w14:textId="77777777">
        <w:trPr>
          <w:trHeight w:val="753"/>
        </w:trPr>
        <w:tc>
          <w:tcPr>
            <w:tcW w:w="804" w:type="pct"/>
          </w:tcPr>
          <w:p w14:paraId="0A6B8466" w14:textId="77777777" w:rsidR="00A847D9" w:rsidRPr="000A230B" w:rsidRDefault="00A847D9">
            <w:pPr>
              <w:pStyle w:val="DHHStabletext"/>
              <w:rPr>
                <w:color w:val="000000" w:themeColor="text1"/>
                <w:sz w:val="18"/>
                <w:szCs w:val="18"/>
              </w:rPr>
            </w:pPr>
            <w:r w:rsidRPr="000A230B">
              <w:rPr>
                <w:color w:val="000000" w:themeColor="text1"/>
                <w:sz w:val="18"/>
                <w:szCs w:val="18"/>
              </w:rPr>
              <w:t>Contact Campus Code</w:t>
            </w:r>
          </w:p>
        </w:tc>
        <w:tc>
          <w:tcPr>
            <w:tcW w:w="592" w:type="pct"/>
          </w:tcPr>
          <w:p w14:paraId="59C2EF41" w14:textId="77777777" w:rsidR="00A847D9" w:rsidRPr="000A230B" w:rsidRDefault="00A847D9">
            <w:pPr>
              <w:pStyle w:val="Tablecolhead"/>
              <w:rPr>
                <w:rFonts w:cs="Arial"/>
                <w:b w:val="0"/>
                <w:color w:val="000000" w:themeColor="text1"/>
                <w:sz w:val="18"/>
                <w:szCs w:val="18"/>
              </w:rPr>
            </w:pPr>
            <w:r w:rsidRPr="000A230B">
              <w:rPr>
                <w:rFonts w:cs="Arial"/>
                <w:b w:val="0"/>
                <w:color w:val="000000" w:themeColor="text1"/>
                <w:sz w:val="18"/>
                <w:szCs w:val="18"/>
              </w:rPr>
              <w:t>HL70115</w:t>
            </w:r>
          </w:p>
        </w:tc>
        <w:tc>
          <w:tcPr>
            <w:tcW w:w="537" w:type="pct"/>
          </w:tcPr>
          <w:p w14:paraId="26618547" w14:textId="77777777" w:rsidR="00A847D9" w:rsidRPr="000A230B" w:rsidRDefault="00A847D9">
            <w:pPr>
              <w:pStyle w:val="Tablecolhead"/>
              <w:rPr>
                <w:rFonts w:cs="Arial"/>
                <w:b w:val="0"/>
                <w:color w:val="000000" w:themeColor="text1"/>
                <w:sz w:val="18"/>
                <w:szCs w:val="18"/>
              </w:rPr>
            </w:pPr>
            <w:r w:rsidRPr="000A230B">
              <w:rPr>
                <w:rFonts w:cs="Arial"/>
                <w:b w:val="0"/>
                <w:color w:val="000000" w:themeColor="text1"/>
                <w:sz w:val="18"/>
                <w:szCs w:val="18"/>
              </w:rPr>
              <w:t>Code Set</w:t>
            </w:r>
          </w:p>
        </w:tc>
        <w:tc>
          <w:tcPr>
            <w:tcW w:w="411" w:type="pct"/>
          </w:tcPr>
          <w:p w14:paraId="0642C785" w14:textId="77777777" w:rsidR="00A847D9" w:rsidRPr="000A230B" w:rsidRDefault="00A847D9">
            <w:pPr>
              <w:pStyle w:val="Tablecolhead"/>
              <w:rPr>
                <w:rFonts w:cs="Arial"/>
                <w:b w:val="0"/>
                <w:color w:val="000000" w:themeColor="text1"/>
                <w:sz w:val="18"/>
                <w:szCs w:val="18"/>
              </w:rPr>
            </w:pPr>
            <w:r>
              <w:rPr>
                <w:rFonts w:cs="Arial"/>
                <w:b w:val="0"/>
                <w:color w:val="000000" w:themeColor="text1"/>
                <w:sz w:val="18"/>
                <w:szCs w:val="18"/>
              </w:rPr>
              <w:t>1451</w:t>
            </w:r>
          </w:p>
        </w:tc>
        <w:tc>
          <w:tcPr>
            <w:tcW w:w="1308" w:type="pct"/>
          </w:tcPr>
          <w:p w14:paraId="4AECDACF" w14:textId="77777777" w:rsidR="00A847D9" w:rsidRPr="000A230B" w:rsidRDefault="00A847D9">
            <w:pPr>
              <w:spacing w:before="80" w:after="60" w:line="240" w:lineRule="auto"/>
              <w:rPr>
                <w:b/>
                <w:strike/>
                <w:color w:val="000000" w:themeColor="text1"/>
                <w:sz w:val="18"/>
                <w:szCs w:val="18"/>
                <w:lang w:eastAsia="en-AU"/>
              </w:rPr>
            </w:pPr>
            <w:r>
              <w:rPr>
                <w:rFonts w:cs="Arial"/>
                <w:color w:val="000000" w:themeColor="text1"/>
                <w:sz w:val="18"/>
                <w:szCs w:val="18"/>
              </w:rPr>
              <w:t>St Vincents on the Park</w:t>
            </w:r>
          </w:p>
        </w:tc>
        <w:tc>
          <w:tcPr>
            <w:tcW w:w="735" w:type="pct"/>
          </w:tcPr>
          <w:p w14:paraId="7B931874" w14:textId="77777777" w:rsidR="00A847D9" w:rsidRPr="002A6A3A" w:rsidRDefault="00A847D9">
            <w:pPr>
              <w:pStyle w:val="Tablecolhead"/>
              <w:rPr>
                <w:b w:val="0"/>
                <w:bCs/>
                <w:color w:val="000000" w:themeColor="text1"/>
                <w:sz w:val="18"/>
                <w:szCs w:val="18"/>
                <w:lang w:eastAsia="en-AU"/>
              </w:rPr>
            </w:pPr>
            <w:r>
              <w:rPr>
                <w:b w:val="0"/>
                <w:bCs/>
                <w:color w:val="000000" w:themeColor="text1"/>
                <w:sz w:val="18"/>
                <w:szCs w:val="18"/>
                <w:lang w:eastAsia="en-AU"/>
              </w:rPr>
              <w:t>Reportable as of 14/05/2025</w:t>
            </w:r>
          </w:p>
        </w:tc>
        <w:tc>
          <w:tcPr>
            <w:tcW w:w="613" w:type="pct"/>
          </w:tcPr>
          <w:p w14:paraId="551E1180" w14:textId="77777777" w:rsidR="00A847D9" w:rsidRPr="00A527B1" w:rsidRDefault="00A847D9">
            <w:pPr>
              <w:pStyle w:val="Tablecolhead"/>
              <w:rPr>
                <w:rFonts w:cs="Arial"/>
                <w:b w:val="0"/>
                <w:bCs/>
                <w:color w:val="000000" w:themeColor="text1"/>
                <w:sz w:val="18"/>
                <w:szCs w:val="18"/>
              </w:rPr>
            </w:pPr>
            <w:r>
              <w:rPr>
                <w:rFonts w:cs="Arial"/>
                <w:b w:val="0"/>
                <w:bCs/>
                <w:color w:val="000000" w:themeColor="text1"/>
                <w:sz w:val="18"/>
                <w:szCs w:val="18"/>
              </w:rPr>
              <w:t>Update</w:t>
            </w:r>
          </w:p>
        </w:tc>
      </w:tr>
    </w:tbl>
    <w:p w14:paraId="6F2044BD" w14:textId="77777777" w:rsidR="00A847D9" w:rsidRDefault="00A847D9" w:rsidP="00A847D9">
      <w:pPr>
        <w:pStyle w:val="Heading4"/>
      </w:pPr>
      <w:r>
        <w:t>Contact Provider Code</w:t>
      </w:r>
    </w:p>
    <w:tbl>
      <w:tblPr>
        <w:tblStyle w:val="TableGrid"/>
        <w:tblW w:w="5000" w:type="pct"/>
        <w:tblLook w:val="04A0" w:firstRow="1" w:lastRow="0" w:firstColumn="1" w:lastColumn="0" w:noHBand="0" w:noVBand="1"/>
      </w:tblPr>
      <w:tblGrid>
        <w:gridCol w:w="1639"/>
        <w:gridCol w:w="1207"/>
        <w:gridCol w:w="1095"/>
        <w:gridCol w:w="838"/>
        <w:gridCol w:w="2667"/>
        <w:gridCol w:w="1480"/>
        <w:gridCol w:w="1268"/>
      </w:tblGrid>
      <w:tr w:rsidR="00A847D9" w:rsidRPr="00892DCD" w14:paraId="728326D5" w14:textId="77777777">
        <w:trPr>
          <w:trHeight w:val="488"/>
        </w:trPr>
        <w:tc>
          <w:tcPr>
            <w:tcW w:w="804" w:type="pct"/>
          </w:tcPr>
          <w:p w14:paraId="43F9F149" w14:textId="77777777" w:rsidR="00A847D9" w:rsidRPr="00892DCD" w:rsidRDefault="00A847D9">
            <w:pPr>
              <w:pStyle w:val="DHHStabletext"/>
              <w:rPr>
                <w:b/>
                <w:bCs/>
                <w:color w:val="000000" w:themeColor="text1"/>
                <w:sz w:val="18"/>
                <w:szCs w:val="18"/>
              </w:rPr>
            </w:pPr>
            <w:r w:rsidRPr="00892DCD">
              <w:rPr>
                <w:b/>
                <w:bCs/>
                <w:color w:val="000000" w:themeColor="text1"/>
                <w:sz w:val="18"/>
                <w:szCs w:val="18"/>
              </w:rPr>
              <w:t>Data Element Name</w:t>
            </w:r>
          </w:p>
        </w:tc>
        <w:tc>
          <w:tcPr>
            <w:tcW w:w="592" w:type="pct"/>
          </w:tcPr>
          <w:p w14:paraId="66AA4347" w14:textId="77777777" w:rsidR="00A847D9" w:rsidRPr="00892DCD" w:rsidRDefault="00A847D9">
            <w:pPr>
              <w:pStyle w:val="Tablecolhead"/>
              <w:rPr>
                <w:rFonts w:cs="Arial"/>
                <w:color w:val="000000" w:themeColor="text1"/>
                <w:sz w:val="18"/>
                <w:szCs w:val="18"/>
              </w:rPr>
            </w:pPr>
            <w:r w:rsidRPr="00892DCD">
              <w:rPr>
                <w:rFonts w:cs="Arial"/>
                <w:color w:val="000000" w:themeColor="text1"/>
                <w:sz w:val="18"/>
                <w:szCs w:val="18"/>
              </w:rPr>
              <w:t>Code Set Identifier</w:t>
            </w:r>
          </w:p>
        </w:tc>
        <w:tc>
          <w:tcPr>
            <w:tcW w:w="537" w:type="pct"/>
          </w:tcPr>
          <w:p w14:paraId="2CE3D8C1" w14:textId="77777777" w:rsidR="00A847D9" w:rsidRPr="00892DCD" w:rsidRDefault="00A847D9">
            <w:pPr>
              <w:pStyle w:val="Tablecolhead"/>
              <w:rPr>
                <w:rFonts w:cs="Arial"/>
                <w:color w:val="000000" w:themeColor="text1"/>
                <w:sz w:val="18"/>
                <w:szCs w:val="18"/>
              </w:rPr>
            </w:pPr>
            <w:r w:rsidRPr="00892DCD">
              <w:rPr>
                <w:rFonts w:cs="Arial"/>
                <w:color w:val="000000" w:themeColor="text1"/>
                <w:sz w:val="18"/>
                <w:szCs w:val="18"/>
              </w:rPr>
              <w:t>Code Set Type</w:t>
            </w:r>
          </w:p>
        </w:tc>
        <w:tc>
          <w:tcPr>
            <w:tcW w:w="411" w:type="pct"/>
          </w:tcPr>
          <w:p w14:paraId="3BFF3569" w14:textId="77777777" w:rsidR="00A847D9" w:rsidRPr="00892DCD" w:rsidRDefault="00A847D9">
            <w:pPr>
              <w:pStyle w:val="Tablecolhead"/>
              <w:rPr>
                <w:rFonts w:cs="Arial"/>
                <w:color w:val="000000" w:themeColor="text1"/>
                <w:sz w:val="18"/>
                <w:szCs w:val="18"/>
              </w:rPr>
            </w:pPr>
            <w:r w:rsidRPr="00892DCD">
              <w:rPr>
                <w:rFonts w:cs="Arial"/>
                <w:color w:val="000000" w:themeColor="text1"/>
                <w:sz w:val="18"/>
                <w:szCs w:val="18"/>
              </w:rPr>
              <w:t>Code</w:t>
            </w:r>
          </w:p>
        </w:tc>
        <w:tc>
          <w:tcPr>
            <w:tcW w:w="1308" w:type="pct"/>
          </w:tcPr>
          <w:p w14:paraId="48B0DA0E" w14:textId="77777777" w:rsidR="00A847D9" w:rsidRPr="00892DCD" w:rsidRDefault="00A847D9">
            <w:pPr>
              <w:pStyle w:val="Tablecolhead"/>
              <w:rPr>
                <w:rFonts w:cs="Arial"/>
                <w:color w:val="000000" w:themeColor="text1"/>
                <w:sz w:val="18"/>
                <w:szCs w:val="18"/>
              </w:rPr>
            </w:pPr>
            <w:r w:rsidRPr="00892DCD">
              <w:rPr>
                <w:rFonts w:cs="Arial"/>
                <w:color w:val="000000" w:themeColor="text1"/>
                <w:sz w:val="18"/>
                <w:szCs w:val="18"/>
              </w:rPr>
              <w:t>Descriptor</w:t>
            </w:r>
          </w:p>
        </w:tc>
        <w:tc>
          <w:tcPr>
            <w:tcW w:w="726" w:type="pct"/>
          </w:tcPr>
          <w:p w14:paraId="43AA2DEB" w14:textId="77777777" w:rsidR="00A847D9" w:rsidRPr="00892DCD" w:rsidRDefault="00A847D9">
            <w:pPr>
              <w:pStyle w:val="Tablecolhead"/>
              <w:rPr>
                <w:rFonts w:cs="Arial"/>
                <w:color w:val="000000" w:themeColor="text1"/>
                <w:sz w:val="18"/>
                <w:szCs w:val="18"/>
                <w:lang w:eastAsia="en-AU"/>
              </w:rPr>
            </w:pPr>
            <w:r w:rsidRPr="00892DCD">
              <w:rPr>
                <w:rFonts w:cs="Arial"/>
                <w:color w:val="000000" w:themeColor="text1"/>
                <w:sz w:val="18"/>
                <w:szCs w:val="18"/>
              </w:rPr>
              <w:t>Reportable Requirements</w:t>
            </w:r>
          </w:p>
        </w:tc>
        <w:tc>
          <w:tcPr>
            <w:tcW w:w="622" w:type="pct"/>
          </w:tcPr>
          <w:p w14:paraId="72B05A3F" w14:textId="77777777" w:rsidR="00A847D9" w:rsidRPr="00892DCD" w:rsidRDefault="00A847D9">
            <w:pPr>
              <w:pStyle w:val="Tablecolhead"/>
              <w:rPr>
                <w:rFonts w:cs="Arial"/>
                <w:color w:val="000000" w:themeColor="text1"/>
                <w:sz w:val="18"/>
                <w:szCs w:val="18"/>
              </w:rPr>
            </w:pPr>
            <w:r>
              <w:rPr>
                <w:rFonts w:cs="Arial"/>
                <w:color w:val="000000" w:themeColor="text1"/>
                <w:sz w:val="18"/>
                <w:szCs w:val="18"/>
              </w:rPr>
              <w:t>Change</w:t>
            </w:r>
          </w:p>
        </w:tc>
      </w:tr>
      <w:tr w:rsidR="00A847D9" w:rsidRPr="00892DCD" w14:paraId="1C678CDC" w14:textId="77777777">
        <w:trPr>
          <w:trHeight w:val="675"/>
        </w:trPr>
        <w:tc>
          <w:tcPr>
            <w:tcW w:w="804" w:type="pct"/>
          </w:tcPr>
          <w:p w14:paraId="2C75B4A3" w14:textId="77777777" w:rsidR="00A847D9" w:rsidRPr="008C10A0" w:rsidRDefault="00A847D9">
            <w:pPr>
              <w:pStyle w:val="DHHStabletext"/>
              <w:rPr>
                <w:color w:val="000000" w:themeColor="text1"/>
                <w:sz w:val="18"/>
                <w:szCs w:val="18"/>
              </w:rPr>
            </w:pPr>
            <w:r w:rsidRPr="008C10A0">
              <w:rPr>
                <w:color w:val="000000" w:themeColor="text1"/>
                <w:sz w:val="18"/>
                <w:szCs w:val="18"/>
              </w:rPr>
              <w:t>Contact Provider Code</w:t>
            </w:r>
          </w:p>
        </w:tc>
        <w:tc>
          <w:tcPr>
            <w:tcW w:w="592" w:type="pct"/>
          </w:tcPr>
          <w:p w14:paraId="3A9FA369" w14:textId="77777777" w:rsidR="00A847D9" w:rsidRPr="008C10A0" w:rsidRDefault="00A847D9">
            <w:pPr>
              <w:pStyle w:val="Tablecolhead"/>
              <w:rPr>
                <w:rFonts w:cs="Arial"/>
                <w:b w:val="0"/>
                <w:color w:val="000000" w:themeColor="text1"/>
                <w:sz w:val="18"/>
                <w:szCs w:val="18"/>
              </w:rPr>
            </w:pPr>
            <w:r>
              <w:rPr>
                <w:rFonts w:cs="Arial"/>
                <w:b w:val="0"/>
                <w:color w:val="000000" w:themeColor="text1"/>
                <w:sz w:val="18"/>
                <w:szCs w:val="18"/>
              </w:rPr>
              <w:t>990012</w:t>
            </w:r>
          </w:p>
        </w:tc>
        <w:tc>
          <w:tcPr>
            <w:tcW w:w="537" w:type="pct"/>
          </w:tcPr>
          <w:p w14:paraId="194CD6F4" w14:textId="77777777" w:rsidR="00A847D9" w:rsidRPr="008C10A0" w:rsidRDefault="00A847D9">
            <w:pPr>
              <w:pStyle w:val="Tablecolhead"/>
              <w:rPr>
                <w:rFonts w:cs="Arial"/>
                <w:b w:val="0"/>
                <w:color w:val="000000" w:themeColor="text1"/>
                <w:sz w:val="18"/>
                <w:szCs w:val="18"/>
              </w:rPr>
            </w:pPr>
            <w:r w:rsidRPr="008C10A0">
              <w:rPr>
                <w:rFonts w:cs="Arial"/>
                <w:b w:val="0"/>
                <w:color w:val="000000" w:themeColor="text1"/>
                <w:sz w:val="18"/>
                <w:szCs w:val="18"/>
              </w:rPr>
              <w:t xml:space="preserve">Code Set </w:t>
            </w:r>
          </w:p>
        </w:tc>
        <w:tc>
          <w:tcPr>
            <w:tcW w:w="411" w:type="pct"/>
          </w:tcPr>
          <w:p w14:paraId="33DF0005" w14:textId="77777777" w:rsidR="00A847D9" w:rsidRPr="00287878" w:rsidRDefault="00A847D9">
            <w:pPr>
              <w:pStyle w:val="Tablecolhead"/>
              <w:rPr>
                <w:rFonts w:cs="Arial"/>
                <w:b w:val="0"/>
                <w:color w:val="000000" w:themeColor="text1"/>
                <w:sz w:val="18"/>
                <w:szCs w:val="18"/>
              </w:rPr>
            </w:pPr>
            <w:r>
              <w:rPr>
                <w:rFonts w:cs="Arial"/>
                <w:b w:val="0"/>
                <w:color w:val="000000" w:themeColor="text1"/>
                <w:sz w:val="18"/>
                <w:szCs w:val="18"/>
              </w:rPr>
              <w:t>1451</w:t>
            </w:r>
          </w:p>
        </w:tc>
        <w:tc>
          <w:tcPr>
            <w:tcW w:w="1308" w:type="pct"/>
          </w:tcPr>
          <w:p w14:paraId="0D108E32" w14:textId="77777777" w:rsidR="00A847D9" w:rsidRPr="00287878" w:rsidRDefault="00A847D9">
            <w:pPr>
              <w:pStyle w:val="Tablecolhead"/>
              <w:rPr>
                <w:rFonts w:cs="Arial"/>
                <w:b w:val="0"/>
                <w:color w:val="000000" w:themeColor="text1"/>
                <w:sz w:val="18"/>
                <w:szCs w:val="18"/>
              </w:rPr>
            </w:pPr>
            <w:r>
              <w:rPr>
                <w:rFonts w:cs="Arial"/>
                <w:b w:val="0"/>
                <w:color w:val="000000" w:themeColor="text1"/>
                <w:sz w:val="18"/>
                <w:szCs w:val="18"/>
              </w:rPr>
              <w:t>St Vincents on the Park</w:t>
            </w:r>
          </w:p>
        </w:tc>
        <w:tc>
          <w:tcPr>
            <w:tcW w:w="726" w:type="pct"/>
          </w:tcPr>
          <w:p w14:paraId="4F2BC77D" w14:textId="77777777" w:rsidR="00A847D9" w:rsidRPr="00287878" w:rsidRDefault="00A847D9">
            <w:pPr>
              <w:pStyle w:val="Tablecolhead"/>
              <w:rPr>
                <w:rFonts w:cs="Arial"/>
                <w:b w:val="0"/>
                <w:color w:val="000000" w:themeColor="text1"/>
                <w:sz w:val="18"/>
                <w:szCs w:val="18"/>
              </w:rPr>
            </w:pPr>
            <w:r w:rsidRPr="00287878">
              <w:rPr>
                <w:b w:val="0"/>
                <w:color w:val="000000" w:themeColor="text1"/>
                <w:sz w:val="18"/>
                <w:szCs w:val="18"/>
                <w:lang w:eastAsia="en-AU"/>
              </w:rPr>
              <w:t xml:space="preserve">Reportable as of </w:t>
            </w:r>
            <w:r>
              <w:rPr>
                <w:b w:val="0"/>
                <w:color w:val="000000" w:themeColor="text1"/>
                <w:sz w:val="18"/>
                <w:szCs w:val="18"/>
                <w:lang w:eastAsia="en-AU"/>
              </w:rPr>
              <w:t>14/05/2025</w:t>
            </w:r>
          </w:p>
        </w:tc>
        <w:tc>
          <w:tcPr>
            <w:tcW w:w="622" w:type="pct"/>
          </w:tcPr>
          <w:p w14:paraId="5D90F082" w14:textId="77777777" w:rsidR="00A847D9" w:rsidRPr="008C10A0" w:rsidRDefault="00A847D9">
            <w:pPr>
              <w:pStyle w:val="Tablecolhead"/>
              <w:rPr>
                <w:rFonts w:cs="Arial"/>
                <w:b w:val="0"/>
                <w:color w:val="000000" w:themeColor="text1"/>
                <w:sz w:val="18"/>
                <w:szCs w:val="18"/>
              </w:rPr>
            </w:pPr>
            <w:r>
              <w:rPr>
                <w:rFonts w:cs="Arial"/>
                <w:b w:val="0"/>
                <w:color w:val="000000" w:themeColor="text1"/>
                <w:sz w:val="18"/>
                <w:szCs w:val="18"/>
              </w:rPr>
              <w:t>Update</w:t>
            </w:r>
          </w:p>
        </w:tc>
      </w:tr>
    </w:tbl>
    <w:p w14:paraId="4B93A166" w14:textId="77777777" w:rsidR="00A847D9" w:rsidRDefault="00A847D9" w:rsidP="00A847D9">
      <w:pPr>
        <w:pStyle w:val="Heading4"/>
      </w:pPr>
      <w:r>
        <w:t>Episode Campus Code</w:t>
      </w:r>
    </w:p>
    <w:tbl>
      <w:tblPr>
        <w:tblStyle w:val="TableGrid"/>
        <w:tblW w:w="5000" w:type="pct"/>
        <w:tblLook w:val="04A0" w:firstRow="1" w:lastRow="0" w:firstColumn="1" w:lastColumn="0" w:noHBand="0" w:noVBand="1"/>
      </w:tblPr>
      <w:tblGrid>
        <w:gridCol w:w="1639"/>
        <w:gridCol w:w="1207"/>
        <w:gridCol w:w="1095"/>
        <w:gridCol w:w="838"/>
        <w:gridCol w:w="2667"/>
        <w:gridCol w:w="1480"/>
        <w:gridCol w:w="1268"/>
      </w:tblGrid>
      <w:tr w:rsidR="00A847D9" w:rsidRPr="00892DCD" w14:paraId="690B17D3" w14:textId="77777777">
        <w:trPr>
          <w:trHeight w:val="587"/>
        </w:trPr>
        <w:tc>
          <w:tcPr>
            <w:tcW w:w="804" w:type="pct"/>
          </w:tcPr>
          <w:p w14:paraId="79A398D9" w14:textId="77777777" w:rsidR="00A847D9" w:rsidRPr="00892DCD" w:rsidRDefault="00A847D9">
            <w:pPr>
              <w:pStyle w:val="DHHStabletext"/>
              <w:rPr>
                <w:b/>
                <w:bCs/>
                <w:color w:val="000000" w:themeColor="text1"/>
                <w:sz w:val="18"/>
                <w:szCs w:val="18"/>
              </w:rPr>
            </w:pPr>
            <w:r w:rsidRPr="00892DCD">
              <w:rPr>
                <w:b/>
                <w:bCs/>
                <w:color w:val="000000" w:themeColor="text1"/>
                <w:sz w:val="18"/>
                <w:szCs w:val="18"/>
              </w:rPr>
              <w:t>Data Element Name</w:t>
            </w:r>
          </w:p>
        </w:tc>
        <w:tc>
          <w:tcPr>
            <w:tcW w:w="592" w:type="pct"/>
          </w:tcPr>
          <w:p w14:paraId="142BB206" w14:textId="77777777" w:rsidR="00A847D9" w:rsidRPr="00892DCD" w:rsidRDefault="00A847D9">
            <w:pPr>
              <w:pStyle w:val="Tablecolhead"/>
              <w:rPr>
                <w:rFonts w:cs="Arial"/>
                <w:color w:val="000000" w:themeColor="text1"/>
                <w:sz w:val="18"/>
                <w:szCs w:val="18"/>
              </w:rPr>
            </w:pPr>
            <w:r w:rsidRPr="00892DCD">
              <w:rPr>
                <w:rFonts w:cs="Arial"/>
                <w:color w:val="000000" w:themeColor="text1"/>
                <w:sz w:val="18"/>
                <w:szCs w:val="18"/>
              </w:rPr>
              <w:t>Code Set Identifier</w:t>
            </w:r>
          </w:p>
        </w:tc>
        <w:tc>
          <w:tcPr>
            <w:tcW w:w="537" w:type="pct"/>
          </w:tcPr>
          <w:p w14:paraId="6B5946F3" w14:textId="77777777" w:rsidR="00A847D9" w:rsidRPr="00892DCD" w:rsidRDefault="00A847D9">
            <w:pPr>
              <w:pStyle w:val="Tablecolhead"/>
              <w:rPr>
                <w:rFonts w:cs="Arial"/>
                <w:color w:val="000000" w:themeColor="text1"/>
                <w:sz w:val="18"/>
                <w:szCs w:val="18"/>
              </w:rPr>
            </w:pPr>
            <w:r w:rsidRPr="00892DCD">
              <w:rPr>
                <w:rFonts w:cs="Arial"/>
                <w:color w:val="000000" w:themeColor="text1"/>
                <w:sz w:val="18"/>
                <w:szCs w:val="18"/>
              </w:rPr>
              <w:t>Code Set Type</w:t>
            </w:r>
          </w:p>
        </w:tc>
        <w:tc>
          <w:tcPr>
            <w:tcW w:w="411" w:type="pct"/>
          </w:tcPr>
          <w:p w14:paraId="5B03D003" w14:textId="77777777" w:rsidR="00A847D9" w:rsidRPr="00892DCD" w:rsidRDefault="00A847D9">
            <w:pPr>
              <w:pStyle w:val="Tablecolhead"/>
              <w:rPr>
                <w:rFonts w:cs="Arial"/>
                <w:color w:val="000000" w:themeColor="text1"/>
                <w:sz w:val="18"/>
                <w:szCs w:val="18"/>
              </w:rPr>
            </w:pPr>
            <w:r w:rsidRPr="00892DCD">
              <w:rPr>
                <w:rFonts w:cs="Arial"/>
                <w:color w:val="000000" w:themeColor="text1"/>
                <w:sz w:val="18"/>
                <w:szCs w:val="18"/>
              </w:rPr>
              <w:t>Code</w:t>
            </w:r>
          </w:p>
        </w:tc>
        <w:tc>
          <w:tcPr>
            <w:tcW w:w="1308" w:type="pct"/>
          </w:tcPr>
          <w:p w14:paraId="3C4FE71F" w14:textId="77777777" w:rsidR="00A847D9" w:rsidRPr="00892DCD" w:rsidRDefault="00A847D9">
            <w:pPr>
              <w:pStyle w:val="Tablecolhead"/>
              <w:rPr>
                <w:rFonts w:cs="Arial"/>
                <w:color w:val="000000" w:themeColor="text1"/>
                <w:sz w:val="18"/>
                <w:szCs w:val="18"/>
              </w:rPr>
            </w:pPr>
            <w:r w:rsidRPr="00892DCD">
              <w:rPr>
                <w:rFonts w:cs="Arial"/>
                <w:color w:val="000000" w:themeColor="text1"/>
                <w:sz w:val="18"/>
                <w:szCs w:val="18"/>
              </w:rPr>
              <w:t>Descriptor</w:t>
            </w:r>
          </w:p>
        </w:tc>
        <w:tc>
          <w:tcPr>
            <w:tcW w:w="726" w:type="pct"/>
          </w:tcPr>
          <w:p w14:paraId="6062568B" w14:textId="77777777" w:rsidR="00A847D9" w:rsidRPr="00892DCD" w:rsidRDefault="00A847D9">
            <w:pPr>
              <w:pStyle w:val="Tablecolhead"/>
              <w:rPr>
                <w:rFonts w:cs="Arial"/>
                <w:color w:val="000000" w:themeColor="text1"/>
                <w:sz w:val="18"/>
                <w:szCs w:val="18"/>
                <w:lang w:eastAsia="en-AU"/>
              </w:rPr>
            </w:pPr>
            <w:r w:rsidRPr="00892DCD">
              <w:rPr>
                <w:rFonts w:cs="Arial"/>
                <w:color w:val="000000" w:themeColor="text1"/>
                <w:sz w:val="18"/>
                <w:szCs w:val="18"/>
              </w:rPr>
              <w:t>Reportable Requirements</w:t>
            </w:r>
          </w:p>
        </w:tc>
        <w:tc>
          <w:tcPr>
            <w:tcW w:w="622" w:type="pct"/>
          </w:tcPr>
          <w:p w14:paraId="379EFADF" w14:textId="77777777" w:rsidR="00A847D9" w:rsidRPr="00892DCD" w:rsidRDefault="00A847D9">
            <w:pPr>
              <w:pStyle w:val="Tablecolhead"/>
              <w:rPr>
                <w:rFonts w:cs="Arial"/>
                <w:color w:val="000000" w:themeColor="text1"/>
                <w:sz w:val="18"/>
                <w:szCs w:val="18"/>
              </w:rPr>
            </w:pPr>
            <w:r>
              <w:rPr>
                <w:rFonts w:cs="Arial"/>
                <w:color w:val="000000" w:themeColor="text1"/>
                <w:sz w:val="18"/>
                <w:szCs w:val="18"/>
              </w:rPr>
              <w:t>Change</w:t>
            </w:r>
          </w:p>
        </w:tc>
      </w:tr>
      <w:tr w:rsidR="00A847D9" w14:paraId="6DCDBEE5" w14:textId="77777777">
        <w:trPr>
          <w:trHeight w:val="811"/>
        </w:trPr>
        <w:tc>
          <w:tcPr>
            <w:tcW w:w="804" w:type="pct"/>
          </w:tcPr>
          <w:p w14:paraId="699DD92F" w14:textId="77777777" w:rsidR="00A847D9" w:rsidRPr="00D154CC" w:rsidRDefault="00A847D9">
            <w:pPr>
              <w:pStyle w:val="DHHStabletext"/>
              <w:rPr>
                <w:color w:val="000000" w:themeColor="text1"/>
                <w:sz w:val="18"/>
                <w:szCs w:val="18"/>
              </w:rPr>
            </w:pPr>
            <w:r w:rsidRPr="00D154CC">
              <w:rPr>
                <w:color w:val="000000" w:themeColor="text1"/>
                <w:sz w:val="18"/>
                <w:szCs w:val="18"/>
              </w:rPr>
              <w:t>Episode Campus Code</w:t>
            </w:r>
          </w:p>
        </w:tc>
        <w:tc>
          <w:tcPr>
            <w:tcW w:w="592" w:type="pct"/>
          </w:tcPr>
          <w:p w14:paraId="67A1D09D" w14:textId="77777777" w:rsidR="00A847D9" w:rsidRDefault="00A847D9">
            <w:pPr>
              <w:pStyle w:val="Tablecolhead"/>
              <w:rPr>
                <w:rFonts w:cs="Arial"/>
                <w:b w:val="0"/>
                <w:color w:val="000000" w:themeColor="text1"/>
                <w:sz w:val="18"/>
                <w:szCs w:val="18"/>
              </w:rPr>
            </w:pPr>
            <w:r>
              <w:rPr>
                <w:rFonts w:cs="Arial"/>
                <w:b w:val="0"/>
                <w:color w:val="000000" w:themeColor="text1"/>
                <w:sz w:val="18"/>
                <w:szCs w:val="18"/>
              </w:rPr>
              <w:t>HL70115</w:t>
            </w:r>
          </w:p>
        </w:tc>
        <w:tc>
          <w:tcPr>
            <w:tcW w:w="537" w:type="pct"/>
          </w:tcPr>
          <w:p w14:paraId="45CD107E" w14:textId="77777777" w:rsidR="00A847D9" w:rsidRPr="00D154CC" w:rsidRDefault="00A847D9">
            <w:pPr>
              <w:pStyle w:val="Tablecolhead"/>
              <w:rPr>
                <w:rFonts w:cs="Arial"/>
                <w:b w:val="0"/>
                <w:color w:val="000000" w:themeColor="text1"/>
                <w:sz w:val="18"/>
                <w:szCs w:val="18"/>
              </w:rPr>
            </w:pPr>
            <w:r w:rsidRPr="00D154CC">
              <w:rPr>
                <w:rFonts w:cs="Arial"/>
                <w:b w:val="0"/>
                <w:color w:val="000000" w:themeColor="text1"/>
                <w:sz w:val="18"/>
                <w:szCs w:val="18"/>
              </w:rPr>
              <w:t xml:space="preserve">Code Set </w:t>
            </w:r>
          </w:p>
        </w:tc>
        <w:tc>
          <w:tcPr>
            <w:tcW w:w="411" w:type="pct"/>
          </w:tcPr>
          <w:p w14:paraId="66FE9C78" w14:textId="77777777" w:rsidR="00A847D9" w:rsidRPr="00D154CC" w:rsidRDefault="00A847D9">
            <w:pPr>
              <w:pStyle w:val="Tablecolhead"/>
              <w:rPr>
                <w:rFonts w:cs="Arial"/>
                <w:b w:val="0"/>
                <w:color w:val="000000" w:themeColor="text1"/>
                <w:sz w:val="18"/>
                <w:szCs w:val="18"/>
              </w:rPr>
            </w:pPr>
            <w:r>
              <w:rPr>
                <w:rFonts w:cs="Arial"/>
                <w:b w:val="0"/>
                <w:color w:val="000000" w:themeColor="text1"/>
                <w:sz w:val="18"/>
                <w:szCs w:val="18"/>
              </w:rPr>
              <w:t>1451</w:t>
            </w:r>
          </w:p>
        </w:tc>
        <w:tc>
          <w:tcPr>
            <w:tcW w:w="1308" w:type="pct"/>
          </w:tcPr>
          <w:p w14:paraId="50C59A9C" w14:textId="77777777" w:rsidR="00A847D9" w:rsidRPr="00350BB5" w:rsidRDefault="00A847D9">
            <w:pPr>
              <w:spacing w:before="80" w:after="60" w:line="240" w:lineRule="auto"/>
              <w:rPr>
                <w:strike/>
                <w:color w:val="000000" w:themeColor="text1"/>
                <w:sz w:val="18"/>
                <w:szCs w:val="18"/>
                <w:lang w:eastAsia="en-AU"/>
              </w:rPr>
            </w:pPr>
            <w:r>
              <w:rPr>
                <w:rFonts w:cs="Arial"/>
                <w:color w:val="000000" w:themeColor="text1"/>
                <w:sz w:val="18"/>
                <w:szCs w:val="18"/>
              </w:rPr>
              <w:t>St Vincents on the Park</w:t>
            </w:r>
          </w:p>
        </w:tc>
        <w:tc>
          <w:tcPr>
            <w:tcW w:w="726" w:type="pct"/>
          </w:tcPr>
          <w:p w14:paraId="47C9258B" w14:textId="77777777" w:rsidR="00A847D9" w:rsidRDefault="00A847D9">
            <w:pPr>
              <w:pStyle w:val="Tablecolhead"/>
              <w:rPr>
                <w:b w:val="0"/>
                <w:color w:val="000000" w:themeColor="text1"/>
                <w:sz w:val="18"/>
                <w:szCs w:val="18"/>
                <w:lang w:eastAsia="en-AU"/>
              </w:rPr>
            </w:pPr>
            <w:r>
              <w:rPr>
                <w:b w:val="0"/>
                <w:bCs/>
                <w:color w:val="000000" w:themeColor="text1"/>
                <w:sz w:val="18"/>
                <w:szCs w:val="18"/>
                <w:lang w:eastAsia="en-AU"/>
              </w:rPr>
              <w:t>Reportable as of 14/05/2025</w:t>
            </w:r>
          </w:p>
        </w:tc>
        <w:tc>
          <w:tcPr>
            <w:tcW w:w="622" w:type="pct"/>
          </w:tcPr>
          <w:p w14:paraId="0AB21B4B" w14:textId="77777777" w:rsidR="00A847D9" w:rsidRPr="00D154CC" w:rsidRDefault="00A847D9">
            <w:pPr>
              <w:pStyle w:val="Tablecolhead"/>
              <w:rPr>
                <w:rFonts w:cs="Arial"/>
                <w:b w:val="0"/>
                <w:color w:val="000000" w:themeColor="text1"/>
                <w:sz w:val="18"/>
                <w:szCs w:val="18"/>
              </w:rPr>
            </w:pPr>
            <w:r>
              <w:rPr>
                <w:rFonts w:cs="Arial"/>
                <w:b w:val="0"/>
                <w:color w:val="000000" w:themeColor="text1"/>
                <w:sz w:val="18"/>
                <w:szCs w:val="18"/>
              </w:rPr>
              <w:t>Update</w:t>
            </w:r>
          </w:p>
        </w:tc>
      </w:tr>
    </w:tbl>
    <w:p w14:paraId="4FAE13A3" w14:textId="77777777" w:rsidR="00794904" w:rsidRDefault="00794904" w:rsidP="00794904">
      <w:pPr>
        <w:pStyle w:val="Body"/>
      </w:pPr>
    </w:p>
    <w:p w14:paraId="394A3849" w14:textId="528BC275" w:rsidR="00A073F5" w:rsidRDefault="00D27083" w:rsidP="007E1938">
      <w:pPr>
        <w:pStyle w:val="Heading2"/>
        <w:ind w:left="851"/>
      </w:pPr>
      <w:bookmarkStart w:id="27" w:name="_Ref198741387"/>
      <w:bookmarkStart w:id="28" w:name="_Toc199311747"/>
      <w:bookmarkStart w:id="29" w:name="_Toc199411198"/>
      <w:r>
        <w:t xml:space="preserve">Infusion Therapy </w:t>
      </w:r>
      <w:r w:rsidR="00180D7A">
        <w:t>-</w:t>
      </w:r>
      <w:r>
        <w:t xml:space="preserve"> SCIg program/stream</w:t>
      </w:r>
      <w:bookmarkEnd w:id="29"/>
    </w:p>
    <w:p w14:paraId="7E1278A3" w14:textId="792B7E1C" w:rsidR="00DE7576" w:rsidRDefault="00D27083" w:rsidP="007421BE">
      <w:pPr>
        <w:pStyle w:val="Body"/>
      </w:pPr>
      <w:r>
        <w:t xml:space="preserve">Sites are reminded that the </w:t>
      </w:r>
      <w:r w:rsidR="00D94946">
        <w:t xml:space="preserve">Infusion Therapy – SCIg program/stream is </w:t>
      </w:r>
      <w:r w:rsidR="00FA7D39" w:rsidRPr="007421BE">
        <w:t xml:space="preserve">related to where a patient self-administers in their home </w:t>
      </w:r>
      <w:r w:rsidR="00AC013D">
        <w:t>and is not part of the Specialist Clinics (Outpatients) program/stream</w:t>
      </w:r>
      <w:r w:rsidR="0039438D">
        <w:t xml:space="preserve">, therefore no clinics </w:t>
      </w:r>
      <w:r w:rsidR="001A0FE4">
        <w:t>are required to be registered in NACMS.</w:t>
      </w:r>
    </w:p>
    <w:p w14:paraId="0DD5BF7D" w14:textId="32868432" w:rsidR="007421BE" w:rsidRPr="007421BE" w:rsidRDefault="00A7028C" w:rsidP="007421BE">
      <w:pPr>
        <w:pStyle w:val="Body"/>
      </w:pPr>
      <w:r>
        <w:t xml:space="preserve">Where a patient self-administers their </w:t>
      </w:r>
      <w:r w:rsidR="007421BE" w:rsidRPr="007421BE">
        <w:t xml:space="preserve">SCIg </w:t>
      </w:r>
      <w:r w:rsidR="00A7136A">
        <w:t xml:space="preserve">at home this </w:t>
      </w:r>
      <w:r w:rsidR="007421BE" w:rsidRPr="007421BE">
        <w:t xml:space="preserve">is reported under </w:t>
      </w:r>
      <w:r w:rsidR="00D82B90">
        <w:t>the</w:t>
      </w:r>
      <w:r w:rsidR="007421BE" w:rsidRPr="007421BE">
        <w:t xml:space="preserve"> new program/stream </w:t>
      </w:r>
      <w:r w:rsidR="000712F2">
        <w:t>introduced in the 24/25 financial year:</w:t>
      </w:r>
      <w:r w:rsidR="007421BE" w:rsidRPr="007421BE">
        <w:t xml:space="preserve"> </w:t>
      </w:r>
    </w:p>
    <w:p w14:paraId="630E98C2" w14:textId="78F600BD" w:rsidR="00D27083" w:rsidRDefault="007421BE" w:rsidP="007421BE">
      <w:pPr>
        <w:pStyle w:val="Body"/>
      </w:pPr>
      <w:r w:rsidRPr="007421BE">
        <w:rPr>
          <w:noProof/>
        </w:rPr>
        <w:drawing>
          <wp:inline distT="0" distB="0" distL="0" distR="0" wp14:anchorId="203E3721" wp14:editId="4270B5AA">
            <wp:extent cx="3225800" cy="387350"/>
            <wp:effectExtent l="0" t="0" r="12700" b="12700"/>
            <wp:docPr id="10170815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3225800" cy="387350"/>
                    </a:xfrm>
                    <a:prstGeom prst="rect">
                      <a:avLst/>
                    </a:prstGeom>
                    <a:noFill/>
                    <a:ln>
                      <a:noFill/>
                    </a:ln>
                  </pic:spPr>
                </pic:pic>
              </a:graphicData>
            </a:graphic>
          </wp:inline>
        </w:drawing>
      </w:r>
    </w:p>
    <w:p w14:paraId="33C67735" w14:textId="57D070CF" w:rsidR="0019538F" w:rsidRDefault="0019538F" w:rsidP="0019538F">
      <w:pPr>
        <w:rPr>
          <w:rFonts w:ascii="Calibri" w:hAnsi="Calibri"/>
          <w:sz w:val="22"/>
        </w:rPr>
      </w:pPr>
      <w:r>
        <w:t xml:space="preserve">For more information on the SCIg program please refer to the </w:t>
      </w:r>
      <w:r>
        <w:rPr>
          <w:b/>
          <w:bCs/>
        </w:rPr>
        <w:t>Subcutaneous immunoglobulin (SCIg) infusion therapy – home delivered</w:t>
      </w:r>
      <w:r>
        <w:t xml:space="preserve"> document </w:t>
      </w:r>
      <w:r w:rsidR="00BB34A7">
        <w:t>available at</w:t>
      </w:r>
      <w:r>
        <w:t xml:space="preserve"> </w:t>
      </w:r>
      <w:hyperlink r:id="rId24" w:tgtFrame="_blank" w:history="1">
        <w:r>
          <w:rPr>
            <w:rStyle w:val="Hyperlink"/>
          </w:rPr>
          <w:t>https://www.health.vic.gov.au/patient-care/subcutaneous-immunoglobulin-scig-access-program</w:t>
        </w:r>
      </w:hyperlink>
      <w:r>
        <w:t>.</w:t>
      </w:r>
    </w:p>
    <w:p w14:paraId="2F36BCCC" w14:textId="5C3A07CD" w:rsidR="00CB016A" w:rsidRDefault="00F27B4D" w:rsidP="007E1938">
      <w:pPr>
        <w:pStyle w:val="Heading2"/>
        <w:ind w:left="851"/>
      </w:pPr>
      <w:bookmarkStart w:id="30" w:name="_Toc199411199"/>
      <w:r w:rsidRPr="00F27B4D">
        <w:lastRenderedPageBreak/>
        <w:t>Impact of changes when VINAH MDS</w:t>
      </w:r>
      <w:r w:rsidR="00591985">
        <w:t xml:space="preserve"> / NADC</w:t>
      </w:r>
      <w:r w:rsidRPr="00F27B4D">
        <w:t xml:space="preserve"> reporting sites cease completion of the AIMS S10, S11, S11A and S12 forms</w:t>
      </w:r>
      <w:bookmarkEnd w:id="27"/>
      <w:bookmarkEnd w:id="28"/>
      <w:bookmarkEnd w:id="30"/>
    </w:p>
    <w:p w14:paraId="5300A9AE" w14:textId="6C5A1117" w:rsidR="0047310E" w:rsidRDefault="005741BA" w:rsidP="00FC1303">
      <w:pPr>
        <w:pStyle w:val="Body"/>
      </w:pPr>
      <w:r>
        <w:t>E</w:t>
      </w:r>
      <w:r w:rsidR="00593DA6">
        <w:t>ffective for 2025-26 reporting</w:t>
      </w:r>
      <w:r>
        <w:t>,</w:t>
      </w:r>
      <w:r w:rsidR="00593DA6">
        <w:t xml:space="preserve"> </w:t>
      </w:r>
      <w:r>
        <w:t>h</w:t>
      </w:r>
      <w:r w:rsidR="0047310E" w:rsidRPr="001A304F">
        <w:t xml:space="preserve">ealth services submitting patient-level non-admitted data to the Victorian Integrated Non-Admitted Health (VINAH) Minimum Data Set and/or the Non-Admitted Data Collection (NADC) </w:t>
      </w:r>
      <w:r w:rsidR="0047310E">
        <w:t xml:space="preserve">will cease completing </w:t>
      </w:r>
      <w:r w:rsidR="0047310E" w:rsidRPr="001A304F">
        <w:t>AIMS forms S10, S11, S11A, and S12.</w:t>
      </w:r>
    </w:p>
    <w:p w14:paraId="5B7A678E" w14:textId="1BD34592" w:rsidR="0047310E" w:rsidRDefault="0047310E" w:rsidP="00FC1303">
      <w:pPr>
        <w:pStyle w:val="Body"/>
      </w:pPr>
      <w:r w:rsidRPr="001A304F">
        <w:t>This change aligns with national requirements to use patient-level data for calculating activity against the National Weighted Activity Unit (NWAU)</w:t>
      </w:r>
      <w:r w:rsidR="00A403A0">
        <w:t xml:space="preserve"> - s</w:t>
      </w:r>
      <w:r w:rsidR="00E233D3">
        <w:t>ee section 10 of the</w:t>
      </w:r>
      <w:r w:rsidR="00A403A0">
        <w:t xml:space="preserve"> </w:t>
      </w:r>
      <w:r w:rsidR="00E233D3">
        <w:t>2024-25</w:t>
      </w:r>
      <w:r w:rsidR="00A403A0">
        <w:t xml:space="preserve"> funding rules</w:t>
      </w:r>
      <w:r w:rsidR="00443916">
        <w:t xml:space="preserve"> in the</w:t>
      </w:r>
      <w:r>
        <w:t xml:space="preserve"> </w:t>
      </w:r>
      <w:hyperlink r:id="rId25" w:history="1">
        <w:r w:rsidR="002900CF" w:rsidRPr="000E3460">
          <w:rPr>
            <w:rStyle w:val="Hyperlink"/>
          </w:rPr>
          <w:t>Policy and Funding Guidelines</w:t>
        </w:r>
      </w:hyperlink>
      <w:r w:rsidR="002900CF">
        <w:t xml:space="preserve"> &lt;</w:t>
      </w:r>
      <w:r w:rsidR="002900CF" w:rsidRPr="00BE6ED9">
        <w:t>https://www.health.vic.gov.au/policy-and-funding-guidelines-for-health-services</w:t>
      </w:r>
      <w:r w:rsidR="002900CF">
        <w:t>&gt;</w:t>
      </w:r>
      <w:r w:rsidR="00443916">
        <w:t>.</w:t>
      </w:r>
    </w:p>
    <w:p w14:paraId="01E38948" w14:textId="77777777" w:rsidR="0047310E" w:rsidRDefault="0047310E" w:rsidP="0058382E">
      <w:pPr>
        <w:pStyle w:val="Heading3"/>
      </w:pPr>
      <w:r>
        <w:t>Key impacts:</w:t>
      </w:r>
    </w:p>
    <w:p w14:paraId="111648B4" w14:textId="6C937CD5" w:rsidR="0047310E" w:rsidRDefault="0047310E" w:rsidP="0047310E">
      <w:pPr>
        <w:pStyle w:val="Bullet1"/>
      </w:pPr>
      <w:r w:rsidRPr="12AE1910">
        <w:rPr>
          <w:b/>
          <w:bCs/>
        </w:rPr>
        <w:t>AIMS vs VINAH reports</w:t>
      </w:r>
      <w:r>
        <w:t>: These reports will not be available for 2025-26 as there will be no data to compare. Previous years will continue to be available</w:t>
      </w:r>
      <w:r w:rsidR="3B3622D5">
        <w:t>.</w:t>
      </w:r>
    </w:p>
    <w:p w14:paraId="1EEFE80D" w14:textId="54E593E2" w:rsidR="0047310E" w:rsidRDefault="0047310E" w:rsidP="0047310E">
      <w:pPr>
        <w:pStyle w:val="Bullet1"/>
      </w:pPr>
      <w:r w:rsidRPr="0028720E">
        <w:rPr>
          <w:b/>
          <w:bCs/>
        </w:rPr>
        <w:t>Data Reconciliation</w:t>
      </w:r>
      <w:r>
        <w:t xml:space="preserve">: Health services will need to reconcile </w:t>
      </w:r>
      <w:r w:rsidRPr="00C22429">
        <w:t xml:space="preserve">VINAH </w:t>
      </w:r>
      <w:r>
        <w:t xml:space="preserve">MDS and/or NADC </w:t>
      </w:r>
      <w:r w:rsidRPr="00C22429">
        <w:t>data</w:t>
      </w:r>
      <w:r>
        <w:t xml:space="preserve"> against</w:t>
      </w:r>
      <w:r w:rsidRPr="00C22429">
        <w:t xml:space="preserve"> internal system data</w:t>
      </w:r>
      <w:r>
        <w:t>. Reconciliation reports are available to download</w:t>
      </w:r>
      <w:r w:rsidR="00F125E2">
        <w:t>, i</w:t>
      </w:r>
      <w:r w:rsidR="006E0E45">
        <w:t>n different formats including excel,</w:t>
      </w:r>
      <w:r>
        <w:t xml:space="preserve"> via Health Collect that show reported VINAH activity that has been accepted into the VINAH database. </w:t>
      </w:r>
      <w:r w:rsidR="004277C9">
        <w:t xml:space="preserve">Hospitals </w:t>
      </w:r>
      <w:r>
        <w:t xml:space="preserve">can use this to verify </w:t>
      </w:r>
      <w:r w:rsidR="00CD41F5">
        <w:t>their</w:t>
      </w:r>
      <w:r>
        <w:t xml:space="preserve"> activity data</w:t>
      </w:r>
      <w:r w:rsidRPr="00C22429">
        <w:t>.</w:t>
      </w:r>
      <w:r>
        <w:t xml:space="preserve"> </w:t>
      </w:r>
    </w:p>
    <w:p w14:paraId="74A61037" w14:textId="28795848" w:rsidR="0047310E" w:rsidRDefault="0047310E" w:rsidP="0058382E">
      <w:pPr>
        <w:pStyle w:val="Heading3"/>
      </w:pPr>
      <w:r>
        <w:t xml:space="preserve">If </w:t>
      </w:r>
      <w:r w:rsidR="000850DE">
        <w:t>sites</w:t>
      </w:r>
      <w:r w:rsidRPr="00B751BE">
        <w:t xml:space="preserve"> cannot report</w:t>
      </w:r>
      <w:r>
        <w:t xml:space="preserve"> complete</w:t>
      </w:r>
      <w:r w:rsidRPr="00B751BE">
        <w:t xml:space="preserve"> patient level data by the due date</w:t>
      </w:r>
      <w:r>
        <w:t>:</w:t>
      </w:r>
    </w:p>
    <w:p w14:paraId="21C8F17D" w14:textId="5332AB66" w:rsidR="0047310E" w:rsidRDefault="002C1205" w:rsidP="002C1205">
      <w:pPr>
        <w:pStyle w:val="Bodyafterbullets"/>
        <w:numPr>
          <w:ilvl w:val="0"/>
          <w:numId w:val="43"/>
        </w:numPr>
      </w:pPr>
      <w:r>
        <w:t>S</w:t>
      </w:r>
      <w:r w:rsidR="008974FD">
        <w:t>ites</w:t>
      </w:r>
      <w:r w:rsidR="00BF03D8">
        <w:t xml:space="preserve"> </w:t>
      </w:r>
      <w:r w:rsidR="0047310E">
        <w:t xml:space="preserve">will </w:t>
      </w:r>
      <w:r>
        <w:t xml:space="preserve">be required </w:t>
      </w:r>
      <w:r w:rsidR="0047310E">
        <w:t xml:space="preserve">to complete </w:t>
      </w:r>
      <w:r w:rsidR="00802FB2">
        <w:t xml:space="preserve">a </w:t>
      </w:r>
      <w:r w:rsidR="0047310E">
        <w:t xml:space="preserve">VINAH </w:t>
      </w:r>
      <w:r w:rsidR="00802FB2">
        <w:t>MDS</w:t>
      </w:r>
      <w:r w:rsidR="0047310E">
        <w:t xml:space="preserve"> late data exemption form, available via HealthCollect</w:t>
      </w:r>
      <w:r>
        <w:t xml:space="preserve"> (in line with current procedure)</w:t>
      </w:r>
    </w:p>
    <w:p w14:paraId="309F5186" w14:textId="6954A0FF" w:rsidR="001C623D" w:rsidRDefault="002C1205" w:rsidP="002C1205">
      <w:pPr>
        <w:pStyle w:val="Bullet1"/>
        <w:numPr>
          <w:ilvl w:val="0"/>
          <w:numId w:val="43"/>
        </w:numPr>
      </w:pPr>
      <w:r>
        <w:t xml:space="preserve">Sites will be required to complete </w:t>
      </w:r>
      <w:r w:rsidR="001C623D">
        <w:t>an aggregate data form</w:t>
      </w:r>
      <w:r w:rsidR="00802FB2">
        <w:t xml:space="preserve">. This form </w:t>
      </w:r>
      <w:r w:rsidR="001F2A28">
        <w:t>is in development.</w:t>
      </w:r>
    </w:p>
    <w:p w14:paraId="3DCF059F" w14:textId="77777777" w:rsidR="00D842E5" w:rsidRDefault="00D842E5" w:rsidP="00D842E5">
      <w:pPr>
        <w:pStyle w:val="Bullet1"/>
        <w:numPr>
          <w:ilvl w:val="0"/>
          <w:numId w:val="0"/>
        </w:numPr>
        <w:ind w:left="284" w:hanging="284"/>
      </w:pPr>
    </w:p>
    <w:p w14:paraId="33506B72" w14:textId="1E8A619A" w:rsidR="00CB016A" w:rsidRPr="00794904" w:rsidRDefault="0047310E" w:rsidP="00D842E5">
      <w:pPr>
        <w:pStyle w:val="Bullet1"/>
        <w:numPr>
          <w:ilvl w:val="0"/>
          <w:numId w:val="0"/>
        </w:numPr>
      </w:pPr>
      <w:r>
        <w:t xml:space="preserve">The </w:t>
      </w:r>
      <w:r w:rsidR="005B3FEA">
        <w:t xml:space="preserve">aggregate data </w:t>
      </w:r>
      <w:r>
        <w:t xml:space="preserve">form will enable </w:t>
      </w:r>
      <w:r w:rsidR="00A7261F">
        <w:t xml:space="preserve">sites </w:t>
      </w:r>
      <w:r>
        <w:t>to report aggregate activity data</w:t>
      </w:r>
      <w:r w:rsidRPr="006869EC">
        <w:t xml:space="preserve"> for</w:t>
      </w:r>
      <w:r>
        <w:t xml:space="preserve"> </w:t>
      </w:r>
      <w:r w:rsidR="00225D2D">
        <w:t>each</w:t>
      </w:r>
      <w:r w:rsidRPr="006869EC">
        <w:t xml:space="preserve"> program </w:t>
      </w:r>
      <w:r>
        <w:t>where complete</w:t>
      </w:r>
      <w:r w:rsidR="00FC1303">
        <w:t xml:space="preserve"> </w:t>
      </w:r>
      <w:r>
        <w:t>patient-level data is not available.</w:t>
      </w:r>
      <w:r w:rsidR="00FC1303">
        <w:t xml:space="preserve"> </w:t>
      </w:r>
      <w:r>
        <w:t xml:space="preserve">A link to the </w:t>
      </w:r>
      <w:r w:rsidR="00A7261F">
        <w:t xml:space="preserve">new </w:t>
      </w:r>
      <w:r>
        <w:t>form will be made available via HealthCollect.</w:t>
      </w:r>
      <w:r w:rsidR="00D842E5">
        <w:t xml:space="preserve"> </w:t>
      </w:r>
      <w:r>
        <w:t>Further guidance will be provided in upcoming bulletins.</w:t>
      </w:r>
    </w:p>
    <w:p w14:paraId="7C181D17" w14:textId="77777777" w:rsidR="00577A2C" w:rsidRDefault="00577A2C">
      <w:pPr>
        <w:spacing w:after="0" w:line="240" w:lineRule="auto"/>
        <w:rPr>
          <w:rFonts w:eastAsia="MS Gothic" w:cs="Arial"/>
          <w:bCs/>
          <w:color w:val="53565A"/>
          <w:kern w:val="32"/>
          <w:sz w:val="40"/>
          <w:szCs w:val="40"/>
        </w:rPr>
      </w:pPr>
      <w:r>
        <w:rPr>
          <w:rFonts w:eastAsia="MS Gothic" w:cs="Arial"/>
          <w:bCs/>
          <w:color w:val="53565A"/>
          <w:kern w:val="32"/>
          <w:sz w:val="40"/>
          <w:szCs w:val="40"/>
        </w:rPr>
        <w:br w:type="page"/>
      </w:r>
    </w:p>
    <w:p w14:paraId="68C5FBC3" w14:textId="05B4972C" w:rsidR="00DD1E53" w:rsidRPr="009A244B" w:rsidRDefault="00DD1E53" w:rsidP="00DD1E53">
      <w:pPr>
        <w:keepNext/>
        <w:keepLines/>
        <w:spacing w:before="320" w:after="200" w:line="440" w:lineRule="atLeast"/>
        <w:outlineLvl w:val="0"/>
        <w:rPr>
          <w:rFonts w:eastAsia="MS Gothic" w:cs="Arial"/>
          <w:bCs/>
          <w:color w:val="53565A"/>
          <w:kern w:val="32"/>
          <w:sz w:val="40"/>
          <w:szCs w:val="40"/>
        </w:rPr>
      </w:pPr>
      <w:r w:rsidRPr="009A244B">
        <w:rPr>
          <w:rFonts w:eastAsia="MS Gothic" w:cs="Arial"/>
          <w:bCs/>
          <w:color w:val="53565A"/>
          <w:kern w:val="32"/>
          <w:sz w:val="40"/>
          <w:szCs w:val="40"/>
        </w:rPr>
        <w:lastRenderedPageBreak/>
        <w:t>Contacts</w:t>
      </w:r>
    </w:p>
    <w:p w14:paraId="0E5846ED" w14:textId="77777777" w:rsidR="00DD1E53" w:rsidRPr="009A244B" w:rsidRDefault="00DD1E53" w:rsidP="00DD1E53">
      <w:pPr>
        <w:pStyle w:val="Body"/>
      </w:pPr>
      <w:r w:rsidRPr="009A244B">
        <w:t>The Data Collections unit manages several Victorian health data collections including:</w:t>
      </w:r>
    </w:p>
    <w:p w14:paraId="6BA5B8D4" w14:textId="77777777" w:rsidR="00DD1E53" w:rsidRPr="009A244B" w:rsidRDefault="00DD1E53" w:rsidP="009A04F2">
      <w:pPr>
        <w:pStyle w:val="Bullet1"/>
        <w:numPr>
          <w:ilvl w:val="0"/>
          <w:numId w:val="9"/>
        </w:numPr>
      </w:pPr>
      <w:r w:rsidRPr="009A244B">
        <w:t>Victorian Admitted Episodes Dataset (VAED)</w:t>
      </w:r>
    </w:p>
    <w:p w14:paraId="4FB088D6" w14:textId="77777777" w:rsidR="00DD1E53" w:rsidRPr="009A244B" w:rsidRDefault="00DD1E53" w:rsidP="009A04F2">
      <w:pPr>
        <w:pStyle w:val="Bullet1"/>
        <w:numPr>
          <w:ilvl w:val="0"/>
          <w:numId w:val="9"/>
        </w:numPr>
      </w:pPr>
      <w:r w:rsidRPr="009A244B">
        <w:t>Victorian Emergency Minimum Dataset (VEMD)</w:t>
      </w:r>
    </w:p>
    <w:p w14:paraId="427E6244" w14:textId="77777777" w:rsidR="00DD1E53" w:rsidRPr="009A244B" w:rsidRDefault="00DD1E53" w:rsidP="009A04F2">
      <w:pPr>
        <w:pStyle w:val="Bullet1"/>
        <w:numPr>
          <w:ilvl w:val="0"/>
          <w:numId w:val="9"/>
        </w:numPr>
      </w:pPr>
      <w:r w:rsidRPr="009A244B">
        <w:t>Elective Surgery Information System (ESIS)</w:t>
      </w:r>
    </w:p>
    <w:p w14:paraId="058CB375" w14:textId="77777777" w:rsidR="00DD1E53" w:rsidRPr="009A244B" w:rsidRDefault="00DD1E53" w:rsidP="009A04F2">
      <w:pPr>
        <w:pStyle w:val="Bullet1"/>
        <w:numPr>
          <w:ilvl w:val="0"/>
          <w:numId w:val="9"/>
        </w:numPr>
      </w:pPr>
      <w:r w:rsidRPr="009A244B">
        <w:t>Agency Information Management System (AIMS)</w:t>
      </w:r>
    </w:p>
    <w:p w14:paraId="01CD4070" w14:textId="77777777" w:rsidR="00DD1E53" w:rsidRPr="009A244B" w:rsidRDefault="00DD1E53" w:rsidP="009A04F2">
      <w:pPr>
        <w:pStyle w:val="Bullet1"/>
        <w:numPr>
          <w:ilvl w:val="0"/>
          <w:numId w:val="9"/>
        </w:numPr>
      </w:pPr>
      <w:r w:rsidRPr="009A244B">
        <w:t>Victorian Integrated Non-Admitted Health Minimum Dataset (VINAH)</w:t>
      </w:r>
    </w:p>
    <w:p w14:paraId="3A2DAD41" w14:textId="77777777" w:rsidR="00DD1E53" w:rsidRPr="00BE194B" w:rsidRDefault="00DD1E53" w:rsidP="00DD1E53">
      <w:pPr>
        <w:pStyle w:val="Bodyafterbullets"/>
      </w:pPr>
      <w:r w:rsidRPr="00BE194B">
        <w:t>The HDSS Bulletin is produced at intervals to provide:</w:t>
      </w:r>
    </w:p>
    <w:p w14:paraId="055C62AC" w14:textId="77777777" w:rsidR="00DD1E53" w:rsidRPr="009A244B" w:rsidRDefault="00DD1E53" w:rsidP="009A04F2">
      <w:pPr>
        <w:pStyle w:val="Bullet1"/>
        <w:numPr>
          <w:ilvl w:val="0"/>
          <w:numId w:val="10"/>
        </w:numPr>
      </w:pPr>
      <w:r w:rsidRPr="009A244B">
        <w:t>answers to common questions recently directed to the HDSS help desk</w:t>
      </w:r>
    </w:p>
    <w:p w14:paraId="4442129D" w14:textId="77777777" w:rsidR="00DD1E53" w:rsidRPr="009A244B" w:rsidRDefault="00DD1E53" w:rsidP="009A04F2">
      <w:pPr>
        <w:pStyle w:val="Bullet1"/>
        <w:numPr>
          <w:ilvl w:val="0"/>
          <w:numId w:val="10"/>
        </w:numPr>
      </w:pPr>
      <w:r w:rsidRPr="009A244B">
        <w:t>communication regarding the implementation of revisions to data collection specifications, including notification of amendments to specified data collection reference tables</w:t>
      </w:r>
    </w:p>
    <w:p w14:paraId="35D0D85E" w14:textId="77777777" w:rsidR="00DD1E53" w:rsidRPr="009A244B" w:rsidRDefault="00DD1E53" w:rsidP="009A04F2">
      <w:pPr>
        <w:pStyle w:val="Bullet1"/>
        <w:numPr>
          <w:ilvl w:val="0"/>
          <w:numId w:val="10"/>
        </w:numPr>
      </w:pPr>
      <w:r w:rsidRPr="009A244B">
        <w:t>feedback on selected data quality studies undertaken</w:t>
      </w:r>
    </w:p>
    <w:p w14:paraId="280964FE" w14:textId="77777777" w:rsidR="00DD1E53" w:rsidRPr="009A244B" w:rsidRDefault="00DD1E53" w:rsidP="009A04F2">
      <w:pPr>
        <w:pStyle w:val="Bullet1"/>
        <w:numPr>
          <w:ilvl w:val="0"/>
          <w:numId w:val="10"/>
        </w:numPr>
      </w:pPr>
      <w:r w:rsidRPr="009A244B">
        <w:t>information on upcoming events</w:t>
      </w:r>
    </w:p>
    <w:p w14:paraId="0B742BC2" w14:textId="77777777" w:rsidR="00DD1E53" w:rsidRPr="00BE194B" w:rsidRDefault="00DD1E53" w:rsidP="00DD1E53">
      <w:pPr>
        <w:pStyle w:val="Bodyafterbullets"/>
        <w:rPr>
          <w:rStyle w:val="Strong"/>
        </w:rPr>
      </w:pPr>
      <w:r w:rsidRPr="00BE194B">
        <w:rPr>
          <w:rStyle w:val="Strong"/>
        </w:rPr>
        <w:t>Website</w:t>
      </w:r>
    </w:p>
    <w:p w14:paraId="02BF6FE5" w14:textId="77777777" w:rsidR="00DD1E53" w:rsidRPr="009A244B" w:rsidRDefault="00DD1E53" w:rsidP="00DD1E53">
      <w:pPr>
        <w:rPr>
          <w:rFonts w:eastAsia="Times"/>
        </w:rPr>
      </w:pPr>
      <w:hyperlink r:id="rId26" w:history="1">
        <w:r w:rsidRPr="009A244B">
          <w:rPr>
            <w:rFonts w:eastAsia="Times"/>
            <w:color w:val="004C97"/>
            <w:u w:val="dotted"/>
          </w:rPr>
          <w:t>HDSS website</w:t>
        </w:r>
      </w:hyperlink>
      <w:r w:rsidRPr="009A244B">
        <w:rPr>
          <w:rFonts w:eastAsia="Times"/>
        </w:rPr>
        <w:t xml:space="preserve">  &lt;</w:t>
      </w:r>
      <w:r w:rsidRPr="004E12AE">
        <w:rPr>
          <w:rFonts w:eastAsia="Times"/>
        </w:rPr>
        <w:t>https://www.health.vic.gov.au/data-reporting/health-data-standards-and-systems</w:t>
      </w:r>
      <w:r w:rsidRPr="009A244B">
        <w:rPr>
          <w:rFonts w:eastAsia="Times"/>
        </w:rPr>
        <w:t>&gt;</w:t>
      </w:r>
    </w:p>
    <w:p w14:paraId="0534636F" w14:textId="77777777" w:rsidR="00DD1E53" w:rsidRPr="009A244B" w:rsidRDefault="00DD1E53" w:rsidP="00DD1E53">
      <w:pPr>
        <w:rPr>
          <w:rFonts w:eastAsia="Times"/>
          <w:b/>
          <w:bCs/>
        </w:rPr>
      </w:pPr>
      <w:r w:rsidRPr="009A244B">
        <w:rPr>
          <w:rFonts w:eastAsia="Times"/>
          <w:b/>
          <w:bCs/>
        </w:rPr>
        <w:t xml:space="preserve">HDSS help desk </w:t>
      </w:r>
    </w:p>
    <w:p w14:paraId="45D7587E" w14:textId="51267710" w:rsidR="00DD1E53" w:rsidRPr="009A244B" w:rsidRDefault="00DD1E53" w:rsidP="00DD1E53">
      <w:pPr>
        <w:rPr>
          <w:rFonts w:eastAsia="Times"/>
        </w:rPr>
      </w:pPr>
      <w:r w:rsidRPr="009A244B">
        <w:rPr>
          <w:rFonts w:eastAsia="Times"/>
        </w:rPr>
        <w:t>Enquiries regarding data collections and requests for standard reconciliation reports</w:t>
      </w:r>
      <w:r w:rsidR="001E580C">
        <w:rPr>
          <w:rFonts w:eastAsia="Times"/>
        </w:rPr>
        <w:t xml:space="preserve"> email</w:t>
      </w:r>
    </w:p>
    <w:p w14:paraId="716AA8F6" w14:textId="730D3F74" w:rsidR="00DD1E53" w:rsidRPr="009A244B" w:rsidRDefault="001E580C" w:rsidP="00DD1E53">
      <w:pPr>
        <w:rPr>
          <w:rFonts w:eastAsia="Times"/>
        </w:rPr>
      </w:pPr>
      <w:hyperlink r:id="rId27" w:history="1">
        <w:r>
          <w:rPr>
            <w:rFonts w:eastAsia="Times"/>
            <w:color w:val="004C97"/>
            <w:u w:val="dotted"/>
          </w:rPr>
          <w:t>HDSS help desk</w:t>
        </w:r>
      </w:hyperlink>
      <w:r w:rsidR="00DD1E53" w:rsidRPr="009A244B">
        <w:rPr>
          <w:rFonts w:eastAsia="Times"/>
        </w:rPr>
        <w:t xml:space="preserve"> &lt;HDSS.helpdesk@health.vic.gov.au&gt;</w:t>
      </w:r>
    </w:p>
    <w:p w14:paraId="23E0D610" w14:textId="77777777" w:rsidR="00DD1E53" w:rsidRPr="009A244B" w:rsidRDefault="00DD1E53" w:rsidP="00DD1E53">
      <w:pPr>
        <w:rPr>
          <w:rFonts w:eastAsia="Times"/>
          <w:b/>
          <w:bCs/>
        </w:rPr>
      </w:pPr>
      <w:r w:rsidRPr="009A244B">
        <w:rPr>
          <w:rFonts w:eastAsia="Times"/>
          <w:b/>
          <w:bCs/>
        </w:rPr>
        <w:t>Other Victorian health data requests</w:t>
      </w:r>
    </w:p>
    <w:p w14:paraId="0380DE7C" w14:textId="77777777" w:rsidR="00DD1E53" w:rsidRPr="009A244B" w:rsidRDefault="00DD1E53" w:rsidP="00DD1E53">
      <w:pPr>
        <w:rPr>
          <w:rFonts w:eastAsia="Times"/>
        </w:rPr>
      </w:pPr>
      <w:hyperlink r:id="rId28" w:history="1">
        <w:r w:rsidRPr="009A244B">
          <w:rPr>
            <w:rFonts w:eastAsia="Times"/>
            <w:color w:val="004C97"/>
            <w:u w:val="dotted"/>
          </w:rPr>
          <w:t>VAHI Data Request Hub</w:t>
        </w:r>
      </w:hyperlink>
      <w:r w:rsidRPr="009A244B">
        <w:rPr>
          <w:rFonts w:eastAsia="Times"/>
        </w:rPr>
        <w:t xml:space="preserve"> &lt; https://vahi.freshdesk.com/support/home&gt;</w:t>
      </w:r>
    </w:p>
    <w:p w14:paraId="351B4E90" w14:textId="77777777" w:rsidR="00DD1E53" w:rsidRPr="009A244B" w:rsidRDefault="00DD1E53" w:rsidP="00DD1E53">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DD1E53" w:rsidRPr="009A244B" w14:paraId="51121838" w14:textId="77777777">
        <w:tc>
          <w:tcPr>
            <w:tcW w:w="10194" w:type="dxa"/>
          </w:tcPr>
          <w:p w14:paraId="73A1CBA4" w14:textId="32E62B3C" w:rsidR="00DD1E53" w:rsidRPr="009A244B" w:rsidRDefault="00DD1E53">
            <w:pPr>
              <w:spacing w:after="200" w:line="300" w:lineRule="atLeast"/>
              <w:rPr>
                <w:rFonts w:eastAsia="Times"/>
                <w:sz w:val="24"/>
                <w:szCs w:val="19"/>
              </w:rPr>
            </w:pPr>
            <w:r w:rsidRPr="009A244B">
              <w:rPr>
                <w:rFonts w:eastAsia="Times"/>
                <w:sz w:val="24"/>
                <w:szCs w:val="19"/>
              </w:rPr>
              <w:t>To receive this publication in another format</w:t>
            </w:r>
            <w:r w:rsidR="0037792C">
              <w:rPr>
                <w:rFonts w:eastAsia="Times"/>
                <w:sz w:val="24"/>
                <w:szCs w:val="19"/>
              </w:rPr>
              <w:t xml:space="preserve"> email</w:t>
            </w:r>
            <w:r w:rsidRPr="009A244B">
              <w:rPr>
                <w:rFonts w:eastAsia="Times"/>
                <w:sz w:val="24"/>
                <w:szCs w:val="19"/>
              </w:rPr>
              <w:t xml:space="preserve"> </w:t>
            </w:r>
            <w:hyperlink r:id="rId29">
              <w:r w:rsidR="0037792C">
                <w:rPr>
                  <w:rFonts w:eastAsia="Times"/>
                  <w:color w:val="004C97"/>
                  <w:sz w:val="24"/>
                  <w:szCs w:val="19"/>
                  <w:u w:val="dotted"/>
                </w:rPr>
                <w:t>HDSS help desk</w:t>
              </w:r>
            </w:hyperlink>
            <w:r w:rsidRPr="009A244B">
              <w:rPr>
                <w:rFonts w:eastAsia="Times"/>
                <w:sz w:val="24"/>
                <w:szCs w:val="19"/>
              </w:rPr>
              <w:t xml:space="preserve"> &lt;HDSS.helpdesk@health.vic.gov.au&gt;.</w:t>
            </w:r>
          </w:p>
          <w:p w14:paraId="210E50E9" w14:textId="77777777" w:rsidR="00DD1E53" w:rsidRPr="009A244B" w:rsidRDefault="00DD1E53">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D42B7B6" w14:textId="3775232D" w:rsidR="00DD1E53" w:rsidRPr="009A244B" w:rsidRDefault="00DD1E53">
            <w:pPr>
              <w:spacing w:after="60" w:line="270" w:lineRule="atLeast"/>
              <w:rPr>
                <w:rFonts w:eastAsia="Times"/>
                <w:color w:val="000000" w:themeColor="text1"/>
                <w:sz w:val="20"/>
              </w:rPr>
            </w:pPr>
            <w:r w:rsidRPr="1C6F1198">
              <w:rPr>
                <w:rFonts w:eastAsia="Times"/>
                <w:color w:val="000000" w:themeColor="text1"/>
                <w:sz w:val="20"/>
              </w:rPr>
              <w:t xml:space="preserve">© State of Victoria, Australia, Department </w:t>
            </w:r>
            <w:r w:rsidRPr="000B06F1">
              <w:rPr>
                <w:rFonts w:eastAsia="Times"/>
                <w:color w:val="000000" w:themeColor="text1"/>
                <w:sz w:val="20"/>
              </w:rPr>
              <w:t xml:space="preserve">of Health, </w:t>
            </w:r>
            <w:r w:rsidR="000B06F1" w:rsidRPr="000B06F1">
              <w:rPr>
                <w:rFonts w:eastAsia="Times"/>
                <w:color w:val="000000" w:themeColor="text1"/>
                <w:sz w:val="20"/>
              </w:rPr>
              <w:t>29</w:t>
            </w:r>
            <w:r w:rsidRPr="000B06F1">
              <w:rPr>
                <w:rFonts w:eastAsia="Times"/>
                <w:color w:val="000000" w:themeColor="text1"/>
                <w:sz w:val="20"/>
              </w:rPr>
              <w:t xml:space="preserve"> </w:t>
            </w:r>
            <w:r w:rsidR="007B04BC" w:rsidRPr="000B06F1">
              <w:rPr>
                <w:rFonts w:eastAsia="Times"/>
                <w:color w:val="000000" w:themeColor="text1"/>
                <w:sz w:val="20"/>
              </w:rPr>
              <w:t>May 2025</w:t>
            </w:r>
            <w:r w:rsidRPr="000B06F1">
              <w:rPr>
                <w:rFonts w:eastAsia="Times"/>
                <w:color w:val="000000" w:themeColor="text1"/>
                <w:sz w:val="20"/>
              </w:rPr>
              <w:t>.</w:t>
            </w:r>
          </w:p>
          <w:p w14:paraId="438E9C61" w14:textId="77777777" w:rsidR="00DD1E53" w:rsidRPr="009A244B" w:rsidRDefault="00DD1E53">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30"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Pr="003151C2">
              <w:rPr>
                <w:rFonts w:eastAsia="Times"/>
                <w:color w:val="000000" w:themeColor="text1"/>
                <w:sz w:val="20"/>
                <w:szCs w:val="19"/>
              </w:rPr>
              <w:t>https://www.health.vic.gov.au/data-reporting/communications</w:t>
            </w:r>
            <w:r w:rsidRPr="009A244B">
              <w:rPr>
                <w:rFonts w:eastAsia="Times"/>
                <w:color w:val="000000" w:themeColor="text1"/>
                <w:sz w:val="20"/>
                <w:szCs w:val="19"/>
              </w:rPr>
              <w:t>&gt;</w:t>
            </w:r>
          </w:p>
        </w:tc>
      </w:tr>
    </w:tbl>
    <w:p w14:paraId="3E37F429" w14:textId="77777777" w:rsidR="00DD1E53" w:rsidRPr="009A244B" w:rsidRDefault="00DD1E53" w:rsidP="00DD1E53">
      <w:pPr>
        <w:rPr>
          <w:rFonts w:eastAsia="Times"/>
        </w:rPr>
      </w:pPr>
    </w:p>
    <w:p w14:paraId="10D40F53" w14:textId="77777777" w:rsidR="00DD1E53" w:rsidRDefault="00DD1E53" w:rsidP="00162CA9">
      <w:pPr>
        <w:pStyle w:val="Body"/>
      </w:pPr>
    </w:p>
    <w:sectPr w:rsidR="00DD1E53"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B5FD7" w14:textId="77777777" w:rsidR="0049736F" w:rsidRDefault="0049736F">
      <w:r>
        <w:separator/>
      </w:r>
    </w:p>
  </w:endnote>
  <w:endnote w:type="continuationSeparator" w:id="0">
    <w:p w14:paraId="5FB50F54" w14:textId="77777777" w:rsidR="0049736F" w:rsidRDefault="0049736F">
      <w:r>
        <w:continuationSeparator/>
      </w:r>
    </w:p>
  </w:endnote>
  <w:endnote w:type="continuationNotice" w:id="1">
    <w:p w14:paraId="3D677DE5" w14:textId="77777777" w:rsidR="0049736F" w:rsidRDefault="00497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EA0A" w14:textId="6D184F9A" w:rsidR="00E261B3" w:rsidRPr="00F65AA9" w:rsidRDefault="000C21CA" w:rsidP="00F84FA0">
    <w:pPr>
      <w:pStyle w:val="Footer"/>
    </w:pPr>
    <w:r>
      <w:rPr>
        <w:noProof/>
        <w:lang w:eastAsia="en-AU"/>
      </w:rPr>
      <mc:AlternateContent>
        <mc:Choice Requires="wps">
          <w:drawing>
            <wp:anchor distT="0" distB="0" distL="114300" distR="114300" simplePos="0" relativeHeight="251658240" behindDoc="0" locked="0" layoutInCell="0" allowOverlap="1" wp14:anchorId="5A846309" wp14:editId="58B2A7D4">
              <wp:simplePos x="0" y="0"/>
              <wp:positionH relativeFrom="page">
                <wp:posOffset>0</wp:posOffset>
              </wp:positionH>
              <wp:positionV relativeFrom="page">
                <wp:posOffset>10011410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84630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788.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2"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C9B3"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4503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E548" w14:textId="77777777" w:rsidR="0049736F" w:rsidRDefault="0049736F" w:rsidP="002862F1">
      <w:pPr>
        <w:spacing w:before="120"/>
      </w:pPr>
      <w:r>
        <w:separator/>
      </w:r>
    </w:p>
  </w:footnote>
  <w:footnote w:type="continuationSeparator" w:id="0">
    <w:p w14:paraId="72F09316" w14:textId="77777777" w:rsidR="0049736F" w:rsidRDefault="0049736F">
      <w:r>
        <w:continuationSeparator/>
      </w:r>
    </w:p>
  </w:footnote>
  <w:footnote w:type="continuationNotice" w:id="1">
    <w:p w14:paraId="63EEB41E" w14:textId="77777777" w:rsidR="0049736F" w:rsidRDefault="004973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F60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8BC9" w14:textId="1275F02F" w:rsidR="00E261B3" w:rsidRPr="0051568D" w:rsidRDefault="00FC7FB6" w:rsidP="0011701A">
    <w:pPr>
      <w:pStyle w:val="Header"/>
    </w:pPr>
    <w:r>
      <w:rPr>
        <w:noProof/>
      </w:rPr>
      <w:drawing>
        <wp:anchor distT="0" distB="0" distL="114300" distR="114300" simplePos="0" relativeHeight="251658243"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DD1E53">
      <w:t xml:space="preserve">HDSS Bulletin Issue </w:t>
    </w:r>
    <w:r w:rsidR="00261E05">
      <w:t>284</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5F5"/>
    <w:multiLevelType w:val="multilevel"/>
    <w:tmpl w:val="A0E6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A50056"/>
    <w:multiLevelType w:val="multilevel"/>
    <w:tmpl w:val="4A1477D0"/>
    <w:numStyleLink w:val="ZZNumbersloweralpha"/>
  </w:abstractNum>
  <w:abstractNum w:abstractNumId="2" w15:restartNumberingAfterBreak="0">
    <w:nsid w:val="03BE418A"/>
    <w:multiLevelType w:val="hybridMultilevel"/>
    <w:tmpl w:val="2D102D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1D06E7FE"/>
    <w:numStyleLink w:val="ZZNumbersdigit"/>
  </w:abstractNum>
  <w:abstractNum w:abstractNumId="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34A2E6E"/>
    <w:multiLevelType w:val="hybridMultilevel"/>
    <w:tmpl w:val="28D4C0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273350"/>
    <w:multiLevelType w:val="multilevel"/>
    <w:tmpl w:val="650C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576C01"/>
    <w:multiLevelType w:val="hybridMultilevel"/>
    <w:tmpl w:val="B8DA1E00"/>
    <w:lvl w:ilvl="0" w:tplc="83084AD8">
      <w:start w:val="1"/>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E2C2B1A"/>
    <w:multiLevelType w:val="hybridMultilevel"/>
    <w:tmpl w:val="DCD453D6"/>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7125F90"/>
    <w:multiLevelType w:val="multilevel"/>
    <w:tmpl w:val="CD5E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6B74F1"/>
    <w:multiLevelType w:val="multilevel"/>
    <w:tmpl w:val="FF60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43EC73E0"/>
    <w:multiLevelType w:val="hybridMultilevel"/>
    <w:tmpl w:val="3F3C6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9F54AF"/>
    <w:multiLevelType w:val="multilevel"/>
    <w:tmpl w:val="EE6A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D82911"/>
    <w:multiLevelType w:val="multilevel"/>
    <w:tmpl w:val="6A1C2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71159B"/>
    <w:multiLevelType w:val="hybridMultilevel"/>
    <w:tmpl w:val="0CD81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BF7AF1"/>
    <w:multiLevelType w:val="hybridMultilevel"/>
    <w:tmpl w:val="AFD8883E"/>
    <w:lvl w:ilvl="0" w:tplc="139A6536">
      <w:start w:val="1"/>
      <w:numFmt w:val="decimal"/>
      <w:pStyle w:val="Heading2"/>
      <w:lvlText w:val="284.%1"/>
      <w:lvlJc w:val="center"/>
      <w:pPr>
        <w:ind w:left="786" w:hanging="360"/>
      </w:pPr>
    </w:lvl>
    <w:lvl w:ilvl="1" w:tplc="FFFFFFFF">
      <w:start w:val="1"/>
      <w:numFmt w:val="lowerLetter"/>
      <w:lvlText w:val="%2."/>
      <w:lvlJc w:val="left"/>
      <w:pPr>
        <w:ind w:left="-4655" w:hanging="360"/>
      </w:pPr>
    </w:lvl>
    <w:lvl w:ilvl="2" w:tplc="FFFFFFFF">
      <w:start w:val="1"/>
      <w:numFmt w:val="lowerRoman"/>
      <w:lvlText w:val="%3."/>
      <w:lvlJc w:val="right"/>
      <w:pPr>
        <w:ind w:left="-3935" w:hanging="180"/>
      </w:pPr>
    </w:lvl>
    <w:lvl w:ilvl="3" w:tplc="FFFFFFFF" w:tentative="1">
      <w:start w:val="1"/>
      <w:numFmt w:val="decimal"/>
      <w:lvlText w:val="%4."/>
      <w:lvlJc w:val="left"/>
      <w:pPr>
        <w:ind w:left="-3215" w:hanging="360"/>
      </w:pPr>
    </w:lvl>
    <w:lvl w:ilvl="4" w:tplc="FFFFFFFF" w:tentative="1">
      <w:start w:val="1"/>
      <w:numFmt w:val="lowerLetter"/>
      <w:lvlText w:val="%5."/>
      <w:lvlJc w:val="left"/>
      <w:pPr>
        <w:ind w:left="-2495" w:hanging="360"/>
      </w:pPr>
    </w:lvl>
    <w:lvl w:ilvl="5" w:tplc="FFFFFFFF" w:tentative="1">
      <w:start w:val="1"/>
      <w:numFmt w:val="lowerRoman"/>
      <w:lvlText w:val="%6."/>
      <w:lvlJc w:val="right"/>
      <w:pPr>
        <w:ind w:left="-1775" w:hanging="180"/>
      </w:pPr>
    </w:lvl>
    <w:lvl w:ilvl="6" w:tplc="FFFFFFFF" w:tentative="1">
      <w:start w:val="1"/>
      <w:numFmt w:val="decimal"/>
      <w:lvlText w:val="%7."/>
      <w:lvlJc w:val="left"/>
      <w:pPr>
        <w:ind w:left="-1055" w:hanging="360"/>
      </w:pPr>
    </w:lvl>
    <w:lvl w:ilvl="7" w:tplc="FFFFFFFF" w:tentative="1">
      <w:start w:val="1"/>
      <w:numFmt w:val="lowerLetter"/>
      <w:lvlText w:val="%8."/>
      <w:lvlJc w:val="left"/>
      <w:pPr>
        <w:ind w:left="-335" w:hanging="360"/>
      </w:pPr>
    </w:lvl>
    <w:lvl w:ilvl="8" w:tplc="FFFFFFFF" w:tentative="1">
      <w:start w:val="1"/>
      <w:numFmt w:val="lowerRoman"/>
      <w:lvlText w:val="%9."/>
      <w:lvlJc w:val="right"/>
      <w:pPr>
        <w:ind w:left="385" w:hanging="180"/>
      </w:pPr>
    </w:lvl>
  </w:abstractNum>
  <w:abstractNum w:abstractNumId="20" w15:restartNumberingAfterBreak="0">
    <w:nsid w:val="541611C2"/>
    <w:multiLevelType w:val="multilevel"/>
    <w:tmpl w:val="1672949A"/>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5BF4FB2"/>
    <w:multiLevelType w:val="multilevel"/>
    <w:tmpl w:val="3F10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337A67"/>
    <w:multiLevelType w:val="multilevel"/>
    <w:tmpl w:val="3D20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7A045B"/>
    <w:multiLevelType w:val="multilevel"/>
    <w:tmpl w:val="AC82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421CC2"/>
    <w:multiLevelType w:val="hybridMultilevel"/>
    <w:tmpl w:val="DF1CF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7295621"/>
    <w:multiLevelType w:val="hybridMultilevel"/>
    <w:tmpl w:val="CA6C34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A964071"/>
    <w:multiLevelType w:val="hybridMultilevel"/>
    <w:tmpl w:val="D1FEB40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D25869"/>
    <w:multiLevelType w:val="multilevel"/>
    <w:tmpl w:val="FC80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E94FD6"/>
    <w:multiLevelType w:val="hybridMultilevel"/>
    <w:tmpl w:val="21309D7C"/>
    <w:lvl w:ilvl="0" w:tplc="2E76AA0A">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0960EE"/>
    <w:multiLevelType w:val="hybridMultilevel"/>
    <w:tmpl w:val="ABF2F06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F6C1779"/>
    <w:multiLevelType w:val="multilevel"/>
    <w:tmpl w:val="5280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3198005">
    <w:abstractNumId w:val="12"/>
  </w:num>
  <w:num w:numId="2" w16cid:durableId="144712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1506278">
    <w:abstractNumId w:val="21"/>
  </w:num>
  <w:num w:numId="4" w16cid:durableId="199825629">
    <w:abstractNumId w:val="20"/>
  </w:num>
  <w:num w:numId="5" w16cid:durableId="1539463268">
    <w:abstractNumId w:val="26"/>
  </w:num>
  <w:num w:numId="6" w16cid:durableId="623194406">
    <w:abstractNumId w:val="13"/>
  </w:num>
  <w:num w:numId="7" w16cid:durableId="533735249">
    <w:abstractNumId w:val="4"/>
  </w:num>
  <w:num w:numId="8" w16cid:durableId="1902401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8351835">
    <w:abstractNumId w:val="16"/>
  </w:num>
  <w:num w:numId="10" w16cid:durableId="101845700">
    <w:abstractNumId w:val="8"/>
  </w:num>
  <w:num w:numId="11" w16cid:durableId="1076853248">
    <w:abstractNumId w:val="19"/>
  </w:num>
  <w:num w:numId="12" w16cid:durableId="2108499824">
    <w:abstractNumId w:val="19"/>
    <w:lvlOverride w:ilvl="0">
      <w:startOverride w:val="1"/>
    </w:lvlOverride>
  </w:num>
  <w:num w:numId="13" w16cid:durableId="1687973356">
    <w:abstractNumId w:val="19"/>
    <w:lvlOverride w:ilvl="0">
      <w:startOverride w:val="1"/>
    </w:lvlOverride>
  </w:num>
  <w:num w:numId="14" w16cid:durableId="1183325579">
    <w:abstractNumId w:val="19"/>
    <w:lvlOverride w:ilvl="0">
      <w:startOverride w:val="1"/>
    </w:lvlOverride>
  </w:num>
  <w:num w:numId="15" w16cid:durableId="286088401">
    <w:abstractNumId w:val="19"/>
    <w:lvlOverride w:ilvl="0">
      <w:startOverride w:val="1"/>
    </w:lvlOverride>
  </w:num>
  <w:num w:numId="16" w16cid:durableId="231700771">
    <w:abstractNumId w:val="19"/>
    <w:lvlOverride w:ilvl="0">
      <w:startOverride w:val="1"/>
    </w:lvlOverride>
  </w:num>
  <w:num w:numId="17" w16cid:durableId="2133404513">
    <w:abstractNumId w:val="19"/>
  </w:num>
  <w:num w:numId="18" w16cid:durableId="2027634551">
    <w:abstractNumId w:val="19"/>
    <w:lvlOverride w:ilvl="0">
      <w:startOverride w:val="1"/>
    </w:lvlOverride>
  </w:num>
  <w:num w:numId="19" w16cid:durableId="228276035">
    <w:abstractNumId w:val="7"/>
  </w:num>
  <w:num w:numId="20" w16cid:durableId="1312324846">
    <w:abstractNumId w:val="5"/>
  </w:num>
  <w:num w:numId="21" w16cid:durableId="1236208081">
    <w:abstractNumId w:val="31"/>
  </w:num>
  <w:num w:numId="22" w16cid:durableId="11715252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4231959">
    <w:abstractNumId w:val="2"/>
  </w:num>
  <w:num w:numId="24" w16cid:durableId="2000110762">
    <w:abstractNumId w:val="30"/>
  </w:num>
  <w:num w:numId="25" w16cid:durableId="55007109">
    <w:abstractNumId w:val="19"/>
    <w:lvlOverride w:ilvl="0">
      <w:startOverride w:val="1"/>
    </w:lvlOverride>
  </w:num>
  <w:num w:numId="26" w16cid:durableId="492726559">
    <w:abstractNumId w:val="17"/>
  </w:num>
  <w:num w:numId="27" w16cid:durableId="1651902345">
    <w:abstractNumId w:val="18"/>
  </w:num>
  <w:num w:numId="28" w16cid:durableId="1228146503">
    <w:abstractNumId w:val="25"/>
  </w:num>
  <w:num w:numId="29" w16cid:durableId="722679687">
    <w:abstractNumId w:val="27"/>
  </w:num>
  <w:num w:numId="30" w16cid:durableId="1554777031">
    <w:abstractNumId w:val="11"/>
  </w:num>
  <w:num w:numId="31" w16cid:durableId="337661384">
    <w:abstractNumId w:val="6"/>
  </w:num>
  <w:num w:numId="32" w16cid:durableId="1409577474">
    <w:abstractNumId w:val="19"/>
    <w:lvlOverride w:ilvl="0">
      <w:startOverride w:val="1"/>
    </w:lvlOverride>
  </w:num>
  <w:num w:numId="33" w16cid:durableId="926688580">
    <w:abstractNumId w:val="19"/>
    <w:lvlOverride w:ilvl="0">
      <w:startOverride w:val="1"/>
    </w:lvlOverride>
  </w:num>
  <w:num w:numId="34" w16cid:durableId="1918323465">
    <w:abstractNumId w:val="19"/>
  </w:num>
  <w:num w:numId="35" w16cid:durableId="966937757">
    <w:abstractNumId w:val="29"/>
  </w:num>
  <w:num w:numId="36" w16cid:durableId="907761846">
    <w:abstractNumId w:val="23"/>
  </w:num>
  <w:num w:numId="37" w16cid:durableId="1200699418">
    <w:abstractNumId w:val="10"/>
  </w:num>
  <w:num w:numId="38" w16cid:durableId="606278164">
    <w:abstractNumId w:val="22"/>
  </w:num>
  <w:num w:numId="39" w16cid:durableId="1803158941">
    <w:abstractNumId w:val="0"/>
  </w:num>
  <w:num w:numId="40" w16cid:durableId="667366190">
    <w:abstractNumId w:val="32"/>
  </w:num>
  <w:num w:numId="41" w16cid:durableId="1736587305">
    <w:abstractNumId w:val="15"/>
  </w:num>
  <w:num w:numId="42" w16cid:durableId="941717475">
    <w:abstractNumId w:val="24"/>
  </w:num>
  <w:num w:numId="43" w16cid:durableId="1444769518">
    <w:abstractNumId w:val="9"/>
  </w:num>
  <w:num w:numId="44" w16cid:durableId="840123765">
    <w:abstractNumId w:val="28"/>
  </w:num>
  <w:num w:numId="45" w16cid:durableId="37670268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443"/>
    <w:rsid w:val="00000719"/>
    <w:rsid w:val="0000246D"/>
    <w:rsid w:val="00002BAD"/>
    <w:rsid w:val="00003403"/>
    <w:rsid w:val="00003557"/>
    <w:rsid w:val="00005347"/>
    <w:rsid w:val="000072B6"/>
    <w:rsid w:val="0001021B"/>
    <w:rsid w:val="00011D89"/>
    <w:rsid w:val="000145AF"/>
    <w:rsid w:val="0001465A"/>
    <w:rsid w:val="000154FD"/>
    <w:rsid w:val="00016908"/>
    <w:rsid w:val="0001776F"/>
    <w:rsid w:val="00022271"/>
    <w:rsid w:val="0002243C"/>
    <w:rsid w:val="000235E8"/>
    <w:rsid w:val="00024D89"/>
    <w:rsid w:val="000250B6"/>
    <w:rsid w:val="00026CEC"/>
    <w:rsid w:val="00033D81"/>
    <w:rsid w:val="00034211"/>
    <w:rsid w:val="00037366"/>
    <w:rsid w:val="00041BF0"/>
    <w:rsid w:val="00042C8A"/>
    <w:rsid w:val="00044362"/>
    <w:rsid w:val="0004536B"/>
    <w:rsid w:val="00046135"/>
    <w:rsid w:val="00046B68"/>
    <w:rsid w:val="000527DD"/>
    <w:rsid w:val="0005708B"/>
    <w:rsid w:val="000578B2"/>
    <w:rsid w:val="00060959"/>
    <w:rsid w:val="00060C8F"/>
    <w:rsid w:val="0006298A"/>
    <w:rsid w:val="00062E68"/>
    <w:rsid w:val="00064513"/>
    <w:rsid w:val="00065B8B"/>
    <w:rsid w:val="000663CD"/>
    <w:rsid w:val="0006733D"/>
    <w:rsid w:val="000712F2"/>
    <w:rsid w:val="000733FE"/>
    <w:rsid w:val="00073DAB"/>
    <w:rsid w:val="00074219"/>
    <w:rsid w:val="00074ED5"/>
    <w:rsid w:val="00075F63"/>
    <w:rsid w:val="00080321"/>
    <w:rsid w:val="0008508E"/>
    <w:rsid w:val="000850DE"/>
    <w:rsid w:val="00087951"/>
    <w:rsid w:val="00087D4E"/>
    <w:rsid w:val="00090FE4"/>
    <w:rsid w:val="0009113B"/>
    <w:rsid w:val="00091353"/>
    <w:rsid w:val="00091DCD"/>
    <w:rsid w:val="00093402"/>
    <w:rsid w:val="000946EA"/>
    <w:rsid w:val="00094DA3"/>
    <w:rsid w:val="00096CD1"/>
    <w:rsid w:val="000A012C"/>
    <w:rsid w:val="000A07B2"/>
    <w:rsid w:val="000A0EB9"/>
    <w:rsid w:val="000A186C"/>
    <w:rsid w:val="000A1EA4"/>
    <w:rsid w:val="000A2476"/>
    <w:rsid w:val="000A61E8"/>
    <w:rsid w:val="000A641A"/>
    <w:rsid w:val="000B06F1"/>
    <w:rsid w:val="000B3EDB"/>
    <w:rsid w:val="000B543D"/>
    <w:rsid w:val="000B5539"/>
    <w:rsid w:val="000B55F9"/>
    <w:rsid w:val="000B5BF7"/>
    <w:rsid w:val="000B6BC8"/>
    <w:rsid w:val="000B6E5A"/>
    <w:rsid w:val="000C0303"/>
    <w:rsid w:val="000C21CA"/>
    <w:rsid w:val="000C3662"/>
    <w:rsid w:val="000C42EA"/>
    <w:rsid w:val="000C4546"/>
    <w:rsid w:val="000D0F89"/>
    <w:rsid w:val="000D1242"/>
    <w:rsid w:val="000E0970"/>
    <w:rsid w:val="000E1910"/>
    <w:rsid w:val="000E3CC7"/>
    <w:rsid w:val="000E4A1C"/>
    <w:rsid w:val="000E5B99"/>
    <w:rsid w:val="000E6402"/>
    <w:rsid w:val="000E6BD4"/>
    <w:rsid w:val="000E6D6D"/>
    <w:rsid w:val="000F05C9"/>
    <w:rsid w:val="000F1F1E"/>
    <w:rsid w:val="000F2259"/>
    <w:rsid w:val="000F2A52"/>
    <w:rsid w:val="000F2DDA"/>
    <w:rsid w:val="000F3359"/>
    <w:rsid w:val="000F396F"/>
    <w:rsid w:val="000F4FB8"/>
    <w:rsid w:val="000F5213"/>
    <w:rsid w:val="000F5715"/>
    <w:rsid w:val="000F5933"/>
    <w:rsid w:val="001008B8"/>
    <w:rsid w:val="00101001"/>
    <w:rsid w:val="00103276"/>
    <w:rsid w:val="0010392D"/>
    <w:rsid w:val="001039AA"/>
    <w:rsid w:val="00103DF1"/>
    <w:rsid w:val="0010447F"/>
    <w:rsid w:val="00104FE3"/>
    <w:rsid w:val="0010714F"/>
    <w:rsid w:val="001073B3"/>
    <w:rsid w:val="00110AD5"/>
    <w:rsid w:val="00111C20"/>
    <w:rsid w:val="00111DFF"/>
    <w:rsid w:val="001120C5"/>
    <w:rsid w:val="00112962"/>
    <w:rsid w:val="00113961"/>
    <w:rsid w:val="0011651C"/>
    <w:rsid w:val="0011701A"/>
    <w:rsid w:val="00120BD3"/>
    <w:rsid w:val="00122FEA"/>
    <w:rsid w:val="001232BD"/>
    <w:rsid w:val="00124289"/>
    <w:rsid w:val="00124ED5"/>
    <w:rsid w:val="001270A8"/>
    <w:rsid w:val="001276FA"/>
    <w:rsid w:val="00127E59"/>
    <w:rsid w:val="0013127D"/>
    <w:rsid w:val="001369CD"/>
    <w:rsid w:val="0014255B"/>
    <w:rsid w:val="00142B32"/>
    <w:rsid w:val="0014303D"/>
    <w:rsid w:val="001447B3"/>
    <w:rsid w:val="001473A4"/>
    <w:rsid w:val="00150793"/>
    <w:rsid w:val="00151C81"/>
    <w:rsid w:val="00152073"/>
    <w:rsid w:val="00154E2D"/>
    <w:rsid w:val="00156598"/>
    <w:rsid w:val="0016175E"/>
    <w:rsid w:val="00161939"/>
    <w:rsid w:val="00161AA0"/>
    <w:rsid w:val="00161D2E"/>
    <w:rsid w:val="00161F3E"/>
    <w:rsid w:val="00162093"/>
    <w:rsid w:val="00162CA9"/>
    <w:rsid w:val="001631B9"/>
    <w:rsid w:val="00163452"/>
    <w:rsid w:val="0016379A"/>
    <w:rsid w:val="00165459"/>
    <w:rsid w:val="00165A57"/>
    <w:rsid w:val="001673D2"/>
    <w:rsid w:val="00167E31"/>
    <w:rsid w:val="001712C2"/>
    <w:rsid w:val="00172B13"/>
    <w:rsid w:val="00172BAF"/>
    <w:rsid w:val="00174C7E"/>
    <w:rsid w:val="001771DD"/>
    <w:rsid w:val="00177995"/>
    <w:rsid w:val="00177A8C"/>
    <w:rsid w:val="00180D7A"/>
    <w:rsid w:val="00182F9D"/>
    <w:rsid w:val="00186B33"/>
    <w:rsid w:val="00191459"/>
    <w:rsid w:val="00192F9D"/>
    <w:rsid w:val="00194104"/>
    <w:rsid w:val="0019538F"/>
    <w:rsid w:val="001967B5"/>
    <w:rsid w:val="00196EB8"/>
    <w:rsid w:val="00196EFB"/>
    <w:rsid w:val="001979FF"/>
    <w:rsid w:val="00197B17"/>
    <w:rsid w:val="001A07C8"/>
    <w:rsid w:val="001A0FE4"/>
    <w:rsid w:val="001A1950"/>
    <w:rsid w:val="001A1C54"/>
    <w:rsid w:val="001A3ACE"/>
    <w:rsid w:val="001A5420"/>
    <w:rsid w:val="001B058F"/>
    <w:rsid w:val="001B2081"/>
    <w:rsid w:val="001B2CEC"/>
    <w:rsid w:val="001B2DB9"/>
    <w:rsid w:val="001B45F7"/>
    <w:rsid w:val="001B5076"/>
    <w:rsid w:val="001B57DB"/>
    <w:rsid w:val="001B6E11"/>
    <w:rsid w:val="001B738B"/>
    <w:rsid w:val="001C09DB"/>
    <w:rsid w:val="001C277E"/>
    <w:rsid w:val="001C2A72"/>
    <w:rsid w:val="001C31B7"/>
    <w:rsid w:val="001C623D"/>
    <w:rsid w:val="001D0383"/>
    <w:rsid w:val="001D0B75"/>
    <w:rsid w:val="001D36B2"/>
    <w:rsid w:val="001D39A5"/>
    <w:rsid w:val="001D3C09"/>
    <w:rsid w:val="001D3D2B"/>
    <w:rsid w:val="001D44E8"/>
    <w:rsid w:val="001D60EC"/>
    <w:rsid w:val="001D6F59"/>
    <w:rsid w:val="001D716C"/>
    <w:rsid w:val="001D7F6F"/>
    <w:rsid w:val="001E0C5D"/>
    <w:rsid w:val="001E2A36"/>
    <w:rsid w:val="001E2BDA"/>
    <w:rsid w:val="001E44DF"/>
    <w:rsid w:val="001E580C"/>
    <w:rsid w:val="001E68A5"/>
    <w:rsid w:val="001E6BB0"/>
    <w:rsid w:val="001E7282"/>
    <w:rsid w:val="001E74B5"/>
    <w:rsid w:val="001F10BF"/>
    <w:rsid w:val="001F2A28"/>
    <w:rsid w:val="001F3826"/>
    <w:rsid w:val="001F6E46"/>
    <w:rsid w:val="001F7C91"/>
    <w:rsid w:val="0020098E"/>
    <w:rsid w:val="002033B7"/>
    <w:rsid w:val="00206463"/>
    <w:rsid w:val="00206F2F"/>
    <w:rsid w:val="00207F20"/>
    <w:rsid w:val="0021053D"/>
    <w:rsid w:val="002109A8"/>
    <w:rsid w:val="00210A92"/>
    <w:rsid w:val="00216C03"/>
    <w:rsid w:val="00220070"/>
    <w:rsid w:val="00220C04"/>
    <w:rsid w:val="0022278D"/>
    <w:rsid w:val="00225D2D"/>
    <w:rsid w:val="00225D43"/>
    <w:rsid w:val="00226597"/>
    <w:rsid w:val="00226A08"/>
    <w:rsid w:val="0022701F"/>
    <w:rsid w:val="00227C68"/>
    <w:rsid w:val="002333F5"/>
    <w:rsid w:val="00233724"/>
    <w:rsid w:val="002365B4"/>
    <w:rsid w:val="00236A87"/>
    <w:rsid w:val="002426B1"/>
    <w:rsid w:val="002432E1"/>
    <w:rsid w:val="00246207"/>
    <w:rsid w:val="00246957"/>
    <w:rsid w:val="00246C5E"/>
    <w:rsid w:val="00250960"/>
    <w:rsid w:val="00251343"/>
    <w:rsid w:val="00252035"/>
    <w:rsid w:val="002536A4"/>
    <w:rsid w:val="0025496F"/>
    <w:rsid w:val="00254F58"/>
    <w:rsid w:val="002603F3"/>
    <w:rsid w:val="00260BC2"/>
    <w:rsid w:val="00261E05"/>
    <w:rsid w:val="002620BC"/>
    <w:rsid w:val="00262802"/>
    <w:rsid w:val="00263A90"/>
    <w:rsid w:val="00263C1F"/>
    <w:rsid w:val="0026408B"/>
    <w:rsid w:val="00267C3E"/>
    <w:rsid w:val="002709BB"/>
    <w:rsid w:val="0027113F"/>
    <w:rsid w:val="00273BAC"/>
    <w:rsid w:val="00274726"/>
    <w:rsid w:val="00276160"/>
    <w:rsid w:val="002763B3"/>
    <w:rsid w:val="002802E3"/>
    <w:rsid w:val="0028213D"/>
    <w:rsid w:val="002862F1"/>
    <w:rsid w:val="002900CF"/>
    <w:rsid w:val="00291373"/>
    <w:rsid w:val="00294AAB"/>
    <w:rsid w:val="0029597D"/>
    <w:rsid w:val="002962C3"/>
    <w:rsid w:val="0029752B"/>
    <w:rsid w:val="002A0A9C"/>
    <w:rsid w:val="002A1296"/>
    <w:rsid w:val="002A3BC2"/>
    <w:rsid w:val="002A483C"/>
    <w:rsid w:val="002A7D47"/>
    <w:rsid w:val="002B0C7C"/>
    <w:rsid w:val="002B1729"/>
    <w:rsid w:val="002B36C7"/>
    <w:rsid w:val="002B4DD4"/>
    <w:rsid w:val="002B5277"/>
    <w:rsid w:val="002B5375"/>
    <w:rsid w:val="002B77C1"/>
    <w:rsid w:val="002C09D9"/>
    <w:rsid w:val="002C0ED7"/>
    <w:rsid w:val="002C1205"/>
    <w:rsid w:val="002C20AF"/>
    <w:rsid w:val="002C2728"/>
    <w:rsid w:val="002C4838"/>
    <w:rsid w:val="002C7593"/>
    <w:rsid w:val="002D1498"/>
    <w:rsid w:val="002D1E0D"/>
    <w:rsid w:val="002D374C"/>
    <w:rsid w:val="002D5006"/>
    <w:rsid w:val="002D6220"/>
    <w:rsid w:val="002D7004"/>
    <w:rsid w:val="002E01D0"/>
    <w:rsid w:val="002E161D"/>
    <w:rsid w:val="002E1B81"/>
    <w:rsid w:val="002E1C48"/>
    <w:rsid w:val="002E3100"/>
    <w:rsid w:val="002E6B5B"/>
    <w:rsid w:val="002E6C95"/>
    <w:rsid w:val="002E7C36"/>
    <w:rsid w:val="002F0107"/>
    <w:rsid w:val="002F0F98"/>
    <w:rsid w:val="002F1E54"/>
    <w:rsid w:val="002F2187"/>
    <w:rsid w:val="002F3D32"/>
    <w:rsid w:val="002F5F31"/>
    <w:rsid w:val="002F5F46"/>
    <w:rsid w:val="002F7A35"/>
    <w:rsid w:val="00302216"/>
    <w:rsid w:val="00303084"/>
    <w:rsid w:val="00303E53"/>
    <w:rsid w:val="00304103"/>
    <w:rsid w:val="00304C87"/>
    <w:rsid w:val="00305CC1"/>
    <w:rsid w:val="003060FA"/>
    <w:rsid w:val="00306E5F"/>
    <w:rsid w:val="00307E14"/>
    <w:rsid w:val="00310053"/>
    <w:rsid w:val="00313B13"/>
    <w:rsid w:val="00314054"/>
    <w:rsid w:val="00315BD8"/>
    <w:rsid w:val="00316F27"/>
    <w:rsid w:val="003214F1"/>
    <w:rsid w:val="00322288"/>
    <w:rsid w:val="003224A7"/>
    <w:rsid w:val="0032287E"/>
    <w:rsid w:val="00322E4B"/>
    <w:rsid w:val="00325557"/>
    <w:rsid w:val="00327870"/>
    <w:rsid w:val="00331E95"/>
    <w:rsid w:val="0033259D"/>
    <w:rsid w:val="003333D2"/>
    <w:rsid w:val="00333499"/>
    <w:rsid w:val="0033665A"/>
    <w:rsid w:val="003406C6"/>
    <w:rsid w:val="003418CC"/>
    <w:rsid w:val="003459BD"/>
    <w:rsid w:val="00345A8F"/>
    <w:rsid w:val="00350D38"/>
    <w:rsid w:val="00350DB6"/>
    <w:rsid w:val="00351B36"/>
    <w:rsid w:val="00351FFE"/>
    <w:rsid w:val="003530B6"/>
    <w:rsid w:val="0035795D"/>
    <w:rsid w:val="00357B4E"/>
    <w:rsid w:val="00363509"/>
    <w:rsid w:val="00363DF6"/>
    <w:rsid w:val="00364273"/>
    <w:rsid w:val="00367076"/>
    <w:rsid w:val="003676CF"/>
    <w:rsid w:val="003716FD"/>
    <w:rsid w:val="0037204B"/>
    <w:rsid w:val="0037357E"/>
    <w:rsid w:val="00373697"/>
    <w:rsid w:val="00373EED"/>
    <w:rsid w:val="003744CF"/>
    <w:rsid w:val="00374717"/>
    <w:rsid w:val="0037676C"/>
    <w:rsid w:val="0037792C"/>
    <w:rsid w:val="00380517"/>
    <w:rsid w:val="00381043"/>
    <w:rsid w:val="003829E5"/>
    <w:rsid w:val="00383549"/>
    <w:rsid w:val="00386109"/>
    <w:rsid w:val="00386944"/>
    <w:rsid w:val="00386DEC"/>
    <w:rsid w:val="003908D9"/>
    <w:rsid w:val="0039438D"/>
    <w:rsid w:val="003956CC"/>
    <w:rsid w:val="00395C9A"/>
    <w:rsid w:val="003A0853"/>
    <w:rsid w:val="003A0F11"/>
    <w:rsid w:val="003A5CA5"/>
    <w:rsid w:val="003A6B67"/>
    <w:rsid w:val="003B13B6"/>
    <w:rsid w:val="003B15E6"/>
    <w:rsid w:val="003B320A"/>
    <w:rsid w:val="003B408A"/>
    <w:rsid w:val="003B5733"/>
    <w:rsid w:val="003C08A2"/>
    <w:rsid w:val="003C0AF8"/>
    <w:rsid w:val="003C2045"/>
    <w:rsid w:val="003C43A1"/>
    <w:rsid w:val="003C4A55"/>
    <w:rsid w:val="003C4FC0"/>
    <w:rsid w:val="003C55F4"/>
    <w:rsid w:val="003C7897"/>
    <w:rsid w:val="003C7A3F"/>
    <w:rsid w:val="003D089C"/>
    <w:rsid w:val="003D2766"/>
    <w:rsid w:val="003D2A74"/>
    <w:rsid w:val="003D3E8F"/>
    <w:rsid w:val="003D6475"/>
    <w:rsid w:val="003E12C9"/>
    <w:rsid w:val="003E375C"/>
    <w:rsid w:val="003E4086"/>
    <w:rsid w:val="003E639E"/>
    <w:rsid w:val="003E6626"/>
    <w:rsid w:val="003E71E5"/>
    <w:rsid w:val="003E7514"/>
    <w:rsid w:val="003F0445"/>
    <w:rsid w:val="003F0CF0"/>
    <w:rsid w:val="003F0EB5"/>
    <w:rsid w:val="003F14B1"/>
    <w:rsid w:val="003F2B20"/>
    <w:rsid w:val="003F2DAE"/>
    <w:rsid w:val="003F3289"/>
    <w:rsid w:val="003F4F41"/>
    <w:rsid w:val="003F5CB9"/>
    <w:rsid w:val="003F6696"/>
    <w:rsid w:val="003F66B8"/>
    <w:rsid w:val="004013C7"/>
    <w:rsid w:val="00401C31"/>
    <w:rsid w:val="00401FCF"/>
    <w:rsid w:val="0040248F"/>
    <w:rsid w:val="00402954"/>
    <w:rsid w:val="004054BA"/>
    <w:rsid w:val="00406285"/>
    <w:rsid w:val="004064DA"/>
    <w:rsid w:val="0041407D"/>
    <w:rsid w:val="004146C6"/>
    <w:rsid w:val="004148F9"/>
    <w:rsid w:val="00414D4A"/>
    <w:rsid w:val="004200D3"/>
    <w:rsid w:val="0042084E"/>
    <w:rsid w:val="00421B0E"/>
    <w:rsid w:val="00421EEF"/>
    <w:rsid w:val="00424D65"/>
    <w:rsid w:val="00425142"/>
    <w:rsid w:val="00426FE0"/>
    <w:rsid w:val="004277C9"/>
    <w:rsid w:val="00427FD5"/>
    <w:rsid w:val="00430794"/>
    <w:rsid w:val="004352F6"/>
    <w:rsid w:val="0044063C"/>
    <w:rsid w:val="00442C6C"/>
    <w:rsid w:val="00443916"/>
    <w:rsid w:val="00443CBE"/>
    <w:rsid w:val="00443E8A"/>
    <w:rsid w:val="004441BC"/>
    <w:rsid w:val="004468B4"/>
    <w:rsid w:val="00451071"/>
    <w:rsid w:val="0045230A"/>
    <w:rsid w:val="00452B4D"/>
    <w:rsid w:val="00453D34"/>
    <w:rsid w:val="00454AD0"/>
    <w:rsid w:val="00456A6B"/>
    <w:rsid w:val="00457337"/>
    <w:rsid w:val="00457C82"/>
    <w:rsid w:val="00460E5B"/>
    <w:rsid w:val="0046248E"/>
    <w:rsid w:val="00462E3D"/>
    <w:rsid w:val="0046603C"/>
    <w:rsid w:val="00466E79"/>
    <w:rsid w:val="00470097"/>
    <w:rsid w:val="00470D7D"/>
    <w:rsid w:val="004710BF"/>
    <w:rsid w:val="0047310E"/>
    <w:rsid w:val="0047372D"/>
    <w:rsid w:val="00473BA3"/>
    <w:rsid w:val="004743DD"/>
    <w:rsid w:val="00474CEA"/>
    <w:rsid w:val="00481D59"/>
    <w:rsid w:val="00483968"/>
    <w:rsid w:val="00484F86"/>
    <w:rsid w:val="0048663E"/>
    <w:rsid w:val="00490746"/>
    <w:rsid w:val="00490852"/>
    <w:rsid w:val="00491C9C"/>
    <w:rsid w:val="00492F30"/>
    <w:rsid w:val="004946F4"/>
    <w:rsid w:val="0049487E"/>
    <w:rsid w:val="0049736F"/>
    <w:rsid w:val="004A160D"/>
    <w:rsid w:val="004A3E81"/>
    <w:rsid w:val="004A4195"/>
    <w:rsid w:val="004A5C62"/>
    <w:rsid w:val="004A5CE5"/>
    <w:rsid w:val="004A707D"/>
    <w:rsid w:val="004B2E9E"/>
    <w:rsid w:val="004B40C3"/>
    <w:rsid w:val="004C0103"/>
    <w:rsid w:val="004C5541"/>
    <w:rsid w:val="004C6650"/>
    <w:rsid w:val="004C6EEE"/>
    <w:rsid w:val="004C702B"/>
    <w:rsid w:val="004D0033"/>
    <w:rsid w:val="004D011B"/>
    <w:rsid w:val="004D016B"/>
    <w:rsid w:val="004D1B22"/>
    <w:rsid w:val="004D23CC"/>
    <w:rsid w:val="004D36F2"/>
    <w:rsid w:val="004D4453"/>
    <w:rsid w:val="004D5C54"/>
    <w:rsid w:val="004D6857"/>
    <w:rsid w:val="004E012E"/>
    <w:rsid w:val="004E1106"/>
    <w:rsid w:val="004E138F"/>
    <w:rsid w:val="004E4649"/>
    <w:rsid w:val="004E5141"/>
    <w:rsid w:val="004E5C2B"/>
    <w:rsid w:val="004F00DD"/>
    <w:rsid w:val="004F1ABD"/>
    <w:rsid w:val="004F2133"/>
    <w:rsid w:val="004F260F"/>
    <w:rsid w:val="004F3F35"/>
    <w:rsid w:val="004F5398"/>
    <w:rsid w:val="004F55F1"/>
    <w:rsid w:val="004F6936"/>
    <w:rsid w:val="00500FE2"/>
    <w:rsid w:val="00503DC6"/>
    <w:rsid w:val="005041CA"/>
    <w:rsid w:val="00505124"/>
    <w:rsid w:val="00506F5D"/>
    <w:rsid w:val="00510005"/>
    <w:rsid w:val="00510C37"/>
    <w:rsid w:val="005115FA"/>
    <w:rsid w:val="005126D0"/>
    <w:rsid w:val="0051568D"/>
    <w:rsid w:val="0052224B"/>
    <w:rsid w:val="00526182"/>
    <w:rsid w:val="00526AC7"/>
    <w:rsid w:val="00526C15"/>
    <w:rsid w:val="00536499"/>
    <w:rsid w:val="00543903"/>
    <w:rsid w:val="00543F11"/>
    <w:rsid w:val="00546305"/>
    <w:rsid w:val="00547A95"/>
    <w:rsid w:val="00550319"/>
    <w:rsid w:val="0055119B"/>
    <w:rsid w:val="00553E3E"/>
    <w:rsid w:val="005548B5"/>
    <w:rsid w:val="00554EFC"/>
    <w:rsid w:val="00571C82"/>
    <w:rsid w:val="00572031"/>
    <w:rsid w:val="00572282"/>
    <w:rsid w:val="00573CE3"/>
    <w:rsid w:val="005741BA"/>
    <w:rsid w:val="00576E84"/>
    <w:rsid w:val="00577A2C"/>
    <w:rsid w:val="00580394"/>
    <w:rsid w:val="005809CD"/>
    <w:rsid w:val="00582B8C"/>
    <w:rsid w:val="0058382E"/>
    <w:rsid w:val="00584E40"/>
    <w:rsid w:val="00586AE5"/>
    <w:rsid w:val="0058757E"/>
    <w:rsid w:val="00591985"/>
    <w:rsid w:val="00593DA6"/>
    <w:rsid w:val="005948E0"/>
    <w:rsid w:val="00596A4B"/>
    <w:rsid w:val="00597507"/>
    <w:rsid w:val="005A2846"/>
    <w:rsid w:val="005A479D"/>
    <w:rsid w:val="005A5036"/>
    <w:rsid w:val="005A50A8"/>
    <w:rsid w:val="005B0610"/>
    <w:rsid w:val="005B1956"/>
    <w:rsid w:val="005B1C6D"/>
    <w:rsid w:val="005B21B6"/>
    <w:rsid w:val="005B3A08"/>
    <w:rsid w:val="005B3FEA"/>
    <w:rsid w:val="005B7A63"/>
    <w:rsid w:val="005C07BF"/>
    <w:rsid w:val="005C0955"/>
    <w:rsid w:val="005C177E"/>
    <w:rsid w:val="005C1F08"/>
    <w:rsid w:val="005C49DA"/>
    <w:rsid w:val="005C4E67"/>
    <w:rsid w:val="005C50F3"/>
    <w:rsid w:val="005C530E"/>
    <w:rsid w:val="005C54B5"/>
    <w:rsid w:val="005C5D80"/>
    <w:rsid w:val="005C5D91"/>
    <w:rsid w:val="005D07B8"/>
    <w:rsid w:val="005D182A"/>
    <w:rsid w:val="005D2A2F"/>
    <w:rsid w:val="005D6597"/>
    <w:rsid w:val="005D6B2A"/>
    <w:rsid w:val="005D6CB5"/>
    <w:rsid w:val="005D7DD3"/>
    <w:rsid w:val="005E14E7"/>
    <w:rsid w:val="005E26A3"/>
    <w:rsid w:val="005E2ECB"/>
    <w:rsid w:val="005E3CBF"/>
    <w:rsid w:val="005E447E"/>
    <w:rsid w:val="005E4FD1"/>
    <w:rsid w:val="005E7C73"/>
    <w:rsid w:val="005F0775"/>
    <w:rsid w:val="005F0CF5"/>
    <w:rsid w:val="005F21EB"/>
    <w:rsid w:val="005F6BC0"/>
    <w:rsid w:val="00603B8B"/>
    <w:rsid w:val="00605908"/>
    <w:rsid w:val="006065A4"/>
    <w:rsid w:val="006070E0"/>
    <w:rsid w:val="00610D7C"/>
    <w:rsid w:val="006121C5"/>
    <w:rsid w:val="00613062"/>
    <w:rsid w:val="00613414"/>
    <w:rsid w:val="00613945"/>
    <w:rsid w:val="00617744"/>
    <w:rsid w:val="00620154"/>
    <w:rsid w:val="006208D9"/>
    <w:rsid w:val="006233BC"/>
    <w:rsid w:val="0062408D"/>
    <w:rsid w:val="006240CC"/>
    <w:rsid w:val="00624376"/>
    <w:rsid w:val="00624940"/>
    <w:rsid w:val="006252E4"/>
    <w:rsid w:val="006254F8"/>
    <w:rsid w:val="00625FC6"/>
    <w:rsid w:val="00626BAA"/>
    <w:rsid w:val="00627DA7"/>
    <w:rsid w:val="00630DA4"/>
    <w:rsid w:val="00632597"/>
    <w:rsid w:val="006358B4"/>
    <w:rsid w:val="0064008C"/>
    <w:rsid w:val="00641070"/>
    <w:rsid w:val="006419AA"/>
    <w:rsid w:val="00643B8A"/>
    <w:rsid w:val="00644B1F"/>
    <w:rsid w:val="00644B7E"/>
    <w:rsid w:val="006454E6"/>
    <w:rsid w:val="00646235"/>
    <w:rsid w:val="00646A68"/>
    <w:rsid w:val="006505BD"/>
    <w:rsid w:val="006508EA"/>
    <w:rsid w:val="0065092E"/>
    <w:rsid w:val="006557A7"/>
    <w:rsid w:val="00656290"/>
    <w:rsid w:val="00657BB9"/>
    <w:rsid w:val="00660410"/>
    <w:rsid w:val="006608D8"/>
    <w:rsid w:val="006621D7"/>
    <w:rsid w:val="0066302A"/>
    <w:rsid w:val="00663BDD"/>
    <w:rsid w:val="00663E05"/>
    <w:rsid w:val="00663F72"/>
    <w:rsid w:val="00667770"/>
    <w:rsid w:val="00670360"/>
    <w:rsid w:val="00670597"/>
    <w:rsid w:val="006706D0"/>
    <w:rsid w:val="00673F4D"/>
    <w:rsid w:val="0067406F"/>
    <w:rsid w:val="0067418F"/>
    <w:rsid w:val="00677574"/>
    <w:rsid w:val="0068454C"/>
    <w:rsid w:val="006908A0"/>
    <w:rsid w:val="00691B62"/>
    <w:rsid w:val="006933B5"/>
    <w:rsid w:val="00693D14"/>
    <w:rsid w:val="006943A8"/>
    <w:rsid w:val="00696F27"/>
    <w:rsid w:val="00696F63"/>
    <w:rsid w:val="006A18C2"/>
    <w:rsid w:val="006A3383"/>
    <w:rsid w:val="006B077C"/>
    <w:rsid w:val="006B1E8F"/>
    <w:rsid w:val="006B24F7"/>
    <w:rsid w:val="006B6803"/>
    <w:rsid w:val="006B6D5B"/>
    <w:rsid w:val="006C4727"/>
    <w:rsid w:val="006C7532"/>
    <w:rsid w:val="006C7F11"/>
    <w:rsid w:val="006D0F16"/>
    <w:rsid w:val="006D1A60"/>
    <w:rsid w:val="006D2A3F"/>
    <w:rsid w:val="006D2FBC"/>
    <w:rsid w:val="006D3B54"/>
    <w:rsid w:val="006D6684"/>
    <w:rsid w:val="006D7093"/>
    <w:rsid w:val="006E0541"/>
    <w:rsid w:val="006E0E45"/>
    <w:rsid w:val="006E138B"/>
    <w:rsid w:val="006E1750"/>
    <w:rsid w:val="006E2FE0"/>
    <w:rsid w:val="006F014C"/>
    <w:rsid w:val="006F0330"/>
    <w:rsid w:val="006F0AE3"/>
    <w:rsid w:val="006F1110"/>
    <w:rsid w:val="006F1FDC"/>
    <w:rsid w:val="006F300F"/>
    <w:rsid w:val="006F6B8C"/>
    <w:rsid w:val="007013EF"/>
    <w:rsid w:val="007055BD"/>
    <w:rsid w:val="00707DD1"/>
    <w:rsid w:val="00716E57"/>
    <w:rsid w:val="007173CA"/>
    <w:rsid w:val="007216AA"/>
    <w:rsid w:val="00721AB5"/>
    <w:rsid w:val="00721CFB"/>
    <w:rsid w:val="00721DEF"/>
    <w:rsid w:val="0072457B"/>
    <w:rsid w:val="00724A43"/>
    <w:rsid w:val="007273AC"/>
    <w:rsid w:val="00731447"/>
    <w:rsid w:val="00731AD4"/>
    <w:rsid w:val="00732874"/>
    <w:rsid w:val="00733922"/>
    <w:rsid w:val="007346E4"/>
    <w:rsid w:val="00736FC1"/>
    <w:rsid w:val="00740F22"/>
    <w:rsid w:val="00741C2F"/>
    <w:rsid w:val="00741CF0"/>
    <w:rsid w:val="00741F1A"/>
    <w:rsid w:val="007421BE"/>
    <w:rsid w:val="0074423D"/>
    <w:rsid w:val="007447DA"/>
    <w:rsid w:val="007450F8"/>
    <w:rsid w:val="0074696E"/>
    <w:rsid w:val="00746DA7"/>
    <w:rsid w:val="0074789E"/>
    <w:rsid w:val="00750135"/>
    <w:rsid w:val="00750EC2"/>
    <w:rsid w:val="00752B28"/>
    <w:rsid w:val="007541A9"/>
    <w:rsid w:val="00754E36"/>
    <w:rsid w:val="007603EB"/>
    <w:rsid w:val="00763139"/>
    <w:rsid w:val="00765554"/>
    <w:rsid w:val="0076737B"/>
    <w:rsid w:val="00770F37"/>
    <w:rsid w:val="007711A0"/>
    <w:rsid w:val="00772D5E"/>
    <w:rsid w:val="007735D1"/>
    <w:rsid w:val="00774040"/>
    <w:rsid w:val="0077463E"/>
    <w:rsid w:val="00776928"/>
    <w:rsid w:val="00776E0F"/>
    <w:rsid w:val="007772C0"/>
    <w:rsid w:val="007774B1"/>
    <w:rsid w:val="00777BE1"/>
    <w:rsid w:val="0078069F"/>
    <w:rsid w:val="007833D8"/>
    <w:rsid w:val="00785677"/>
    <w:rsid w:val="00786F16"/>
    <w:rsid w:val="007908E3"/>
    <w:rsid w:val="00790926"/>
    <w:rsid w:val="00791BD7"/>
    <w:rsid w:val="007933F7"/>
    <w:rsid w:val="00793429"/>
    <w:rsid w:val="007939FF"/>
    <w:rsid w:val="00794904"/>
    <w:rsid w:val="00796E20"/>
    <w:rsid w:val="00797C32"/>
    <w:rsid w:val="007A11E8"/>
    <w:rsid w:val="007A17CA"/>
    <w:rsid w:val="007A40A8"/>
    <w:rsid w:val="007A4C66"/>
    <w:rsid w:val="007A6D24"/>
    <w:rsid w:val="007B04BC"/>
    <w:rsid w:val="007B0914"/>
    <w:rsid w:val="007B1374"/>
    <w:rsid w:val="007B32E5"/>
    <w:rsid w:val="007B3DB9"/>
    <w:rsid w:val="007B432B"/>
    <w:rsid w:val="007B589F"/>
    <w:rsid w:val="007B6186"/>
    <w:rsid w:val="007B73BC"/>
    <w:rsid w:val="007C1838"/>
    <w:rsid w:val="007C20B9"/>
    <w:rsid w:val="007C7301"/>
    <w:rsid w:val="007C7859"/>
    <w:rsid w:val="007C7F28"/>
    <w:rsid w:val="007D1466"/>
    <w:rsid w:val="007D23A6"/>
    <w:rsid w:val="007D2BDE"/>
    <w:rsid w:val="007D2FB6"/>
    <w:rsid w:val="007D36EF"/>
    <w:rsid w:val="007D49EB"/>
    <w:rsid w:val="007D4E96"/>
    <w:rsid w:val="007D5E1C"/>
    <w:rsid w:val="007D6D2C"/>
    <w:rsid w:val="007D7384"/>
    <w:rsid w:val="007D78DF"/>
    <w:rsid w:val="007E0DE2"/>
    <w:rsid w:val="007E1227"/>
    <w:rsid w:val="007E1938"/>
    <w:rsid w:val="007E3B98"/>
    <w:rsid w:val="007E417A"/>
    <w:rsid w:val="007F085E"/>
    <w:rsid w:val="007F31B6"/>
    <w:rsid w:val="007F3BA6"/>
    <w:rsid w:val="007F5323"/>
    <w:rsid w:val="007F546C"/>
    <w:rsid w:val="007F625F"/>
    <w:rsid w:val="007F665E"/>
    <w:rsid w:val="007F736F"/>
    <w:rsid w:val="00800412"/>
    <w:rsid w:val="00802FB2"/>
    <w:rsid w:val="00803EDA"/>
    <w:rsid w:val="0080587B"/>
    <w:rsid w:val="00806468"/>
    <w:rsid w:val="008114C2"/>
    <w:rsid w:val="008119CA"/>
    <w:rsid w:val="008130C4"/>
    <w:rsid w:val="008155F0"/>
    <w:rsid w:val="00816735"/>
    <w:rsid w:val="00817658"/>
    <w:rsid w:val="00820141"/>
    <w:rsid w:val="00820E0C"/>
    <w:rsid w:val="00823275"/>
    <w:rsid w:val="0082366F"/>
    <w:rsid w:val="008241AD"/>
    <w:rsid w:val="00825CF6"/>
    <w:rsid w:val="008266D2"/>
    <w:rsid w:val="008338A2"/>
    <w:rsid w:val="00835FAF"/>
    <w:rsid w:val="00836313"/>
    <w:rsid w:val="00841638"/>
    <w:rsid w:val="00841AA9"/>
    <w:rsid w:val="008474FE"/>
    <w:rsid w:val="00851C2E"/>
    <w:rsid w:val="00853EE4"/>
    <w:rsid w:val="00855535"/>
    <w:rsid w:val="00857834"/>
    <w:rsid w:val="00857C5A"/>
    <w:rsid w:val="0086255E"/>
    <w:rsid w:val="008633F0"/>
    <w:rsid w:val="00864807"/>
    <w:rsid w:val="00867D9D"/>
    <w:rsid w:val="00870EA3"/>
    <w:rsid w:val="00872E0A"/>
    <w:rsid w:val="00873594"/>
    <w:rsid w:val="00875285"/>
    <w:rsid w:val="00875FB1"/>
    <w:rsid w:val="00877254"/>
    <w:rsid w:val="008778BC"/>
    <w:rsid w:val="008815EB"/>
    <w:rsid w:val="00884B62"/>
    <w:rsid w:val="0088529C"/>
    <w:rsid w:val="00887903"/>
    <w:rsid w:val="0089270A"/>
    <w:rsid w:val="00893AF6"/>
    <w:rsid w:val="00894BC4"/>
    <w:rsid w:val="00895ADC"/>
    <w:rsid w:val="008974FD"/>
    <w:rsid w:val="008A0DBD"/>
    <w:rsid w:val="008A28A8"/>
    <w:rsid w:val="008A2BC3"/>
    <w:rsid w:val="008A4623"/>
    <w:rsid w:val="008A5157"/>
    <w:rsid w:val="008A5B32"/>
    <w:rsid w:val="008A6BA1"/>
    <w:rsid w:val="008B2EE4"/>
    <w:rsid w:val="008B4D3D"/>
    <w:rsid w:val="008B57C7"/>
    <w:rsid w:val="008B7336"/>
    <w:rsid w:val="008C2F92"/>
    <w:rsid w:val="008C3697"/>
    <w:rsid w:val="008C5557"/>
    <w:rsid w:val="008C589D"/>
    <w:rsid w:val="008C67E7"/>
    <w:rsid w:val="008C6D51"/>
    <w:rsid w:val="008D0359"/>
    <w:rsid w:val="008D2846"/>
    <w:rsid w:val="008D4236"/>
    <w:rsid w:val="008D462F"/>
    <w:rsid w:val="008D6DCF"/>
    <w:rsid w:val="008E0F00"/>
    <w:rsid w:val="008E4376"/>
    <w:rsid w:val="008E61D8"/>
    <w:rsid w:val="008E7A0A"/>
    <w:rsid w:val="008E7B49"/>
    <w:rsid w:val="008F23DD"/>
    <w:rsid w:val="008F2D43"/>
    <w:rsid w:val="008F3B69"/>
    <w:rsid w:val="008F59F6"/>
    <w:rsid w:val="008F7EC6"/>
    <w:rsid w:val="00900719"/>
    <w:rsid w:val="009017AC"/>
    <w:rsid w:val="00902A9A"/>
    <w:rsid w:val="00904A1C"/>
    <w:rsid w:val="00905030"/>
    <w:rsid w:val="00906490"/>
    <w:rsid w:val="00906E94"/>
    <w:rsid w:val="009111B2"/>
    <w:rsid w:val="00912595"/>
    <w:rsid w:val="009128B5"/>
    <w:rsid w:val="009151F5"/>
    <w:rsid w:val="00921DB8"/>
    <w:rsid w:val="009247A6"/>
    <w:rsid w:val="00924AE1"/>
    <w:rsid w:val="009269B1"/>
    <w:rsid w:val="0092724D"/>
    <w:rsid w:val="009272B3"/>
    <w:rsid w:val="0093106A"/>
    <w:rsid w:val="009315BE"/>
    <w:rsid w:val="0093338F"/>
    <w:rsid w:val="009373C0"/>
    <w:rsid w:val="00937BD9"/>
    <w:rsid w:val="009431B7"/>
    <w:rsid w:val="00945A26"/>
    <w:rsid w:val="00946AB1"/>
    <w:rsid w:val="00950E2C"/>
    <w:rsid w:val="00951D50"/>
    <w:rsid w:val="009525EB"/>
    <w:rsid w:val="0095470B"/>
    <w:rsid w:val="00954874"/>
    <w:rsid w:val="0095615A"/>
    <w:rsid w:val="00957B55"/>
    <w:rsid w:val="00961400"/>
    <w:rsid w:val="00963646"/>
    <w:rsid w:val="009639B2"/>
    <w:rsid w:val="009643FD"/>
    <w:rsid w:val="00966139"/>
    <w:rsid w:val="0096632D"/>
    <w:rsid w:val="0097058F"/>
    <w:rsid w:val="009718C7"/>
    <w:rsid w:val="00972E23"/>
    <w:rsid w:val="0097559F"/>
    <w:rsid w:val="0097668D"/>
    <w:rsid w:val="0097761E"/>
    <w:rsid w:val="009807C2"/>
    <w:rsid w:val="00981063"/>
    <w:rsid w:val="00982454"/>
    <w:rsid w:val="00982CF0"/>
    <w:rsid w:val="009853E1"/>
    <w:rsid w:val="00985753"/>
    <w:rsid w:val="00986E6B"/>
    <w:rsid w:val="00990032"/>
    <w:rsid w:val="00990B19"/>
    <w:rsid w:val="0099153B"/>
    <w:rsid w:val="0099153F"/>
    <w:rsid w:val="00991769"/>
    <w:rsid w:val="0099232C"/>
    <w:rsid w:val="00994386"/>
    <w:rsid w:val="0099457C"/>
    <w:rsid w:val="00996A92"/>
    <w:rsid w:val="009A04F2"/>
    <w:rsid w:val="009A1163"/>
    <w:rsid w:val="009A13D8"/>
    <w:rsid w:val="009A279E"/>
    <w:rsid w:val="009A3015"/>
    <w:rsid w:val="009A3490"/>
    <w:rsid w:val="009A5C0E"/>
    <w:rsid w:val="009B0A6F"/>
    <w:rsid w:val="009B0A94"/>
    <w:rsid w:val="009B1A77"/>
    <w:rsid w:val="009B2AE8"/>
    <w:rsid w:val="009B59E9"/>
    <w:rsid w:val="009B61DD"/>
    <w:rsid w:val="009B70AA"/>
    <w:rsid w:val="009B72CA"/>
    <w:rsid w:val="009C5E77"/>
    <w:rsid w:val="009C7680"/>
    <w:rsid w:val="009C7A7E"/>
    <w:rsid w:val="009D02E8"/>
    <w:rsid w:val="009D1C5C"/>
    <w:rsid w:val="009D2B40"/>
    <w:rsid w:val="009D4BF0"/>
    <w:rsid w:val="009D4C80"/>
    <w:rsid w:val="009D51D0"/>
    <w:rsid w:val="009D5B5D"/>
    <w:rsid w:val="009D6E64"/>
    <w:rsid w:val="009D70A4"/>
    <w:rsid w:val="009D7B14"/>
    <w:rsid w:val="009E0292"/>
    <w:rsid w:val="009E08D1"/>
    <w:rsid w:val="009E1B95"/>
    <w:rsid w:val="009E27DF"/>
    <w:rsid w:val="009E41DB"/>
    <w:rsid w:val="009E44D8"/>
    <w:rsid w:val="009E496F"/>
    <w:rsid w:val="009E4B0D"/>
    <w:rsid w:val="009E5250"/>
    <w:rsid w:val="009E7F92"/>
    <w:rsid w:val="009F02A3"/>
    <w:rsid w:val="009F2F27"/>
    <w:rsid w:val="009F34AA"/>
    <w:rsid w:val="009F5858"/>
    <w:rsid w:val="009F6BCB"/>
    <w:rsid w:val="009F7331"/>
    <w:rsid w:val="009F77A5"/>
    <w:rsid w:val="009F7B78"/>
    <w:rsid w:val="00A0057A"/>
    <w:rsid w:val="00A00883"/>
    <w:rsid w:val="00A025C9"/>
    <w:rsid w:val="00A02FA1"/>
    <w:rsid w:val="00A036A7"/>
    <w:rsid w:val="00A04CCE"/>
    <w:rsid w:val="00A06A57"/>
    <w:rsid w:val="00A073F5"/>
    <w:rsid w:val="00A07421"/>
    <w:rsid w:val="00A0776B"/>
    <w:rsid w:val="00A10EB7"/>
    <w:rsid w:val="00A10FB9"/>
    <w:rsid w:val="00A11421"/>
    <w:rsid w:val="00A1389F"/>
    <w:rsid w:val="00A157B1"/>
    <w:rsid w:val="00A176D6"/>
    <w:rsid w:val="00A22229"/>
    <w:rsid w:val="00A24442"/>
    <w:rsid w:val="00A25615"/>
    <w:rsid w:val="00A25D1D"/>
    <w:rsid w:val="00A26F10"/>
    <w:rsid w:val="00A330BB"/>
    <w:rsid w:val="00A343B3"/>
    <w:rsid w:val="00A36031"/>
    <w:rsid w:val="00A36EEF"/>
    <w:rsid w:val="00A403A0"/>
    <w:rsid w:val="00A41F9D"/>
    <w:rsid w:val="00A44882"/>
    <w:rsid w:val="00A45125"/>
    <w:rsid w:val="00A47831"/>
    <w:rsid w:val="00A47B36"/>
    <w:rsid w:val="00A52632"/>
    <w:rsid w:val="00A54715"/>
    <w:rsid w:val="00A5795E"/>
    <w:rsid w:val="00A60349"/>
    <w:rsid w:val="00A6061C"/>
    <w:rsid w:val="00A61369"/>
    <w:rsid w:val="00A617CE"/>
    <w:rsid w:val="00A62072"/>
    <w:rsid w:val="00A62BDB"/>
    <w:rsid w:val="00A62D44"/>
    <w:rsid w:val="00A6452D"/>
    <w:rsid w:val="00A65DA7"/>
    <w:rsid w:val="00A67263"/>
    <w:rsid w:val="00A7028C"/>
    <w:rsid w:val="00A7136A"/>
    <w:rsid w:val="00A7161C"/>
    <w:rsid w:val="00A7261F"/>
    <w:rsid w:val="00A77AA3"/>
    <w:rsid w:val="00A80B8A"/>
    <w:rsid w:val="00A8236D"/>
    <w:rsid w:val="00A82AB2"/>
    <w:rsid w:val="00A847D9"/>
    <w:rsid w:val="00A854EB"/>
    <w:rsid w:val="00A872E5"/>
    <w:rsid w:val="00A91406"/>
    <w:rsid w:val="00A93206"/>
    <w:rsid w:val="00A94662"/>
    <w:rsid w:val="00A94B57"/>
    <w:rsid w:val="00A9628E"/>
    <w:rsid w:val="00A96E65"/>
    <w:rsid w:val="00A97C72"/>
    <w:rsid w:val="00AA06C4"/>
    <w:rsid w:val="00AA268E"/>
    <w:rsid w:val="00AA3105"/>
    <w:rsid w:val="00AA310B"/>
    <w:rsid w:val="00AA63D4"/>
    <w:rsid w:val="00AA6F58"/>
    <w:rsid w:val="00AA778F"/>
    <w:rsid w:val="00AA7959"/>
    <w:rsid w:val="00AB06E8"/>
    <w:rsid w:val="00AB1CD3"/>
    <w:rsid w:val="00AB352F"/>
    <w:rsid w:val="00AB7E7E"/>
    <w:rsid w:val="00AC013D"/>
    <w:rsid w:val="00AC04BB"/>
    <w:rsid w:val="00AC1701"/>
    <w:rsid w:val="00AC1BE3"/>
    <w:rsid w:val="00AC274B"/>
    <w:rsid w:val="00AC4764"/>
    <w:rsid w:val="00AC6D36"/>
    <w:rsid w:val="00AD0CBA"/>
    <w:rsid w:val="00AD177A"/>
    <w:rsid w:val="00AD1881"/>
    <w:rsid w:val="00AD1D2A"/>
    <w:rsid w:val="00AD26E2"/>
    <w:rsid w:val="00AD311A"/>
    <w:rsid w:val="00AD6440"/>
    <w:rsid w:val="00AD6F6B"/>
    <w:rsid w:val="00AD784C"/>
    <w:rsid w:val="00AD7F65"/>
    <w:rsid w:val="00AE126A"/>
    <w:rsid w:val="00AE1BAE"/>
    <w:rsid w:val="00AE2175"/>
    <w:rsid w:val="00AE3005"/>
    <w:rsid w:val="00AE3BD5"/>
    <w:rsid w:val="00AE59A0"/>
    <w:rsid w:val="00AF0C57"/>
    <w:rsid w:val="00AF17CE"/>
    <w:rsid w:val="00AF26F3"/>
    <w:rsid w:val="00AF2C76"/>
    <w:rsid w:val="00AF5F04"/>
    <w:rsid w:val="00AF7C0C"/>
    <w:rsid w:val="00B005EA"/>
    <w:rsid w:val="00B00672"/>
    <w:rsid w:val="00B00C13"/>
    <w:rsid w:val="00B01896"/>
    <w:rsid w:val="00B01B4D"/>
    <w:rsid w:val="00B06571"/>
    <w:rsid w:val="00B06821"/>
    <w:rsid w:val="00B068BA"/>
    <w:rsid w:val="00B07DB4"/>
    <w:rsid w:val="00B10BAB"/>
    <w:rsid w:val="00B113EE"/>
    <w:rsid w:val="00B128B8"/>
    <w:rsid w:val="00B135EE"/>
    <w:rsid w:val="00B13851"/>
    <w:rsid w:val="00B13B1C"/>
    <w:rsid w:val="00B14780"/>
    <w:rsid w:val="00B163E3"/>
    <w:rsid w:val="00B202FC"/>
    <w:rsid w:val="00B210BA"/>
    <w:rsid w:val="00B21F90"/>
    <w:rsid w:val="00B22291"/>
    <w:rsid w:val="00B23F9A"/>
    <w:rsid w:val="00B2417B"/>
    <w:rsid w:val="00B24E6F"/>
    <w:rsid w:val="00B26CB5"/>
    <w:rsid w:val="00B2752E"/>
    <w:rsid w:val="00B307CC"/>
    <w:rsid w:val="00B326B7"/>
    <w:rsid w:val="00B3588E"/>
    <w:rsid w:val="00B37607"/>
    <w:rsid w:val="00B40C84"/>
    <w:rsid w:val="00B41F3D"/>
    <w:rsid w:val="00B431E8"/>
    <w:rsid w:val="00B43496"/>
    <w:rsid w:val="00B45141"/>
    <w:rsid w:val="00B45570"/>
    <w:rsid w:val="00B46DE7"/>
    <w:rsid w:val="00B519CD"/>
    <w:rsid w:val="00B51EE5"/>
    <w:rsid w:val="00B5273A"/>
    <w:rsid w:val="00B53E0C"/>
    <w:rsid w:val="00B57329"/>
    <w:rsid w:val="00B60E61"/>
    <w:rsid w:val="00B61E27"/>
    <w:rsid w:val="00B62B50"/>
    <w:rsid w:val="00B635B7"/>
    <w:rsid w:val="00B63AE8"/>
    <w:rsid w:val="00B65950"/>
    <w:rsid w:val="00B66D83"/>
    <w:rsid w:val="00B672C0"/>
    <w:rsid w:val="00B676FD"/>
    <w:rsid w:val="00B718FB"/>
    <w:rsid w:val="00B734DD"/>
    <w:rsid w:val="00B7470E"/>
    <w:rsid w:val="00B75646"/>
    <w:rsid w:val="00B75C4D"/>
    <w:rsid w:val="00B81EE7"/>
    <w:rsid w:val="00B8240E"/>
    <w:rsid w:val="00B90729"/>
    <w:rsid w:val="00B907DA"/>
    <w:rsid w:val="00B917E8"/>
    <w:rsid w:val="00B950BC"/>
    <w:rsid w:val="00B96034"/>
    <w:rsid w:val="00B9714C"/>
    <w:rsid w:val="00BA29AD"/>
    <w:rsid w:val="00BA33CF"/>
    <w:rsid w:val="00BA3F1B"/>
    <w:rsid w:val="00BA3F8D"/>
    <w:rsid w:val="00BA592E"/>
    <w:rsid w:val="00BA60CB"/>
    <w:rsid w:val="00BB13E4"/>
    <w:rsid w:val="00BB1C3D"/>
    <w:rsid w:val="00BB34A7"/>
    <w:rsid w:val="00BB3F8D"/>
    <w:rsid w:val="00BB76AA"/>
    <w:rsid w:val="00BB7A10"/>
    <w:rsid w:val="00BC058E"/>
    <w:rsid w:val="00BC3E8F"/>
    <w:rsid w:val="00BC60BE"/>
    <w:rsid w:val="00BC7468"/>
    <w:rsid w:val="00BC79C7"/>
    <w:rsid w:val="00BC7D4F"/>
    <w:rsid w:val="00BC7ED7"/>
    <w:rsid w:val="00BD04FC"/>
    <w:rsid w:val="00BD2100"/>
    <w:rsid w:val="00BD2850"/>
    <w:rsid w:val="00BD7784"/>
    <w:rsid w:val="00BE1F42"/>
    <w:rsid w:val="00BE28D2"/>
    <w:rsid w:val="00BE4A64"/>
    <w:rsid w:val="00BE5E43"/>
    <w:rsid w:val="00BE72D7"/>
    <w:rsid w:val="00BF03D8"/>
    <w:rsid w:val="00BF1AEB"/>
    <w:rsid w:val="00BF557D"/>
    <w:rsid w:val="00BF7F58"/>
    <w:rsid w:val="00C00498"/>
    <w:rsid w:val="00C01381"/>
    <w:rsid w:val="00C01933"/>
    <w:rsid w:val="00C01AB1"/>
    <w:rsid w:val="00C026A0"/>
    <w:rsid w:val="00C06137"/>
    <w:rsid w:val="00C079B8"/>
    <w:rsid w:val="00C10037"/>
    <w:rsid w:val="00C100F9"/>
    <w:rsid w:val="00C1115F"/>
    <w:rsid w:val="00C1163E"/>
    <w:rsid w:val="00C123EA"/>
    <w:rsid w:val="00C12A49"/>
    <w:rsid w:val="00C133EE"/>
    <w:rsid w:val="00C149D0"/>
    <w:rsid w:val="00C17527"/>
    <w:rsid w:val="00C22C2B"/>
    <w:rsid w:val="00C252E2"/>
    <w:rsid w:val="00C26588"/>
    <w:rsid w:val="00C27DE9"/>
    <w:rsid w:val="00C32989"/>
    <w:rsid w:val="00C33388"/>
    <w:rsid w:val="00C33539"/>
    <w:rsid w:val="00C3541D"/>
    <w:rsid w:val="00C35484"/>
    <w:rsid w:val="00C36C06"/>
    <w:rsid w:val="00C4173A"/>
    <w:rsid w:val="00C41CFD"/>
    <w:rsid w:val="00C4316F"/>
    <w:rsid w:val="00C50747"/>
    <w:rsid w:val="00C50DED"/>
    <w:rsid w:val="00C523FB"/>
    <w:rsid w:val="00C602FF"/>
    <w:rsid w:val="00C61174"/>
    <w:rsid w:val="00C6148F"/>
    <w:rsid w:val="00C61B7D"/>
    <w:rsid w:val="00C621B1"/>
    <w:rsid w:val="00C62F7A"/>
    <w:rsid w:val="00C63B9C"/>
    <w:rsid w:val="00C64482"/>
    <w:rsid w:val="00C6682F"/>
    <w:rsid w:val="00C67BF4"/>
    <w:rsid w:val="00C719E4"/>
    <w:rsid w:val="00C71D85"/>
    <w:rsid w:val="00C7275E"/>
    <w:rsid w:val="00C7385E"/>
    <w:rsid w:val="00C74C5D"/>
    <w:rsid w:val="00C8173C"/>
    <w:rsid w:val="00C82411"/>
    <w:rsid w:val="00C82BFD"/>
    <w:rsid w:val="00C84D1F"/>
    <w:rsid w:val="00C863C4"/>
    <w:rsid w:val="00C920EA"/>
    <w:rsid w:val="00C93C3E"/>
    <w:rsid w:val="00C9723E"/>
    <w:rsid w:val="00C97318"/>
    <w:rsid w:val="00CA12E3"/>
    <w:rsid w:val="00CA1476"/>
    <w:rsid w:val="00CA2757"/>
    <w:rsid w:val="00CA37C7"/>
    <w:rsid w:val="00CA5E33"/>
    <w:rsid w:val="00CA6611"/>
    <w:rsid w:val="00CA6AE6"/>
    <w:rsid w:val="00CA782F"/>
    <w:rsid w:val="00CB016A"/>
    <w:rsid w:val="00CB187B"/>
    <w:rsid w:val="00CB2835"/>
    <w:rsid w:val="00CB3285"/>
    <w:rsid w:val="00CB4500"/>
    <w:rsid w:val="00CB7800"/>
    <w:rsid w:val="00CC0C72"/>
    <w:rsid w:val="00CC2BFD"/>
    <w:rsid w:val="00CC35B6"/>
    <w:rsid w:val="00CD0271"/>
    <w:rsid w:val="00CD0A76"/>
    <w:rsid w:val="00CD2391"/>
    <w:rsid w:val="00CD2C40"/>
    <w:rsid w:val="00CD3476"/>
    <w:rsid w:val="00CD41F5"/>
    <w:rsid w:val="00CD454D"/>
    <w:rsid w:val="00CD64DF"/>
    <w:rsid w:val="00CE1EFC"/>
    <w:rsid w:val="00CE225F"/>
    <w:rsid w:val="00CE2E1D"/>
    <w:rsid w:val="00CF2E24"/>
    <w:rsid w:val="00CF2F50"/>
    <w:rsid w:val="00CF6198"/>
    <w:rsid w:val="00CF6F22"/>
    <w:rsid w:val="00D0250E"/>
    <w:rsid w:val="00D02919"/>
    <w:rsid w:val="00D04C61"/>
    <w:rsid w:val="00D05B8D"/>
    <w:rsid w:val="00D065A2"/>
    <w:rsid w:val="00D070BE"/>
    <w:rsid w:val="00D079AA"/>
    <w:rsid w:val="00D07F00"/>
    <w:rsid w:val="00D1130F"/>
    <w:rsid w:val="00D167B6"/>
    <w:rsid w:val="00D1689C"/>
    <w:rsid w:val="00D17B72"/>
    <w:rsid w:val="00D27083"/>
    <w:rsid w:val="00D3185C"/>
    <w:rsid w:val="00D3205F"/>
    <w:rsid w:val="00D3318E"/>
    <w:rsid w:val="00D33E72"/>
    <w:rsid w:val="00D35BD6"/>
    <w:rsid w:val="00D361B5"/>
    <w:rsid w:val="00D411A2"/>
    <w:rsid w:val="00D4606D"/>
    <w:rsid w:val="00D46C92"/>
    <w:rsid w:val="00D50B9C"/>
    <w:rsid w:val="00D50E9D"/>
    <w:rsid w:val="00D52D73"/>
    <w:rsid w:val="00D52E58"/>
    <w:rsid w:val="00D56B20"/>
    <w:rsid w:val="00D578B3"/>
    <w:rsid w:val="00D617A1"/>
    <w:rsid w:val="00D618F4"/>
    <w:rsid w:val="00D714CC"/>
    <w:rsid w:val="00D72DCA"/>
    <w:rsid w:val="00D75EA7"/>
    <w:rsid w:val="00D77302"/>
    <w:rsid w:val="00D80741"/>
    <w:rsid w:val="00D80897"/>
    <w:rsid w:val="00D81ADF"/>
    <w:rsid w:val="00D81F21"/>
    <w:rsid w:val="00D82B90"/>
    <w:rsid w:val="00D842E5"/>
    <w:rsid w:val="00D85D6C"/>
    <w:rsid w:val="00D85E61"/>
    <w:rsid w:val="00D864F2"/>
    <w:rsid w:val="00D90739"/>
    <w:rsid w:val="00D943F8"/>
    <w:rsid w:val="00D94946"/>
    <w:rsid w:val="00D95470"/>
    <w:rsid w:val="00D96B55"/>
    <w:rsid w:val="00D974DD"/>
    <w:rsid w:val="00DA2619"/>
    <w:rsid w:val="00DA3CE2"/>
    <w:rsid w:val="00DA3CEB"/>
    <w:rsid w:val="00DA4239"/>
    <w:rsid w:val="00DA65DE"/>
    <w:rsid w:val="00DB0B61"/>
    <w:rsid w:val="00DB1474"/>
    <w:rsid w:val="00DB2962"/>
    <w:rsid w:val="00DB52FB"/>
    <w:rsid w:val="00DC013B"/>
    <w:rsid w:val="00DC090B"/>
    <w:rsid w:val="00DC09CD"/>
    <w:rsid w:val="00DC1679"/>
    <w:rsid w:val="00DC219B"/>
    <w:rsid w:val="00DC24CE"/>
    <w:rsid w:val="00DC2CF1"/>
    <w:rsid w:val="00DC42D3"/>
    <w:rsid w:val="00DC4FCF"/>
    <w:rsid w:val="00DC50E0"/>
    <w:rsid w:val="00DC6386"/>
    <w:rsid w:val="00DC7978"/>
    <w:rsid w:val="00DD1130"/>
    <w:rsid w:val="00DD1951"/>
    <w:rsid w:val="00DD1E53"/>
    <w:rsid w:val="00DD3116"/>
    <w:rsid w:val="00DD3409"/>
    <w:rsid w:val="00DD487D"/>
    <w:rsid w:val="00DD4E83"/>
    <w:rsid w:val="00DD6628"/>
    <w:rsid w:val="00DD6945"/>
    <w:rsid w:val="00DE2D04"/>
    <w:rsid w:val="00DE3250"/>
    <w:rsid w:val="00DE457F"/>
    <w:rsid w:val="00DE4D78"/>
    <w:rsid w:val="00DE6028"/>
    <w:rsid w:val="00DE646C"/>
    <w:rsid w:val="00DE7576"/>
    <w:rsid w:val="00DE78A3"/>
    <w:rsid w:val="00DF1A71"/>
    <w:rsid w:val="00DF50FC"/>
    <w:rsid w:val="00DF68C7"/>
    <w:rsid w:val="00DF6B28"/>
    <w:rsid w:val="00DF731A"/>
    <w:rsid w:val="00E042F2"/>
    <w:rsid w:val="00E046EA"/>
    <w:rsid w:val="00E06B75"/>
    <w:rsid w:val="00E10FE1"/>
    <w:rsid w:val="00E11332"/>
    <w:rsid w:val="00E11352"/>
    <w:rsid w:val="00E11CBA"/>
    <w:rsid w:val="00E170DC"/>
    <w:rsid w:val="00E17546"/>
    <w:rsid w:val="00E210B5"/>
    <w:rsid w:val="00E23209"/>
    <w:rsid w:val="00E233D3"/>
    <w:rsid w:val="00E25337"/>
    <w:rsid w:val="00E2541D"/>
    <w:rsid w:val="00E261B3"/>
    <w:rsid w:val="00E26818"/>
    <w:rsid w:val="00E27FFC"/>
    <w:rsid w:val="00E30B15"/>
    <w:rsid w:val="00E33237"/>
    <w:rsid w:val="00E34495"/>
    <w:rsid w:val="00E352E4"/>
    <w:rsid w:val="00E357E3"/>
    <w:rsid w:val="00E36ACC"/>
    <w:rsid w:val="00E40181"/>
    <w:rsid w:val="00E41F5A"/>
    <w:rsid w:val="00E436A3"/>
    <w:rsid w:val="00E449EB"/>
    <w:rsid w:val="00E45233"/>
    <w:rsid w:val="00E45C9F"/>
    <w:rsid w:val="00E47AD9"/>
    <w:rsid w:val="00E50A2E"/>
    <w:rsid w:val="00E51139"/>
    <w:rsid w:val="00E54950"/>
    <w:rsid w:val="00E55092"/>
    <w:rsid w:val="00E56A01"/>
    <w:rsid w:val="00E56AF6"/>
    <w:rsid w:val="00E577D0"/>
    <w:rsid w:val="00E6014D"/>
    <w:rsid w:val="00E6054D"/>
    <w:rsid w:val="00E62622"/>
    <w:rsid w:val="00E629A1"/>
    <w:rsid w:val="00E677FF"/>
    <w:rsid w:val="00E6794C"/>
    <w:rsid w:val="00E71591"/>
    <w:rsid w:val="00E71CEB"/>
    <w:rsid w:val="00E7474F"/>
    <w:rsid w:val="00E76206"/>
    <w:rsid w:val="00E80DE3"/>
    <w:rsid w:val="00E82C55"/>
    <w:rsid w:val="00E83DA6"/>
    <w:rsid w:val="00E85032"/>
    <w:rsid w:val="00E860F5"/>
    <w:rsid w:val="00E8787E"/>
    <w:rsid w:val="00E92AC3"/>
    <w:rsid w:val="00E96C71"/>
    <w:rsid w:val="00E96CA7"/>
    <w:rsid w:val="00EA055F"/>
    <w:rsid w:val="00EA1360"/>
    <w:rsid w:val="00EA2F6A"/>
    <w:rsid w:val="00EA7637"/>
    <w:rsid w:val="00EB00E0"/>
    <w:rsid w:val="00EB5CAD"/>
    <w:rsid w:val="00EC059F"/>
    <w:rsid w:val="00EC1F24"/>
    <w:rsid w:val="00EC22F6"/>
    <w:rsid w:val="00EC337C"/>
    <w:rsid w:val="00EC40D5"/>
    <w:rsid w:val="00ED3F74"/>
    <w:rsid w:val="00ED5B9B"/>
    <w:rsid w:val="00ED6BAD"/>
    <w:rsid w:val="00ED7447"/>
    <w:rsid w:val="00ED77ED"/>
    <w:rsid w:val="00EE00D6"/>
    <w:rsid w:val="00EE11E7"/>
    <w:rsid w:val="00EE1488"/>
    <w:rsid w:val="00EE29AD"/>
    <w:rsid w:val="00EE3E24"/>
    <w:rsid w:val="00EE4D5D"/>
    <w:rsid w:val="00EE4FFD"/>
    <w:rsid w:val="00EE502E"/>
    <w:rsid w:val="00EE5131"/>
    <w:rsid w:val="00EE6D5D"/>
    <w:rsid w:val="00EF109B"/>
    <w:rsid w:val="00EF1677"/>
    <w:rsid w:val="00EF201C"/>
    <w:rsid w:val="00EF36AF"/>
    <w:rsid w:val="00EF5171"/>
    <w:rsid w:val="00EF59A3"/>
    <w:rsid w:val="00EF6675"/>
    <w:rsid w:val="00F00F9C"/>
    <w:rsid w:val="00F01030"/>
    <w:rsid w:val="00F01E5F"/>
    <w:rsid w:val="00F024F3"/>
    <w:rsid w:val="00F02ABA"/>
    <w:rsid w:val="00F0437A"/>
    <w:rsid w:val="00F07272"/>
    <w:rsid w:val="00F078BC"/>
    <w:rsid w:val="00F101B8"/>
    <w:rsid w:val="00F11037"/>
    <w:rsid w:val="00F125E2"/>
    <w:rsid w:val="00F16F1B"/>
    <w:rsid w:val="00F22702"/>
    <w:rsid w:val="00F250A9"/>
    <w:rsid w:val="00F267AF"/>
    <w:rsid w:val="00F27B4D"/>
    <w:rsid w:val="00F30FF4"/>
    <w:rsid w:val="00F3122E"/>
    <w:rsid w:val="00F32368"/>
    <w:rsid w:val="00F327AD"/>
    <w:rsid w:val="00F331AD"/>
    <w:rsid w:val="00F332E8"/>
    <w:rsid w:val="00F35287"/>
    <w:rsid w:val="00F407B0"/>
    <w:rsid w:val="00F40A70"/>
    <w:rsid w:val="00F41330"/>
    <w:rsid w:val="00F43A37"/>
    <w:rsid w:val="00F451AB"/>
    <w:rsid w:val="00F4641B"/>
    <w:rsid w:val="00F46EB8"/>
    <w:rsid w:val="00F50CD1"/>
    <w:rsid w:val="00F511E4"/>
    <w:rsid w:val="00F52D09"/>
    <w:rsid w:val="00F52E08"/>
    <w:rsid w:val="00F53A66"/>
    <w:rsid w:val="00F5462D"/>
    <w:rsid w:val="00F547E8"/>
    <w:rsid w:val="00F55B21"/>
    <w:rsid w:val="00F56EF6"/>
    <w:rsid w:val="00F57735"/>
    <w:rsid w:val="00F60082"/>
    <w:rsid w:val="00F61A9F"/>
    <w:rsid w:val="00F61B5F"/>
    <w:rsid w:val="00F64696"/>
    <w:rsid w:val="00F65AA9"/>
    <w:rsid w:val="00F6768F"/>
    <w:rsid w:val="00F70BBD"/>
    <w:rsid w:val="00F72C2C"/>
    <w:rsid w:val="00F74CD4"/>
    <w:rsid w:val="00F7508D"/>
    <w:rsid w:val="00F76CAB"/>
    <w:rsid w:val="00F772C6"/>
    <w:rsid w:val="00F80637"/>
    <w:rsid w:val="00F815B5"/>
    <w:rsid w:val="00F81734"/>
    <w:rsid w:val="00F848C8"/>
    <w:rsid w:val="00F84FA0"/>
    <w:rsid w:val="00F85195"/>
    <w:rsid w:val="00F868E3"/>
    <w:rsid w:val="00F87A03"/>
    <w:rsid w:val="00F938BA"/>
    <w:rsid w:val="00F97919"/>
    <w:rsid w:val="00FA2C46"/>
    <w:rsid w:val="00FA3525"/>
    <w:rsid w:val="00FA3721"/>
    <w:rsid w:val="00FA527E"/>
    <w:rsid w:val="00FA5A53"/>
    <w:rsid w:val="00FA5F18"/>
    <w:rsid w:val="00FA7CB6"/>
    <w:rsid w:val="00FA7D39"/>
    <w:rsid w:val="00FB4769"/>
    <w:rsid w:val="00FB4CDA"/>
    <w:rsid w:val="00FB6481"/>
    <w:rsid w:val="00FB6D36"/>
    <w:rsid w:val="00FC0965"/>
    <w:rsid w:val="00FC0F81"/>
    <w:rsid w:val="00FC1303"/>
    <w:rsid w:val="00FC252F"/>
    <w:rsid w:val="00FC395C"/>
    <w:rsid w:val="00FC535B"/>
    <w:rsid w:val="00FC5E8E"/>
    <w:rsid w:val="00FC78B3"/>
    <w:rsid w:val="00FC7FB6"/>
    <w:rsid w:val="00FD129C"/>
    <w:rsid w:val="00FD2932"/>
    <w:rsid w:val="00FD3307"/>
    <w:rsid w:val="00FD3766"/>
    <w:rsid w:val="00FD47C4"/>
    <w:rsid w:val="00FD722A"/>
    <w:rsid w:val="00FE0D9B"/>
    <w:rsid w:val="00FE1146"/>
    <w:rsid w:val="00FE21E9"/>
    <w:rsid w:val="00FE2DCF"/>
    <w:rsid w:val="00FE32D4"/>
    <w:rsid w:val="00FE3FA7"/>
    <w:rsid w:val="00FE75AC"/>
    <w:rsid w:val="00FF2A4E"/>
    <w:rsid w:val="00FF2FCE"/>
    <w:rsid w:val="00FF4F7D"/>
    <w:rsid w:val="00FF54DF"/>
    <w:rsid w:val="00FF596E"/>
    <w:rsid w:val="00FF5DD5"/>
    <w:rsid w:val="00FF6D9D"/>
    <w:rsid w:val="00FF7DD5"/>
    <w:rsid w:val="038E6EDB"/>
    <w:rsid w:val="10460970"/>
    <w:rsid w:val="12AE1910"/>
    <w:rsid w:val="19E2AD7E"/>
    <w:rsid w:val="1A0DD8E0"/>
    <w:rsid w:val="27FC78E5"/>
    <w:rsid w:val="2A5F020E"/>
    <w:rsid w:val="2F0A3BE3"/>
    <w:rsid w:val="32E276FD"/>
    <w:rsid w:val="380F46DF"/>
    <w:rsid w:val="39C704B7"/>
    <w:rsid w:val="3B3622D5"/>
    <w:rsid w:val="46CAE285"/>
    <w:rsid w:val="4853FD51"/>
    <w:rsid w:val="49F15EF3"/>
    <w:rsid w:val="61FA477A"/>
    <w:rsid w:val="637284A0"/>
    <w:rsid w:val="656F9652"/>
    <w:rsid w:val="6A9762D9"/>
    <w:rsid w:val="6F4CE33B"/>
    <w:rsid w:val="738D3927"/>
    <w:rsid w:val="75AB4E45"/>
    <w:rsid w:val="7AB9BCE4"/>
    <w:rsid w:val="7C3D996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F78E9B"/>
  <w15:docId w15:val="{52ADCD94-34E4-46F5-96DB-CC8E225D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0F5933"/>
    <w:pPr>
      <w:keepNext/>
      <w:keepLines/>
      <w:numPr>
        <w:numId w:val="12"/>
      </w:numPr>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2228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34"/>
    <w:qFormat/>
    <w:rsid w:val="005D6B2A"/>
    <w:pPr>
      <w:ind w:left="720"/>
      <w:contextualSpacing/>
    </w:pPr>
  </w:style>
  <w:style w:type="character" w:customStyle="1" w:styleId="normaltextrun">
    <w:name w:val="normaltextrun"/>
    <w:basedOn w:val="DefaultParagraphFont"/>
    <w:rsid w:val="00957B55"/>
  </w:style>
  <w:style w:type="character" w:customStyle="1" w:styleId="eop">
    <w:name w:val="eop"/>
    <w:basedOn w:val="DefaultParagraphFont"/>
    <w:rsid w:val="00957B55"/>
  </w:style>
  <w:style w:type="paragraph" w:customStyle="1" w:styleId="DHHStabletext">
    <w:name w:val="DHHS table text"/>
    <w:basedOn w:val="Normal"/>
    <w:link w:val="DHHStabletextChar"/>
    <w:uiPriority w:val="99"/>
    <w:qFormat/>
    <w:rsid w:val="00A847D9"/>
    <w:pPr>
      <w:spacing w:before="80" w:after="60" w:line="240" w:lineRule="auto"/>
    </w:pPr>
    <w:rPr>
      <w:rFonts w:eastAsiaTheme="minorHAnsi" w:cs="Arial"/>
      <w:sz w:val="20"/>
    </w:rPr>
  </w:style>
  <w:style w:type="character" w:customStyle="1" w:styleId="DHHStabletextChar">
    <w:name w:val="DHHS table text Char"/>
    <w:basedOn w:val="DefaultParagraphFont"/>
    <w:link w:val="DHHStabletext"/>
    <w:uiPriority w:val="99"/>
    <w:rsid w:val="00A847D9"/>
    <w:rPr>
      <w:rFonts w:ascii="Arial" w:eastAsiaTheme="minorHAnsi" w:hAnsi="Arial" w:cs="Arial"/>
      <w:lang w:eastAsia="en-US"/>
    </w:rPr>
  </w:style>
  <w:style w:type="paragraph" w:customStyle="1" w:styleId="DHHSfigurecaption">
    <w:name w:val="DHHS figure caption"/>
    <w:basedOn w:val="Normal"/>
    <w:next w:val="Normal"/>
    <w:rsid w:val="00A47B36"/>
    <w:pPr>
      <w:keepNext/>
      <w:keepLines/>
      <w:spacing w:before="240" w:line="250" w:lineRule="atLeast"/>
    </w:pPr>
    <w:rPr>
      <w:b/>
    </w:rPr>
  </w:style>
  <w:style w:type="character" w:customStyle="1" w:styleId="ui-provider">
    <w:name w:val="ui-provider"/>
    <w:basedOn w:val="DefaultParagraphFont"/>
    <w:rsid w:val="005A5036"/>
  </w:style>
  <w:style w:type="paragraph" w:customStyle="1" w:styleId="paragraph">
    <w:name w:val="paragraph"/>
    <w:basedOn w:val="Normal"/>
    <w:rsid w:val="007772C0"/>
    <w:pPr>
      <w:spacing w:before="100" w:beforeAutospacing="1" w:after="100" w:afterAutospacing="1" w:line="240" w:lineRule="auto"/>
    </w:pPr>
    <w:rPr>
      <w:rFonts w:ascii="Times New Roman" w:hAnsi="Times New Roman"/>
      <w:sz w:val="24"/>
      <w:szCs w:val="24"/>
      <w:lang w:eastAsia="en-AU"/>
    </w:rPr>
  </w:style>
  <w:style w:type="paragraph" w:styleId="PlainText">
    <w:name w:val="Plain Text"/>
    <w:basedOn w:val="Normal"/>
    <w:link w:val="PlainTextChar"/>
    <w:uiPriority w:val="99"/>
    <w:semiHidden/>
    <w:unhideWhenUsed/>
    <w:rsid w:val="00260BC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260BC2"/>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21086">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70015740">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38904940">
      <w:bodyDiv w:val="1"/>
      <w:marLeft w:val="0"/>
      <w:marRight w:val="0"/>
      <w:marTop w:val="0"/>
      <w:marBottom w:val="0"/>
      <w:divBdr>
        <w:top w:val="none" w:sz="0" w:space="0" w:color="auto"/>
        <w:left w:val="none" w:sz="0" w:space="0" w:color="auto"/>
        <w:bottom w:val="none" w:sz="0" w:space="0" w:color="auto"/>
        <w:right w:val="none" w:sz="0" w:space="0" w:color="auto"/>
      </w:divBdr>
    </w:div>
    <w:div w:id="54541627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07584572">
      <w:bodyDiv w:val="1"/>
      <w:marLeft w:val="0"/>
      <w:marRight w:val="0"/>
      <w:marTop w:val="0"/>
      <w:marBottom w:val="0"/>
      <w:divBdr>
        <w:top w:val="none" w:sz="0" w:space="0" w:color="auto"/>
        <w:left w:val="none" w:sz="0" w:space="0" w:color="auto"/>
        <w:bottom w:val="none" w:sz="0" w:space="0" w:color="auto"/>
        <w:right w:val="none" w:sz="0" w:space="0" w:color="auto"/>
      </w:divBdr>
    </w:div>
    <w:div w:id="138452622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1084287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8022351">
      <w:bodyDiv w:val="1"/>
      <w:marLeft w:val="0"/>
      <w:marRight w:val="0"/>
      <w:marTop w:val="0"/>
      <w:marBottom w:val="0"/>
      <w:divBdr>
        <w:top w:val="none" w:sz="0" w:space="0" w:color="auto"/>
        <w:left w:val="none" w:sz="0" w:space="0" w:color="auto"/>
        <w:bottom w:val="none" w:sz="0" w:space="0" w:color="auto"/>
        <w:right w:val="none" w:sz="0" w:space="0" w:color="auto"/>
      </w:divBdr>
    </w:div>
    <w:div w:id="1972323025">
      <w:bodyDiv w:val="1"/>
      <w:marLeft w:val="0"/>
      <w:marRight w:val="0"/>
      <w:marTop w:val="0"/>
      <w:marBottom w:val="0"/>
      <w:divBdr>
        <w:top w:val="none" w:sz="0" w:space="0" w:color="auto"/>
        <w:left w:val="none" w:sz="0" w:space="0" w:color="auto"/>
        <w:bottom w:val="none" w:sz="0" w:space="0" w:color="auto"/>
        <w:right w:val="none" w:sz="0" w:space="0" w:color="auto"/>
      </w:divBdr>
      <w:divsChild>
        <w:div w:id="11423149">
          <w:marLeft w:val="0"/>
          <w:marRight w:val="0"/>
          <w:marTop w:val="0"/>
          <w:marBottom w:val="0"/>
          <w:divBdr>
            <w:top w:val="none" w:sz="0" w:space="0" w:color="auto"/>
            <w:left w:val="none" w:sz="0" w:space="0" w:color="auto"/>
            <w:bottom w:val="none" w:sz="0" w:space="0" w:color="auto"/>
            <w:right w:val="none" w:sz="0" w:space="0" w:color="auto"/>
          </w:divBdr>
        </w:div>
        <w:div w:id="15737795">
          <w:marLeft w:val="0"/>
          <w:marRight w:val="0"/>
          <w:marTop w:val="0"/>
          <w:marBottom w:val="0"/>
          <w:divBdr>
            <w:top w:val="none" w:sz="0" w:space="0" w:color="auto"/>
            <w:left w:val="none" w:sz="0" w:space="0" w:color="auto"/>
            <w:bottom w:val="none" w:sz="0" w:space="0" w:color="auto"/>
            <w:right w:val="none" w:sz="0" w:space="0" w:color="auto"/>
          </w:divBdr>
        </w:div>
        <w:div w:id="94441611">
          <w:marLeft w:val="0"/>
          <w:marRight w:val="0"/>
          <w:marTop w:val="0"/>
          <w:marBottom w:val="0"/>
          <w:divBdr>
            <w:top w:val="none" w:sz="0" w:space="0" w:color="auto"/>
            <w:left w:val="none" w:sz="0" w:space="0" w:color="auto"/>
            <w:bottom w:val="none" w:sz="0" w:space="0" w:color="auto"/>
            <w:right w:val="none" w:sz="0" w:space="0" w:color="auto"/>
          </w:divBdr>
        </w:div>
        <w:div w:id="160439453">
          <w:marLeft w:val="0"/>
          <w:marRight w:val="0"/>
          <w:marTop w:val="0"/>
          <w:marBottom w:val="0"/>
          <w:divBdr>
            <w:top w:val="none" w:sz="0" w:space="0" w:color="auto"/>
            <w:left w:val="none" w:sz="0" w:space="0" w:color="auto"/>
            <w:bottom w:val="none" w:sz="0" w:space="0" w:color="auto"/>
            <w:right w:val="none" w:sz="0" w:space="0" w:color="auto"/>
          </w:divBdr>
        </w:div>
        <w:div w:id="221408471">
          <w:marLeft w:val="0"/>
          <w:marRight w:val="0"/>
          <w:marTop w:val="0"/>
          <w:marBottom w:val="0"/>
          <w:divBdr>
            <w:top w:val="none" w:sz="0" w:space="0" w:color="auto"/>
            <w:left w:val="none" w:sz="0" w:space="0" w:color="auto"/>
            <w:bottom w:val="none" w:sz="0" w:space="0" w:color="auto"/>
            <w:right w:val="none" w:sz="0" w:space="0" w:color="auto"/>
          </w:divBdr>
        </w:div>
        <w:div w:id="735398869">
          <w:marLeft w:val="0"/>
          <w:marRight w:val="0"/>
          <w:marTop w:val="0"/>
          <w:marBottom w:val="0"/>
          <w:divBdr>
            <w:top w:val="none" w:sz="0" w:space="0" w:color="auto"/>
            <w:left w:val="none" w:sz="0" w:space="0" w:color="auto"/>
            <w:bottom w:val="none" w:sz="0" w:space="0" w:color="auto"/>
            <w:right w:val="none" w:sz="0" w:space="0" w:color="auto"/>
          </w:divBdr>
        </w:div>
        <w:div w:id="992640331">
          <w:marLeft w:val="0"/>
          <w:marRight w:val="0"/>
          <w:marTop w:val="0"/>
          <w:marBottom w:val="0"/>
          <w:divBdr>
            <w:top w:val="none" w:sz="0" w:space="0" w:color="auto"/>
            <w:left w:val="none" w:sz="0" w:space="0" w:color="auto"/>
            <w:bottom w:val="none" w:sz="0" w:space="0" w:color="auto"/>
            <w:right w:val="none" w:sz="0" w:space="0" w:color="auto"/>
          </w:divBdr>
        </w:div>
        <w:div w:id="997658727">
          <w:marLeft w:val="0"/>
          <w:marRight w:val="0"/>
          <w:marTop w:val="0"/>
          <w:marBottom w:val="0"/>
          <w:divBdr>
            <w:top w:val="none" w:sz="0" w:space="0" w:color="auto"/>
            <w:left w:val="none" w:sz="0" w:space="0" w:color="auto"/>
            <w:bottom w:val="none" w:sz="0" w:space="0" w:color="auto"/>
            <w:right w:val="none" w:sz="0" w:space="0" w:color="auto"/>
          </w:divBdr>
        </w:div>
        <w:div w:id="1022319796">
          <w:marLeft w:val="0"/>
          <w:marRight w:val="0"/>
          <w:marTop w:val="0"/>
          <w:marBottom w:val="0"/>
          <w:divBdr>
            <w:top w:val="none" w:sz="0" w:space="0" w:color="auto"/>
            <w:left w:val="none" w:sz="0" w:space="0" w:color="auto"/>
            <w:bottom w:val="none" w:sz="0" w:space="0" w:color="auto"/>
            <w:right w:val="none" w:sz="0" w:space="0" w:color="auto"/>
          </w:divBdr>
        </w:div>
        <w:div w:id="1030381234">
          <w:marLeft w:val="0"/>
          <w:marRight w:val="0"/>
          <w:marTop w:val="0"/>
          <w:marBottom w:val="0"/>
          <w:divBdr>
            <w:top w:val="none" w:sz="0" w:space="0" w:color="auto"/>
            <w:left w:val="none" w:sz="0" w:space="0" w:color="auto"/>
            <w:bottom w:val="none" w:sz="0" w:space="0" w:color="auto"/>
            <w:right w:val="none" w:sz="0" w:space="0" w:color="auto"/>
          </w:divBdr>
        </w:div>
        <w:div w:id="1031614811">
          <w:marLeft w:val="0"/>
          <w:marRight w:val="0"/>
          <w:marTop w:val="0"/>
          <w:marBottom w:val="0"/>
          <w:divBdr>
            <w:top w:val="none" w:sz="0" w:space="0" w:color="auto"/>
            <w:left w:val="none" w:sz="0" w:space="0" w:color="auto"/>
            <w:bottom w:val="none" w:sz="0" w:space="0" w:color="auto"/>
            <w:right w:val="none" w:sz="0" w:space="0" w:color="auto"/>
          </w:divBdr>
        </w:div>
        <w:div w:id="1167942529">
          <w:marLeft w:val="0"/>
          <w:marRight w:val="0"/>
          <w:marTop w:val="0"/>
          <w:marBottom w:val="0"/>
          <w:divBdr>
            <w:top w:val="none" w:sz="0" w:space="0" w:color="auto"/>
            <w:left w:val="none" w:sz="0" w:space="0" w:color="auto"/>
            <w:bottom w:val="none" w:sz="0" w:space="0" w:color="auto"/>
            <w:right w:val="none" w:sz="0" w:space="0" w:color="auto"/>
          </w:divBdr>
        </w:div>
        <w:div w:id="1403790438">
          <w:marLeft w:val="0"/>
          <w:marRight w:val="0"/>
          <w:marTop w:val="0"/>
          <w:marBottom w:val="0"/>
          <w:divBdr>
            <w:top w:val="none" w:sz="0" w:space="0" w:color="auto"/>
            <w:left w:val="none" w:sz="0" w:space="0" w:color="auto"/>
            <w:bottom w:val="none" w:sz="0" w:space="0" w:color="auto"/>
            <w:right w:val="none" w:sz="0" w:space="0" w:color="auto"/>
          </w:divBdr>
        </w:div>
        <w:div w:id="2025588738">
          <w:marLeft w:val="0"/>
          <w:marRight w:val="0"/>
          <w:marTop w:val="0"/>
          <w:marBottom w:val="0"/>
          <w:divBdr>
            <w:top w:val="none" w:sz="0" w:space="0" w:color="auto"/>
            <w:left w:val="none" w:sz="0" w:space="0" w:color="auto"/>
            <w:bottom w:val="none" w:sz="0" w:space="0" w:color="auto"/>
            <w:right w:val="none" w:sz="0" w:space="0" w:color="auto"/>
          </w:divBdr>
        </w:div>
        <w:div w:id="2033726303">
          <w:marLeft w:val="0"/>
          <w:marRight w:val="0"/>
          <w:marTop w:val="0"/>
          <w:marBottom w:val="0"/>
          <w:divBdr>
            <w:top w:val="none" w:sz="0" w:space="0" w:color="auto"/>
            <w:left w:val="none" w:sz="0" w:space="0" w:color="auto"/>
            <w:bottom w:val="none" w:sz="0" w:space="0" w:color="auto"/>
            <w:right w:val="none" w:sz="0" w:space="0" w:color="auto"/>
          </w:divBdr>
        </w:div>
        <w:div w:id="2036271079">
          <w:marLeft w:val="0"/>
          <w:marRight w:val="0"/>
          <w:marTop w:val="0"/>
          <w:marBottom w:val="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data-reporting/health-data-standards-and-systems-communications" TargetMode="External"/><Relationship Id="rId26" Type="http://schemas.openxmlformats.org/officeDocument/2006/relationships/hyperlink" Target="https://www.health.vic.gov.au/data-reporting/health-data-standards-and-systems" TargetMode="External"/><Relationship Id="rId3" Type="http://schemas.openxmlformats.org/officeDocument/2006/relationships/customXml" Target="../customXml/item3.xml"/><Relationship Id="rId21" Type="http://schemas.openxmlformats.org/officeDocument/2006/relationships/hyperlink" Target="mailto:HDSS.Helpdesk@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ealth.vic.gov.au/publications/non-admitted-clinic-management-system-nacms-manual" TargetMode="External"/><Relationship Id="rId25" Type="http://schemas.openxmlformats.org/officeDocument/2006/relationships/hyperlink" Target="https://www.health.vic.gov.au/policy-and-funding-guidelines-for-health-services" TargetMode="External"/><Relationship Id="rId2" Type="http://schemas.openxmlformats.org/officeDocument/2006/relationships/customXml" Target="../customXml/item2.xml"/><Relationship Id="rId16" Type="http://schemas.openxmlformats.org/officeDocument/2006/relationships/hyperlink" Target="https://www.health.vic.gov.au/policy-and-funding-guidelines-for-health-services" TargetMode="External"/><Relationship Id="rId20" Type="http://schemas.openxmlformats.org/officeDocument/2006/relationships/hyperlink" Target="https://www.health.vic.gov.au/publications/victorian-admitted-episodes-dataset-vaed-manual-2024-2025?utm_medium=email&amp;utm_campaign=Health-Service-Bulletin-22-April-2025&amp;utm_content=health.vic.gov.au%2Fpublications%2Fvictorian-admitted-episodes-dataset-vaed-manual-2024-2025&amp;utm_source=comms.health.vic.gov.au" TargetMode="External"/><Relationship Id="rId29" Type="http://schemas.openxmlformats.org/officeDocument/2006/relationships/hyperlink" Target="mailto:HDSS.Helpdesk@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patient-care/subcutaneous-immunoglobulin-scig-access-progra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cid:image001.png@01DBC8B1.982834E0" TargetMode="External"/><Relationship Id="rId28" Type="http://schemas.openxmlformats.org/officeDocument/2006/relationships/hyperlink" Target="https://vahi.freshdesk.com/support/home" TargetMode="External"/><Relationship Id="rId10" Type="http://schemas.openxmlformats.org/officeDocument/2006/relationships/endnotes" Target="endnotes.xml"/><Relationship Id="rId19" Type="http://schemas.openxmlformats.org/officeDocument/2006/relationships/hyperlink" Target="mailto:hdss.helpdesk@health.vic.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hyperlink" Target="mailto:HDSS.Helpdesk@health.vic.gov.au" TargetMode="External"/><Relationship Id="rId30" Type="http://schemas.openxmlformats.org/officeDocument/2006/relationships/hyperlink" Target="https://www.health.vic.gov.au/data-reporting/communica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purl.org/dc/elements/1.1/"/>
    <ds:schemaRef ds:uri="94bc056a-3dcd-43bf-833c-9576dc02d306"/>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d6d6ff12-edda-4b6b-995b-9d08d1faa84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A9FA62AE-7276-4425-B937-A75B8BD85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8</Pages>
  <Words>2335</Words>
  <Characters>15598</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HDSS Bulletin Issue 278</vt:lpstr>
    </vt:vector>
  </TitlesOfParts>
  <Company>Victoria State Government, Department of Health</Company>
  <LinksUpToDate>false</LinksUpToDate>
  <CharactersWithSpaces>17898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284</dc:title>
  <dc:subject/>
  <dc:creator>HDSS Helpdesk</dc:creator>
  <cp:keywords/>
  <cp:lastModifiedBy>Caile A Davenport (Health)</cp:lastModifiedBy>
  <cp:revision>216</cp:revision>
  <cp:lastPrinted>2020-04-02T03:28:00Z</cp:lastPrinted>
  <dcterms:created xsi:type="dcterms:W3CDTF">2024-06-27T10:51:00Z</dcterms:created>
  <dcterms:modified xsi:type="dcterms:W3CDTF">2025-05-29T01:41:00Z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2021-02-19T07:55:18Z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1700</vt:r8>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TemplateVersion">
    <vt:i4>1</vt:i4>
  </property>
  <property fmtid="{D5CDD505-2E9C-101B-9397-08002B2CF9AE}" pid="17" name="Category">
    <vt:lpwstr>Factsheet</vt:lpwstr>
  </property>
  <property fmtid="{D5CDD505-2E9C-101B-9397-08002B2CF9AE}" pid="18" name="xd_Signature">
    <vt:bool>false</vt:bool>
  </property>
  <property fmtid="{D5CDD505-2E9C-101B-9397-08002B2CF9AE}" pid="19" name="MediaServiceImageTags">
    <vt:lpwstr/>
  </property>
  <property fmtid="{D5CDD505-2E9C-101B-9397-08002B2CF9AE}" pid="20" name="GrammarlyDocumentId">
    <vt:lpwstr>5b31a01b-e829-40a3-97b2-cbcdf7985c1a</vt:lpwstr>
  </property>
  <property fmtid="{D5CDD505-2E9C-101B-9397-08002B2CF9AE}" pid="21" name="_MarkAsFinal">
    <vt:bool>true</vt:bool>
  </property>
</Properties>
</file>