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B59C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749AFDD5" wp14:editId="7908DA3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9EF7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52"/>
        <w:tblW w:w="10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57"/>
      </w:tblGrid>
      <w:tr w:rsidR="00353483" w14:paraId="3BD02FA4" w14:textId="77777777" w:rsidTr="00353483">
        <w:trPr>
          <w:trHeight w:val="690"/>
        </w:trPr>
        <w:tc>
          <w:tcPr>
            <w:tcW w:w="10257" w:type="dxa"/>
            <w:tcMar>
              <w:top w:w="1531" w:type="dxa"/>
              <w:left w:w="0" w:type="dxa"/>
              <w:right w:w="0" w:type="dxa"/>
            </w:tcMar>
          </w:tcPr>
          <w:p w14:paraId="4F70F768" w14:textId="77777777" w:rsidR="00353483" w:rsidRPr="0052445D" w:rsidRDefault="00353483" w:rsidP="00353483">
            <w:pPr>
              <w:pStyle w:val="Documenttitle"/>
              <w:spacing w:after="120"/>
              <w:rPr>
                <w:sz w:val="40"/>
                <w:szCs w:val="40"/>
              </w:rPr>
            </w:pPr>
            <w:bookmarkStart w:id="0" w:name="_Hlk173324071"/>
            <w:r>
              <w:rPr>
                <w:sz w:val="40"/>
                <w:szCs w:val="40"/>
              </w:rPr>
              <w:t>Victorian c</w:t>
            </w:r>
            <w:r w:rsidRPr="45F93464">
              <w:rPr>
                <w:sz w:val="40"/>
                <w:szCs w:val="40"/>
              </w:rPr>
              <w:t xml:space="preserve">atch-up </w:t>
            </w:r>
            <w:r>
              <w:rPr>
                <w:sz w:val="40"/>
                <w:szCs w:val="40"/>
              </w:rPr>
              <w:t xml:space="preserve">vaccination </w:t>
            </w:r>
            <w:r w:rsidRPr="45F93464">
              <w:rPr>
                <w:sz w:val="40"/>
                <w:szCs w:val="40"/>
              </w:rPr>
              <w:t>guidelines for 10 years and older</w:t>
            </w:r>
          </w:p>
        </w:tc>
      </w:tr>
      <w:tr w:rsidR="00353483" w14:paraId="3FCC1D63" w14:textId="77777777" w:rsidTr="00353483">
        <w:trPr>
          <w:trHeight w:val="487"/>
        </w:trPr>
        <w:tc>
          <w:tcPr>
            <w:tcW w:w="10257" w:type="dxa"/>
          </w:tcPr>
          <w:p w14:paraId="3CC07EC5" w14:textId="77777777" w:rsidR="00353483" w:rsidRPr="00A1389F" w:rsidRDefault="00353483" w:rsidP="00353483">
            <w:pPr>
              <w:pStyle w:val="Documentsubtitle"/>
            </w:pPr>
            <w:r>
              <w:t>Information for immunisation providers</w:t>
            </w:r>
          </w:p>
        </w:tc>
      </w:tr>
      <w:bookmarkEnd w:id="0"/>
      <w:tr w:rsidR="00353483" w14:paraId="6635B0EF" w14:textId="77777777" w:rsidTr="00353483">
        <w:trPr>
          <w:trHeight w:val="309"/>
        </w:trPr>
        <w:tc>
          <w:tcPr>
            <w:tcW w:w="10257" w:type="dxa"/>
          </w:tcPr>
          <w:p w14:paraId="1490464B" w14:textId="77777777" w:rsidR="00353483" w:rsidRDefault="00353483" w:rsidP="00353483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>
              <w:t>OFFICIAL</w:t>
            </w:r>
            <w:r>
              <w:fldChar w:fldCharType="end"/>
            </w:r>
          </w:p>
          <w:p w14:paraId="7DE5713A" w14:textId="77777777" w:rsidR="00353483" w:rsidRPr="001E5058" w:rsidRDefault="00353483" w:rsidP="00353483">
            <w:pPr>
              <w:pStyle w:val="Bannermarking"/>
            </w:pPr>
          </w:p>
        </w:tc>
      </w:tr>
    </w:tbl>
    <w:p w14:paraId="09DC021E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C0B2E8C" w14:textId="2045A79C" w:rsidR="00353483" w:rsidRPr="00B57329" w:rsidRDefault="00353483" w:rsidP="00353483">
      <w:pPr>
        <w:pStyle w:val="TOCheadingfactsheet"/>
        <w:tabs>
          <w:tab w:val="left" w:pos="9214"/>
        </w:tabs>
        <w:spacing w:before="240"/>
      </w:pPr>
      <w:bookmarkStart w:id="1" w:name="_Hlk173324022"/>
      <w:bookmarkStart w:id="2" w:name="_Hlk41913885"/>
      <w:r w:rsidRPr="00B57329">
        <w:t>Contents</w:t>
      </w:r>
    </w:p>
    <w:sdt>
      <w:sdtPr>
        <w:rPr>
          <w:rFonts w:cs="Arial"/>
          <w:b/>
          <w:noProof w:val="0"/>
          <w:szCs w:val="21"/>
        </w:rPr>
        <w:id w:val="-1098634911"/>
        <w:docPartObj>
          <w:docPartGallery w:val="Table of Contents"/>
          <w:docPartUnique/>
        </w:docPartObj>
      </w:sdtPr>
      <w:sdtEndPr>
        <w:rPr>
          <w:b w:val="0"/>
          <w:szCs w:val="20"/>
        </w:rPr>
      </w:sdtEndPr>
      <w:sdtContent>
        <w:p w14:paraId="4851E621" w14:textId="125770D8" w:rsidR="00CE3ACF" w:rsidRDefault="00353483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 w:rsidRPr="000B7B95">
            <w:rPr>
              <w:rFonts w:eastAsiaTheme="minorEastAsia" w:cs="Arial"/>
              <w:noProof w:val="0"/>
              <w:szCs w:val="21"/>
              <w:lang w:val="en-US"/>
            </w:rPr>
            <w:fldChar w:fldCharType="begin"/>
          </w:r>
          <w:r w:rsidRPr="000B7B95">
            <w:rPr>
              <w:rFonts w:cs="Arial"/>
              <w:szCs w:val="21"/>
            </w:rPr>
            <w:instrText xml:space="preserve"> TOC \o "1-3" \h \z \u </w:instrText>
          </w:r>
          <w:r w:rsidRPr="000B7B95">
            <w:rPr>
              <w:rFonts w:eastAsiaTheme="minorEastAsia" w:cs="Arial"/>
              <w:noProof w:val="0"/>
              <w:szCs w:val="21"/>
              <w:lang w:val="en-US"/>
            </w:rPr>
            <w:fldChar w:fldCharType="separate"/>
          </w:r>
          <w:hyperlink w:anchor="_Toc206760183" w:history="1">
            <w:r w:rsidR="00CE3ACF" w:rsidRPr="00EB5CEC">
              <w:rPr>
                <w:rStyle w:val="Hyperlink"/>
              </w:rPr>
              <w:t>Eligibility for funded vaccines</w:t>
            </w:r>
            <w:r w:rsidR="00CE3ACF">
              <w:rPr>
                <w:webHidden/>
              </w:rPr>
              <w:tab/>
            </w:r>
            <w:r w:rsidR="00CE3ACF">
              <w:rPr>
                <w:webHidden/>
              </w:rPr>
              <w:fldChar w:fldCharType="begin"/>
            </w:r>
            <w:r w:rsidR="00CE3ACF">
              <w:rPr>
                <w:webHidden/>
              </w:rPr>
              <w:instrText xml:space="preserve"> PAGEREF _Toc206760183 \h </w:instrText>
            </w:r>
            <w:r w:rsidR="00CE3ACF">
              <w:rPr>
                <w:webHidden/>
              </w:rPr>
            </w:r>
            <w:r w:rsidR="00CE3ACF">
              <w:rPr>
                <w:webHidden/>
              </w:rPr>
              <w:fldChar w:fldCharType="separate"/>
            </w:r>
            <w:r w:rsidR="009960A8">
              <w:rPr>
                <w:webHidden/>
              </w:rPr>
              <w:t>1</w:t>
            </w:r>
            <w:r w:rsidR="00CE3ACF">
              <w:rPr>
                <w:webHidden/>
              </w:rPr>
              <w:fldChar w:fldCharType="end"/>
            </w:r>
          </w:hyperlink>
        </w:p>
        <w:p w14:paraId="08F64FF1" w14:textId="08EB48C1" w:rsidR="00CE3ACF" w:rsidRDefault="00CE3A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760184" w:history="1">
            <w:r w:rsidRPr="00EB5CEC">
              <w:rPr>
                <w:rStyle w:val="Hyperlink"/>
              </w:rPr>
              <w:t>How to read the tables in the catch-up guideline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_Toc206760184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960A8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C657CC2" w14:textId="14ED8FF3" w:rsidR="00CE3ACF" w:rsidRDefault="00CE3ACF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760185" w:history="1">
            <w:r w:rsidRPr="00EB5CEC">
              <w:rPr>
                <w:rStyle w:val="Hyperlink"/>
                <w:noProof/>
              </w:rPr>
              <w:t>Table 1. Antigens and vaccine brands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0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FFEC3" w14:textId="4C7AFED7" w:rsidR="00CE3ACF" w:rsidRDefault="00CE3ACF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760186" w:history="1">
            <w:r w:rsidRPr="00EB5CEC">
              <w:rPr>
                <w:rStyle w:val="Hyperlink"/>
                <w:noProof/>
              </w:rPr>
              <w:t>Table 2.  Standard vaccination catch-up recommendations for healthy people aged 10 – 19 years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0A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D420D" w14:textId="0727F0D9" w:rsidR="00CE3ACF" w:rsidRDefault="00CE3ACF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760187" w:history="1">
            <w:r w:rsidRPr="00EB5CEC">
              <w:rPr>
                <w:rStyle w:val="Hyperlink"/>
                <w:noProof/>
              </w:rPr>
              <w:t>Table 3. National Immunisation Program and Victorian funded vaccines for people aged ≥ 20 years - no immunisation records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60A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BC3F1" w14:textId="5C8C62EB" w:rsidR="00CE3ACF" w:rsidRDefault="00CE3A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760188" w:history="1">
            <w:r w:rsidRPr="00EB5CEC">
              <w:rPr>
                <w:rStyle w:val="Hyperlink"/>
              </w:rPr>
              <w:t>Pregnant women- NIP funded vaccines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_Toc206760188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960A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F08B884" w14:textId="0F55923C" w:rsidR="00CE3ACF" w:rsidRDefault="00CE3A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6760189" w:history="1">
            <w:r w:rsidRPr="00EB5CEC">
              <w:rPr>
                <w:rStyle w:val="Hyperlink"/>
              </w:rPr>
              <w:t>Resources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_Toc206760189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960A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7249D8C" w14:textId="5C9B49C3" w:rsidR="00353483" w:rsidRPr="002C0585" w:rsidRDefault="00353483" w:rsidP="00353483">
          <w:pPr>
            <w:rPr>
              <w:rFonts w:cs="Arial"/>
            </w:rPr>
          </w:pPr>
          <w:r w:rsidRPr="000B7B95">
            <w:rPr>
              <w:rFonts w:cs="Arial"/>
              <w:b/>
              <w:bCs/>
              <w:noProof/>
              <w:szCs w:val="21"/>
            </w:rPr>
            <w:fldChar w:fldCharType="end"/>
          </w:r>
        </w:p>
      </w:sdtContent>
    </w:sdt>
    <w:p w14:paraId="32BCF6BA" w14:textId="77777777" w:rsidR="00353483" w:rsidRPr="00113B0B" w:rsidRDefault="00353483" w:rsidP="00353483">
      <w:pPr>
        <w:pStyle w:val="Heading2"/>
        <w:spacing w:after="120"/>
        <w:rPr>
          <w:sz w:val="20"/>
          <w:szCs w:val="20"/>
        </w:rPr>
      </w:pPr>
      <w:bookmarkStart w:id="3" w:name="_Toc206760183"/>
      <w:r w:rsidRPr="00113B0B">
        <w:t>Eligibility for funded vaccines</w:t>
      </w:r>
      <w:bookmarkEnd w:id="3"/>
    </w:p>
    <w:p w14:paraId="16520282" w14:textId="77777777" w:rsidR="00353483" w:rsidRPr="002E1F1E" w:rsidRDefault="00353483" w:rsidP="00353483">
      <w:pPr>
        <w:pStyle w:val="EndnoteText"/>
        <w:rPr>
          <w:sz w:val="21"/>
          <w:szCs w:val="21"/>
        </w:rPr>
      </w:pPr>
      <w:r w:rsidRPr="002E1F1E">
        <w:rPr>
          <w:rFonts w:cs="Arial"/>
          <w:sz w:val="21"/>
          <w:szCs w:val="21"/>
          <w:shd w:val="clear" w:color="auto" w:fill="FFFFFF"/>
        </w:rPr>
        <w:t xml:space="preserve">All vaccines listed in the </w:t>
      </w:r>
      <w:hyperlink r:id="rId16" w:history="1">
        <w:r w:rsidRPr="00B206B5">
          <w:rPr>
            <w:rStyle w:val="Hyperlink"/>
            <w:sz w:val="21"/>
            <w:szCs w:val="21"/>
          </w:rPr>
          <w:t>National Immunisation Program (</w:t>
        </w:r>
        <w:r w:rsidRPr="00B206B5">
          <w:rPr>
            <w:rStyle w:val="Hyperlink"/>
            <w:rFonts w:cs="Arial"/>
            <w:sz w:val="21"/>
            <w:szCs w:val="21"/>
            <w:shd w:val="clear" w:color="auto" w:fill="FFFFFF"/>
          </w:rPr>
          <w:t>NIP) Schedule</w:t>
        </w:r>
      </w:hyperlink>
      <w:r w:rsidRPr="002E1F1E">
        <w:rPr>
          <w:rFonts w:cs="Arial"/>
          <w:sz w:val="21"/>
          <w:szCs w:val="21"/>
          <w:shd w:val="clear" w:color="auto" w:fill="FFFFFF"/>
        </w:rPr>
        <w:t xml:space="preserve"> are free. Eligibility for NIP</w:t>
      </w:r>
      <w:r>
        <w:rPr>
          <w:rFonts w:cs="Arial"/>
          <w:sz w:val="21"/>
          <w:szCs w:val="21"/>
          <w:shd w:val="clear" w:color="auto" w:fill="FFFFFF"/>
        </w:rPr>
        <w:t xml:space="preserve"> </w:t>
      </w:r>
      <w:r w:rsidRPr="002E1F1E">
        <w:rPr>
          <w:rFonts w:cs="Arial"/>
          <w:sz w:val="21"/>
          <w:szCs w:val="21"/>
          <w:shd w:val="clear" w:color="auto" w:fill="FFFFFF"/>
        </w:rPr>
        <w:t>funded vaccines is linked to </w:t>
      </w:r>
      <w:hyperlink r:id="rId17" w:anchor="whocan" w:history="1">
        <w:r w:rsidRPr="00C81F88">
          <w:rPr>
            <w:rStyle w:val="Hyperlink"/>
            <w:rFonts w:cs="Arial"/>
            <w:sz w:val="21"/>
            <w:szCs w:val="21"/>
            <w:shd w:val="clear" w:color="auto" w:fill="FFFFFF"/>
          </w:rPr>
          <w:t>eligibility for Medicare benefits.</w:t>
        </w:r>
      </w:hyperlink>
    </w:p>
    <w:p w14:paraId="6336ECE5" w14:textId="77777777" w:rsidR="00353483" w:rsidRPr="002E1F1E" w:rsidRDefault="00353483" w:rsidP="00353483">
      <w:pPr>
        <w:pStyle w:val="EndnoteText"/>
        <w:numPr>
          <w:ilvl w:val="0"/>
          <w:numId w:val="40"/>
        </w:numPr>
        <w:spacing w:before="120"/>
        <w:ind w:left="414" w:hanging="357"/>
        <w:rPr>
          <w:rFonts w:cs="Arial"/>
          <w:sz w:val="21"/>
          <w:szCs w:val="21"/>
        </w:rPr>
      </w:pPr>
      <w:hyperlink r:id="rId18" w:history="1">
        <w:r w:rsidRPr="007C4DB8">
          <w:rPr>
            <w:rStyle w:val="Hyperlink"/>
            <w:rFonts w:cs="Arial"/>
            <w:sz w:val="21"/>
            <w:szCs w:val="21"/>
            <w:shd w:val="clear" w:color="auto" w:fill="FFFFFF"/>
          </w:rPr>
          <w:t>Catch-up</w:t>
        </w:r>
        <w:r>
          <w:rPr>
            <w:rStyle w:val="Hyperlink"/>
            <w:rFonts w:cs="Arial"/>
            <w:sz w:val="21"/>
            <w:szCs w:val="21"/>
            <w:shd w:val="clear" w:color="auto" w:fill="FFFFFF"/>
          </w:rPr>
          <w:t xml:space="preserve"> </w:t>
        </w:r>
        <w:r w:rsidRPr="007C4DB8">
          <w:rPr>
            <w:rStyle w:val="Hyperlink"/>
            <w:rFonts w:cs="Arial"/>
            <w:sz w:val="21"/>
            <w:szCs w:val="21"/>
            <w:shd w:val="clear" w:color="auto" w:fill="FFFFFF"/>
          </w:rPr>
          <w:t>immunisations</w:t>
        </w:r>
      </w:hyperlink>
      <w:r w:rsidRPr="002E1F1E">
        <w:rPr>
          <w:rFonts w:cs="Arial"/>
          <w:color w:val="313131"/>
          <w:sz w:val="21"/>
          <w:szCs w:val="21"/>
          <w:shd w:val="clear" w:color="auto" w:fill="FFFFFF"/>
        </w:rPr>
        <w:t xml:space="preserve"> </w:t>
      </w:r>
      <w:r w:rsidRPr="002E1F1E">
        <w:rPr>
          <w:rFonts w:cs="Arial"/>
          <w:sz w:val="21"/>
          <w:szCs w:val="21"/>
          <w:shd w:val="clear" w:color="auto" w:fill="FFFFFF"/>
        </w:rPr>
        <w:t>are NIP</w:t>
      </w:r>
      <w:r>
        <w:rPr>
          <w:rFonts w:cs="Arial"/>
          <w:sz w:val="21"/>
          <w:szCs w:val="21"/>
          <w:shd w:val="clear" w:color="auto" w:fill="FFFFFF"/>
        </w:rPr>
        <w:t xml:space="preserve"> </w:t>
      </w:r>
      <w:r w:rsidRPr="002E1F1E">
        <w:rPr>
          <w:rFonts w:cs="Arial"/>
          <w:sz w:val="21"/>
          <w:szCs w:val="21"/>
          <w:shd w:val="clear" w:color="auto" w:fill="FFFFFF"/>
        </w:rPr>
        <w:t xml:space="preserve">funded for </w:t>
      </w:r>
      <w:r>
        <w:rPr>
          <w:rFonts w:cs="Arial"/>
          <w:sz w:val="21"/>
          <w:szCs w:val="21"/>
          <w:shd w:val="clear" w:color="auto" w:fill="FFFFFF"/>
        </w:rPr>
        <w:t xml:space="preserve">all </w:t>
      </w:r>
      <w:r w:rsidRPr="002E1F1E">
        <w:rPr>
          <w:rFonts w:cs="Arial"/>
          <w:sz w:val="21"/>
          <w:szCs w:val="21"/>
          <w:shd w:val="clear" w:color="auto" w:fill="FFFFFF"/>
        </w:rPr>
        <w:t>people up to 20 years of age (</w:t>
      </w:r>
      <w:r>
        <w:rPr>
          <w:rFonts w:cs="Arial"/>
          <w:sz w:val="21"/>
          <w:szCs w:val="21"/>
          <w:shd w:val="clear" w:color="auto" w:fill="FFFFFF"/>
        </w:rPr>
        <w:t>and people aged 25 years and under who have missed human papillomavirus (HPV) vaccination).</w:t>
      </w:r>
      <w:r w:rsidRPr="002E1F1E">
        <w:rPr>
          <w:rFonts w:cs="Arial"/>
          <w:sz w:val="21"/>
          <w:szCs w:val="21"/>
          <w:shd w:val="clear" w:color="auto" w:fill="FFFFFF"/>
        </w:rPr>
        <w:t xml:space="preserve"> </w:t>
      </w:r>
    </w:p>
    <w:p w14:paraId="4D2B0BD2" w14:textId="77777777" w:rsidR="00353483" w:rsidRDefault="00353483" w:rsidP="00353483">
      <w:pPr>
        <w:pStyle w:val="EndnoteText"/>
        <w:numPr>
          <w:ilvl w:val="0"/>
          <w:numId w:val="40"/>
        </w:numPr>
        <w:ind w:left="417"/>
        <w:rPr>
          <w:sz w:val="21"/>
          <w:szCs w:val="21"/>
        </w:rPr>
      </w:pPr>
      <w:r w:rsidRPr="002E1F1E">
        <w:rPr>
          <w:sz w:val="21"/>
          <w:szCs w:val="21"/>
        </w:rPr>
        <w:t>Refugees and humanitarian entrants aged 20 years and over are eligible for the following vaccines if they were missed</w:t>
      </w:r>
      <w:r>
        <w:rPr>
          <w:sz w:val="21"/>
          <w:szCs w:val="21"/>
        </w:rPr>
        <w:t xml:space="preserve">. </w:t>
      </w:r>
      <w:r w:rsidRPr="002E1F1E">
        <w:rPr>
          <w:sz w:val="21"/>
          <w:szCs w:val="21"/>
        </w:rPr>
        <w:t xml:space="preserve">Refer to the </w:t>
      </w:r>
      <w:hyperlink r:id="rId19" w:history="1">
        <w:r w:rsidRPr="00CA0C42">
          <w:rPr>
            <w:rStyle w:val="Hyperlink"/>
            <w:sz w:val="21"/>
            <w:szCs w:val="21"/>
          </w:rPr>
          <w:t>Australian Immunisation Handbook</w:t>
        </w:r>
      </w:hyperlink>
      <w:r>
        <w:rPr>
          <w:sz w:val="21"/>
          <w:szCs w:val="21"/>
        </w:rPr>
        <w:t xml:space="preserve"> (the handbook)</w:t>
      </w:r>
      <w:r w:rsidRPr="002E1F1E">
        <w:rPr>
          <w:sz w:val="21"/>
          <w:szCs w:val="21"/>
        </w:rPr>
        <w:t xml:space="preserve"> for timing of doses. </w:t>
      </w:r>
    </w:p>
    <w:p w14:paraId="07715015" w14:textId="77777777" w:rsidR="00353483" w:rsidRDefault="00353483" w:rsidP="00353483">
      <w:pPr>
        <w:pStyle w:val="EndnoteText"/>
        <w:numPr>
          <w:ilvl w:val="1"/>
          <w:numId w:val="40"/>
        </w:numPr>
        <w:rPr>
          <w:sz w:val="21"/>
          <w:szCs w:val="21"/>
        </w:rPr>
        <w:sectPr w:rsidR="00353483" w:rsidSect="00353483">
          <w:footerReference w:type="default" r:id="rId20"/>
          <w:type w:val="continuous"/>
          <w:pgSz w:w="11906" w:h="16838" w:code="9"/>
          <w:pgMar w:top="720" w:right="720" w:bottom="720" w:left="720" w:header="680" w:footer="851" w:gutter="0"/>
          <w:cols w:space="340"/>
          <w:docGrid w:linePitch="360"/>
        </w:sectPr>
      </w:pPr>
    </w:p>
    <w:p w14:paraId="2119F279" w14:textId="77777777" w:rsidR="00353483" w:rsidRDefault="00353483" w:rsidP="00353483">
      <w:pPr>
        <w:pStyle w:val="EndnoteText"/>
        <w:numPr>
          <w:ilvl w:val="1"/>
          <w:numId w:val="40"/>
        </w:numPr>
        <w:ind w:left="1080"/>
        <w:rPr>
          <w:sz w:val="21"/>
          <w:szCs w:val="21"/>
        </w:rPr>
      </w:pPr>
      <w:r>
        <w:rPr>
          <w:sz w:val="21"/>
          <w:szCs w:val="21"/>
        </w:rPr>
        <w:t>D</w:t>
      </w:r>
      <w:r w:rsidRPr="002E1F1E">
        <w:rPr>
          <w:sz w:val="21"/>
          <w:szCs w:val="21"/>
        </w:rPr>
        <w:t xml:space="preserve">iphtheria-tetanus-pertussis </w:t>
      </w:r>
    </w:p>
    <w:p w14:paraId="7B77D250" w14:textId="77777777" w:rsidR="00353483" w:rsidRDefault="00353483" w:rsidP="00353483">
      <w:pPr>
        <w:pStyle w:val="EndnoteText"/>
        <w:numPr>
          <w:ilvl w:val="1"/>
          <w:numId w:val="40"/>
        </w:numPr>
        <w:ind w:left="1080"/>
        <w:rPr>
          <w:sz w:val="21"/>
          <w:szCs w:val="21"/>
        </w:rPr>
      </w:pPr>
      <w:r>
        <w:rPr>
          <w:sz w:val="21"/>
          <w:szCs w:val="21"/>
        </w:rPr>
        <w:t>Varicella (</w:t>
      </w:r>
      <w:r w:rsidRPr="002E1F1E">
        <w:rPr>
          <w:sz w:val="21"/>
          <w:szCs w:val="21"/>
        </w:rPr>
        <w:t>chickenpox</w:t>
      </w:r>
      <w:r>
        <w:rPr>
          <w:sz w:val="21"/>
          <w:szCs w:val="21"/>
        </w:rPr>
        <w:t>)</w:t>
      </w:r>
    </w:p>
    <w:p w14:paraId="3ECC3668" w14:textId="77777777" w:rsidR="00353483" w:rsidRDefault="00353483" w:rsidP="00353483">
      <w:pPr>
        <w:pStyle w:val="EndnoteText"/>
        <w:numPr>
          <w:ilvl w:val="1"/>
          <w:numId w:val="40"/>
        </w:numPr>
        <w:ind w:left="1080"/>
        <w:rPr>
          <w:sz w:val="21"/>
          <w:szCs w:val="21"/>
        </w:rPr>
      </w:pPr>
      <w:r>
        <w:rPr>
          <w:sz w:val="21"/>
          <w:szCs w:val="21"/>
        </w:rPr>
        <w:t>P</w:t>
      </w:r>
      <w:r w:rsidRPr="002E1F1E">
        <w:rPr>
          <w:sz w:val="21"/>
          <w:szCs w:val="21"/>
        </w:rPr>
        <w:t>oliomyelitis</w:t>
      </w:r>
    </w:p>
    <w:p w14:paraId="3B500AA0" w14:textId="77777777" w:rsidR="00353483" w:rsidRDefault="00353483" w:rsidP="00353483">
      <w:pPr>
        <w:pStyle w:val="EndnoteText"/>
        <w:numPr>
          <w:ilvl w:val="1"/>
          <w:numId w:val="40"/>
        </w:numPr>
        <w:ind w:left="1080"/>
        <w:rPr>
          <w:sz w:val="21"/>
          <w:szCs w:val="21"/>
        </w:rPr>
      </w:pPr>
      <w:r>
        <w:rPr>
          <w:sz w:val="21"/>
          <w:szCs w:val="21"/>
        </w:rPr>
        <w:t>M</w:t>
      </w:r>
      <w:r w:rsidRPr="002E1F1E">
        <w:rPr>
          <w:sz w:val="21"/>
          <w:szCs w:val="21"/>
        </w:rPr>
        <w:t xml:space="preserve">easles-mumps-rubella </w:t>
      </w:r>
    </w:p>
    <w:p w14:paraId="08B4639C" w14:textId="77777777" w:rsidR="00353483" w:rsidRDefault="00353483" w:rsidP="00353483">
      <w:pPr>
        <w:pStyle w:val="EndnoteText"/>
        <w:numPr>
          <w:ilvl w:val="1"/>
          <w:numId w:val="40"/>
        </w:numPr>
        <w:ind w:left="1080"/>
        <w:rPr>
          <w:sz w:val="21"/>
          <w:szCs w:val="21"/>
        </w:rPr>
      </w:pPr>
      <w:r>
        <w:rPr>
          <w:sz w:val="21"/>
          <w:szCs w:val="21"/>
        </w:rPr>
        <w:t>H</w:t>
      </w:r>
      <w:r w:rsidRPr="002E1F1E">
        <w:rPr>
          <w:sz w:val="21"/>
          <w:szCs w:val="21"/>
        </w:rPr>
        <w:t xml:space="preserve">epatitis B </w:t>
      </w:r>
    </w:p>
    <w:p w14:paraId="0B5E1617" w14:textId="77777777" w:rsidR="00353483" w:rsidRPr="00963887" w:rsidRDefault="00353483" w:rsidP="00353483">
      <w:pPr>
        <w:pStyle w:val="EndnoteText"/>
        <w:numPr>
          <w:ilvl w:val="1"/>
          <w:numId w:val="40"/>
        </w:numPr>
        <w:spacing w:after="0"/>
        <w:ind w:left="1080"/>
        <w:rPr>
          <w:sz w:val="21"/>
          <w:szCs w:val="21"/>
        </w:rPr>
        <w:sectPr w:rsidR="00353483" w:rsidRPr="00963887" w:rsidSect="00353483">
          <w:type w:val="continuous"/>
          <w:pgSz w:w="11906" w:h="16838" w:code="9"/>
          <w:pgMar w:top="720" w:right="720" w:bottom="720" w:left="720" w:header="680" w:footer="851" w:gutter="0"/>
          <w:cols w:num="2" w:space="2"/>
          <w:docGrid w:linePitch="360"/>
        </w:sectPr>
      </w:pPr>
      <w:r w:rsidRPr="002E1F1E">
        <w:rPr>
          <w:sz w:val="21"/>
          <w:szCs w:val="21"/>
        </w:rPr>
        <w:t xml:space="preserve">HPV (up to and including age 25) </w:t>
      </w:r>
    </w:p>
    <w:p w14:paraId="33822F99" w14:textId="77777777" w:rsidR="00353483" w:rsidRDefault="00353483" w:rsidP="00353483">
      <w:pPr>
        <w:pStyle w:val="EndnoteText"/>
        <w:spacing w:after="0"/>
        <w:rPr>
          <w:sz w:val="21"/>
          <w:szCs w:val="21"/>
        </w:rPr>
        <w:sectPr w:rsidR="00353483" w:rsidSect="00353483">
          <w:type w:val="continuous"/>
          <w:pgSz w:w="11906" w:h="16838" w:code="9"/>
          <w:pgMar w:top="720" w:right="720" w:bottom="720" w:left="720" w:header="680" w:footer="851" w:gutter="0"/>
          <w:cols w:space="340"/>
          <w:docGrid w:linePitch="360"/>
        </w:sectPr>
      </w:pPr>
    </w:p>
    <w:p w14:paraId="2468BFC0" w14:textId="77777777" w:rsidR="00353483" w:rsidRDefault="00353483" w:rsidP="00353483">
      <w:pPr>
        <w:pStyle w:val="Body"/>
        <w:numPr>
          <w:ilvl w:val="0"/>
          <w:numId w:val="46"/>
        </w:numPr>
        <w:spacing w:after="0"/>
        <w:rPr>
          <w:rFonts w:cs="Arial"/>
          <w:szCs w:val="21"/>
        </w:rPr>
      </w:pPr>
      <w:hyperlink r:id="rId21" w:history="1">
        <w:r w:rsidRPr="00751459">
          <w:rPr>
            <w:rStyle w:val="Hyperlink"/>
            <w:rFonts w:cs="Arial"/>
            <w:szCs w:val="21"/>
          </w:rPr>
          <w:t>NIP</w:t>
        </w:r>
        <w:r>
          <w:rPr>
            <w:rStyle w:val="Hyperlink"/>
            <w:rFonts w:cs="Arial"/>
            <w:szCs w:val="21"/>
          </w:rPr>
          <w:t xml:space="preserve"> </w:t>
        </w:r>
        <w:r w:rsidRPr="00751459">
          <w:rPr>
            <w:rStyle w:val="Hyperlink"/>
            <w:rFonts w:cs="Arial"/>
            <w:szCs w:val="21"/>
          </w:rPr>
          <w:t>funded schedules</w:t>
        </w:r>
      </w:hyperlink>
      <w:r>
        <w:rPr>
          <w:rFonts w:cs="Arial"/>
          <w:szCs w:val="21"/>
        </w:rPr>
        <w:t xml:space="preserve"> are recommended for people with certain medical conditions that increase risk for severe disease for the following vaccines. </w:t>
      </w:r>
      <w:r w:rsidRPr="002E1F1E">
        <w:rPr>
          <w:szCs w:val="21"/>
        </w:rPr>
        <w:t xml:space="preserve">Refer to the </w:t>
      </w:r>
      <w:hyperlink r:id="rId22" w:history="1">
        <w:r w:rsidRPr="007C4DB8">
          <w:rPr>
            <w:rStyle w:val="Hyperlink"/>
          </w:rPr>
          <w:t>Australian Immunisation Handbook</w:t>
        </w:r>
      </w:hyperlink>
      <w:r>
        <w:t xml:space="preserve"> </w:t>
      </w:r>
      <w:r w:rsidRPr="002E1F1E">
        <w:rPr>
          <w:szCs w:val="21"/>
        </w:rPr>
        <w:t>for timing of doses</w:t>
      </w:r>
      <w:r>
        <w:rPr>
          <w:szCs w:val="21"/>
        </w:rPr>
        <w:t xml:space="preserve"> (schedules not included in these tables).</w:t>
      </w:r>
    </w:p>
    <w:p w14:paraId="6190E0F2" w14:textId="77777777" w:rsidR="00353483" w:rsidRDefault="00353483" w:rsidP="00353483">
      <w:pPr>
        <w:pStyle w:val="Body"/>
        <w:numPr>
          <w:ilvl w:val="0"/>
          <w:numId w:val="44"/>
        </w:numPr>
        <w:spacing w:before="120" w:after="0"/>
        <w:rPr>
          <w:rFonts w:cs="Arial"/>
        </w:rPr>
        <w:sectPr w:rsidR="00353483" w:rsidSect="00353483">
          <w:type w:val="continuous"/>
          <w:pgSz w:w="11906" w:h="16838" w:code="9"/>
          <w:pgMar w:top="720" w:right="720" w:bottom="720" w:left="720" w:header="680" w:footer="851" w:gutter="0"/>
          <w:cols w:space="340"/>
          <w:docGrid w:linePitch="360"/>
        </w:sectPr>
      </w:pPr>
    </w:p>
    <w:p w14:paraId="0E128699" w14:textId="77777777" w:rsidR="00353483" w:rsidRDefault="00353483" w:rsidP="00353483">
      <w:pPr>
        <w:pStyle w:val="Body"/>
        <w:numPr>
          <w:ilvl w:val="0"/>
          <w:numId w:val="44"/>
        </w:numPr>
        <w:spacing w:before="120" w:after="0"/>
        <w:rPr>
          <w:rFonts w:cs="Arial"/>
        </w:rPr>
      </w:pPr>
      <w:r>
        <w:rPr>
          <w:rFonts w:cs="Arial"/>
        </w:rPr>
        <w:t>P</w:t>
      </w:r>
      <w:r w:rsidRPr="529D96A3">
        <w:rPr>
          <w:rFonts w:cs="Arial"/>
        </w:rPr>
        <w:t>neumococcal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</w:p>
    <w:p w14:paraId="77C25786" w14:textId="77777777" w:rsidR="00353483" w:rsidRPr="0048185B" w:rsidRDefault="00353483" w:rsidP="00353483">
      <w:pPr>
        <w:pStyle w:val="Body"/>
        <w:numPr>
          <w:ilvl w:val="0"/>
          <w:numId w:val="45"/>
        </w:numPr>
        <w:spacing w:before="120" w:after="0"/>
        <w:rPr>
          <w:rFonts w:cs="Arial"/>
          <w:szCs w:val="21"/>
        </w:rPr>
      </w:pPr>
      <w:r>
        <w:rPr>
          <w:rFonts w:cs="Arial"/>
          <w:szCs w:val="21"/>
        </w:rPr>
        <w:t>M</w:t>
      </w:r>
      <w:r w:rsidRPr="0048185B">
        <w:rPr>
          <w:rFonts w:cs="Arial"/>
          <w:szCs w:val="21"/>
        </w:rPr>
        <w:t xml:space="preserve">eningococcal </w:t>
      </w:r>
    </w:p>
    <w:p w14:paraId="75A49581" w14:textId="77777777" w:rsidR="00353483" w:rsidRPr="0048185B" w:rsidRDefault="00353483" w:rsidP="00353483">
      <w:pPr>
        <w:pStyle w:val="Body"/>
        <w:numPr>
          <w:ilvl w:val="0"/>
          <w:numId w:val="45"/>
        </w:numPr>
        <w:spacing w:before="120" w:after="0"/>
        <w:rPr>
          <w:rFonts w:cs="Arial"/>
        </w:rPr>
      </w:pPr>
      <w:r>
        <w:t>Haemophilus influenzae type b (Hib)</w:t>
      </w:r>
    </w:p>
    <w:p w14:paraId="4608705F" w14:textId="77777777" w:rsidR="00353483" w:rsidRPr="008E1A4C" w:rsidRDefault="00353483" w:rsidP="00353483">
      <w:pPr>
        <w:pStyle w:val="Body"/>
        <w:numPr>
          <w:ilvl w:val="0"/>
          <w:numId w:val="45"/>
        </w:numPr>
        <w:spacing w:before="120" w:after="0"/>
        <w:rPr>
          <w:rFonts w:cs="Arial"/>
          <w:szCs w:val="21"/>
        </w:rPr>
      </w:pPr>
      <w:r>
        <w:t>Influenza</w:t>
      </w:r>
    </w:p>
    <w:p w14:paraId="4CCBC5C0" w14:textId="77777777" w:rsidR="00353483" w:rsidRPr="007D7AE3" w:rsidRDefault="00353483" w:rsidP="00353483">
      <w:pPr>
        <w:pStyle w:val="Body"/>
        <w:numPr>
          <w:ilvl w:val="0"/>
          <w:numId w:val="45"/>
        </w:numPr>
        <w:spacing w:before="120" w:after="0"/>
        <w:rPr>
          <w:rFonts w:cs="Arial"/>
          <w:szCs w:val="21"/>
        </w:rPr>
      </w:pPr>
      <w:r>
        <w:t>Zoster (shingles)</w:t>
      </w:r>
    </w:p>
    <w:p w14:paraId="406E3D67" w14:textId="77777777" w:rsidR="00353483" w:rsidRPr="0048185B" w:rsidRDefault="00353483" w:rsidP="00353483">
      <w:pPr>
        <w:pStyle w:val="Body"/>
        <w:numPr>
          <w:ilvl w:val="0"/>
          <w:numId w:val="45"/>
        </w:numPr>
        <w:spacing w:before="120" w:after="0"/>
        <w:rPr>
          <w:rFonts w:cs="Arial"/>
          <w:szCs w:val="21"/>
        </w:rPr>
      </w:pPr>
      <w:r>
        <w:t>HPV</w:t>
      </w:r>
    </w:p>
    <w:p w14:paraId="60366C69" w14:textId="77777777" w:rsidR="00353483" w:rsidRDefault="00353483" w:rsidP="00353483">
      <w:pPr>
        <w:pStyle w:val="EndnoteText"/>
        <w:rPr>
          <w:sz w:val="21"/>
          <w:szCs w:val="21"/>
        </w:rPr>
        <w:sectPr w:rsidR="00353483" w:rsidSect="00353483">
          <w:type w:val="continuous"/>
          <w:pgSz w:w="11906" w:h="16838" w:code="9"/>
          <w:pgMar w:top="720" w:right="720" w:bottom="720" w:left="720" w:header="680" w:footer="851" w:gutter="0"/>
          <w:cols w:num="2" w:space="340"/>
          <w:docGrid w:linePitch="360"/>
        </w:sectPr>
      </w:pPr>
    </w:p>
    <w:p w14:paraId="378831F6" w14:textId="77777777" w:rsidR="00550CFC" w:rsidRDefault="00353483" w:rsidP="00353483">
      <w:pPr>
        <w:pStyle w:val="EndnoteText"/>
        <w:spacing w:before="360"/>
        <w:rPr>
          <w:rStyle w:val="Hyperlink"/>
          <w:sz w:val="21"/>
          <w:szCs w:val="21"/>
        </w:rPr>
      </w:pPr>
      <w:r w:rsidRPr="002E1F1E">
        <w:rPr>
          <w:sz w:val="21"/>
          <w:szCs w:val="21"/>
        </w:rPr>
        <w:t xml:space="preserve">Additional vaccines </w:t>
      </w:r>
      <w:r>
        <w:rPr>
          <w:sz w:val="21"/>
          <w:szCs w:val="21"/>
        </w:rPr>
        <w:t xml:space="preserve">for people aged 20 years and over </w:t>
      </w:r>
      <w:r w:rsidRPr="002E1F1E">
        <w:rPr>
          <w:sz w:val="21"/>
          <w:szCs w:val="21"/>
        </w:rPr>
        <w:t xml:space="preserve">are funded under the </w:t>
      </w:r>
      <w:hyperlink r:id="rId23" w:history="1">
        <w:r w:rsidRPr="002E1F1E">
          <w:rPr>
            <w:rStyle w:val="Hyperlink"/>
            <w:sz w:val="21"/>
            <w:szCs w:val="21"/>
          </w:rPr>
          <w:t>Victorian Immunisation schedule</w:t>
        </w:r>
      </w:hyperlink>
      <w:r>
        <w:rPr>
          <w:rStyle w:val="Hyperlink"/>
          <w:sz w:val="21"/>
          <w:szCs w:val="21"/>
        </w:rPr>
        <w:t xml:space="preserve">, </w:t>
      </w:r>
      <w:bookmarkStart w:id="4" w:name="_Hlk173324168"/>
      <w:bookmarkEnd w:id="1"/>
    </w:p>
    <w:p w14:paraId="02B8B93A" w14:textId="79BF3604" w:rsidR="00353483" w:rsidRPr="00353483" w:rsidRDefault="00353483" w:rsidP="00550CFC">
      <w:pPr>
        <w:pStyle w:val="Heading2"/>
        <w:rPr>
          <w:szCs w:val="21"/>
        </w:rPr>
      </w:pPr>
      <w:bookmarkStart w:id="5" w:name="_Toc206760184"/>
      <w:r w:rsidRPr="0031141E">
        <w:lastRenderedPageBreak/>
        <w:t>How to read the tables in the catch-up guideline</w:t>
      </w:r>
      <w:bookmarkEnd w:id="5"/>
      <w:r w:rsidRPr="0031141E">
        <w:t xml:space="preserve"> </w:t>
      </w:r>
    </w:p>
    <w:p w14:paraId="03A69714" w14:textId="0C6F9874" w:rsidR="00353483" w:rsidRPr="001739E7" w:rsidRDefault="00353483" w:rsidP="00353483">
      <w:pPr>
        <w:pStyle w:val="Body"/>
        <w:rPr>
          <w:szCs w:val="21"/>
        </w:rPr>
      </w:pPr>
      <w:r w:rsidRPr="002E1F1E">
        <w:rPr>
          <w:szCs w:val="21"/>
        </w:rPr>
        <w:t xml:space="preserve">These guidelines have been developed to assist immunisation providers develop a catch-up plan for people </w:t>
      </w:r>
      <w:r w:rsidRPr="001739E7">
        <w:rPr>
          <w:szCs w:val="21"/>
        </w:rPr>
        <w:t xml:space="preserve">aged 10 years and over. </w:t>
      </w:r>
      <w:r w:rsidRPr="0076323E">
        <w:rPr>
          <w:rFonts w:cs="Arial"/>
          <w:szCs w:val="21"/>
        </w:rPr>
        <w:t xml:space="preserve">The </w:t>
      </w:r>
      <w:hyperlink r:id="rId24" w:history="1">
        <w:r w:rsidRPr="0076323E">
          <w:rPr>
            <w:rStyle w:val="Hyperlink"/>
            <w:rFonts w:cs="Arial"/>
            <w:szCs w:val="21"/>
          </w:rPr>
          <w:t>National Immunisation Catch-up Calculator</w:t>
        </w:r>
      </w:hyperlink>
      <w:r w:rsidRPr="0076323E">
        <w:rPr>
          <w:rFonts w:cs="Arial"/>
          <w:szCs w:val="21"/>
        </w:rPr>
        <w:t xml:space="preserve"> </w:t>
      </w:r>
      <w:r w:rsidRPr="0076323E">
        <w:rPr>
          <w:rFonts w:cs="Arial"/>
          <w:color w:val="313131"/>
          <w:shd w:val="clear" w:color="auto" w:fill="FFFFFF"/>
        </w:rPr>
        <w:t>includes catch-up recommendations for all infants, children, and adolescents under 20 years of age including people who may have one or more medical at-risk conditions (as defined in the Australian Immunisation Handbook), and those who may have received one or more vaccinations overseas.</w:t>
      </w:r>
      <w:r>
        <w:rPr>
          <w:rFonts w:ascii="Segoe UI" w:hAnsi="Segoe UI" w:cs="Segoe UI"/>
          <w:color w:val="313131"/>
          <w:shd w:val="clear" w:color="auto" w:fill="FFFFFF"/>
        </w:rPr>
        <w:t xml:space="preserve"> </w:t>
      </w:r>
      <w:r w:rsidRPr="001739E7">
        <w:rPr>
          <w:szCs w:val="21"/>
        </w:rPr>
        <w:t>Always refer to the principles contained within</w:t>
      </w:r>
      <w:r w:rsidR="00942892">
        <w:t xml:space="preserve"> the Australian Immunisation Handbook</w:t>
      </w:r>
      <w:r>
        <w:rPr>
          <w:szCs w:val="21"/>
        </w:rPr>
        <w:t xml:space="preserve">. </w:t>
      </w:r>
    </w:p>
    <w:p w14:paraId="28FE85CE" w14:textId="36CE2B8C" w:rsidR="00353483" w:rsidRPr="001739E7" w:rsidRDefault="00353483" w:rsidP="00353483">
      <w:pPr>
        <w:pStyle w:val="Body"/>
        <w:numPr>
          <w:ilvl w:val="0"/>
          <w:numId w:val="41"/>
        </w:numPr>
        <w:spacing w:before="120"/>
        <w:ind w:left="714" w:hanging="357"/>
        <w:rPr>
          <w:szCs w:val="21"/>
        </w:rPr>
      </w:pPr>
      <w:r w:rsidRPr="001739E7">
        <w:rPr>
          <w:szCs w:val="21"/>
        </w:rPr>
        <w:t xml:space="preserve">The </w:t>
      </w:r>
      <w:r w:rsidRPr="00674AF3">
        <w:rPr>
          <w:szCs w:val="21"/>
        </w:rPr>
        <w:t>1st visit</w:t>
      </w:r>
      <w:r w:rsidRPr="001739E7">
        <w:rPr>
          <w:szCs w:val="21"/>
        </w:rPr>
        <w:t xml:space="preserve"> refers to the day the first vaccinations are given as a catch-up. </w:t>
      </w:r>
    </w:p>
    <w:p w14:paraId="475FE866" w14:textId="3C8FFEA9" w:rsidR="00353483" w:rsidRDefault="00353483" w:rsidP="00353483">
      <w:pPr>
        <w:pStyle w:val="Body"/>
        <w:numPr>
          <w:ilvl w:val="0"/>
          <w:numId w:val="41"/>
        </w:numPr>
        <w:spacing w:before="120"/>
        <w:ind w:left="714" w:hanging="357"/>
        <w:rPr>
          <w:szCs w:val="21"/>
        </w:rPr>
      </w:pPr>
      <w:r w:rsidRPr="00B21CA0">
        <w:rPr>
          <w:szCs w:val="21"/>
        </w:rPr>
        <w:t>Intervals</w:t>
      </w:r>
      <w:r w:rsidRPr="001739E7">
        <w:rPr>
          <w:szCs w:val="21"/>
        </w:rPr>
        <w:t xml:space="preserve"> refers to the minimum time interval required between the doses of vaccines. </w:t>
      </w:r>
    </w:p>
    <w:p w14:paraId="456360F7" w14:textId="7E596BEF" w:rsidR="00353483" w:rsidRPr="001739E7" w:rsidRDefault="00353483" w:rsidP="00353483">
      <w:pPr>
        <w:pStyle w:val="Body"/>
        <w:numPr>
          <w:ilvl w:val="0"/>
          <w:numId w:val="41"/>
        </w:numPr>
        <w:spacing w:before="120"/>
        <w:ind w:left="714" w:hanging="357"/>
        <w:rPr>
          <w:szCs w:val="21"/>
        </w:rPr>
      </w:pPr>
      <w:r w:rsidRPr="00B21CA0">
        <w:rPr>
          <w:szCs w:val="21"/>
        </w:rPr>
        <w:t>Current age</w:t>
      </w:r>
      <w:r>
        <w:rPr>
          <w:szCs w:val="21"/>
        </w:rPr>
        <w:t xml:space="preserve"> refers to the age at presentation used to guide choice of the correct vaccine and schedule.</w:t>
      </w:r>
    </w:p>
    <w:p w14:paraId="5C807CDF" w14:textId="77777777" w:rsidR="00952E65" w:rsidRDefault="00353483" w:rsidP="00952E65">
      <w:pPr>
        <w:pStyle w:val="Body"/>
        <w:numPr>
          <w:ilvl w:val="0"/>
          <w:numId w:val="41"/>
        </w:numPr>
        <w:spacing w:before="120"/>
        <w:ind w:left="714" w:hanging="357"/>
        <w:rPr>
          <w:rFonts w:cs="Arial"/>
          <w:szCs w:val="21"/>
        </w:rPr>
      </w:pPr>
      <w:r w:rsidRPr="001739E7">
        <w:rPr>
          <w:rFonts w:cs="Arial"/>
          <w:szCs w:val="21"/>
        </w:rPr>
        <w:t xml:space="preserve">Refer to Table 1 for antigen and the vaccine brands used in these guidelines </w:t>
      </w:r>
      <w:r>
        <w:rPr>
          <w:rFonts w:cs="Arial"/>
          <w:szCs w:val="21"/>
        </w:rPr>
        <w:t xml:space="preserve">which are </w:t>
      </w:r>
      <w:r w:rsidRPr="001739E7">
        <w:rPr>
          <w:rFonts w:cs="Arial"/>
          <w:szCs w:val="21"/>
        </w:rPr>
        <w:t>funded under the NIP.</w:t>
      </w:r>
    </w:p>
    <w:p w14:paraId="7583EC26" w14:textId="18890B3A" w:rsidR="00353483" w:rsidRPr="00952E65" w:rsidRDefault="00353483" w:rsidP="0000191C">
      <w:pPr>
        <w:pStyle w:val="Heading3"/>
        <w:rPr>
          <w:rFonts w:cs="Arial"/>
          <w:szCs w:val="21"/>
        </w:rPr>
      </w:pPr>
      <w:bookmarkStart w:id="6" w:name="_Toc206760185"/>
      <w:r>
        <w:t>Table 1. Antigens and vaccine brands</w:t>
      </w:r>
      <w:bookmarkEnd w:id="6"/>
      <w:r>
        <w:t xml:space="preserve"> </w:t>
      </w:r>
    </w:p>
    <w:tbl>
      <w:tblPr>
        <w:tblStyle w:val="TableGrid1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6095"/>
      </w:tblGrid>
      <w:tr w:rsidR="00353483" w:rsidRPr="000A5BF0" w14:paraId="2E541578" w14:textId="77777777" w:rsidTr="00982630">
        <w:trPr>
          <w:trHeight w:val="338"/>
        </w:trPr>
        <w:tc>
          <w:tcPr>
            <w:tcW w:w="3681" w:type="dxa"/>
            <w:shd w:val="clear" w:color="auto" w:fill="DBE5F1"/>
          </w:tcPr>
          <w:p w14:paraId="6107665D" w14:textId="77777777" w:rsidR="00353483" w:rsidRPr="000A5BF0" w:rsidRDefault="00353483" w:rsidP="00693FA8">
            <w:pPr>
              <w:rPr>
                <w:rFonts w:cs="Arial"/>
                <w:b/>
                <w:szCs w:val="21"/>
              </w:rPr>
            </w:pPr>
            <w:r w:rsidRPr="000A5BF0">
              <w:rPr>
                <w:rFonts w:cs="Arial"/>
                <w:b/>
                <w:szCs w:val="21"/>
              </w:rPr>
              <w:t>Antigen(s) (abbreviation)</w:t>
            </w:r>
          </w:p>
        </w:tc>
        <w:tc>
          <w:tcPr>
            <w:tcW w:w="6095" w:type="dxa"/>
            <w:shd w:val="clear" w:color="auto" w:fill="DBE5F1"/>
          </w:tcPr>
          <w:p w14:paraId="73EEE1A9" w14:textId="77777777" w:rsidR="00353483" w:rsidRPr="000A5BF0" w:rsidRDefault="00353483" w:rsidP="00693FA8">
            <w:pPr>
              <w:rPr>
                <w:rFonts w:cs="Arial"/>
                <w:b/>
                <w:szCs w:val="21"/>
              </w:rPr>
            </w:pPr>
            <w:r w:rsidRPr="000A5BF0">
              <w:rPr>
                <w:rFonts w:cs="Arial"/>
                <w:b/>
                <w:szCs w:val="21"/>
              </w:rPr>
              <w:t>Vaccine brands®</w:t>
            </w:r>
          </w:p>
        </w:tc>
      </w:tr>
      <w:tr w:rsidR="00353483" w:rsidRPr="000A5BF0" w14:paraId="1B4473EC" w14:textId="77777777" w:rsidTr="00982630">
        <w:trPr>
          <w:trHeight w:val="59"/>
        </w:trPr>
        <w:tc>
          <w:tcPr>
            <w:tcW w:w="3681" w:type="dxa"/>
          </w:tcPr>
          <w:p w14:paraId="6AC866D8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Diphtheria-Tetanus-Pertussis (dTpa)</w:t>
            </w:r>
          </w:p>
        </w:tc>
        <w:tc>
          <w:tcPr>
            <w:tcW w:w="6095" w:type="dxa"/>
          </w:tcPr>
          <w:p w14:paraId="251E6CE6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Boostrix or Adacel</w:t>
            </w:r>
          </w:p>
        </w:tc>
      </w:tr>
      <w:tr w:rsidR="00353483" w:rsidRPr="000A5BF0" w14:paraId="51DF61A2" w14:textId="77777777" w:rsidTr="00982630">
        <w:trPr>
          <w:trHeight w:val="338"/>
        </w:trPr>
        <w:tc>
          <w:tcPr>
            <w:tcW w:w="3681" w:type="dxa"/>
          </w:tcPr>
          <w:p w14:paraId="2C1FD956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Poliomyelitis (IPV)</w:t>
            </w:r>
          </w:p>
        </w:tc>
        <w:tc>
          <w:tcPr>
            <w:tcW w:w="6095" w:type="dxa"/>
          </w:tcPr>
          <w:p w14:paraId="5CE17F59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IPOL</w:t>
            </w:r>
          </w:p>
        </w:tc>
      </w:tr>
      <w:tr w:rsidR="00353483" w:rsidRPr="000A5BF0" w14:paraId="0250B29A" w14:textId="77777777" w:rsidTr="00982630">
        <w:trPr>
          <w:trHeight w:val="338"/>
        </w:trPr>
        <w:tc>
          <w:tcPr>
            <w:tcW w:w="3681" w:type="dxa"/>
          </w:tcPr>
          <w:p w14:paraId="01B157B3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Hepatitis B (Hep B)</w:t>
            </w:r>
          </w:p>
        </w:tc>
        <w:tc>
          <w:tcPr>
            <w:tcW w:w="6095" w:type="dxa"/>
          </w:tcPr>
          <w:p w14:paraId="0B7E2B52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H-B-Vax II Adult/Paediatric or Engerix B Adult/Paediatric</w:t>
            </w:r>
          </w:p>
        </w:tc>
      </w:tr>
      <w:tr w:rsidR="00353483" w:rsidRPr="000A5BF0" w14:paraId="5F5F0B90" w14:textId="77777777" w:rsidTr="00982630">
        <w:trPr>
          <w:trHeight w:val="350"/>
        </w:trPr>
        <w:tc>
          <w:tcPr>
            <w:tcW w:w="3681" w:type="dxa"/>
          </w:tcPr>
          <w:p w14:paraId="6CE05ED4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Measles-Mumps-Rubella (MMR)</w:t>
            </w:r>
          </w:p>
        </w:tc>
        <w:tc>
          <w:tcPr>
            <w:tcW w:w="6095" w:type="dxa"/>
          </w:tcPr>
          <w:p w14:paraId="76A2D1FF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M-M-R-II or Priorix</w:t>
            </w:r>
          </w:p>
        </w:tc>
      </w:tr>
      <w:tr w:rsidR="00353483" w:rsidRPr="000A5BF0" w14:paraId="66EECEFE" w14:textId="77777777" w:rsidTr="00982630">
        <w:trPr>
          <w:trHeight w:val="338"/>
        </w:trPr>
        <w:tc>
          <w:tcPr>
            <w:tcW w:w="3681" w:type="dxa"/>
          </w:tcPr>
          <w:p w14:paraId="5C4B6AC1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 xml:space="preserve">Varicella </w:t>
            </w:r>
          </w:p>
        </w:tc>
        <w:tc>
          <w:tcPr>
            <w:tcW w:w="6095" w:type="dxa"/>
          </w:tcPr>
          <w:p w14:paraId="544B46FA" w14:textId="3CD60E65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Vari</w:t>
            </w:r>
            <w:r w:rsidR="00982630">
              <w:rPr>
                <w:rFonts w:cs="Arial"/>
                <w:szCs w:val="21"/>
              </w:rPr>
              <w:t>lrix</w:t>
            </w:r>
          </w:p>
        </w:tc>
      </w:tr>
      <w:tr w:rsidR="00353483" w:rsidRPr="000A5BF0" w14:paraId="5E8E3BFB" w14:textId="77777777" w:rsidTr="00982630">
        <w:trPr>
          <w:trHeight w:val="338"/>
        </w:trPr>
        <w:tc>
          <w:tcPr>
            <w:tcW w:w="3681" w:type="dxa"/>
          </w:tcPr>
          <w:p w14:paraId="7287CEDF" w14:textId="77777777" w:rsidR="00353483" w:rsidRPr="000A5BF0" w:rsidRDefault="00353483" w:rsidP="00693FA8">
            <w:pPr>
              <w:spacing w:before="80" w:after="80" w:line="240" w:lineRule="auto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 xml:space="preserve">Meningococcal </w:t>
            </w:r>
            <w:r>
              <w:rPr>
                <w:rFonts w:cs="Arial"/>
                <w:szCs w:val="21"/>
              </w:rPr>
              <w:t xml:space="preserve">ACWY </w:t>
            </w:r>
          </w:p>
        </w:tc>
        <w:tc>
          <w:tcPr>
            <w:tcW w:w="6095" w:type="dxa"/>
          </w:tcPr>
          <w:p w14:paraId="5F1830BA" w14:textId="77777777" w:rsidR="00353483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Nimenrix</w:t>
            </w:r>
            <w:r>
              <w:rPr>
                <w:rFonts w:cs="Arial"/>
                <w:szCs w:val="21"/>
              </w:rPr>
              <w:t xml:space="preserve">  </w:t>
            </w:r>
          </w:p>
          <w:p w14:paraId="3E12492E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MenQuadfi (adolescent vaccination program)</w:t>
            </w:r>
          </w:p>
        </w:tc>
      </w:tr>
      <w:tr w:rsidR="00353483" w:rsidRPr="000A5BF0" w14:paraId="4FD610E0" w14:textId="77777777" w:rsidTr="00982630">
        <w:trPr>
          <w:trHeight w:val="338"/>
        </w:trPr>
        <w:tc>
          <w:tcPr>
            <w:tcW w:w="3681" w:type="dxa"/>
          </w:tcPr>
          <w:p w14:paraId="119FF6F6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Human papillomavirus (HPV)</w:t>
            </w:r>
          </w:p>
        </w:tc>
        <w:tc>
          <w:tcPr>
            <w:tcW w:w="6095" w:type="dxa"/>
          </w:tcPr>
          <w:p w14:paraId="40D1E8A0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Gardasil 9</w:t>
            </w:r>
          </w:p>
        </w:tc>
      </w:tr>
      <w:tr w:rsidR="00353483" w:rsidRPr="000A5BF0" w14:paraId="40C501BD" w14:textId="77777777" w:rsidTr="00982630">
        <w:tblPrEx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3681" w:type="dxa"/>
          </w:tcPr>
          <w:p w14:paraId="6252378A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 xml:space="preserve">Pneumococcal </w:t>
            </w:r>
          </w:p>
        </w:tc>
        <w:tc>
          <w:tcPr>
            <w:tcW w:w="6095" w:type="dxa"/>
          </w:tcPr>
          <w:p w14:paraId="0729A4FE" w14:textId="77777777" w:rsidR="00353483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 xml:space="preserve">Prevenar 13 (13vPCV) </w:t>
            </w:r>
          </w:p>
          <w:p w14:paraId="5B7F2D0A" w14:textId="23088828" w:rsidR="00982630" w:rsidRPr="000A5BF0" w:rsidRDefault="00982630" w:rsidP="00693FA8">
            <w:pPr>
              <w:spacing w:before="80" w:after="8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Prevenar 20 (20vPCV)</w:t>
            </w:r>
          </w:p>
          <w:p w14:paraId="63AB616A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Pneumovax 23 (23vPPV) – maximum of two lifetime doses</w:t>
            </w:r>
          </w:p>
        </w:tc>
      </w:tr>
      <w:tr w:rsidR="00353483" w:rsidRPr="000A5BF0" w14:paraId="1E91B90D" w14:textId="77777777" w:rsidTr="00982630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3681" w:type="dxa"/>
          </w:tcPr>
          <w:p w14:paraId="60E08E85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Influenza</w:t>
            </w:r>
          </w:p>
        </w:tc>
        <w:tc>
          <w:tcPr>
            <w:tcW w:w="6095" w:type="dxa"/>
          </w:tcPr>
          <w:p w14:paraId="21C85C82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Annually as supplied</w:t>
            </w:r>
            <w:r>
              <w:rPr>
                <w:rFonts w:cs="Arial"/>
                <w:szCs w:val="21"/>
              </w:rPr>
              <w:t xml:space="preserve">. See recommendations from the </w:t>
            </w:r>
            <w:hyperlink r:id="rId25" w:history="1">
              <w:r w:rsidRPr="00F35E2E">
                <w:rPr>
                  <w:rStyle w:val="Hyperlink"/>
                  <w:rFonts w:cs="Arial"/>
                  <w:szCs w:val="21"/>
                </w:rPr>
                <w:t>Australian Technical Advisory Group on Immunisation (ATAGI).</w:t>
              </w:r>
            </w:hyperlink>
          </w:p>
        </w:tc>
      </w:tr>
      <w:tr w:rsidR="00353483" w:rsidRPr="000A5BF0" w14:paraId="59F8C33C" w14:textId="77777777" w:rsidTr="00982630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3681" w:type="dxa"/>
          </w:tcPr>
          <w:p w14:paraId="5774E8AF" w14:textId="77777777" w:rsidR="00353483" w:rsidRPr="000A5BF0" w:rsidRDefault="00353483" w:rsidP="00693FA8">
            <w:pPr>
              <w:pStyle w:val="Body"/>
              <w:spacing w:before="80" w:after="80"/>
              <w:rPr>
                <w:rFonts w:cs="Arial"/>
                <w:szCs w:val="21"/>
              </w:rPr>
            </w:pPr>
            <w:r>
              <w:t>Zoster (shingles)</w:t>
            </w:r>
          </w:p>
        </w:tc>
        <w:tc>
          <w:tcPr>
            <w:tcW w:w="6095" w:type="dxa"/>
          </w:tcPr>
          <w:p w14:paraId="3B0F6DEC" w14:textId="77777777" w:rsidR="00353483" w:rsidRPr="000A5BF0" w:rsidRDefault="00353483" w:rsidP="00693FA8">
            <w:pPr>
              <w:spacing w:before="80" w:after="80"/>
              <w:rPr>
                <w:rFonts w:cs="Arial"/>
                <w:szCs w:val="21"/>
              </w:rPr>
            </w:pPr>
            <w:r w:rsidRPr="000A5BF0">
              <w:rPr>
                <w:rFonts w:cs="Arial"/>
                <w:szCs w:val="21"/>
              </w:rPr>
              <w:t>Shingrix</w:t>
            </w:r>
          </w:p>
        </w:tc>
      </w:tr>
    </w:tbl>
    <w:p w14:paraId="7BE436C0" w14:textId="77777777" w:rsidR="00353483" w:rsidRDefault="00353483" w:rsidP="00353483">
      <w:pPr>
        <w:pStyle w:val="Heading4"/>
        <w:spacing w:after="240"/>
      </w:pPr>
      <w:r>
        <w:t>Translating immunisation records</w:t>
      </w:r>
    </w:p>
    <w:p w14:paraId="7D156260" w14:textId="5D74E488" w:rsidR="00353483" w:rsidRDefault="00353483" w:rsidP="00353483">
      <w:pPr>
        <w:spacing w:before="120" w:after="0" w:line="240" w:lineRule="auto"/>
        <w:rPr>
          <w:rFonts w:cs="Arial"/>
          <w:sz w:val="18"/>
          <w:szCs w:val="18"/>
        </w:rPr>
      </w:pPr>
      <w:r>
        <w:t xml:space="preserve">Refer to the </w:t>
      </w:r>
      <w:r w:rsidR="007A6019">
        <w:t xml:space="preserve">following </w:t>
      </w:r>
      <w:r>
        <w:t xml:space="preserve">links </w:t>
      </w:r>
      <w:r w:rsidRPr="000A5BF0">
        <w:t xml:space="preserve">to </w:t>
      </w:r>
      <w:r>
        <w:t>assist t</w:t>
      </w:r>
      <w:r w:rsidRPr="000A5BF0">
        <w:t xml:space="preserve">ranslating </w:t>
      </w:r>
      <w:r>
        <w:t>overseas i</w:t>
      </w:r>
      <w:r w:rsidRPr="000A5BF0">
        <w:t>mmuni</w:t>
      </w:r>
      <w:r>
        <w:t>s</w:t>
      </w:r>
      <w:r w:rsidRPr="000A5BF0">
        <w:t xml:space="preserve">ation </w:t>
      </w:r>
      <w:r>
        <w:t>r</w:t>
      </w:r>
      <w:r w:rsidRPr="000A5BF0">
        <w:t>ecord</w:t>
      </w:r>
      <w:r>
        <w:t>s:</w:t>
      </w:r>
    </w:p>
    <w:p w14:paraId="31AC9214" w14:textId="77777777" w:rsidR="00982630" w:rsidRPr="00EA7F1D" w:rsidRDefault="00982630" w:rsidP="00982630">
      <w:pPr>
        <w:pStyle w:val="Body"/>
        <w:numPr>
          <w:ilvl w:val="0"/>
          <w:numId w:val="43"/>
        </w:numPr>
        <w:spacing w:before="120"/>
        <w:ind w:left="714" w:hanging="357"/>
        <w:rPr>
          <w:rStyle w:val="Hyperlink"/>
        </w:rPr>
      </w:pPr>
      <w:r>
        <w:fldChar w:fldCharType="begin"/>
      </w:r>
      <w:r>
        <w:instrText>HYPERLINK "https://immunisationhandbook.health.gov.au/media/102"</w:instrText>
      </w:r>
      <w:r>
        <w:fldChar w:fldCharType="separate"/>
      </w:r>
      <w:r w:rsidRPr="00EA7F1D">
        <w:rPr>
          <w:rStyle w:val="Hyperlink"/>
        </w:rPr>
        <w:t xml:space="preserve">Foreign language terms </w:t>
      </w:r>
    </w:p>
    <w:p w14:paraId="21B63B91" w14:textId="446CE25B" w:rsidR="00353483" w:rsidRPr="00621500" w:rsidRDefault="00982630" w:rsidP="00982630">
      <w:pPr>
        <w:pStyle w:val="Body"/>
        <w:numPr>
          <w:ilvl w:val="0"/>
          <w:numId w:val="43"/>
        </w:numPr>
        <w:spacing w:before="120"/>
        <w:ind w:left="714" w:hanging="357"/>
        <w:rPr>
          <w:rStyle w:val="Hyperlink"/>
        </w:rPr>
      </w:pPr>
      <w:r>
        <w:fldChar w:fldCharType="end"/>
      </w:r>
      <w:r w:rsidR="00353483">
        <w:fldChar w:fldCharType="begin"/>
      </w:r>
      <w:r w:rsidR="00353483">
        <w:instrText xml:space="preserve"> HYPERLINK "https://www.immunize.org/catg.d/p5122.pdf" </w:instrText>
      </w:r>
      <w:r w:rsidR="00353483">
        <w:fldChar w:fldCharType="separate"/>
      </w:r>
      <w:r w:rsidR="00353483" w:rsidRPr="00621500">
        <w:rPr>
          <w:rStyle w:val="Hyperlink"/>
        </w:rPr>
        <w:t>Quick Chart of Vaccine-Preventable Disease Terms in Multiple Languages</w:t>
      </w:r>
    </w:p>
    <w:p w14:paraId="6717EEC2" w14:textId="77777777" w:rsidR="00353483" w:rsidRDefault="00353483" w:rsidP="00353483">
      <w:pPr>
        <w:shd w:val="clear" w:color="auto" w:fill="FFFFFF"/>
        <w:spacing w:before="120"/>
      </w:pPr>
      <w:r>
        <w:rPr>
          <w:rFonts w:eastAsia="Times"/>
        </w:rPr>
        <w:fldChar w:fldCharType="end"/>
      </w:r>
      <w:r w:rsidRPr="00B61E72">
        <w:rPr>
          <w:rStyle w:val="normaltextrun"/>
          <w:rFonts w:cs="Arial"/>
        </w:rPr>
        <w:t xml:space="preserve">Encourage clients </w:t>
      </w:r>
      <w:r w:rsidRPr="00B61E72">
        <w:rPr>
          <w:rStyle w:val="normaltextrun"/>
          <w:rFonts w:eastAsia="Calibri" w:cs="Arial"/>
        </w:rPr>
        <w:t>to provide a</w:t>
      </w:r>
      <w:r w:rsidRPr="00B61E72">
        <w:rPr>
          <w:rStyle w:val="normaltextrun"/>
          <w:rFonts w:cs="Arial"/>
        </w:rPr>
        <w:t xml:space="preserve"> translated immunisation history if the original record is not in English. Eligible people may be referred to </w:t>
      </w:r>
      <w:r>
        <w:rPr>
          <w:rStyle w:val="normaltextrun"/>
          <w:rFonts w:cs="Arial"/>
        </w:rPr>
        <w:t xml:space="preserve">Department of Home Affairs’ </w:t>
      </w:r>
      <w:hyperlink r:id="rId26" w:history="1">
        <w:r w:rsidRPr="00B61E72">
          <w:rPr>
            <w:rStyle w:val="Hyperlink"/>
            <w:rFonts w:cs="Arial"/>
          </w:rPr>
          <w:t>Free Translating Service</w:t>
        </w:r>
      </w:hyperlink>
      <w:r w:rsidRPr="00B61E72">
        <w:rPr>
          <w:rStyle w:val="normaltextrun"/>
          <w:rFonts w:cs="Arial"/>
          <w:color w:val="C00000"/>
        </w:rPr>
        <w:t xml:space="preserve"> </w:t>
      </w:r>
      <w:r w:rsidRPr="00B61E72">
        <w:rPr>
          <w:rStyle w:val="normaltextrun"/>
          <w:rFonts w:cs="Arial"/>
        </w:rPr>
        <w:t>to have their immunisation records translated by an accredited translator free of charge.</w:t>
      </w:r>
      <w:r w:rsidRPr="00B61E72">
        <w:rPr>
          <w:rStyle w:val="eop"/>
          <w:rFonts w:cs="Arial"/>
        </w:rPr>
        <w:t> </w:t>
      </w:r>
    </w:p>
    <w:bookmarkEnd w:id="4"/>
    <w:p w14:paraId="1C2F7473" w14:textId="77777777" w:rsidR="00353483" w:rsidRPr="008A05AD" w:rsidRDefault="00353483" w:rsidP="00353483">
      <w:pPr>
        <w:pStyle w:val="Body"/>
        <w:sectPr w:rsidR="00353483" w:rsidRPr="008A05AD" w:rsidSect="00353483">
          <w:type w:val="continuous"/>
          <w:pgSz w:w="11906" w:h="16838" w:code="9"/>
          <w:pgMar w:top="720" w:right="720" w:bottom="720" w:left="720" w:header="680" w:footer="851" w:gutter="0"/>
          <w:cols w:space="340"/>
          <w:docGrid w:linePitch="360"/>
        </w:sectPr>
      </w:pPr>
    </w:p>
    <w:p w14:paraId="63932FCD" w14:textId="5325F8E6" w:rsidR="00353483" w:rsidRDefault="00353483" w:rsidP="0000191C">
      <w:pPr>
        <w:pStyle w:val="Heading3"/>
      </w:pPr>
      <w:bookmarkStart w:id="7" w:name="_Toc206760186"/>
      <w:bookmarkStart w:id="8" w:name="_Hlk173324290"/>
      <w:r>
        <w:lastRenderedPageBreak/>
        <w:t>Table 2.  Standard vaccination catch-up recommendations for healthy people aged 10 – 19 years</w:t>
      </w:r>
      <w:bookmarkEnd w:id="7"/>
      <w:r>
        <w:t xml:space="preserve"> </w:t>
      </w:r>
    </w:p>
    <w:p w14:paraId="209DA504" w14:textId="77777777" w:rsidR="00353483" w:rsidRPr="009E1635" w:rsidRDefault="00353483" w:rsidP="00353483">
      <w:pPr>
        <w:pStyle w:val="Body"/>
      </w:pPr>
      <w:r>
        <w:t xml:space="preserve">Adapted from the </w:t>
      </w:r>
      <w:hyperlink r:id="rId27" w:history="1">
        <w:r w:rsidRPr="00CA0C42">
          <w:rPr>
            <w:rStyle w:val="Hyperlink"/>
            <w:szCs w:val="21"/>
          </w:rPr>
          <w:t>Australian Immunisation Handbook</w:t>
        </w:r>
      </w:hyperlink>
      <w:r>
        <w:t xml:space="preserve">, and the </w:t>
      </w:r>
      <w:hyperlink r:id="rId28" w:history="1">
        <w:r w:rsidRPr="00E7023F">
          <w:rPr>
            <w:rStyle w:val="Hyperlink"/>
          </w:rPr>
          <w:t>National Immunisation Program schedule</w:t>
        </w:r>
      </w:hyperlink>
      <w:r>
        <w:t xml:space="preserve"> July 2024.</w:t>
      </w:r>
    </w:p>
    <w:tbl>
      <w:tblPr>
        <w:tblStyle w:val="TableGrid1"/>
        <w:tblW w:w="5145" w:type="pct"/>
        <w:tblInd w:w="-147" w:type="dxa"/>
        <w:tblLook w:val="04A0" w:firstRow="1" w:lastRow="0" w:firstColumn="1" w:lastColumn="0" w:noHBand="0" w:noVBand="1"/>
      </w:tblPr>
      <w:tblGrid>
        <w:gridCol w:w="2439"/>
        <w:gridCol w:w="1117"/>
        <w:gridCol w:w="1546"/>
        <w:gridCol w:w="1561"/>
        <w:gridCol w:w="1558"/>
        <w:gridCol w:w="6177"/>
      </w:tblGrid>
      <w:tr w:rsidR="00353483" w:rsidRPr="003344F5" w14:paraId="7F22A11D" w14:textId="77777777" w:rsidTr="001A79C4">
        <w:trPr>
          <w:trHeight w:val="784"/>
        </w:trPr>
        <w:tc>
          <w:tcPr>
            <w:tcW w:w="1235" w:type="pct"/>
            <w:gridSpan w:val="2"/>
            <w:shd w:val="clear" w:color="auto" w:fill="DBE5F1"/>
          </w:tcPr>
          <w:p w14:paraId="5AD04040" w14:textId="77777777" w:rsidR="00353483" w:rsidRPr="003344F5" w:rsidRDefault="00353483" w:rsidP="00693FA8">
            <w:pPr>
              <w:spacing w:before="20" w:after="20" w:line="240" w:lineRule="auto"/>
              <w:rPr>
                <w:rFonts w:cs="Arial"/>
                <w:b/>
                <w:szCs w:val="21"/>
              </w:rPr>
            </w:pPr>
            <w:r w:rsidRPr="003344F5">
              <w:rPr>
                <w:rFonts w:cs="Arial"/>
                <w:b/>
                <w:szCs w:val="21"/>
              </w:rPr>
              <w:t xml:space="preserve">Vaccine </w:t>
            </w:r>
          </w:p>
          <w:p w14:paraId="023DC121" w14:textId="77777777" w:rsidR="00353483" w:rsidRPr="003344F5" w:rsidRDefault="00353483" w:rsidP="00693FA8">
            <w:pPr>
              <w:spacing w:before="20" w:after="20" w:line="240" w:lineRule="auto"/>
              <w:rPr>
                <w:rFonts w:cs="Arial"/>
                <w:b/>
                <w:szCs w:val="21"/>
              </w:rPr>
            </w:pPr>
          </w:p>
        </w:tc>
        <w:tc>
          <w:tcPr>
            <w:tcW w:w="537" w:type="pct"/>
            <w:shd w:val="clear" w:color="auto" w:fill="DBE5F1"/>
          </w:tcPr>
          <w:p w14:paraId="1626B55B" w14:textId="77777777" w:rsidR="00353483" w:rsidRPr="003344F5" w:rsidRDefault="00353483" w:rsidP="00693FA8">
            <w:pPr>
              <w:spacing w:before="20" w:after="20" w:line="240" w:lineRule="auto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Doses required</w:t>
            </w:r>
          </w:p>
        </w:tc>
        <w:tc>
          <w:tcPr>
            <w:tcW w:w="542" w:type="pct"/>
            <w:shd w:val="clear" w:color="auto" w:fill="DBE5F1"/>
          </w:tcPr>
          <w:p w14:paraId="66081789" w14:textId="77777777" w:rsidR="00353483" w:rsidRPr="00137716" w:rsidRDefault="00353483" w:rsidP="00693FA8">
            <w:pPr>
              <w:spacing w:before="20" w:after="20" w:line="240" w:lineRule="auto"/>
              <w:rPr>
                <w:b/>
                <w:bCs/>
              </w:rPr>
            </w:pPr>
            <w:r w:rsidRPr="00137716">
              <w:rPr>
                <w:b/>
                <w:bCs/>
              </w:rPr>
              <w:t>Min</w:t>
            </w:r>
            <w:r>
              <w:rPr>
                <w:b/>
                <w:bCs/>
              </w:rPr>
              <w:t xml:space="preserve">. </w:t>
            </w:r>
            <w:r w:rsidRPr="00137716">
              <w:rPr>
                <w:b/>
                <w:bCs/>
              </w:rPr>
              <w:t>interval b</w:t>
            </w:r>
            <w:r>
              <w:rPr>
                <w:b/>
                <w:bCs/>
              </w:rPr>
              <w:t>etween</w:t>
            </w:r>
            <w:r w:rsidRPr="00137716">
              <w:rPr>
                <w:b/>
                <w:bCs/>
              </w:rPr>
              <w:t xml:space="preserve"> </w:t>
            </w:r>
          </w:p>
          <w:p w14:paraId="5F7BCB71" w14:textId="77777777" w:rsidR="00353483" w:rsidRPr="003344F5" w:rsidRDefault="00353483" w:rsidP="00693FA8">
            <w:pPr>
              <w:spacing w:before="20" w:after="20" w:line="240" w:lineRule="auto"/>
              <w:rPr>
                <w:rFonts w:cs="Arial"/>
                <w:b/>
                <w:szCs w:val="21"/>
              </w:rPr>
            </w:pPr>
            <w:r w:rsidRPr="00137716">
              <w:rPr>
                <w:b/>
                <w:bCs/>
              </w:rPr>
              <w:t>dose 1 and 2</w:t>
            </w:r>
          </w:p>
        </w:tc>
        <w:tc>
          <w:tcPr>
            <w:tcW w:w="541" w:type="pct"/>
            <w:shd w:val="clear" w:color="auto" w:fill="DBE5F1"/>
          </w:tcPr>
          <w:p w14:paraId="2B38A4BD" w14:textId="77777777" w:rsidR="00353483" w:rsidRPr="00137716" w:rsidRDefault="00353483" w:rsidP="00693FA8">
            <w:pPr>
              <w:spacing w:before="20" w:after="20" w:line="240" w:lineRule="auto"/>
              <w:rPr>
                <w:b/>
                <w:bCs/>
              </w:rPr>
            </w:pPr>
            <w:r w:rsidRPr="00137716">
              <w:rPr>
                <w:b/>
                <w:bCs/>
              </w:rPr>
              <w:t>Min. interval b</w:t>
            </w:r>
            <w:r>
              <w:rPr>
                <w:b/>
                <w:bCs/>
              </w:rPr>
              <w:t>etween</w:t>
            </w:r>
            <w:r w:rsidRPr="00137716">
              <w:rPr>
                <w:b/>
                <w:bCs/>
              </w:rPr>
              <w:t xml:space="preserve"> </w:t>
            </w:r>
          </w:p>
          <w:p w14:paraId="3714B5B6" w14:textId="77777777" w:rsidR="00353483" w:rsidRPr="003344F5" w:rsidRDefault="00353483" w:rsidP="00693FA8">
            <w:pPr>
              <w:spacing w:before="20" w:after="20" w:line="240" w:lineRule="auto"/>
              <w:rPr>
                <w:rFonts w:cs="Arial"/>
                <w:b/>
                <w:szCs w:val="21"/>
              </w:rPr>
            </w:pPr>
            <w:r w:rsidRPr="00137716">
              <w:rPr>
                <w:b/>
                <w:bCs/>
              </w:rPr>
              <w:t>dose 2 and 3</w:t>
            </w:r>
          </w:p>
        </w:tc>
        <w:tc>
          <w:tcPr>
            <w:tcW w:w="2145" w:type="pct"/>
            <w:shd w:val="clear" w:color="auto" w:fill="DBE5F1"/>
          </w:tcPr>
          <w:p w14:paraId="308BD2CC" w14:textId="77777777" w:rsidR="00353483" w:rsidRPr="0098608F" w:rsidRDefault="00353483" w:rsidP="00693FA8">
            <w:pPr>
              <w:spacing w:before="20" w:after="20" w:line="240" w:lineRule="auto"/>
              <w:rPr>
                <w:rFonts w:cs="Arial"/>
                <w:b/>
                <w:bCs/>
                <w:szCs w:val="21"/>
              </w:rPr>
            </w:pPr>
            <w:r w:rsidRPr="0098608F">
              <w:rPr>
                <w:b/>
                <w:bCs/>
              </w:rPr>
              <w:t>Notes</w:t>
            </w:r>
          </w:p>
        </w:tc>
      </w:tr>
      <w:tr w:rsidR="00353483" w:rsidRPr="003344F5" w14:paraId="500EE23D" w14:textId="77777777" w:rsidTr="001A79C4">
        <w:trPr>
          <w:trHeight w:val="537"/>
        </w:trPr>
        <w:tc>
          <w:tcPr>
            <w:tcW w:w="1235" w:type="pct"/>
            <w:gridSpan w:val="2"/>
          </w:tcPr>
          <w:p w14:paraId="6E8BE0E6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t>Diphtheria, tetanus, pertussis (</w:t>
            </w:r>
            <w:proofErr w:type="spellStart"/>
            <w:r>
              <w:t>dTpa</w:t>
            </w:r>
            <w:proofErr w:type="spellEnd"/>
            <w:r>
              <w:t>)</w:t>
            </w:r>
          </w:p>
        </w:tc>
        <w:tc>
          <w:tcPr>
            <w:tcW w:w="537" w:type="pct"/>
          </w:tcPr>
          <w:p w14:paraId="073FD211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t>3 doses</w:t>
            </w:r>
          </w:p>
        </w:tc>
        <w:tc>
          <w:tcPr>
            <w:tcW w:w="542" w:type="pct"/>
          </w:tcPr>
          <w:p w14:paraId="366A890E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 weeks</w:t>
            </w:r>
          </w:p>
        </w:tc>
        <w:tc>
          <w:tcPr>
            <w:tcW w:w="541" w:type="pct"/>
          </w:tcPr>
          <w:p w14:paraId="30189E60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 weeks</w:t>
            </w:r>
          </w:p>
        </w:tc>
        <w:tc>
          <w:tcPr>
            <w:tcW w:w="2145" w:type="pct"/>
          </w:tcPr>
          <w:p w14:paraId="3B809CDF" w14:textId="77777777" w:rsidR="00353483" w:rsidRPr="00842D90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 w:rsidRPr="00842D90">
              <w:rPr>
                <w:szCs w:val="21"/>
              </w:rPr>
              <w:t xml:space="preserve">Booster dose of </w:t>
            </w:r>
            <w:proofErr w:type="spellStart"/>
            <w:r w:rsidRPr="00842D90">
              <w:rPr>
                <w:szCs w:val="21"/>
              </w:rPr>
              <w:t>dTpa</w:t>
            </w:r>
            <w:proofErr w:type="spellEnd"/>
            <w:r w:rsidRPr="00842D90">
              <w:rPr>
                <w:szCs w:val="21"/>
              </w:rPr>
              <w:t xml:space="preserve"> is offered in Year 7 school program</w:t>
            </w:r>
            <w:r>
              <w:rPr>
                <w:szCs w:val="21"/>
              </w:rPr>
              <w:t xml:space="preserve"> (12-13 years </w:t>
            </w:r>
          </w:p>
        </w:tc>
      </w:tr>
      <w:tr w:rsidR="001A79C4" w:rsidRPr="003344F5" w14:paraId="396D4F7E" w14:textId="77777777" w:rsidTr="001A79C4">
        <w:trPr>
          <w:trHeight w:val="537"/>
        </w:trPr>
        <w:tc>
          <w:tcPr>
            <w:tcW w:w="1235" w:type="pct"/>
            <w:gridSpan w:val="2"/>
          </w:tcPr>
          <w:p w14:paraId="660A2615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t>Poliomyelitis (IPV)</w:t>
            </w:r>
          </w:p>
        </w:tc>
        <w:tc>
          <w:tcPr>
            <w:tcW w:w="537" w:type="pct"/>
          </w:tcPr>
          <w:p w14:paraId="2E63F15C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t>3 doses</w:t>
            </w:r>
          </w:p>
        </w:tc>
        <w:tc>
          <w:tcPr>
            <w:tcW w:w="542" w:type="pct"/>
          </w:tcPr>
          <w:p w14:paraId="4B2F2851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 weeks</w:t>
            </w:r>
          </w:p>
        </w:tc>
        <w:tc>
          <w:tcPr>
            <w:tcW w:w="541" w:type="pct"/>
          </w:tcPr>
          <w:p w14:paraId="6B2A99B8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 weeks</w:t>
            </w:r>
          </w:p>
        </w:tc>
        <w:tc>
          <w:tcPr>
            <w:tcW w:w="2145" w:type="pct"/>
            <w:shd w:val="clear" w:color="auto" w:fill="EEECE1" w:themeFill="background2"/>
          </w:tcPr>
          <w:p w14:paraId="5C581011" w14:textId="77777777" w:rsidR="00353483" w:rsidRPr="00842D90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</w:p>
        </w:tc>
      </w:tr>
      <w:tr w:rsidR="00353483" w:rsidRPr="003344F5" w14:paraId="699BA644" w14:textId="77777777" w:rsidTr="001A79C4">
        <w:trPr>
          <w:trHeight w:val="537"/>
        </w:trPr>
        <w:tc>
          <w:tcPr>
            <w:tcW w:w="847" w:type="pct"/>
            <w:vMerge w:val="restart"/>
          </w:tcPr>
          <w:p w14:paraId="318F5D28" w14:textId="77777777" w:rsidR="00353483" w:rsidRDefault="00353483" w:rsidP="001A79C4">
            <w:pPr>
              <w:spacing w:before="60" w:after="60" w:line="240" w:lineRule="auto"/>
            </w:pPr>
            <w:r>
              <w:t>Hepatitis B</w:t>
            </w:r>
            <w:r>
              <w:rPr>
                <w:rFonts w:cs="Arial"/>
              </w:rPr>
              <w:t>¹</w:t>
            </w:r>
          </w:p>
          <w:p w14:paraId="63F58CD7" w14:textId="77777777" w:rsidR="00353483" w:rsidRDefault="00353483" w:rsidP="001A79C4">
            <w:pPr>
              <w:spacing w:before="60" w:after="60" w:line="240" w:lineRule="auto"/>
            </w:pPr>
            <w:r>
              <w:t xml:space="preserve">(Hep B) </w:t>
            </w:r>
          </w:p>
        </w:tc>
        <w:tc>
          <w:tcPr>
            <w:tcW w:w="388" w:type="pct"/>
          </w:tcPr>
          <w:p w14:paraId="5E28EE9E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10-19 years*</w:t>
            </w:r>
          </w:p>
        </w:tc>
        <w:tc>
          <w:tcPr>
            <w:tcW w:w="537" w:type="pct"/>
          </w:tcPr>
          <w:p w14:paraId="63570D6C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t>3 paediatric doses</w:t>
            </w:r>
          </w:p>
        </w:tc>
        <w:tc>
          <w:tcPr>
            <w:tcW w:w="542" w:type="pct"/>
          </w:tcPr>
          <w:p w14:paraId="1DAAC2E6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 month</w:t>
            </w:r>
          </w:p>
        </w:tc>
        <w:tc>
          <w:tcPr>
            <w:tcW w:w="541" w:type="pct"/>
          </w:tcPr>
          <w:p w14:paraId="3B03C327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2 - 3^ months</w:t>
            </w:r>
          </w:p>
        </w:tc>
        <w:tc>
          <w:tcPr>
            <w:tcW w:w="2145" w:type="pct"/>
            <w:vMerge w:val="restart"/>
          </w:tcPr>
          <w:p w14:paraId="1A628197" w14:textId="77777777" w:rsidR="00353483" w:rsidRPr="00842D90" w:rsidRDefault="00353483" w:rsidP="001A79C4">
            <w:pPr>
              <w:spacing w:before="60" w:after="60" w:line="240" w:lineRule="auto"/>
              <w:rPr>
                <w:szCs w:val="21"/>
              </w:rPr>
            </w:pPr>
            <w:r w:rsidRPr="00842D90">
              <w:rPr>
                <w:rFonts w:cs="Arial"/>
                <w:szCs w:val="21"/>
              </w:rPr>
              <w:t>*</w:t>
            </w:r>
            <w:r w:rsidRPr="00842D90">
              <w:rPr>
                <w:szCs w:val="21"/>
              </w:rPr>
              <w:t xml:space="preserve"> The age groups overlap - this is an either/or, not both. </w:t>
            </w:r>
          </w:p>
          <w:p w14:paraId="50125033" w14:textId="77777777" w:rsidR="00353483" w:rsidRPr="00842D90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 w:rsidRPr="00842D90">
              <w:rPr>
                <w:rFonts w:cs="Arial"/>
                <w:szCs w:val="21"/>
              </w:rPr>
              <w:t xml:space="preserve">^ </w:t>
            </w:r>
            <w:r w:rsidRPr="00842D90">
              <w:rPr>
                <w:szCs w:val="21"/>
              </w:rPr>
              <w:t xml:space="preserve">Minimum interval between dose 1 &amp; 3 is 4 months (however, optimum dose schedule is 0, 1 &amp; 6 months) </w:t>
            </w:r>
          </w:p>
        </w:tc>
      </w:tr>
      <w:tr w:rsidR="001A79C4" w:rsidRPr="003344F5" w14:paraId="4A2D3775" w14:textId="77777777" w:rsidTr="001A79C4">
        <w:trPr>
          <w:trHeight w:val="537"/>
        </w:trPr>
        <w:tc>
          <w:tcPr>
            <w:tcW w:w="847" w:type="pct"/>
            <w:vMerge/>
          </w:tcPr>
          <w:p w14:paraId="13467492" w14:textId="77777777" w:rsidR="00353483" w:rsidRDefault="00353483" w:rsidP="001A79C4">
            <w:pPr>
              <w:spacing w:before="60" w:after="60" w:line="240" w:lineRule="auto"/>
            </w:pPr>
          </w:p>
        </w:tc>
        <w:tc>
          <w:tcPr>
            <w:tcW w:w="388" w:type="pct"/>
          </w:tcPr>
          <w:p w14:paraId="10F2ADCE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11-15 years*</w:t>
            </w:r>
          </w:p>
        </w:tc>
        <w:tc>
          <w:tcPr>
            <w:tcW w:w="537" w:type="pct"/>
          </w:tcPr>
          <w:p w14:paraId="4902641E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 adult doses</w:t>
            </w:r>
          </w:p>
        </w:tc>
        <w:tc>
          <w:tcPr>
            <w:tcW w:w="542" w:type="pct"/>
          </w:tcPr>
          <w:p w14:paraId="7BC7BA25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 months</w:t>
            </w:r>
          </w:p>
        </w:tc>
        <w:tc>
          <w:tcPr>
            <w:tcW w:w="541" w:type="pct"/>
            <w:shd w:val="clear" w:color="auto" w:fill="EEECE1" w:themeFill="background2"/>
          </w:tcPr>
          <w:p w14:paraId="383D292F" w14:textId="77777777" w:rsidR="00353483" w:rsidRPr="00822D16" w:rsidRDefault="00353483" w:rsidP="001A79C4">
            <w:pPr>
              <w:spacing w:before="60" w:after="60" w:line="240" w:lineRule="auto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szCs w:val="21"/>
              </w:rPr>
              <w:t>Not required</w:t>
            </w:r>
          </w:p>
        </w:tc>
        <w:tc>
          <w:tcPr>
            <w:tcW w:w="2145" w:type="pct"/>
            <w:vMerge/>
          </w:tcPr>
          <w:p w14:paraId="1D61C0C6" w14:textId="77777777" w:rsidR="00353483" w:rsidRPr="00842D90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</w:p>
        </w:tc>
      </w:tr>
      <w:tr w:rsidR="001A79C4" w:rsidRPr="003344F5" w14:paraId="19CC8AFC" w14:textId="77777777" w:rsidTr="001A79C4">
        <w:trPr>
          <w:trHeight w:val="537"/>
        </w:trPr>
        <w:tc>
          <w:tcPr>
            <w:tcW w:w="1235" w:type="pct"/>
            <w:gridSpan w:val="2"/>
          </w:tcPr>
          <w:p w14:paraId="43B560F1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 w:rsidRPr="003344F5">
              <w:rPr>
                <w:szCs w:val="21"/>
              </w:rPr>
              <w:t>Measles, mumps, rubella - MMR</w:t>
            </w:r>
            <w:r>
              <w:rPr>
                <w:rFonts w:cs="Arial"/>
                <w:szCs w:val="21"/>
              </w:rPr>
              <w:t>¹</w:t>
            </w:r>
            <w:r w:rsidRPr="003344F5">
              <w:rPr>
                <w:szCs w:val="21"/>
              </w:rPr>
              <w:t xml:space="preserve"> </w:t>
            </w:r>
          </w:p>
        </w:tc>
        <w:tc>
          <w:tcPr>
            <w:tcW w:w="537" w:type="pct"/>
          </w:tcPr>
          <w:p w14:paraId="2054C46F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 doses</w:t>
            </w:r>
          </w:p>
        </w:tc>
        <w:tc>
          <w:tcPr>
            <w:tcW w:w="542" w:type="pct"/>
          </w:tcPr>
          <w:p w14:paraId="6F00A9B8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 weeks</w:t>
            </w:r>
          </w:p>
        </w:tc>
        <w:tc>
          <w:tcPr>
            <w:tcW w:w="541" w:type="pct"/>
            <w:shd w:val="clear" w:color="auto" w:fill="EEECE1" w:themeFill="background2"/>
          </w:tcPr>
          <w:p w14:paraId="077BD80E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Not required</w:t>
            </w:r>
          </w:p>
        </w:tc>
        <w:tc>
          <w:tcPr>
            <w:tcW w:w="2145" w:type="pct"/>
            <w:shd w:val="clear" w:color="auto" w:fill="EEECE1" w:themeFill="background2"/>
          </w:tcPr>
          <w:p w14:paraId="351C4D41" w14:textId="77777777" w:rsidR="00353483" w:rsidRPr="00842D90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</w:p>
        </w:tc>
      </w:tr>
      <w:tr w:rsidR="001A79C4" w:rsidRPr="003344F5" w14:paraId="1369F624" w14:textId="77777777" w:rsidTr="001A79C4">
        <w:trPr>
          <w:trHeight w:val="693"/>
        </w:trPr>
        <w:tc>
          <w:tcPr>
            <w:tcW w:w="847" w:type="pct"/>
          </w:tcPr>
          <w:p w14:paraId="56FCAD41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Meningococcal ACWY²</w:t>
            </w:r>
          </w:p>
        </w:tc>
        <w:tc>
          <w:tcPr>
            <w:tcW w:w="388" w:type="pct"/>
          </w:tcPr>
          <w:p w14:paraId="368F69EF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15-19 years</w:t>
            </w:r>
          </w:p>
        </w:tc>
        <w:tc>
          <w:tcPr>
            <w:tcW w:w="537" w:type="pct"/>
          </w:tcPr>
          <w:p w14:paraId="36DFCF11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t xml:space="preserve">1 dose </w:t>
            </w:r>
          </w:p>
        </w:tc>
        <w:tc>
          <w:tcPr>
            <w:tcW w:w="542" w:type="pct"/>
            <w:shd w:val="clear" w:color="auto" w:fill="EEECE1" w:themeFill="background2"/>
          </w:tcPr>
          <w:p w14:paraId="43177F77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Not required</w:t>
            </w:r>
          </w:p>
        </w:tc>
        <w:tc>
          <w:tcPr>
            <w:tcW w:w="541" w:type="pct"/>
            <w:shd w:val="clear" w:color="auto" w:fill="EEECE1" w:themeFill="background2"/>
          </w:tcPr>
          <w:p w14:paraId="7781CC39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Not required</w:t>
            </w:r>
          </w:p>
        </w:tc>
        <w:tc>
          <w:tcPr>
            <w:tcW w:w="2145" w:type="pct"/>
            <w:shd w:val="clear" w:color="auto" w:fill="auto"/>
          </w:tcPr>
          <w:p w14:paraId="4984984C" w14:textId="77777777" w:rsidR="00353483" w:rsidRDefault="00353483" w:rsidP="001A79C4">
            <w:pPr>
              <w:spacing w:before="60" w:after="60" w:line="240" w:lineRule="auto"/>
              <w:rPr>
                <w:szCs w:val="21"/>
              </w:rPr>
            </w:pPr>
            <w:r w:rsidRPr="00842D90">
              <w:rPr>
                <w:szCs w:val="21"/>
              </w:rPr>
              <w:t xml:space="preserve">Men ACWY is offered in Year 10 school program </w:t>
            </w:r>
          </w:p>
          <w:p w14:paraId="7ED38388" w14:textId="77777777" w:rsidR="00353483" w:rsidRPr="00842D90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szCs w:val="21"/>
              </w:rPr>
              <w:t>(14 -16 years)</w:t>
            </w:r>
          </w:p>
        </w:tc>
      </w:tr>
      <w:tr w:rsidR="001A79C4" w:rsidRPr="003344F5" w14:paraId="621E9C89" w14:textId="77777777" w:rsidTr="001A79C4">
        <w:trPr>
          <w:trHeight w:val="537"/>
        </w:trPr>
        <w:tc>
          <w:tcPr>
            <w:tcW w:w="847" w:type="pct"/>
            <w:vMerge w:val="restart"/>
          </w:tcPr>
          <w:p w14:paraId="63146EC2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Varicella¹</w:t>
            </w:r>
          </w:p>
        </w:tc>
        <w:tc>
          <w:tcPr>
            <w:tcW w:w="388" w:type="pct"/>
          </w:tcPr>
          <w:p w14:paraId="21EA04B6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&lt; 14 years</w:t>
            </w:r>
          </w:p>
        </w:tc>
        <w:tc>
          <w:tcPr>
            <w:tcW w:w="537" w:type="pct"/>
          </w:tcPr>
          <w:p w14:paraId="29C373BD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 dose</w:t>
            </w:r>
          </w:p>
        </w:tc>
        <w:tc>
          <w:tcPr>
            <w:tcW w:w="542" w:type="pct"/>
            <w:shd w:val="clear" w:color="auto" w:fill="EEECE1" w:themeFill="background2"/>
          </w:tcPr>
          <w:p w14:paraId="4A3BE749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Not required</w:t>
            </w:r>
          </w:p>
        </w:tc>
        <w:tc>
          <w:tcPr>
            <w:tcW w:w="541" w:type="pct"/>
            <w:shd w:val="clear" w:color="auto" w:fill="EEECE1" w:themeFill="background2"/>
          </w:tcPr>
          <w:p w14:paraId="7724BC40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Not required</w:t>
            </w:r>
          </w:p>
        </w:tc>
        <w:tc>
          <w:tcPr>
            <w:tcW w:w="2145" w:type="pct"/>
            <w:vMerge w:val="restart"/>
          </w:tcPr>
          <w:p w14:paraId="5756D032" w14:textId="003FC06B" w:rsidR="00353483" w:rsidRPr="00842D90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 w:rsidRPr="00842D90">
              <w:rPr>
                <w:rFonts w:cs="Arial"/>
                <w:szCs w:val="21"/>
              </w:rPr>
              <w:t xml:space="preserve">1 dose NIP </w:t>
            </w:r>
            <w:r w:rsidR="00982630">
              <w:rPr>
                <w:rFonts w:cs="Arial"/>
                <w:szCs w:val="21"/>
              </w:rPr>
              <w:t xml:space="preserve">funded </w:t>
            </w:r>
            <w:r w:rsidRPr="00842D90">
              <w:rPr>
                <w:rFonts w:cs="Arial"/>
                <w:szCs w:val="21"/>
              </w:rPr>
              <w:t>for people &lt;14 years</w:t>
            </w:r>
          </w:p>
          <w:p w14:paraId="387DEC33" w14:textId="2013135C" w:rsidR="00353483" w:rsidRPr="00842D90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 w:rsidRPr="00842D90">
              <w:rPr>
                <w:rFonts w:cs="Arial"/>
                <w:szCs w:val="21"/>
              </w:rPr>
              <w:t xml:space="preserve">2 doses NIP </w:t>
            </w:r>
            <w:r w:rsidR="00982630">
              <w:rPr>
                <w:rFonts w:cs="Arial"/>
                <w:szCs w:val="21"/>
              </w:rPr>
              <w:t xml:space="preserve">funded </w:t>
            </w:r>
            <w:r w:rsidRPr="00842D90">
              <w:rPr>
                <w:rFonts w:cs="Arial"/>
                <w:szCs w:val="21"/>
              </w:rPr>
              <w:t xml:space="preserve">for people ≥ 14 years. </w:t>
            </w:r>
          </w:p>
          <w:p w14:paraId="51DB38CB" w14:textId="77777777" w:rsidR="00353483" w:rsidRPr="00842D90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 w:rsidRPr="00842D90">
              <w:rPr>
                <w:szCs w:val="21"/>
              </w:rPr>
              <w:t xml:space="preserve">MMRV </w:t>
            </w:r>
            <w:r>
              <w:rPr>
                <w:szCs w:val="21"/>
              </w:rPr>
              <w:t xml:space="preserve">combined vaccine </w:t>
            </w:r>
            <w:r w:rsidRPr="00842D90">
              <w:rPr>
                <w:szCs w:val="21"/>
              </w:rPr>
              <w:t xml:space="preserve">is not recommended for use in people </w:t>
            </w:r>
            <w:r w:rsidRPr="00842D90">
              <w:rPr>
                <w:rFonts w:cs="Arial"/>
                <w:szCs w:val="21"/>
              </w:rPr>
              <w:t xml:space="preserve">≥ </w:t>
            </w:r>
            <w:r w:rsidRPr="00842D90">
              <w:rPr>
                <w:szCs w:val="21"/>
              </w:rPr>
              <w:t>14 years</w:t>
            </w:r>
          </w:p>
        </w:tc>
      </w:tr>
      <w:tr w:rsidR="001A79C4" w:rsidRPr="003344F5" w14:paraId="15D19045" w14:textId="77777777" w:rsidTr="001A79C4">
        <w:trPr>
          <w:trHeight w:val="555"/>
        </w:trPr>
        <w:tc>
          <w:tcPr>
            <w:tcW w:w="847" w:type="pct"/>
            <w:vMerge/>
          </w:tcPr>
          <w:p w14:paraId="4B6816F9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</w:p>
        </w:tc>
        <w:tc>
          <w:tcPr>
            <w:tcW w:w="388" w:type="pct"/>
          </w:tcPr>
          <w:p w14:paraId="73463B2D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≥ 14 years</w:t>
            </w:r>
          </w:p>
        </w:tc>
        <w:tc>
          <w:tcPr>
            <w:tcW w:w="537" w:type="pct"/>
          </w:tcPr>
          <w:p w14:paraId="68591CB0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 doses</w:t>
            </w:r>
          </w:p>
        </w:tc>
        <w:tc>
          <w:tcPr>
            <w:tcW w:w="542" w:type="pct"/>
          </w:tcPr>
          <w:p w14:paraId="3DAE8925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4 weeks </w:t>
            </w:r>
          </w:p>
        </w:tc>
        <w:tc>
          <w:tcPr>
            <w:tcW w:w="541" w:type="pct"/>
            <w:shd w:val="clear" w:color="auto" w:fill="EEECE1" w:themeFill="background2"/>
          </w:tcPr>
          <w:p w14:paraId="6BD017EC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Not required</w:t>
            </w:r>
          </w:p>
        </w:tc>
        <w:tc>
          <w:tcPr>
            <w:tcW w:w="2145" w:type="pct"/>
            <w:vMerge/>
          </w:tcPr>
          <w:p w14:paraId="29329D84" w14:textId="77777777" w:rsidR="00353483" w:rsidRPr="00842D90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</w:p>
        </w:tc>
      </w:tr>
      <w:tr w:rsidR="001A79C4" w:rsidRPr="003344F5" w14:paraId="541FB1CF" w14:textId="77777777" w:rsidTr="001A79C4">
        <w:trPr>
          <w:trHeight w:val="884"/>
        </w:trPr>
        <w:tc>
          <w:tcPr>
            <w:tcW w:w="847" w:type="pct"/>
          </w:tcPr>
          <w:p w14:paraId="23986D34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 w:rsidRPr="003344F5">
              <w:rPr>
                <w:rFonts w:cs="Arial"/>
                <w:szCs w:val="21"/>
              </w:rPr>
              <w:t>Human papillomavirus</w:t>
            </w:r>
            <w:r>
              <w:rPr>
                <w:rFonts w:cs="Arial"/>
                <w:szCs w:val="21"/>
              </w:rPr>
              <w:t>²</w:t>
            </w:r>
            <w:r w:rsidRPr="003344F5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(</w:t>
            </w:r>
            <w:r w:rsidRPr="003344F5">
              <w:rPr>
                <w:rFonts w:cs="Arial"/>
                <w:szCs w:val="21"/>
              </w:rPr>
              <w:t>HPV</w:t>
            </w:r>
            <w:r>
              <w:rPr>
                <w:rFonts w:cs="Arial"/>
                <w:szCs w:val="21"/>
              </w:rPr>
              <w:t>)</w:t>
            </w:r>
          </w:p>
        </w:tc>
        <w:tc>
          <w:tcPr>
            <w:tcW w:w="388" w:type="pct"/>
          </w:tcPr>
          <w:p w14:paraId="29A217F8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9-25 years (inc.)</w:t>
            </w:r>
          </w:p>
        </w:tc>
        <w:tc>
          <w:tcPr>
            <w:tcW w:w="537" w:type="pct"/>
          </w:tcPr>
          <w:p w14:paraId="4A7E41C9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 dose</w:t>
            </w:r>
          </w:p>
        </w:tc>
        <w:tc>
          <w:tcPr>
            <w:tcW w:w="542" w:type="pct"/>
            <w:shd w:val="clear" w:color="auto" w:fill="EEECE1" w:themeFill="background2"/>
          </w:tcPr>
          <w:p w14:paraId="68AE9ACD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Not required</w:t>
            </w:r>
          </w:p>
        </w:tc>
        <w:tc>
          <w:tcPr>
            <w:tcW w:w="541" w:type="pct"/>
            <w:shd w:val="clear" w:color="auto" w:fill="EEECE1" w:themeFill="background2"/>
          </w:tcPr>
          <w:p w14:paraId="0D75A210" w14:textId="77777777" w:rsidR="00353483" w:rsidRPr="003344F5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Not required</w:t>
            </w:r>
          </w:p>
        </w:tc>
        <w:tc>
          <w:tcPr>
            <w:tcW w:w="2145" w:type="pct"/>
          </w:tcPr>
          <w:p w14:paraId="74D6EF64" w14:textId="77777777" w:rsidR="00353483" w:rsidRPr="00842D90" w:rsidRDefault="00353483" w:rsidP="001A79C4">
            <w:pPr>
              <w:spacing w:before="60" w:after="60" w:line="240" w:lineRule="auto"/>
              <w:rPr>
                <w:szCs w:val="21"/>
              </w:rPr>
            </w:pPr>
            <w:r w:rsidRPr="00842D90">
              <w:rPr>
                <w:szCs w:val="21"/>
              </w:rPr>
              <w:t xml:space="preserve">Single dose NIP funded for people 9 - 25 years of age. </w:t>
            </w:r>
          </w:p>
          <w:p w14:paraId="74AAB647" w14:textId="77777777" w:rsidR="00353483" w:rsidRPr="00842D90" w:rsidRDefault="00353483" w:rsidP="001A79C4">
            <w:pPr>
              <w:spacing w:before="60" w:after="60" w:line="240" w:lineRule="auto"/>
              <w:rPr>
                <w:rFonts w:cs="Arial"/>
                <w:szCs w:val="21"/>
              </w:rPr>
            </w:pPr>
            <w:r w:rsidRPr="00842D90">
              <w:rPr>
                <w:szCs w:val="21"/>
              </w:rPr>
              <w:t xml:space="preserve">Offered in Year 7 school program </w:t>
            </w:r>
            <w:r>
              <w:rPr>
                <w:szCs w:val="21"/>
              </w:rPr>
              <w:t>(12 –13 years)</w:t>
            </w:r>
          </w:p>
        </w:tc>
      </w:tr>
    </w:tbl>
    <w:p w14:paraId="5EF54151" w14:textId="5A68174B" w:rsidR="00353483" w:rsidRPr="00982630" w:rsidRDefault="00353483" w:rsidP="001A79C4">
      <w:pPr>
        <w:spacing w:before="60" w:after="60" w:line="259" w:lineRule="auto"/>
        <w:rPr>
          <w:rFonts w:cs="Arial"/>
          <w:szCs w:val="21"/>
        </w:rPr>
      </w:pPr>
      <w:r w:rsidRPr="00982630">
        <w:rPr>
          <w:rFonts w:cs="Arial"/>
          <w:szCs w:val="21"/>
        </w:rPr>
        <w:t xml:space="preserve">¹Consider serology to assess for MMR, varicella and Hep B immunity. </w:t>
      </w:r>
    </w:p>
    <w:p w14:paraId="19C7878F" w14:textId="04093895" w:rsidR="00C17487" w:rsidRPr="00982630" w:rsidRDefault="00353483" w:rsidP="001A79C4">
      <w:pPr>
        <w:spacing w:before="60" w:after="60" w:line="259" w:lineRule="auto"/>
        <w:rPr>
          <w:rFonts w:cs="Arial"/>
          <w:szCs w:val="21"/>
        </w:rPr>
      </w:pPr>
      <w:r w:rsidRPr="00982630">
        <w:rPr>
          <w:rFonts w:cs="Arial"/>
          <w:szCs w:val="21"/>
        </w:rPr>
        <w:t xml:space="preserve">² See </w:t>
      </w:r>
      <w:hyperlink r:id="rId29" w:history="1">
        <w:r w:rsidRPr="00982630">
          <w:rPr>
            <w:rStyle w:val="Hyperlink"/>
            <w:rFonts w:cs="Arial"/>
            <w:szCs w:val="21"/>
          </w:rPr>
          <w:t>NIP</w:t>
        </w:r>
        <w:r w:rsidR="00C17487" w:rsidRPr="00982630">
          <w:rPr>
            <w:rStyle w:val="Hyperlink"/>
            <w:rFonts w:cs="Arial"/>
            <w:szCs w:val="21"/>
          </w:rPr>
          <w:t xml:space="preserve"> </w:t>
        </w:r>
        <w:r w:rsidRPr="00982630">
          <w:rPr>
            <w:rStyle w:val="Hyperlink"/>
            <w:rFonts w:cs="Arial"/>
            <w:szCs w:val="21"/>
          </w:rPr>
          <w:t>schedule</w:t>
        </w:r>
      </w:hyperlink>
      <w:r w:rsidRPr="00982630">
        <w:rPr>
          <w:rFonts w:cs="Arial"/>
          <w:szCs w:val="21"/>
        </w:rPr>
        <w:t xml:space="preserve"> for Meningococcal ACWY/B, Pneumococcal, </w:t>
      </w:r>
      <w:r w:rsidRPr="00982630">
        <w:rPr>
          <w:szCs w:val="21"/>
        </w:rPr>
        <w:t xml:space="preserve">Haemophilus influenzae type b (Hib), </w:t>
      </w:r>
      <w:r w:rsidRPr="00982630">
        <w:rPr>
          <w:rFonts w:cs="Arial"/>
          <w:szCs w:val="21"/>
        </w:rPr>
        <w:t xml:space="preserve">and HPV are recommended for people with certain medical risk conditions. </w:t>
      </w:r>
    </w:p>
    <w:p w14:paraId="01D7A895" w14:textId="65186B3A" w:rsidR="00353483" w:rsidRPr="00982630" w:rsidRDefault="00353483" w:rsidP="001A79C4">
      <w:pPr>
        <w:spacing w:before="60" w:after="60" w:line="259" w:lineRule="auto"/>
        <w:rPr>
          <w:rFonts w:cs="Arial"/>
          <w:color w:val="2A2736"/>
          <w:szCs w:val="21"/>
        </w:rPr>
      </w:pPr>
      <w:hyperlink r:id="rId30" w:history="1">
        <w:r w:rsidRPr="00982630">
          <w:rPr>
            <w:rStyle w:val="Hyperlink"/>
            <w:rFonts w:cs="Arial"/>
            <w:szCs w:val="21"/>
          </w:rPr>
          <w:t>NIP</w:t>
        </w:r>
        <w:r w:rsidR="00C17487" w:rsidRPr="00982630">
          <w:rPr>
            <w:rStyle w:val="Hyperlink"/>
            <w:rFonts w:cs="Arial"/>
            <w:szCs w:val="21"/>
          </w:rPr>
          <w:t xml:space="preserve"> </w:t>
        </w:r>
        <w:r w:rsidR="00035553" w:rsidRPr="00982630">
          <w:rPr>
            <w:rStyle w:val="Hyperlink"/>
            <w:rFonts w:cs="Arial"/>
            <w:szCs w:val="21"/>
          </w:rPr>
          <w:t>schedule</w:t>
        </w:r>
      </w:hyperlink>
      <w:r w:rsidRPr="00982630">
        <w:rPr>
          <w:rFonts w:cs="Arial"/>
          <w:color w:val="2A2736"/>
          <w:szCs w:val="21"/>
        </w:rPr>
        <w:t xml:space="preserve"> </w:t>
      </w:r>
      <w:r w:rsidR="0089513E" w:rsidRPr="00982630">
        <w:rPr>
          <w:rFonts w:cs="Arial"/>
          <w:color w:val="2A2736"/>
          <w:szCs w:val="21"/>
        </w:rPr>
        <w:t xml:space="preserve">for </w:t>
      </w:r>
      <w:r w:rsidRPr="00982630">
        <w:rPr>
          <w:rFonts w:cs="Arial"/>
          <w:color w:val="2A2736"/>
          <w:szCs w:val="21"/>
        </w:rPr>
        <w:t xml:space="preserve">seasonal influenza vaccine is available for the people at higher risk of complications from influenza.  </w:t>
      </w:r>
    </w:p>
    <w:p w14:paraId="5541D95F" w14:textId="68E3B38E" w:rsidR="00982630" w:rsidRDefault="00982630" w:rsidP="001A79C4">
      <w:pPr>
        <w:spacing w:before="60" w:after="60" w:line="259" w:lineRule="auto"/>
        <w:rPr>
          <w:rFonts w:cs="Arial"/>
          <w:color w:val="2A2736"/>
          <w:szCs w:val="21"/>
        </w:rPr>
      </w:pPr>
      <w:r w:rsidRPr="006D5ED2">
        <w:rPr>
          <w:rFonts w:cs="Arial"/>
          <w:b/>
          <w:bCs/>
          <w:color w:val="2A2736"/>
          <w:szCs w:val="21"/>
        </w:rPr>
        <w:t>Refer to the</w:t>
      </w:r>
      <w:r>
        <w:rPr>
          <w:rFonts w:cs="Arial"/>
          <w:color w:val="2A2736"/>
          <w:szCs w:val="21"/>
        </w:rPr>
        <w:t xml:space="preserve"> </w:t>
      </w:r>
      <w:hyperlink r:id="rId31" w:history="1">
        <w:r w:rsidRPr="000821F6">
          <w:rPr>
            <w:rStyle w:val="Hyperlink"/>
            <w:rFonts w:cs="Arial"/>
            <w:szCs w:val="21"/>
          </w:rPr>
          <w:t>Australian Immunisation Handbook | Catch up calculator</w:t>
        </w:r>
      </w:hyperlink>
      <w:r>
        <w:rPr>
          <w:rFonts w:cs="Arial"/>
          <w:color w:val="2A2736"/>
          <w:szCs w:val="21"/>
        </w:rPr>
        <w:t xml:space="preserve"> to facilitate the development of a catch up vaccination plan for people up to the age of 20 years. </w:t>
      </w:r>
      <w:r w:rsidR="005F3EB8">
        <w:rPr>
          <w:rFonts w:cs="Arial"/>
          <w:color w:val="2A2736"/>
          <w:szCs w:val="21"/>
        </w:rPr>
        <w:t xml:space="preserve"> </w:t>
      </w:r>
    </w:p>
    <w:p w14:paraId="2845E163" w14:textId="6317F801" w:rsidR="00353483" w:rsidRDefault="00353483" w:rsidP="0000191C">
      <w:pPr>
        <w:pStyle w:val="Heading3"/>
      </w:pPr>
      <w:bookmarkStart w:id="9" w:name="_Toc206760187"/>
      <w:bookmarkEnd w:id="8"/>
      <w:r>
        <w:lastRenderedPageBreak/>
        <w:t>Table 3. National Immunisation Program and Victorian funded</w:t>
      </w:r>
      <w:r w:rsidRPr="004B12BE">
        <w:t xml:space="preserve"> vaccines </w:t>
      </w:r>
      <w:r>
        <w:t xml:space="preserve">for people aged </w:t>
      </w:r>
      <w:r>
        <w:rPr>
          <w:rFonts w:cs="Arial"/>
        </w:rPr>
        <w:t>≥</w:t>
      </w:r>
      <w:r>
        <w:t xml:space="preserve"> 20 years - no immunisation records</w:t>
      </w:r>
      <w:bookmarkEnd w:id="9"/>
    </w:p>
    <w:p w14:paraId="1BE44CAA" w14:textId="77777777" w:rsidR="00353483" w:rsidRPr="00B22B07" w:rsidRDefault="00353483" w:rsidP="00353483">
      <w:pPr>
        <w:pStyle w:val="Body"/>
        <w:rPr>
          <w:szCs w:val="21"/>
        </w:rPr>
      </w:pPr>
      <w:bookmarkStart w:id="10" w:name="_Hlk147406344"/>
      <w:r w:rsidRPr="00B22B07">
        <w:rPr>
          <w:szCs w:val="21"/>
        </w:rPr>
        <w:t xml:space="preserve">Adapted from the </w:t>
      </w:r>
      <w:hyperlink r:id="rId32" w:history="1">
        <w:r w:rsidRPr="00B22B07">
          <w:rPr>
            <w:rStyle w:val="Hyperlink"/>
            <w:szCs w:val="21"/>
          </w:rPr>
          <w:t>Australian Immunisation Handbook</w:t>
        </w:r>
      </w:hyperlink>
      <w:r w:rsidRPr="00B22B07">
        <w:rPr>
          <w:szCs w:val="21"/>
        </w:rPr>
        <w:t xml:space="preserve">, the </w:t>
      </w:r>
      <w:hyperlink r:id="rId33" w:history="1">
        <w:r w:rsidRPr="008F2CDF">
          <w:rPr>
            <w:rStyle w:val="Hyperlink"/>
            <w:szCs w:val="21"/>
          </w:rPr>
          <w:t>National Immunisation Program schedule</w:t>
        </w:r>
      </w:hyperlink>
      <w:r w:rsidRPr="00B22B07">
        <w:rPr>
          <w:szCs w:val="21"/>
        </w:rPr>
        <w:t xml:space="preserve"> and </w:t>
      </w:r>
      <w:hyperlink r:id="rId34" w:history="1">
        <w:r w:rsidRPr="00B22B07">
          <w:rPr>
            <w:rStyle w:val="Hyperlink"/>
            <w:szCs w:val="21"/>
          </w:rPr>
          <w:t>Victorian Immunisation schedule</w:t>
        </w:r>
      </w:hyperlink>
      <w:r w:rsidRPr="00B22B07">
        <w:rPr>
          <w:szCs w:val="21"/>
        </w:rPr>
        <w:t xml:space="preserve"> </w:t>
      </w:r>
      <w:r>
        <w:rPr>
          <w:szCs w:val="21"/>
        </w:rPr>
        <w:t>July 2024</w:t>
      </w:r>
    </w:p>
    <w:tbl>
      <w:tblPr>
        <w:tblStyle w:val="GridTable4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2415"/>
        <w:gridCol w:w="2380"/>
        <w:gridCol w:w="1899"/>
        <w:gridCol w:w="3253"/>
      </w:tblGrid>
      <w:tr w:rsidR="00353483" w:rsidRPr="00B22B07" w14:paraId="6AC9061A" w14:textId="77777777" w:rsidTr="006D5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bookmarkEnd w:id="10"/>
          <w:p w14:paraId="205DC3FE" w14:textId="77777777" w:rsidR="00353483" w:rsidRPr="00B22B07" w:rsidRDefault="00353483" w:rsidP="00693FA8">
            <w:pPr>
              <w:tabs>
                <w:tab w:val="left" w:pos="4605"/>
              </w:tabs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Vaccine eligibility 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8349D85" w14:textId="77777777" w:rsidR="00353483" w:rsidRPr="00B22B07" w:rsidRDefault="00353483" w:rsidP="00693FA8">
            <w:pPr>
              <w:tabs>
                <w:tab w:val="left" w:pos="46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  <w:r w:rsidRPr="00B22B07">
              <w:rPr>
                <w:color w:val="auto"/>
                <w:szCs w:val="21"/>
              </w:rPr>
              <w:t>Vaccine to give at 1</w:t>
            </w:r>
            <w:r w:rsidRPr="00B22B07">
              <w:rPr>
                <w:color w:val="auto"/>
                <w:szCs w:val="21"/>
                <w:vertAlign w:val="superscript"/>
              </w:rPr>
              <w:t>st</w:t>
            </w:r>
            <w:r w:rsidRPr="00B22B07">
              <w:rPr>
                <w:color w:val="auto"/>
                <w:szCs w:val="21"/>
              </w:rPr>
              <w:t xml:space="preserve"> visit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58BE4A4" w14:textId="77777777" w:rsidR="00353483" w:rsidRPr="00B22B07" w:rsidRDefault="00353483" w:rsidP="00693FA8">
            <w:pPr>
              <w:tabs>
                <w:tab w:val="left" w:pos="46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  <w:r w:rsidRPr="00B22B07">
              <w:rPr>
                <w:color w:val="auto"/>
                <w:szCs w:val="21"/>
              </w:rPr>
              <w:t>2</w:t>
            </w:r>
            <w:r w:rsidRPr="00B22B07">
              <w:rPr>
                <w:color w:val="auto"/>
                <w:szCs w:val="21"/>
                <w:vertAlign w:val="superscript"/>
              </w:rPr>
              <w:t>nd</w:t>
            </w:r>
            <w:r w:rsidRPr="00B22B07">
              <w:rPr>
                <w:color w:val="auto"/>
                <w:szCs w:val="21"/>
              </w:rPr>
              <w:t xml:space="preserve"> visit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2CF1B95" w14:textId="77777777" w:rsidR="00353483" w:rsidRPr="00B22B07" w:rsidRDefault="00353483" w:rsidP="00693FA8">
            <w:pPr>
              <w:tabs>
                <w:tab w:val="left" w:pos="46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  <w:r w:rsidRPr="00B22B07">
              <w:rPr>
                <w:color w:val="auto"/>
                <w:szCs w:val="21"/>
              </w:rPr>
              <w:t>3</w:t>
            </w:r>
            <w:r w:rsidRPr="00B22B07">
              <w:rPr>
                <w:color w:val="auto"/>
                <w:szCs w:val="21"/>
                <w:vertAlign w:val="superscript"/>
              </w:rPr>
              <w:t>rd</w:t>
            </w:r>
            <w:r w:rsidRPr="00B22B07">
              <w:rPr>
                <w:color w:val="auto"/>
                <w:szCs w:val="21"/>
              </w:rPr>
              <w:t xml:space="preserve"> visit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E61D8DA" w14:textId="77777777" w:rsidR="00353483" w:rsidRPr="00B22B07" w:rsidRDefault="00353483" w:rsidP="00693FA8">
            <w:pPr>
              <w:tabs>
                <w:tab w:val="left" w:pos="46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  <w:r w:rsidRPr="00B22B07">
              <w:rPr>
                <w:color w:val="auto"/>
                <w:szCs w:val="21"/>
              </w:rPr>
              <w:t>4</w:t>
            </w:r>
            <w:r w:rsidRPr="00B22B07">
              <w:rPr>
                <w:color w:val="auto"/>
                <w:szCs w:val="21"/>
                <w:vertAlign w:val="superscript"/>
              </w:rPr>
              <w:t>th</w:t>
            </w:r>
            <w:r w:rsidRPr="00B22B07">
              <w:rPr>
                <w:color w:val="auto"/>
                <w:szCs w:val="21"/>
              </w:rPr>
              <w:t xml:space="preserve"> visit</w:t>
            </w:r>
          </w:p>
        </w:tc>
      </w:tr>
      <w:tr w:rsidR="00353483" w:rsidRPr="00B22B07" w14:paraId="156ACBD5" w14:textId="77777777" w:rsidTr="006D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vMerge/>
            <w:tcBorders>
              <w:top w:val="single" w:sz="4" w:space="0" w:color="auto"/>
            </w:tcBorders>
            <w:shd w:val="clear" w:color="auto" w:fill="DBE5F1"/>
          </w:tcPr>
          <w:p w14:paraId="3CFBFB4C" w14:textId="77777777" w:rsidR="00353483" w:rsidRPr="00B22B07" w:rsidRDefault="00353483" w:rsidP="00693FA8">
            <w:pPr>
              <w:tabs>
                <w:tab w:val="left" w:pos="4605"/>
              </w:tabs>
              <w:rPr>
                <w:szCs w:val="21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</w:tcBorders>
            <w:shd w:val="clear" w:color="auto" w:fill="DBE5F1"/>
          </w:tcPr>
          <w:p w14:paraId="29E46329" w14:textId="77777777" w:rsidR="00353483" w:rsidRPr="00B22B07" w:rsidRDefault="00353483" w:rsidP="00693FA8">
            <w:pPr>
              <w:tabs>
                <w:tab w:val="left" w:pos="46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  <w:shd w:val="clear" w:color="auto" w:fill="DBE5F1"/>
          </w:tcPr>
          <w:p w14:paraId="39BCD97C" w14:textId="77777777" w:rsidR="00353483" w:rsidRPr="005E6A7E" w:rsidRDefault="00353483" w:rsidP="00693FA8">
            <w:pPr>
              <w:tabs>
                <w:tab w:val="left" w:pos="46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 w:rsidRPr="005E6A7E">
              <w:rPr>
                <w:szCs w:val="21"/>
              </w:rPr>
              <w:t>1 month after 1</w:t>
            </w:r>
            <w:r w:rsidRPr="005E6A7E">
              <w:rPr>
                <w:szCs w:val="21"/>
                <w:vertAlign w:val="superscript"/>
              </w:rPr>
              <w:t>st</w:t>
            </w:r>
            <w:r w:rsidRPr="005E6A7E">
              <w:rPr>
                <w:szCs w:val="21"/>
              </w:rPr>
              <w:t xml:space="preserve"> visit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DBE5F1"/>
          </w:tcPr>
          <w:p w14:paraId="1CF04FBA" w14:textId="77777777" w:rsidR="00353483" w:rsidRPr="005E6A7E" w:rsidRDefault="00353483" w:rsidP="00693FA8">
            <w:pPr>
              <w:tabs>
                <w:tab w:val="left" w:pos="46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 w:rsidRPr="005E6A7E">
              <w:rPr>
                <w:szCs w:val="21"/>
              </w:rPr>
              <w:t>1 month after 2</w:t>
            </w:r>
            <w:r w:rsidRPr="005E6A7E">
              <w:rPr>
                <w:szCs w:val="21"/>
                <w:vertAlign w:val="superscript"/>
              </w:rPr>
              <w:t>nd</w:t>
            </w:r>
            <w:r w:rsidRPr="005E6A7E">
              <w:rPr>
                <w:szCs w:val="21"/>
              </w:rPr>
              <w:t xml:space="preserve"> visit</w:t>
            </w: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DBE5F1"/>
          </w:tcPr>
          <w:p w14:paraId="4A2F58B4" w14:textId="77777777" w:rsidR="00353483" w:rsidRPr="005E6A7E" w:rsidRDefault="00353483" w:rsidP="00693FA8">
            <w:pPr>
              <w:tabs>
                <w:tab w:val="left" w:pos="46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 w:rsidRPr="005E6A7E">
              <w:rPr>
                <w:szCs w:val="21"/>
              </w:rPr>
              <w:t>3 months after 2</w:t>
            </w:r>
            <w:r w:rsidRPr="005E6A7E">
              <w:rPr>
                <w:szCs w:val="21"/>
                <w:vertAlign w:val="superscript"/>
              </w:rPr>
              <w:t>nd</w:t>
            </w:r>
            <w:r w:rsidRPr="005E6A7E">
              <w:rPr>
                <w:szCs w:val="21"/>
              </w:rPr>
              <w:t xml:space="preserve"> visit  </w:t>
            </w:r>
          </w:p>
        </w:tc>
      </w:tr>
      <w:tr w:rsidR="00353483" w:rsidRPr="00B22B07" w14:paraId="7AADD23D" w14:textId="77777777" w:rsidTr="006D5E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shd w:val="clear" w:color="auto" w:fill="auto"/>
          </w:tcPr>
          <w:p w14:paraId="3D1A6712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rPr>
                <w:rFonts w:cs="Arial"/>
                <w:b w:val="0"/>
                <w:bCs w:val="0"/>
                <w:szCs w:val="21"/>
              </w:rPr>
            </w:pPr>
            <w:r w:rsidRPr="00B22B07">
              <w:rPr>
                <w:rFonts w:cs="Arial"/>
                <w:b w:val="0"/>
                <w:bCs w:val="0"/>
                <w:szCs w:val="21"/>
              </w:rPr>
              <w:t>20 years to 25 years</w:t>
            </w:r>
          </w:p>
        </w:tc>
        <w:tc>
          <w:tcPr>
            <w:tcW w:w="2478" w:type="dxa"/>
            <w:shd w:val="clear" w:color="auto" w:fill="auto"/>
          </w:tcPr>
          <w:p w14:paraId="38F0FC53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>HPV</w:t>
            </w:r>
            <w:r>
              <w:rPr>
                <w:rFonts w:cs="Arial"/>
                <w:szCs w:val="21"/>
              </w:rPr>
              <w:t>¹</w:t>
            </w:r>
          </w:p>
        </w:tc>
        <w:tc>
          <w:tcPr>
            <w:tcW w:w="2451" w:type="dxa"/>
            <w:shd w:val="clear" w:color="auto" w:fill="EEECE1" w:themeFill="background2"/>
          </w:tcPr>
          <w:p w14:paraId="100CCD61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  <w:tc>
          <w:tcPr>
            <w:tcW w:w="1955" w:type="dxa"/>
            <w:shd w:val="clear" w:color="auto" w:fill="EEECE1" w:themeFill="background2"/>
          </w:tcPr>
          <w:p w14:paraId="562FB1D1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  <w:tc>
          <w:tcPr>
            <w:tcW w:w="3365" w:type="dxa"/>
            <w:shd w:val="clear" w:color="auto" w:fill="EEECE1" w:themeFill="background2"/>
          </w:tcPr>
          <w:p w14:paraId="7EC585E0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</w:tr>
      <w:tr w:rsidR="00353483" w:rsidRPr="00B22B07" w14:paraId="18723182" w14:textId="77777777" w:rsidTr="006D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shd w:val="clear" w:color="auto" w:fill="auto"/>
          </w:tcPr>
          <w:p w14:paraId="796775B4" w14:textId="77777777" w:rsidR="00353483" w:rsidRPr="008B2B14" w:rsidRDefault="00353483" w:rsidP="006D5ED2">
            <w:pPr>
              <w:tabs>
                <w:tab w:val="left" w:pos="4605"/>
              </w:tabs>
              <w:spacing w:after="0" w:line="240" w:lineRule="atLeast"/>
              <w:rPr>
                <w:rFonts w:cs="Arial"/>
                <w:b w:val="0"/>
                <w:bCs w:val="0"/>
                <w:szCs w:val="21"/>
              </w:rPr>
            </w:pPr>
            <w:r w:rsidRPr="008B2B14">
              <w:rPr>
                <w:rFonts w:cs="Arial"/>
                <w:b w:val="0"/>
                <w:bCs w:val="0"/>
                <w:szCs w:val="21"/>
              </w:rPr>
              <w:t>Refugees &amp; asylum seekers</w:t>
            </w:r>
            <w:r>
              <w:rPr>
                <w:rFonts w:cs="Arial"/>
                <w:b w:val="0"/>
                <w:bCs w:val="0"/>
                <w:szCs w:val="21"/>
              </w:rPr>
              <w:t>¹</w:t>
            </w:r>
            <w:r w:rsidRPr="008B2B14">
              <w:rPr>
                <w:rFonts w:cs="Arial"/>
                <w:b w:val="0"/>
                <w:bCs w:val="0"/>
                <w:szCs w:val="21"/>
              </w:rPr>
              <w:t xml:space="preserve"> </w:t>
            </w:r>
          </w:p>
        </w:tc>
        <w:tc>
          <w:tcPr>
            <w:tcW w:w="2478" w:type="dxa"/>
            <w:shd w:val="clear" w:color="auto" w:fill="auto"/>
          </w:tcPr>
          <w:p w14:paraId="111B6ADC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 xml:space="preserve">dTpa + IPV + MMR + Varicella + Hep B </w:t>
            </w:r>
          </w:p>
        </w:tc>
        <w:tc>
          <w:tcPr>
            <w:tcW w:w="2451" w:type="dxa"/>
            <w:shd w:val="clear" w:color="auto" w:fill="auto"/>
          </w:tcPr>
          <w:p w14:paraId="63DF461F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>dTpa + IPV + MMR + Varicella + Hep B</w:t>
            </w:r>
          </w:p>
        </w:tc>
        <w:tc>
          <w:tcPr>
            <w:tcW w:w="1955" w:type="dxa"/>
            <w:shd w:val="clear" w:color="auto" w:fill="auto"/>
          </w:tcPr>
          <w:p w14:paraId="0792090E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>dTpa + IPV</w:t>
            </w:r>
          </w:p>
        </w:tc>
        <w:tc>
          <w:tcPr>
            <w:tcW w:w="3365" w:type="dxa"/>
            <w:shd w:val="clear" w:color="auto" w:fill="auto"/>
          </w:tcPr>
          <w:p w14:paraId="0871FFE2" w14:textId="77777777" w:rsidR="00353483" w:rsidRPr="00982630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</w:rPr>
            </w:pPr>
            <w:r w:rsidRPr="00982630">
              <w:rPr>
                <w:rFonts w:cs="Arial"/>
                <w:color w:val="000000" w:themeColor="text1"/>
                <w:szCs w:val="21"/>
              </w:rPr>
              <w:t>Hep B -</w:t>
            </w:r>
            <w:r w:rsidRPr="00982630">
              <w:rPr>
                <w:color w:val="000000" w:themeColor="text1"/>
                <w:szCs w:val="21"/>
              </w:rPr>
              <w:t xml:space="preserve"> </w:t>
            </w:r>
            <w:r w:rsidRPr="00982630">
              <w:rPr>
                <w:rFonts w:cs="Arial"/>
                <w:color w:val="000000" w:themeColor="text1"/>
                <w:szCs w:val="21"/>
                <w:shd w:val="clear" w:color="auto" w:fill="FFFFFF"/>
              </w:rPr>
              <w:t>Minimum interval between dose 1 and dose 3 is 4 months</w:t>
            </w:r>
          </w:p>
        </w:tc>
      </w:tr>
      <w:tr w:rsidR="00353483" w:rsidRPr="00B22B07" w14:paraId="76CDE7CA" w14:textId="77777777" w:rsidTr="006D5E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shd w:val="clear" w:color="auto" w:fill="auto"/>
          </w:tcPr>
          <w:p w14:paraId="6FE208BD" w14:textId="54DDF38B" w:rsidR="00353483" w:rsidRPr="00BF5C8D" w:rsidRDefault="00353483" w:rsidP="006D5ED2">
            <w:pPr>
              <w:tabs>
                <w:tab w:val="left" w:pos="4605"/>
              </w:tabs>
              <w:spacing w:after="0" w:line="240" w:lineRule="atLeast"/>
              <w:rPr>
                <w:rFonts w:cs="Arial"/>
                <w:b w:val="0"/>
                <w:bCs w:val="0"/>
                <w:szCs w:val="21"/>
              </w:rPr>
            </w:pPr>
            <w:r w:rsidRPr="0089513E">
              <w:rPr>
                <w:rFonts w:cs="Arial"/>
                <w:b w:val="0"/>
                <w:bCs w:val="0"/>
              </w:rPr>
              <w:t>V</w:t>
            </w:r>
            <w:r w:rsidRPr="0089513E">
              <w:rPr>
                <w:rFonts w:cs="Arial"/>
                <w:b w:val="0"/>
                <w:bCs w:val="0"/>
                <w:szCs w:val="21"/>
              </w:rPr>
              <w:t>ulnerable citizens</w:t>
            </w:r>
          </w:p>
        </w:tc>
        <w:tc>
          <w:tcPr>
            <w:tcW w:w="2478" w:type="dxa"/>
            <w:shd w:val="clear" w:color="auto" w:fill="auto"/>
          </w:tcPr>
          <w:p w14:paraId="4D76238F" w14:textId="77777777" w:rsidR="00353483" w:rsidRPr="0089261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892617">
              <w:rPr>
                <w:rFonts w:cs="Arial"/>
                <w:szCs w:val="21"/>
              </w:rPr>
              <w:t xml:space="preserve">dTpa + IPV + MMR +  </w:t>
            </w:r>
          </w:p>
          <w:p w14:paraId="483F0A2D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892617">
              <w:rPr>
                <w:rFonts w:cs="Arial"/>
                <w:szCs w:val="21"/>
              </w:rPr>
              <w:t xml:space="preserve">Hep B </w:t>
            </w:r>
          </w:p>
        </w:tc>
        <w:tc>
          <w:tcPr>
            <w:tcW w:w="2451" w:type="dxa"/>
            <w:shd w:val="clear" w:color="auto" w:fill="auto"/>
          </w:tcPr>
          <w:p w14:paraId="35764966" w14:textId="77777777" w:rsidR="00353483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 xml:space="preserve">dTpa + IPV + MMR + </w:t>
            </w:r>
          </w:p>
          <w:p w14:paraId="15EA9ADC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</w:t>
            </w:r>
            <w:r w:rsidRPr="00B22B07">
              <w:rPr>
                <w:rFonts w:cs="Arial"/>
                <w:szCs w:val="21"/>
              </w:rPr>
              <w:t>ep B</w:t>
            </w:r>
            <w:r>
              <w:rPr>
                <w:rFonts w:cs="Arial"/>
                <w:szCs w:val="21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</w:tcPr>
          <w:p w14:paraId="6443A45D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>dTpa + IPV</w:t>
            </w:r>
          </w:p>
        </w:tc>
        <w:tc>
          <w:tcPr>
            <w:tcW w:w="3365" w:type="dxa"/>
            <w:shd w:val="clear" w:color="auto" w:fill="auto"/>
          </w:tcPr>
          <w:p w14:paraId="120577B4" w14:textId="77777777" w:rsidR="00353483" w:rsidRPr="00982630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</w:rPr>
            </w:pPr>
            <w:r w:rsidRPr="00982630">
              <w:rPr>
                <w:rFonts w:cs="Arial"/>
                <w:color w:val="000000" w:themeColor="text1"/>
                <w:szCs w:val="21"/>
              </w:rPr>
              <w:t xml:space="preserve">Hep B - </w:t>
            </w:r>
            <w:r w:rsidRPr="00982630">
              <w:rPr>
                <w:rFonts w:cs="Arial"/>
                <w:color w:val="000000" w:themeColor="text1"/>
                <w:szCs w:val="21"/>
                <w:shd w:val="clear" w:color="auto" w:fill="FFFFFF"/>
              </w:rPr>
              <w:t>Minimum interval between dose 1 and dose 3 is 4 months</w:t>
            </w:r>
          </w:p>
        </w:tc>
      </w:tr>
      <w:tr w:rsidR="00353483" w:rsidRPr="00B22B07" w14:paraId="1DB84A9A" w14:textId="77777777" w:rsidTr="006D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shd w:val="clear" w:color="auto" w:fill="auto"/>
          </w:tcPr>
          <w:p w14:paraId="54422173" w14:textId="0BE3992B" w:rsidR="00353483" w:rsidRPr="007D0B6E" w:rsidRDefault="00353483" w:rsidP="006D5ED2">
            <w:pPr>
              <w:tabs>
                <w:tab w:val="left" w:pos="4605"/>
              </w:tabs>
              <w:spacing w:after="0" w:line="240" w:lineRule="atLeast"/>
              <w:rPr>
                <w:rFonts w:cs="Arial"/>
                <w:b w:val="0"/>
                <w:bCs w:val="0"/>
                <w:color w:val="2A2736"/>
              </w:rPr>
            </w:pPr>
            <w:r w:rsidRPr="00952E65">
              <w:rPr>
                <w:rFonts w:cs="Arial"/>
                <w:b w:val="0"/>
                <w:bCs w:val="0"/>
              </w:rPr>
              <w:t>People at risk of hepatitis B infection</w:t>
            </w:r>
            <w:r w:rsidRPr="00952E65">
              <w:rPr>
                <w:rStyle w:val="Hyperlink"/>
                <w:rFonts w:cs="Arial"/>
                <w:color w:val="auto"/>
              </w:rPr>
              <w:t>¹</w:t>
            </w:r>
          </w:p>
          <w:p w14:paraId="080A165E" w14:textId="77777777" w:rsidR="00353483" w:rsidRPr="00BF5C8D" w:rsidRDefault="00353483" w:rsidP="006D5ED2">
            <w:pPr>
              <w:tabs>
                <w:tab w:val="left" w:pos="4605"/>
              </w:tabs>
              <w:spacing w:after="0" w:line="240" w:lineRule="atLeast"/>
              <w:rPr>
                <w:rFonts w:cs="Arial"/>
                <w:b w:val="0"/>
                <w:bCs w:val="0"/>
                <w:szCs w:val="21"/>
              </w:rPr>
            </w:pPr>
          </w:p>
        </w:tc>
        <w:tc>
          <w:tcPr>
            <w:tcW w:w="2478" w:type="dxa"/>
            <w:shd w:val="clear" w:color="auto" w:fill="auto"/>
          </w:tcPr>
          <w:p w14:paraId="0608C29C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>Hep B</w:t>
            </w:r>
          </w:p>
        </w:tc>
        <w:tc>
          <w:tcPr>
            <w:tcW w:w="2451" w:type="dxa"/>
            <w:shd w:val="clear" w:color="auto" w:fill="auto"/>
          </w:tcPr>
          <w:p w14:paraId="191E7F77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>Hep B</w:t>
            </w:r>
          </w:p>
        </w:tc>
        <w:tc>
          <w:tcPr>
            <w:tcW w:w="1955" w:type="dxa"/>
            <w:shd w:val="clear" w:color="auto" w:fill="EEECE1" w:themeFill="background2"/>
          </w:tcPr>
          <w:p w14:paraId="420CB2D3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  <w:tc>
          <w:tcPr>
            <w:tcW w:w="3365" w:type="dxa"/>
            <w:shd w:val="clear" w:color="auto" w:fill="auto"/>
          </w:tcPr>
          <w:p w14:paraId="7C352423" w14:textId="77777777" w:rsidR="00353483" w:rsidRPr="00982630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</w:rPr>
            </w:pPr>
            <w:r w:rsidRPr="00982630">
              <w:rPr>
                <w:rFonts w:cs="Arial"/>
                <w:color w:val="000000" w:themeColor="text1"/>
                <w:szCs w:val="21"/>
              </w:rPr>
              <w:t>Hep B  -</w:t>
            </w:r>
            <w:r w:rsidRPr="00982630">
              <w:rPr>
                <w:color w:val="000000" w:themeColor="text1"/>
                <w:szCs w:val="21"/>
              </w:rPr>
              <w:t xml:space="preserve"> </w:t>
            </w:r>
            <w:r w:rsidRPr="00982630">
              <w:rPr>
                <w:rFonts w:cs="Arial"/>
                <w:color w:val="000000" w:themeColor="text1"/>
                <w:szCs w:val="21"/>
                <w:shd w:val="clear" w:color="auto" w:fill="FFFFFF"/>
              </w:rPr>
              <w:t>Minimum interval between dose 1 and dose 3 is 4 months</w:t>
            </w:r>
          </w:p>
        </w:tc>
      </w:tr>
      <w:tr w:rsidR="00353483" w:rsidRPr="00B22B07" w14:paraId="5049C00D" w14:textId="77777777" w:rsidTr="006D5E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shd w:val="clear" w:color="auto" w:fill="auto"/>
          </w:tcPr>
          <w:p w14:paraId="4212C166" w14:textId="77777777" w:rsidR="00353483" w:rsidRPr="0089452D" w:rsidRDefault="00353483" w:rsidP="006D5ED2">
            <w:pPr>
              <w:tabs>
                <w:tab w:val="left" w:pos="4605"/>
              </w:tabs>
              <w:spacing w:after="0" w:line="240" w:lineRule="atLeast"/>
              <w:rPr>
                <w:rFonts w:cs="Arial"/>
                <w:b w:val="0"/>
                <w:bCs w:val="0"/>
                <w:szCs w:val="21"/>
              </w:rPr>
            </w:pPr>
            <w:r>
              <w:rPr>
                <w:rFonts w:cs="Arial"/>
                <w:b w:val="0"/>
                <w:bCs w:val="0"/>
                <w:szCs w:val="21"/>
              </w:rPr>
              <w:t>B</w:t>
            </w:r>
            <w:r w:rsidRPr="0089452D">
              <w:rPr>
                <w:rFonts w:cs="Arial"/>
                <w:b w:val="0"/>
                <w:bCs w:val="0"/>
                <w:szCs w:val="21"/>
              </w:rPr>
              <w:t xml:space="preserve">orn </w:t>
            </w:r>
            <w:r>
              <w:rPr>
                <w:rFonts w:cs="Arial"/>
                <w:b w:val="0"/>
                <w:bCs w:val="0"/>
                <w:szCs w:val="21"/>
              </w:rPr>
              <w:t xml:space="preserve">≥ </w:t>
            </w:r>
            <w:r w:rsidRPr="0089452D">
              <w:rPr>
                <w:rFonts w:cs="Arial"/>
                <w:b w:val="0"/>
                <w:bCs w:val="0"/>
                <w:szCs w:val="21"/>
              </w:rPr>
              <w:t>1966 without evidence of 2 doses measles containing vaccine or immunity</w:t>
            </w:r>
            <w:r>
              <w:rPr>
                <w:rFonts w:cs="Arial"/>
                <w:b w:val="0"/>
                <w:bCs w:val="0"/>
                <w:szCs w:val="21"/>
              </w:rPr>
              <w:t>¹</w:t>
            </w:r>
          </w:p>
        </w:tc>
        <w:tc>
          <w:tcPr>
            <w:tcW w:w="2478" w:type="dxa"/>
            <w:shd w:val="clear" w:color="auto" w:fill="auto"/>
          </w:tcPr>
          <w:p w14:paraId="64923C85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>MMR</w:t>
            </w:r>
          </w:p>
          <w:p w14:paraId="5928ABAF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  <w:tc>
          <w:tcPr>
            <w:tcW w:w="2451" w:type="dxa"/>
            <w:shd w:val="clear" w:color="auto" w:fill="auto"/>
          </w:tcPr>
          <w:p w14:paraId="084F2B99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>MMR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604849F2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</w:tr>
      <w:tr w:rsidR="00353483" w:rsidRPr="00B22B07" w14:paraId="5D588EA8" w14:textId="77777777" w:rsidTr="006D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3" w:type="dxa"/>
            <w:gridSpan w:val="5"/>
          </w:tcPr>
          <w:p w14:paraId="38598538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rPr>
                <w:rFonts w:cs="Arial"/>
                <w:szCs w:val="21"/>
              </w:rPr>
            </w:pPr>
          </w:p>
        </w:tc>
      </w:tr>
      <w:tr w:rsidR="00353483" w:rsidRPr="00B22B07" w14:paraId="6775B2CC" w14:textId="77777777" w:rsidTr="006D5ED2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shd w:val="clear" w:color="auto" w:fill="auto"/>
          </w:tcPr>
          <w:p w14:paraId="2965B0A7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rPr>
                <w:rFonts w:cs="Arial"/>
                <w:b w:val="0"/>
                <w:bCs w:val="0"/>
                <w:szCs w:val="21"/>
              </w:rPr>
            </w:pPr>
            <w:r w:rsidRPr="00B22B07">
              <w:rPr>
                <w:rFonts w:cs="Arial"/>
                <w:b w:val="0"/>
                <w:bCs w:val="0"/>
                <w:szCs w:val="21"/>
              </w:rPr>
              <w:t xml:space="preserve">Aboriginal and Torres Strait Islander people </w:t>
            </w:r>
            <w:r>
              <w:rPr>
                <w:rFonts w:cs="Arial"/>
                <w:b w:val="0"/>
                <w:bCs w:val="0"/>
                <w:szCs w:val="21"/>
              </w:rPr>
              <w:t>≥ 50 years</w:t>
            </w:r>
          </w:p>
        </w:tc>
        <w:tc>
          <w:tcPr>
            <w:tcW w:w="2478" w:type="dxa"/>
            <w:shd w:val="clear" w:color="auto" w:fill="auto"/>
          </w:tcPr>
          <w:p w14:paraId="3D36C68B" w14:textId="77777777" w:rsidR="00353483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13131"/>
                <w:szCs w:val="21"/>
              </w:rPr>
            </w:pPr>
            <w:r>
              <w:rPr>
                <w:rFonts w:cs="Arial"/>
                <w:color w:val="313131"/>
                <w:szCs w:val="21"/>
              </w:rPr>
              <w:t>1</w:t>
            </w:r>
            <w:r w:rsidRPr="00B22B07">
              <w:rPr>
                <w:rFonts w:cs="Arial"/>
                <w:color w:val="313131"/>
                <w:szCs w:val="21"/>
              </w:rPr>
              <w:t>3vPCV</w:t>
            </w:r>
            <w:r w:rsidRPr="00B22B07">
              <w:rPr>
                <w:szCs w:val="21"/>
              </w:rPr>
              <w:t xml:space="preserve"> </w:t>
            </w:r>
          </w:p>
        </w:tc>
        <w:tc>
          <w:tcPr>
            <w:tcW w:w="2451" w:type="dxa"/>
            <w:shd w:val="clear" w:color="auto" w:fill="auto"/>
          </w:tcPr>
          <w:p w14:paraId="796B8E18" w14:textId="77777777" w:rsidR="00353483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23vPPV</w:t>
            </w:r>
          </w:p>
          <w:p w14:paraId="2E37397D" w14:textId="77777777" w:rsidR="00353483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cs="Arial"/>
                <w:szCs w:val="21"/>
              </w:rPr>
              <w:t>≥</w:t>
            </w:r>
            <w:r w:rsidRPr="00B22B07">
              <w:rPr>
                <w:szCs w:val="21"/>
              </w:rPr>
              <w:t>12 month</w:t>
            </w:r>
            <w:r>
              <w:rPr>
                <w:szCs w:val="21"/>
              </w:rPr>
              <w:t xml:space="preserve">s after 13vPCV 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17A5332D" w14:textId="77777777" w:rsidR="00353483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23vPPV</w:t>
            </w:r>
          </w:p>
          <w:p w14:paraId="37A8F2C1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  <w:highlight w:val="yellow"/>
              </w:rPr>
            </w:pPr>
            <w:r>
              <w:rPr>
                <w:rFonts w:cs="Arial"/>
                <w:szCs w:val="21"/>
              </w:rPr>
              <w:t>≥</w:t>
            </w:r>
            <w:r>
              <w:rPr>
                <w:szCs w:val="21"/>
              </w:rPr>
              <w:t xml:space="preserve"> </w:t>
            </w:r>
            <w:r w:rsidRPr="00B22B07">
              <w:rPr>
                <w:szCs w:val="21"/>
              </w:rPr>
              <w:t>5 years later</w:t>
            </w:r>
            <w:r>
              <w:rPr>
                <w:szCs w:val="21"/>
              </w:rPr>
              <w:t xml:space="preserve"> after previous 23vPPV</w:t>
            </w:r>
          </w:p>
        </w:tc>
      </w:tr>
      <w:tr w:rsidR="00353483" w:rsidRPr="00B22B07" w14:paraId="5A379380" w14:textId="77777777" w:rsidTr="006D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shd w:val="clear" w:color="auto" w:fill="auto"/>
          </w:tcPr>
          <w:p w14:paraId="29593066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rPr>
                <w:rFonts w:cs="Arial"/>
                <w:szCs w:val="21"/>
              </w:rPr>
            </w:pPr>
            <w:r w:rsidRPr="00B22B07">
              <w:rPr>
                <w:rFonts w:cs="Arial"/>
                <w:b w:val="0"/>
                <w:bCs w:val="0"/>
                <w:szCs w:val="21"/>
              </w:rPr>
              <w:t xml:space="preserve">Aboriginal and Torres Strait Islander people </w:t>
            </w:r>
            <w:r>
              <w:rPr>
                <w:rFonts w:cs="Arial"/>
                <w:b w:val="0"/>
                <w:bCs w:val="0"/>
                <w:szCs w:val="21"/>
              </w:rPr>
              <w:t>≥ 50 years</w:t>
            </w:r>
          </w:p>
        </w:tc>
        <w:tc>
          <w:tcPr>
            <w:tcW w:w="2478" w:type="dxa"/>
            <w:vMerge w:val="restart"/>
            <w:shd w:val="clear" w:color="auto" w:fill="auto"/>
          </w:tcPr>
          <w:p w14:paraId="5DA28F4C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>Zoster (Shingrix</w:t>
            </w:r>
            <w:r w:rsidRPr="003A6C25">
              <w:rPr>
                <w:rFonts w:cs="Arial"/>
                <w:szCs w:val="21"/>
                <w:vertAlign w:val="superscript"/>
              </w:rPr>
              <w:t>®</w:t>
            </w:r>
            <w:r w:rsidRPr="00B22B07">
              <w:rPr>
                <w:rFonts w:cs="Arial"/>
                <w:szCs w:val="21"/>
              </w:rPr>
              <w:t>)</w:t>
            </w:r>
          </w:p>
        </w:tc>
        <w:tc>
          <w:tcPr>
            <w:tcW w:w="2451" w:type="dxa"/>
            <w:vMerge w:val="restart"/>
            <w:shd w:val="clear" w:color="auto" w:fill="EEECE1" w:themeFill="background2"/>
          </w:tcPr>
          <w:p w14:paraId="40603312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  <w:tc>
          <w:tcPr>
            <w:tcW w:w="5320" w:type="dxa"/>
            <w:gridSpan w:val="2"/>
            <w:vMerge w:val="restart"/>
            <w:shd w:val="clear" w:color="auto" w:fill="auto"/>
          </w:tcPr>
          <w:p w14:paraId="459418EC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szCs w:val="21"/>
              </w:rPr>
              <w:t>Zoster (Shingrix</w:t>
            </w:r>
            <w:r w:rsidRPr="003A6C25">
              <w:rPr>
                <w:rFonts w:cs="Arial"/>
                <w:szCs w:val="21"/>
                <w:vertAlign w:val="superscript"/>
              </w:rPr>
              <w:t>®</w:t>
            </w:r>
            <w:r w:rsidRPr="00B22B07">
              <w:rPr>
                <w:rFonts w:cs="Arial"/>
                <w:szCs w:val="21"/>
              </w:rPr>
              <w:t>) dose 2</w:t>
            </w:r>
          </w:p>
          <w:p w14:paraId="5D8CF857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Cs w:val="21"/>
              </w:rPr>
            </w:pPr>
            <w:r w:rsidRPr="00B22B07">
              <w:rPr>
                <w:rFonts w:eastAsiaTheme="minorHAnsi" w:cs="Arial"/>
                <w:szCs w:val="21"/>
              </w:rPr>
              <w:t xml:space="preserve">≥ 2-6 months apart in immunocompetent </w:t>
            </w:r>
            <w:r>
              <w:rPr>
                <w:rFonts w:eastAsiaTheme="minorHAnsi" w:cs="Arial"/>
                <w:szCs w:val="21"/>
              </w:rPr>
              <w:t>adults</w:t>
            </w:r>
            <w:r>
              <w:rPr>
                <w:rFonts w:cs="Arial"/>
                <w:szCs w:val="21"/>
              </w:rPr>
              <w:t>²</w:t>
            </w:r>
          </w:p>
          <w:p w14:paraId="041FFCF2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</w:tr>
      <w:tr w:rsidR="00353483" w:rsidRPr="00B22B07" w14:paraId="27183978" w14:textId="77777777" w:rsidTr="006D5ED2">
        <w:trPr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shd w:val="clear" w:color="auto" w:fill="auto"/>
          </w:tcPr>
          <w:p w14:paraId="21226932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rPr>
                <w:rFonts w:cs="Arial"/>
                <w:b w:val="0"/>
                <w:bCs w:val="0"/>
                <w:szCs w:val="21"/>
              </w:rPr>
            </w:pPr>
            <w:r w:rsidRPr="00B22B07">
              <w:rPr>
                <w:rFonts w:cs="Arial"/>
                <w:b w:val="0"/>
                <w:bCs w:val="0"/>
                <w:szCs w:val="21"/>
              </w:rPr>
              <w:t xml:space="preserve">Non-Indigenous </w:t>
            </w:r>
            <w:r>
              <w:rPr>
                <w:rFonts w:cs="Arial"/>
                <w:b w:val="0"/>
                <w:bCs w:val="0"/>
                <w:szCs w:val="21"/>
              </w:rPr>
              <w:t>≥ 65 years</w:t>
            </w:r>
          </w:p>
        </w:tc>
        <w:tc>
          <w:tcPr>
            <w:tcW w:w="2478" w:type="dxa"/>
            <w:vMerge/>
            <w:shd w:val="clear" w:color="auto" w:fill="auto"/>
          </w:tcPr>
          <w:p w14:paraId="402A78E2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  <w:tc>
          <w:tcPr>
            <w:tcW w:w="2451" w:type="dxa"/>
            <w:vMerge/>
            <w:shd w:val="clear" w:color="auto" w:fill="EEECE1" w:themeFill="background2"/>
          </w:tcPr>
          <w:p w14:paraId="386C4826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  <w:tc>
          <w:tcPr>
            <w:tcW w:w="5320" w:type="dxa"/>
            <w:gridSpan w:val="2"/>
            <w:vMerge/>
            <w:shd w:val="clear" w:color="auto" w:fill="auto"/>
          </w:tcPr>
          <w:p w14:paraId="2D18AFAD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</w:tr>
      <w:tr w:rsidR="00353483" w:rsidRPr="00B22B07" w14:paraId="61A80804" w14:textId="77777777" w:rsidTr="006D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shd w:val="clear" w:color="auto" w:fill="auto"/>
          </w:tcPr>
          <w:p w14:paraId="67617E38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rPr>
                <w:rFonts w:cs="Arial"/>
                <w:szCs w:val="21"/>
              </w:rPr>
            </w:pPr>
            <w:r w:rsidRPr="00B22B07">
              <w:rPr>
                <w:rFonts w:cs="Arial"/>
                <w:b w:val="0"/>
                <w:bCs w:val="0"/>
                <w:szCs w:val="21"/>
              </w:rPr>
              <w:t xml:space="preserve">From 70 years </w:t>
            </w:r>
          </w:p>
          <w:p w14:paraId="22340B14" w14:textId="77777777" w:rsidR="00353483" w:rsidRPr="00B22B07" w:rsidRDefault="00353483" w:rsidP="006D5ED2">
            <w:pPr>
              <w:pStyle w:val="ListParagraph"/>
              <w:numPr>
                <w:ilvl w:val="0"/>
                <w:numId w:val="42"/>
              </w:numPr>
              <w:tabs>
                <w:tab w:val="left" w:pos="4605"/>
              </w:tabs>
              <w:spacing w:after="0" w:line="240" w:lineRule="atLeast"/>
              <w:rPr>
                <w:rFonts w:cs="Arial"/>
                <w:b w:val="0"/>
                <w:bCs w:val="0"/>
                <w:szCs w:val="21"/>
              </w:rPr>
            </w:pPr>
            <w:r w:rsidRPr="00B22B07">
              <w:rPr>
                <w:rFonts w:cs="Arial"/>
                <w:b w:val="0"/>
                <w:bCs w:val="0"/>
                <w:szCs w:val="21"/>
              </w:rPr>
              <w:t>non-Indigenous adults</w:t>
            </w:r>
          </w:p>
        </w:tc>
        <w:tc>
          <w:tcPr>
            <w:tcW w:w="2478" w:type="dxa"/>
            <w:shd w:val="clear" w:color="auto" w:fill="auto"/>
          </w:tcPr>
          <w:p w14:paraId="4199C4D9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  <w:r w:rsidRPr="00B22B07">
              <w:rPr>
                <w:rFonts w:cs="Arial"/>
                <w:color w:val="313131"/>
                <w:szCs w:val="21"/>
              </w:rPr>
              <w:t>13vPCV</w:t>
            </w:r>
          </w:p>
        </w:tc>
        <w:tc>
          <w:tcPr>
            <w:tcW w:w="2451" w:type="dxa"/>
            <w:shd w:val="clear" w:color="auto" w:fill="EEECE1" w:themeFill="background2"/>
          </w:tcPr>
          <w:p w14:paraId="432196B8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  <w:tc>
          <w:tcPr>
            <w:tcW w:w="5320" w:type="dxa"/>
            <w:gridSpan w:val="2"/>
            <w:shd w:val="clear" w:color="auto" w:fill="EEECE1" w:themeFill="background2"/>
          </w:tcPr>
          <w:p w14:paraId="7A9FDB2B" w14:textId="77777777" w:rsidR="00353483" w:rsidRPr="00B22B07" w:rsidRDefault="00353483" w:rsidP="006D5ED2">
            <w:pPr>
              <w:tabs>
                <w:tab w:val="left" w:pos="4605"/>
              </w:tabs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</w:rPr>
            </w:pPr>
          </w:p>
        </w:tc>
      </w:tr>
    </w:tbl>
    <w:p w14:paraId="44141C17" w14:textId="77777777" w:rsidR="006D5ED2" w:rsidRPr="00982630" w:rsidRDefault="006D5ED2" w:rsidP="006D5ED2">
      <w:pPr>
        <w:pStyle w:val="Body"/>
        <w:spacing w:before="120" w:after="0"/>
        <w:rPr>
          <w:rFonts w:cs="Arial"/>
          <w:szCs w:val="21"/>
        </w:rPr>
      </w:pPr>
      <w:r w:rsidRPr="0089513E">
        <w:rPr>
          <w:rFonts w:cs="Arial"/>
          <w:sz w:val="20"/>
        </w:rPr>
        <w:t>¹</w:t>
      </w:r>
      <w:r w:rsidRPr="00982630">
        <w:rPr>
          <w:rFonts w:cs="Arial"/>
          <w:szCs w:val="21"/>
        </w:rPr>
        <w:t>Consider serology to assess for MMR, varicella and Hep B immunity</w:t>
      </w:r>
    </w:p>
    <w:p w14:paraId="52867426" w14:textId="77777777" w:rsidR="006D5ED2" w:rsidRPr="00982630" w:rsidRDefault="006D5ED2" w:rsidP="006D5ED2">
      <w:pPr>
        <w:pStyle w:val="Body"/>
        <w:spacing w:before="120" w:after="0"/>
        <w:rPr>
          <w:szCs w:val="21"/>
        </w:rPr>
      </w:pPr>
      <w:r w:rsidRPr="00982630">
        <w:rPr>
          <w:rFonts w:cs="Arial"/>
          <w:szCs w:val="21"/>
        </w:rPr>
        <w:t xml:space="preserve">²See </w:t>
      </w:r>
      <w:hyperlink r:id="rId35" w:history="1">
        <w:r w:rsidRPr="00982630">
          <w:rPr>
            <w:rStyle w:val="Hyperlink"/>
            <w:rFonts w:cs="Arial"/>
            <w:szCs w:val="21"/>
          </w:rPr>
          <w:t>NIP schedule</w:t>
        </w:r>
      </w:hyperlink>
      <w:r w:rsidRPr="00982630">
        <w:rPr>
          <w:rFonts w:cs="Arial"/>
          <w:szCs w:val="21"/>
        </w:rPr>
        <w:t xml:space="preserve"> for Meningococcal ACWY/B, Pneumococcal, </w:t>
      </w:r>
      <w:r w:rsidRPr="00982630">
        <w:rPr>
          <w:szCs w:val="21"/>
        </w:rPr>
        <w:t xml:space="preserve">Haemophilus influenzae type b (Hib), HPV </w:t>
      </w:r>
    </w:p>
    <w:p w14:paraId="0B22AED3" w14:textId="77777777" w:rsidR="006D5ED2" w:rsidRPr="00982630" w:rsidRDefault="006D5ED2" w:rsidP="006D5ED2">
      <w:pPr>
        <w:pStyle w:val="Body"/>
        <w:spacing w:after="0"/>
        <w:rPr>
          <w:rFonts w:cs="Arial"/>
          <w:szCs w:val="21"/>
        </w:rPr>
      </w:pPr>
      <w:r w:rsidRPr="00982630">
        <w:rPr>
          <w:szCs w:val="21"/>
        </w:rPr>
        <w:t xml:space="preserve">and </w:t>
      </w:r>
      <w:r w:rsidRPr="00982630">
        <w:rPr>
          <w:rFonts w:cs="Arial"/>
          <w:szCs w:val="21"/>
        </w:rPr>
        <w:t>Zoster are recommended for people with certain medical risk conditions.</w:t>
      </w:r>
    </w:p>
    <w:p w14:paraId="4C998009" w14:textId="77777777" w:rsidR="006D5ED2" w:rsidRPr="00982630" w:rsidRDefault="006D5ED2" w:rsidP="006D5ED2">
      <w:pPr>
        <w:pStyle w:val="Body"/>
        <w:spacing w:after="0"/>
        <w:rPr>
          <w:color w:val="53565A"/>
          <w:szCs w:val="21"/>
        </w:rPr>
      </w:pPr>
    </w:p>
    <w:p w14:paraId="37D1B9A1" w14:textId="77777777" w:rsidR="006D5ED2" w:rsidRPr="00982630" w:rsidRDefault="006D5ED2" w:rsidP="006D5ED2">
      <w:pPr>
        <w:spacing w:after="0" w:line="240" w:lineRule="auto"/>
        <w:rPr>
          <w:rFonts w:cs="Arial"/>
          <w:color w:val="2A2736"/>
          <w:szCs w:val="21"/>
        </w:rPr>
      </w:pPr>
      <w:hyperlink r:id="rId36" w:history="1">
        <w:r w:rsidRPr="00982630">
          <w:rPr>
            <w:rStyle w:val="Hyperlink"/>
            <w:rFonts w:cs="Arial"/>
            <w:szCs w:val="21"/>
          </w:rPr>
          <w:t>NIP schedule</w:t>
        </w:r>
      </w:hyperlink>
      <w:r w:rsidRPr="00982630">
        <w:rPr>
          <w:rFonts w:cs="Arial"/>
          <w:color w:val="2A2736"/>
          <w:szCs w:val="21"/>
        </w:rPr>
        <w:t xml:space="preserve"> f</w:t>
      </w:r>
      <w:r w:rsidRPr="00982630">
        <w:rPr>
          <w:color w:val="2A2736"/>
          <w:szCs w:val="21"/>
        </w:rPr>
        <w:t xml:space="preserve">or </w:t>
      </w:r>
      <w:r w:rsidRPr="00982630">
        <w:rPr>
          <w:rFonts w:cs="Arial"/>
          <w:color w:val="2A2736"/>
          <w:szCs w:val="21"/>
        </w:rPr>
        <w:t xml:space="preserve">seasonal influenza vaccine is available for people at higher risk of complications from influenza.  </w:t>
      </w:r>
    </w:p>
    <w:p w14:paraId="0AA1D9A8" w14:textId="77777777" w:rsidR="006D5ED2" w:rsidRDefault="006D5ED2" w:rsidP="006D5ED2">
      <w:pPr>
        <w:spacing w:after="0" w:line="240" w:lineRule="auto"/>
        <w:rPr>
          <w:szCs w:val="21"/>
        </w:rPr>
        <w:sectPr w:rsidR="006D5ED2" w:rsidSect="001A79C4">
          <w:footerReference w:type="default" r:id="rId37"/>
          <w:pgSz w:w="16838" w:h="11906" w:orient="landscape" w:code="9"/>
          <w:pgMar w:top="851" w:right="1418" w:bottom="851" w:left="1418" w:header="680" w:footer="851" w:gutter="0"/>
          <w:cols w:space="340"/>
          <w:docGrid w:linePitch="360"/>
        </w:sectPr>
      </w:pPr>
    </w:p>
    <w:p w14:paraId="2287D659" w14:textId="77777777" w:rsidR="006D5ED2" w:rsidRPr="00982630" w:rsidRDefault="006D5ED2" w:rsidP="0000191C">
      <w:pPr>
        <w:pStyle w:val="Heading2"/>
      </w:pPr>
      <w:bookmarkStart w:id="11" w:name="_Toc206760188"/>
      <w:r w:rsidRPr="006D5ED2">
        <w:lastRenderedPageBreak/>
        <w:t>Pregnant women-</w:t>
      </w:r>
      <w:r>
        <w:t xml:space="preserve"> NIP funded vaccines</w:t>
      </w:r>
      <w:bookmarkEnd w:id="11"/>
    </w:p>
    <w:p w14:paraId="5036DCC9" w14:textId="77777777" w:rsidR="006D5ED2" w:rsidRPr="005F71BA" w:rsidRDefault="006D5ED2" w:rsidP="005F71BA">
      <w:pPr>
        <w:pStyle w:val="ListParagraph"/>
        <w:numPr>
          <w:ilvl w:val="0"/>
          <w:numId w:val="48"/>
        </w:numPr>
        <w:spacing w:before="120" w:after="0" w:line="240" w:lineRule="atLeast"/>
        <w:ind w:left="357" w:hanging="357"/>
        <w:rPr>
          <w:szCs w:val="21"/>
        </w:rPr>
      </w:pPr>
      <w:r w:rsidRPr="005F71BA">
        <w:rPr>
          <w:szCs w:val="21"/>
        </w:rPr>
        <w:t>Single dose pertussis containing vaccine (dTpa) is recommended in each pregnancy, ideally between</w:t>
      </w:r>
    </w:p>
    <w:p w14:paraId="63C0FDA8" w14:textId="77777777" w:rsidR="006D5ED2" w:rsidRPr="005F71BA" w:rsidRDefault="006D5ED2" w:rsidP="005F71BA">
      <w:pPr>
        <w:spacing w:after="0" w:line="240" w:lineRule="atLeast"/>
        <w:ind w:left="360"/>
        <w:rPr>
          <w:szCs w:val="21"/>
        </w:rPr>
      </w:pPr>
      <w:r w:rsidRPr="005F71BA">
        <w:rPr>
          <w:szCs w:val="21"/>
        </w:rPr>
        <w:t xml:space="preserve">20 to 32 weeks gestation but may be given up until delivery. </w:t>
      </w:r>
    </w:p>
    <w:p w14:paraId="7DD012C9" w14:textId="77777777" w:rsidR="006D5ED2" w:rsidRPr="005F71BA" w:rsidRDefault="006D5ED2" w:rsidP="005F71BA">
      <w:pPr>
        <w:pStyle w:val="ListParagraph"/>
        <w:numPr>
          <w:ilvl w:val="0"/>
          <w:numId w:val="48"/>
        </w:numPr>
        <w:spacing w:before="120" w:line="240" w:lineRule="atLeast"/>
        <w:rPr>
          <w:szCs w:val="21"/>
        </w:rPr>
      </w:pPr>
      <w:r w:rsidRPr="005F71BA">
        <w:rPr>
          <w:szCs w:val="21"/>
        </w:rPr>
        <w:t>Influenza vaccine recommended in each pregnancy, at any stage of pregnancy.</w:t>
      </w:r>
    </w:p>
    <w:p w14:paraId="326D936B" w14:textId="77777777" w:rsidR="006D5ED2" w:rsidRPr="001A79C4" w:rsidRDefault="006D5ED2" w:rsidP="005F71BA">
      <w:pPr>
        <w:pStyle w:val="ListParagraph"/>
        <w:numPr>
          <w:ilvl w:val="0"/>
          <w:numId w:val="48"/>
        </w:numPr>
        <w:spacing w:before="120" w:line="240" w:lineRule="atLeast"/>
      </w:pPr>
      <w:r w:rsidRPr="005F71BA">
        <w:rPr>
          <w:szCs w:val="21"/>
        </w:rPr>
        <w:t>Respiratory Syncytial Virus (RSV) vaccine is recommended between 28 to 36 weeks gestation.</w:t>
      </w:r>
    </w:p>
    <w:p w14:paraId="054A49CA" w14:textId="77777777" w:rsidR="001A79C4" w:rsidRDefault="001A79C4">
      <w:r>
        <w:br w:type="page"/>
      </w:r>
    </w:p>
    <w:p w14:paraId="3C6A246E" w14:textId="77777777" w:rsidR="001A79C4" w:rsidRDefault="001A79C4" w:rsidP="00353483">
      <w:pPr>
        <w:pStyle w:val="Heading2"/>
        <w:sectPr w:rsidR="001A79C4" w:rsidSect="006D5ED2"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5CD968F2" w14:textId="3DB50CB3" w:rsidR="00353483" w:rsidRPr="0000191C" w:rsidRDefault="00353483" w:rsidP="0000191C">
      <w:pPr>
        <w:pStyle w:val="Heading2"/>
      </w:pPr>
      <w:bookmarkStart w:id="12" w:name="_Toc206760189"/>
      <w:r w:rsidRPr="0000191C">
        <w:lastRenderedPageBreak/>
        <w:t>Resources</w:t>
      </w:r>
      <w:bookmarkEnd w:id="12"/>
    </w:p>
    <w:p w14:paraId="1B9BEA40" w14:textId="77777777" w:rsidR="00353483" w:rsidRPr="001A79C4" w:rsidRDefault="00353483" w:rsidP="00353483">
      <w:pPr>
        <w:pStyle w:val="Body"/>
        <w:rPr>
          <w:rFonts w:cs="Arial"/>
          <w:color w:val="313131"/>
          <w:szCs w:val="21"/>
          <w:shd w:val="clear" w:color="auto" w:fill="FFFFFF"/>
        </w:rPr>
      </w:pPr>
      <w:r w:rsidRPr="001A79C4">
        <w:rPr>
          <w:rFonts w:cs="Arial"/>
          <w:color w:val="313131"/>
          <w:szCs w:val="21"/>
          <w:shd w:val="clear" w:color="auto" w:fill="FFFFFF"/>
        </w:rPr>
        <w:t>Australian Technical Advisory Group on Immunisation (</w:t>
      </w:r>
      <w:r w:rsidRPr="001A79C4">
        <w:rPr>
          <w:rFonts w:cs="Arial"/>
          <w:szCs w:val="21"/>
        </w:rPr>
        <w:t>ATAGI</w:t>
      </w:r>
      <w:r w:rsidRPr="001A79C4">
        <w:rPr>
          <w:rFonts w:cs="Arial"/>
          <w:color w:val="313131"/>
          <w:szCs w:val="21"/>
          <w:shd w:val="clear" w:color="auto" w:fill="FFFFFF"/>
        </w:rPr>
        <w:t xml:space="preserve">), </w:t>
      </w:r>
      <w:hyperlink r:id="rId38" w:history="1">
        <w:r w:rsidRPr="001A79C4">
          <w:rPr>
            <w:rStyle w:val="Hyperlink"/>
            <w:rFonts w:cs="Arial"/>
            <w:szCs w:val="21"/>
            <w:shd w:val="clear" w:color="auto" w:fill="FFFFFF"/>
          </w:rPr>
          <w:t>Australian Immunisation Handbook,</w:t>
        </w:r>
      </w:hyperlink>
      <w:r w:rsidRPr="001A79C4">
        <w:rPr>
          <w:rFonts w:cs="Arial"/>
          <w:color w:val="313131"/>
          <w:szCs w:val="21"/>
          <w:shd w:val="clear" w:color="auto" w:fill="FFFFFF"/>
        </w:rPr>
        <w:t xml:space="preserve"> Australian Government Department of Health and Aged Care, Canberra. &lt;https://www.health.gov.au/resources/publications/the-australian-immunisation-handbook?language=en&gt;</w:t>
      </w:r>
    </w:p>
    <w:p w14:paraId="47766707" w14:textId="3EDCE49E" w:rsidR="00353483" w:rsidRPr="001A79C4" w:rsidRDefault="00353483" w:rsidP="00353483">
      <w:pPr>
        <w:pStyle w:val="Body"/>
        <w:rPr>
          <w:rFonts w:cs="Arial"/>
          <w:color w:val="313131"/>
          <w:szCs w:val="21"/>
          <w:shd w:val="clear" w:color="auto" w:fill="FFFFFF"/>
        </w:rPr>
      </w:pPr>
      <w:r w:rsidRPr="001A79C4">
        <w:rPr>
          <w:rFonts w:cs="Arial"/>
          <w:color w:val="313131"/>
          <w:szCs w:val="21"/>
          <w:shd w:val="clear" w:color="auto" w:fill="FFFFFF"/>
        </w:rPr>
        <w:t>Australian Technical Advisory Group on Immunisation (</w:t>
      </w:r>
      <w:r w:rsidRPr="001A79C4">
        <w:rPr>
          <w:rFonts w:cs="Arial"/>
          <w:szCs w:val="21"/>
        </w:rPr>
        <w:t>ATAGI</w:t>
      </w:r>
      <w:r w:rsidRPr="001A79C4">
        <w:rPr>
          <w:rFonts w:cs="Arial"/>
          <w:color w:val="313131"/>
          <w:szCs w:val="21"/>
          <w:shd w:val="clear" w:color="auto" w:fill="FFFFFF"/>
        </w:rPr>
        <w:t xml:space="preserve">), </w:t>
      </w:r>
      <w:hyperlink r:id="rId39" w:history="1">
        <w:r w:rsidRPr="001A79C4">
          <w:rPr>
            <w:rStyle w:val="Hyperlink"/>
            <w:rFonts w:cs="Arial"/>
            <w:szCs w:val="21"/>
            <w:shd w:val="clear" w:color="auto" w:fill="FFFFFF"/>
          </w:rPr>
          <w:t>Australian Immunisation Handbook, Catch up vaccination</w:t>
        </w:r>
      </w:hyperlink>
      <w:r w:rsidRPr="001A79C4">
        <w:rPr>
          <w:rFonts w:cs="Arial"/>
          <w:color w:val="313131"/>
          <w:szCs w:val="21"/>
          <w:shd w:val="clear" w:color="auto" w:fill="FFFFFF"/>
        </w:rPr>
        <w:t xml:space="preserve">, Australian Government Department of Health and Aged Care, Canberra. </w:t>
      </w:r>
      <w:r w:rsidRPr="001A79C4">
        <w:rPr>
          <w:rFonts w:cs="Arial"/>
          <w:szCs w:val="21"/>
          <w:shd w:val="clear" w:color="auto" w:fill="FFFFFF"/>
        </w:rPr>
        <w:t>&lt;</w:t>
      </w:r>
      <w:r w:rsidRPr="009F67AD">
        <w:rPr>
          <w:rFonts w:cs="Arial"/>
          <w:szCs w:val="21"/>
          <w:shd w:val="clear" w:color="auto" w:fill="FFFFFF"/>
        </w:rPr>
        <w:t>https://immunisationhandbook.health.gov.au/contents/catch-up-vaccination</w:t>
      </w:r>
      <w:r w:rsidRPr="001A79C4">
        <w:rPr>
          <w:rFonts w:cs="Arial"/>
          <w:szCs w:val="21"/>
          <w:shd w:val="clear" w:color="auto" w:fill="FFFFFF"/>
        </w:rPr>
        <w:t>&gt;</w:t>
      </w:r>
    </w:p>
    <w:p w14:paraId="245B3FDA" w14:textId="03F95F02" w:rsidR="00353483" w:rsidRPr="001A79C4" w:rsidRDefault="00353483" w:rsidP="00353483">
      <w:pPr>
        <w:pStyle w:val="Body"/>
        <w:rPr>
          <w:rFonts w:cs="Arial"/>
          <w:color w:val="313131"/>
          <w:szCs w:val="21"/>
          <w:shd w:val="clear" w:color="auto" w:fill="FFFFFF"/>
        </w:rPr>
      </w:pPr>
      <w:r w:rsidRPr="001A79C4">
        <w:rPr>
          <w:rFonts w:cs="Arial"/>
          <w:color w:val="313131"/>
          <w:szCs w:val="21"/>
          <w:shd w:val="clear" w:color="auto" w:fill="FFFFFF"/>
        </w:rPr>
        <w:t>Australian Technical Advisory Group on Immunisation (</w:t>
      </w:r>
      <w:r w:rsidRPr="001A79C4">
        <w:rPr>
          <w:rFonts w:cs="Arial"/>
          <w:szCs w:val="21"/>
        </w:rPr>
        <w:t>ATAGI</w:t>
      </w:r>
      <w:r w:rsidRPr="001A79C4">
        <w:rPr>
          <w:rFonts w:cs="Arial"/>
          <w:color w:val="313131"/>
          <w:szCs w:val="21"/>
          <w:shd w:val="clear" w:color="auto" w:fill="FFFFFF"/>
        </w:rPr>
        <w:t xml:space="preserve">), </w:t>
      </w:r>
      <w:hyperlink r:id="rId40" w:history="1">
        <w:r w:rsidRPr="001A79C4">
          <w:rPr>
            <w:rStyle w:val="Hyperlink"/>
            <w:rFonts w:cs="Arial"/>
            <w:szCs w:val="21"/>
            <w:shd w:val="clear" w:color="auto" w:fill="FFFFFF"/>
          </w:rPr>
          <w:t xml:space="preserve">Australian Immunisation Handbook, </w:t>
        </w:r>
        <w:r w:rsidRPr="001A79C4">
          <w:rPr>
            <w:rStyle w:val="Hyperlink"/>
            <w:szCs w:val="21"/>
          </w:rPr>
          <w:t>Vaccination for migrants, refugees and people seeking asylum in Australia</w:t>
        </w:r>
      </w:hyperlink>
      <w:r w:rsidRPr="001A79C4">
        <w:rPr>
          <w:szCs w:val="21"/>
        </w:rPr>
        <w:t xml:space="preserve">, </w:t>
      </w:r>
      <w:r w:rsidRPr="001A79C4">
        <w:rPr>
          <w:rFonts w:cs="Arial"/>
          <w:color w:val="313131"/>
          <w:szCs w:val="21"/>
          <w:shd w:val="clear" w:color="auto" w:fill="FFFFFF"/>
        </w:rPr>
        <w:t>Australian Government Department of Health and Aged Care, Canberra</w:t>
      </w:r>
      <w:r w:rsidRPr="001A79C4">
        <w:rPr>
          <w:rFonts w:cs="Arial"/>
          <w:szCs w:val="21"/>
          <w:shd w:val="clear" w:color="auto" w:fill="FFFFFF"/>
        </w:rPr>
        <w:t>.</w:t>
      </w:r>
      <w:r w:rsidR="009F67AD">
        <w:rPr>
          <w:rFonts w:cs="Arial"/>
          <w:szCs w:val="21"/>
          <w:shd w:val="clear" w:color="auto" w:fill="FFFFFF"/>
        </w:rPr>
        <w:t xml:space="preserve"> &lt;</w:t>
      </w:r>
      <w:r w:rsidR="009F67AD" w:rsidRPr="009F67AD">
        <w:rPr>
          <w:rFonts w:cs="Arial"/>
          <w:szCs w:val="21"/>
          <w:shd w:val="clear" w:color="auto" w:fill="FFFFFF"/>
        </w:rPr>
        <w:t>https://immunisationhandbook.health.gov.au/contents/vaccination-for-special-risk-groups/vaccination-for-migrants-refugees-and-people-seeking-asylum-in-australia</w:t>
      </w:r>
      <w:r w:rsidRPr="001A79C4">
        <w:rPr>
          <w:rFonts w:cs="Arial"/>
          <w:szCs w:val="21"/>
          <w:shd w:val="clear" w:color="auto" w:fill="FFFFFF"/>
        </w:rPr>
        <w:t>&gt;</w:t>
      </w:r>
    </w:p>
    <w:p w14:paraId="5BAD4C89" w14:textId="7682E1A8" w:rsidR="00353483" w:rsidRPr="001A79C4" w:rsidRDefault="00353483" w:rsidP="00353483">
      <w:pPr>
        <w:pStyle w:val="Body"/>
        <w:rPr>
          <w:szCs w:val="21"/>
        </w:rPr>
      </w:pPr>
      <w:r w:rsidRPr="001A79C4">
        <w:rPr>
          <w:szCs w:val="21"/>
        </w:rPr>
        <w:t xml:space="preserve">Department of Health and Aged Care, </w:t>
      </w:r>
      <w:hyperlink r:id="rId41" w:history="1">
        <w:r w:rsidRPr="001A79C4">
          <w:rPr>
            <w:rStyle w:val="Hyperlink"/>
            <w:szCs w:val="21"/>
          </w:rPr>
          <w:t>National Immunisation Program</w:t>
        </w:r>
      </w:hyperlink>
      <w:r w:rsidRPr="001A79C4">
        <w:rPr>
          <w:rStyle w:val="Hyperlink"/>
          <w:szCs w:val="21"/>
        </w:rPr>
        <w:t xml:space="preserve"> schedule</w:t>
      </w:r>
      <w:r w:rsidRPr="001A79C4">
        <w:rPr>
          <w:szCs w:val="21"/>
        </w:rPr>
        <w:t>, Australian Government.&lt;</w:t>
      </w:r>
      <w:r w:rsidRPr="009F67AD">
        <w:rPr>
          <w:szCs w:val="21"/>
        </w:rPr>
        <w:t>https://www.health.gov.au/resources/publications/national-immunisation-program-schedule?language=en</w:t>
      </w:r>
      <w:r w:rsidRPr="001A79C4">
        <w:rPr>
          <w:szCs w:val="21"/>
        </w:rPr>
        <w:t>&gt;</w:t>
      </w:r>
    </w:p>
    <w:p w14:paraId="225E0268" w14:textId="4B36477D" w:rsidR="00353483" w:rsidRPr="001A79C4" w:rsidRDefault="00353483" w:rsidP="00353483">
      <w:pPr>
        <w:pStyle w:val="Body"/>
        <w:rPr>
          <w:szCs w:val="21"/>
        </w:rPr>
      </w:pPr>
      <w:r w:rsidRPr="001A79C4">
        <w:rPr>
          <w:szCs w:val="21"/>
        </w:rPr>
        <w:t xml:space="preserve">Department of Health and Aged Care, </w:t>
      </w:r>
      <w:hyperlink r:id="rId42" w:history="1">
        <w:r w:rsidRPr="001A79C4">
          <w:rPr>
            <w:rStyle w:val="Hyperlink"/>
            <w:szCs w:val="21"/>
          </w:rPr>
          <w:t>National Immunisation Program</w:t>
        </w:r>
      </w:hyperlink>
      <w:r w:rsidRPr="001A79C4">
        <w:rPr>
          <w:szCs w:val="21"/>
        </w:rPr>
        <w:t xml:space="preserve">, Australia Government </w:t>
      </w:r>
      <w:r w:rsidR="009F67AD">
        <w:rPr>
          <w:szCs w:val="21"/>
        </w:rPr>
        <w:t xml:space="preserve"> &lt;</w:t>
      </w:r>
      <w:r w:rsidRPr="009F67AD">
        <w:rPr>
          <w:szCs w:val="21"/>
        </w:rPr>
        <w:t>https://www.health.gov.au/our-work/national-immunisation-program</w:t>
      </w:r>
      <w:r w:rsidRPr="001A79C4">
        <w:rPr>
          <w:szCs w:val="21"/>
        </w:rPr>
        <w:t>&gt;</w:t>
      </w:r>
    </w:p>
    <w:p w14:paraId="0B8F1312" w14:textId="65DB3BF3" w:rsidR="00353483" w:rsidRPr="001A79C4" w:rsidRDefault="00353483" w:rsidP="00353483">
      <w:pPr>
        <w:pStyle w:val="Body"/>
        <w:rPr>
          <w:szCs w:val="21"/>
        </w:rPr>
      </w:pPr>
      <w:r w:rsidRPr="001A79C4">
        <w:rPr>
          <w:szCs w:val="21"/>
        </w:rPr>
        <w:t xml:space="preserve">Department of Health and Aged Care, </w:t>
      </w:r>
      <w:hyperlink r:id="rId43" w:history="1">
        <w:r w:rsidRPr="001A79C4">
          <w:rPr>
            <w:rStyle w:val="Hyperlink"/>
            <w:szCs w:val="21"/>
          </w:rPr>
          <w:t>Catch-up immunisations</w:t>
        </w:r>
      </w:hyperlink>
      <w:r w:rsidRPr="001A79C4">
        <w:rPr>
          <w:szCs w:val="21"/>
        </w:rPr>
        <w:t xml:space="preserve">, Australia Government </w:t>
      </w:r>
      <w:r w:rsidR="009F67AD">
        <w:rPr>
          <w:szCs w:val="21"/>
        </w:rPr>
        <w:t xml:space="preserve"> &lt;</w:t>
      </w:r>
      <w:r w:rsidR="009F67AD" w:rsidRPr="009F67AD">
        <w:rPr>
          <w:szCs w:val="21"/>
        </w:rPr>
        <w:t>https://www.health.gov.au/topics/immunisation/immunisation-information-for-health-professionals/catch-up-immunisations</w:t>
      </w:r>
      <w:r w:rsidRPr="001A79C4">
        <w:rPr>
          <w:szCs w:val="21"/>
        </w:rPr>
        <w:t>&gt;</w:t>
      </w:r>
    </w:p>
    <w:p w14:paraId="7EC2886D" w14:textId="77D28DCC" w:rsidR="009B583F" w:rsidRPr="001A79C4" w:rsidRDefault="009B583F" w:rsidP="00353483">
      <w:pPr>
        <w:pStyle w:val="Body"/>
        <w:rPr>
          <w:szCs w:val="21"/>
        </w:rPr>
      </w:pPr>
      <w:r w:rsidRPr="001A79C4">
        <w:rPr>
          <w:szCs w:val="21"/>
        </w:rPr>
        <w:t>Department of Health and Aged Care</w:t>
      </w:r>
      <w:r w:rsidR="00550CFC" w:rsidRPr="001A79C4">
        <w:rPr>
          <w:szCs w:val="21"/>
        </w:rPr>
        <w:t xml:space="preserve">, </w:t>
      </w:r>
      <w:hyperlink r:id="rId44" w:history="1">
        <w:r w:rsidR="00550CFC" w:rsidRPr="001A79C4">
          <w:rPr>
            <w:rStyle w:val="Hyperlink"/>
            <w:szCs w:val="21"/>
          </w:rPr>
          <w:t>National Immunisation Catch-up Calculator</w:t>
        </w:r>
      </w:hyperlink>
      <w:r w:rsidR="009F67AD">
        <w:rPr>
          <w:szCs w:val="21"/>
        </w:rPr>
        <w:t xml:space="preserve"> </w:t>
      </w:r>
      <w:r w:rsidR="00550CFC" w:rsidRPr="001A79C4">
        <w:rPr>
          <w:szCs w:val="21"/>
        </w:rPr>
        <w:t xml:space="preserve">,Australian Government </w:t>
      </w:r>
      <w:r w:rsidR="009F67AD">
        <w:rPr>
          <w:szCs w:val="21"/>
        </w:rPr>
        <w:t xml:space="preserve"> &lt;</w:t>
      </w:r>
      <w:r w:rsidR="001B09D2" w:rsidRPr="009F67AD">
        <w:rPr>
          <w:szCs w:val="21"/>
        </w:rPr>
        <w:t>https://immunisationhandbook.health.gov.au/catch-up-calculator/calculator</w:t>
      </w:r>
      <w:r w:rsidR="00550CFC" w:rsidRPr="001A79C4">
        <w:rPr>
          <w:szCs w:val="21"/>
        </w:rPr>
        <w:t>&gt;</w:t>
      </w:r>
    </w:p>
    <w:p w14:paraId="08EA0297" w14:textId="567B5E48" w:rsidR="00A92244" w:rsidRPr="001A79C4" w:rsidRDefault="00A92244" w:rsidP="00353483">
      <w:pPr>
        <w:pStyle w:val="Body"/>
        <w:rPr>
          <w:szCs w:val="21"/>
        </w:rPr>
      </w:pPr>
      <w:r w:rsidRPr="001A79C4">
        <w:rPr>
          <w:szCs w:val="21"/>
        </w:rPr>
        <w:t xml:space="preserve">Department of </w:t>
      </w:r>
      <w:r w:rsidR="00307923" w:rsidRPr="001A79C4">
        <w:rPr>
          <w:szCs w:val="21"/>
        </w:rPr>
        <w:t>Health</w:t>
      </w:r>
      <w:r w:rsidR="00275493" w:rsidRPr="001A79C4">
        <w:rPr>
          <w:szCs w:val="21"/>
        </w:rPr>
        <w:t xml:space="preserve">, </w:t>
      </w:r>
      <w:hyperlink r:id="rId45" w:history="1">
        <w:r w:rsidR="00275493" w:rsidRPr="001A79C4">
          <w:rPr>
            <w:rStyle w:val="Hyperlink"/>
            <w:szCs w:val="21"/>
          </w:rPr>
          <w:t>Immunisation schedule Victoria</w:t>
        </w:r>
      </w:hyperlink>
      <w:r w:rsidR="00275493" w:rsidRPr="001A79C4">
        <w:rPr>
          <w:szCs w:val="21"/>
        </w:rPr>
        <w:t>, Victori</w:t>
      </w:r>
      <w:r w:rsidR="009B583F" w:rsidRPr="001A79C4">
        <w:rPr>
          <w:szCs w:val="21"/>
        </w:rPr>
        <w:t>an Government</w:t>
      </w:r>
      <w:r w:rsidR="00275493" w:rsidRPr="001A79C4">
        <w:rPr>
          <w:szCs w:val="21"/>
        </w:rPr>
        <w:t xml:space="preserve"> </w:t>
      </w:r>
      <w:r w:rsidR="009B583F" w:rsidRPr="001A79C4">
        <w:rPr>
          <w:szCs w:val="21"/>
        </w:rPr>
        <w:t>&lt;</w:t>
      </w:r>
      <w:r w:rsidR="00275493" w:rsidRPr="001A79C4">
        <w:rPr>
          <w:szCs w:val="21"/>
        </w:rPr>
        <w:t>https://www.health.vic.gov.au/immunisation/immunisation-schedule-victoria-and-vaccine-eligibility-criteria</w:t>
      </w:r>
      <w:r w:rsidR="009B583F" w:rsidRPr="001A79C4">
        <w:rPr>
          <w:szCs w:val="21"/>
        </w:rPr>
        <w:t>&gt;</w:t>
      </w:r>
    </w:p>
    <w:p w14:paraId="0ADB515D" w14:textId="6443BCFD" w:rsidR="00353483" w:rsidRPr="001A79C4" w:rsidRDefault="00353483" w:rsidP="00353483">
      <w:pPr>
        <w:pStyle w:val="Body"/>
        <w:rPr>
          <w:szCs w:val="21"/>
        </w:rPr>
      </w:pPr>
      <w:r w:rsidRPr="001A79C4">
        <w:rPr>
          <w:rStyle w:val="normaltextrun"/>
          <w:rFonts w:cs="Arial"/>
          <w:szCs w:val="21"/>
        </w:rPr>
        <w:t xml:space="preserve">Department of Home Affairs, </w:t>
      </w:r>
      <w:hyperlink r:id="rId46" w:history="1">
        <w:r w:rsidRPr="001A79C4">
          <w:rPr>
            <w:rStyle w:val="Hyperlink"/>
            <w:rFonts w:cs="Arial"/>
            <w:szCs w:val="21"/>
          </w:rPr>
          <w:t>Free Translating Service</w:t>
        </w:r>
      </w:hyperlink>
      <w:r w:rsidRPr="001A79C4">
        <w:rPr>
          <w:rStyle w:val="Hyperlink"/>
          <w:rFonts w:cs="Arial"/>
          <w:szCs w:val="21"/>
        </w:rPr>
        <w:t xml:space="preserve">, </w:t>
      </w:r>
      <w:r w:rsidRPr="001A79C4">
        <w:rPr>
          <w:szCs w:val="21"/>
        </w:rPr>
        <w:t xml:space="preserve">Australian Government. </w:t>
      </w:r>
      <w:r w:rsidR="009F67AD">
        <w:rPr>
          <w:szCs w:val="21"/>
        </w:rPr>
        <w:t>&lt;</w:t>
      </w:r>
      <w:r w:rsidRPr="009F67AD">
        <w:rPr>
          <w:szCs w:val="21"/>
        </w:rPr>
        <w:t>https://translating.homeaffairs.gov.au/en</w:t>
      </w:r>
      <w:r w:rsidR="009F67AD">
        <w:rPr>
          <w:szCs w:val="21"/>
        </w:rPr>
        <w:t>&gt;</w:t>
      </w:r>
    </w:p>
    <w:p w14:paraId="1ACD1CA0" w14:textId="77777777" w:rsidR="00353483" w:rsidRPr="001A79C4" w:rsidRDefault="00353483" w:rsidP="00353483">
      <w:pPr>
        <w:pStyle w:val="Body"/>
        <w:rPr>
          <w:rFonts w:cs="Arial"/>
          <w:color w:val="313131"/>
          <w:szCs w:val="21"/>
          <w:shd w:val="clear" w:color="auto" w:fill="FFFFFF"/>
        </w:rPr>
      </w:pPr>
      <w:r w:rsidRPr="001A79C4">
        <w:rPr>
          <w:szCs w:val="21"/>
        </w:rPr>
        <w:t xml:space="preserve">Minnesota Department of Health Immunization Program and Washington State Department of Health 2019, </w:t>
      </w:r>
      <w:hyperlink r:id="rId47" w:history="1">
        <w:r w:rsidRPr="001A79C4">
          <w:rPr>
            <w:rStyle w:val="Hyperlink"/>
            <w:szCs w:val="21"/>
          </w:rPr>
          <w:t>Foreign Language terms</w:t>
        </w:r>
      </w:hyperlink>
      <w:r w:rsidRPr="001A79C4">
        <w:rPr>
          <w:szCs w:val="21"/>
        </w:rPr>
        <w:t xml:space="preserve"> in the </w:t>
      </w:r>
      <w:hyperlink r:id="rId48" w:history="1">
        <w:r w:rsidRPr="001A79C4">
          <w:rPr>
            <w:rStyle w:val="Hyperlink"/>
            <w:rFonts w:cs="Arial"/>
            <w:szCs w:val="21"/>
            <w:shd w:val="clear" w:color="auto" w:fill="FFFFFF"/>
          </w:rPr>
          <w:t>Australian Immunisation Handbook,</w:t>
        </w:r>
      </w:hyperlink>
      <w:r w:rsidRPr="001A79C4">
        <w:rPr>
          <w:rFonts w:cs="Arial"/>
          <w:color w:val="313131"/>
          <w:szCs w:val="21"/>
          <w:shd w:val="clear" w:color="auto" w:fill="FFFFFF"/>
        </w:rPr>
        <w:t xml:space="preserve"> Australian Government Department of Health and Aged Care, Canberra. &lt;https://immunisationhandbook.health.gov.au/sites/default/files/2021-09/cdc-foreign-products-tables-may-2019_0.pdf&gt;</w:t>
      </w:r>
    </w:p>
    <w:p w14:paraId="49CFF6AC" w14:textId="1B8E72F6" w:rsidR="00353483" w:rsidRPr="001A79C4" w:rsidRDefault="00353483" w:rsidP="00353483">
      <w:pPr>
        <w:pStyle w:val="Body"/>
        <w:rPr>
          <w:szCs w:val="21"/>
        </w:rPr>
      </w:pPr>
      <w:r w:rsidRPr="001A79C4">
        <w:rPr>
          <w:szCs w:val="21"/>
        </w:rPr>
        <w:t xml:space="preserve">World Health Organisation, </w:t>
      </w:r>
      <w:hyperlink r:id="rId49" w:history="1">
        <w:r w:rsidRPr="001A79C4">
          <w:rPr>
            <w:rStyle w:val="Hyperlink"/>
            <w:szCs w:val="21"/>
          </w:rPr>
          <w:t xml:space="preserve">Immunisation schedules in other countries </w:t>
        </w:r>
      </w:hyperlink>
      <w:r w:rsidRPr="001A79C4">
        <w:rPr>
          <w:szCs w:val="21"/>
        </w:rPr>
        <w:t xml:space="preserve"> </w:t>
      </w:r>
      <w:r w:rsidR="009F67AD">
        <w:rPr>
          <w:szCs w:val="21"/>
        </w:rPr>
        <w:t>&lt;</w:t>
      </w:r>
      <w:r w:rsidR="007A6019" w:rsidRPr="009F67AD">
        <w:rPr>
          <w:szCs w:val="21"/>
        </w:rPr>
        <w:t>https://immunizationdata.who.int/global/wiise-detail-page/vaccination-schedule-for-country_name</w:t>
      </w:r>
      <w:r w:rsidR="009F67AD">
        <w:rPr>
          <w:szCs w:val="21"/>
        </w:rPr>
        <w:t>&gt;</w:t>
      </w:r>
    </w:p>
    <w:p w14:paraId="276E089F" w14:textId="50453553" w:rsidR="00F6270B" w:rsidRPr="001A79C4" w:rsidRDefault="0063158E" w:rsidP="00353483">
      <w:pPr>
        <w:pStyle w:val="Body"/>
        <w:rPr>
          <w:szCs w:val="21"/>
        </w:rPr>
      </w:pPr>
      <w:r w:rsidRPr="001A79C4">
        <w:rPr>
          <w:szCs w:val="21"/>
        </w:rPr>
        <w:t>Immunize</w:t>
      </w:r>
      <w:r w:rsidR="002D4895" w:rsidRPr="001A79C4">
        <w:rPr>
          <w:szCs w:val="21"/>
        </w:rPr>
        <w:t>.Org</w:t>
      </w:r>
      <w:r w:rsidR="00565F0A" w:rsidRPr="001A79C4">
        <w:rPr>
          <w:szCs w:val="21"/>
        </w:rPr>
        <w:t xml:space="preserve">, </w:t>
      </w:r>
      <w:hyperlink r:id="rId50" w:history="1">
        <w:r w:rsidR="00565F0A" w:rsidRPr="001A79C4">
          <w:rPr>
            <w:rStyle w:val="Hyperlink"/>
            <w:szCs w:val="21"/>
          </w:rPr>
          <w:t>Quick chart of Vaccine Preventable Disease terms in Multiple Languages</w:t>
        </w:r>
      </w:hyperlink>
      <w:r w:rsidR="007A6019" w:rsidRPr="001A79C4">
        <w:rPr>
          <w:szCs w:val="21"/>
        </w:rPr>
        <w:t xml:space="preserve"> </w:t>
      </w:r>
      <w:r w:rsidR="00565F0A" w:rsidRPr="001A79C4">
        <w:rPr>
          <w:szCs w:val="21"/>
        </w:rPr>
        <w:t>&lt;</w:t>
      </w:r>
      <w:r w:rsidR="007A6019" w:rsidRPr="001A79C4">
        <w:rPr>
          <w:szCs w:val="21"/>
        </w:rPr>
        <w:t>https://www.immunize.org/wp-content/uploads/catg.d/p5122.pdf</w:t>
      </w:r>
      <w:r w:rsidR="00565F0A" w:rsidRPr="001A79C4">
        <w:rPr>
          <w:szCs w:val="21"/>
        </w:rPr>
        <w:t>&gt;</w:t>
      </w:r>
    </w:p>
    <w:tbl>
      <w:tblPr>
        <w:tblStyle w:val="TableGrid"/>
        <w:tblpPr w:leftFromText="180" w:rightFromText="180" w:vertAnchor="text" w:tblpY="1"/>
        <w:tblOverlap w:val="never"/>
        <w:tblW w:w="10702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702"/>
      </w:tblGrid>
      <w:tr w:rsidR="00353483" w14:paraId="123EE847" w14:textId="77777777" w:rsidTr="00F6270B">
        <w:trPr>
          <w:trHeight w:val="1303"/>
        </w:trPr>
        <w:tc>
          <w:tcPr>
            <w:tcW w:w="10702" w:type="dxa"/>
          </w:tcPr>
          <w:p w14:paraId="758B2178" w14:textId="77777777" w:rsidR="00F6270B" w:rsidRPr="00F6270B" w:rsidRDefault="00353483" w:rsidP="00693FA8">
            <w:pPr>
              <w:pStyle w:val="DHHSaccessibilitypara"/>
              <w:rPr>
                <w:sz w:val="18"/>
                <w:szCs w:val="18"/>
              </w:rPr>
            </w:pPr>
            <w:r w:rsidRPr="00F6270B">
              <w:rPr>
                <w:sz w:val="18"/>
                <w:szCs w:val="18"/>
              </w:rPr>
              <w:t>To receive this publication in an accessible email the Immunisation Program&lt;</w:t>
            </w:r>
            <w:hyperlink r:id="rId51" w:history="1">
              <w:r w:rsidRPr="00F6270B">
                <w:rPr>
                  <w:rStyle w:val="Hyperlink"/>
                  <w:sz w:val="18"/>
                  <w:szCs w:val="18"/>
                </w:rPr>
                <w:t>immunisation@health.vic.gov.au</w:t>
              </w:r>
            </w:hyperlink>
            <w:r w:rsidRPr="00F6270B">
              <w:rPr>
                <w:sz w:val="18"/>
                <w:szCs w:val="18"/>
              </w:rPr>
              <w:t>&gt;</w:t>
            </w:r>
          </w:p>
          <w:p w14:paraId="7F985697" w14:textId="037A809A" w:rsidR="00353483" w:rsidRPr="00F6270B" w:rsidRDefault="00353483" w:rsidP="00693FA8">
            <w:pPr>
              <w:pStyle w:val="DHHSaccessibilitypara"/>
              <w:rPr>
                <w:sz w:val="20"/>
                <w:szCs w:val="20"/>
              </w:rPr>
            </w:pPr>
            <w:r w:rsidRPr="00F6270B">
              <w:rPr>
                <w:rFonts w:cs="Arial"/>
                <w:color w:val="231F20"/>
                <w:sz w:val="18"/>
                <w:szCs w:val="18"/>
              </w:rPr>
              <w:t xml:space="preserve">While the information contained in this resource has been researched, reviewed and presented with all due care, the content is for use by a doctor or qualified immunisation provider only. All information contained in this publication is accurate at the time of publication. </w:t>
            </w:r>
            <w:r w:rsidRPr="00F6270B">
              <w:rPr>
                <w:sz w:val="18"/>
                <w:szCs w:val="18"/>
              </w:rPr>
              <w:t xml:space="preserve">Authorised and published by the Victorian Government, 1 Treasury Place, Melbourne© State of Victoria, Department of Health, </w:t>
            </w:r>
            <w:r w:rsidR="001A79C4">
              <w:rPr>
                <w:sz w:val="18"/>
                <w:szCs w:val="18"/>
              </w:rPr>
              <w:t>September 2025</w:t>
            </w:r>
          </w:p>
        </w:tc>
      </w:tr>
      <w:bookmarkEnd w:id="2"/>
    </w:tbl>
    <w:p w14:paraId="005FC1D0" w14:textId="77777777" w:rsidR="00162CA9" w:rsidRDefault="00162CA9" w:rsidP="00162CA9">
      <w:pPr>
        <w:pStyle w:val="Body"/>
      </w:pPr>
    </w:p>
    <w:sectPr w:rsidR="00162CA9" w:rsidSect="006D5ED2"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EEDD" w14:textId="77777777" w:rsidR="00660291" w:rsidRDefault="00660291">
      <w:r>
        <w:separator/>
      </w:r>
    </w:p>
  </w:endnote>
  <w:endnote w:type="continuationSeparator" w:id="0">
    <w:p w14:paraId="333934EC" w14:textId="77777777" w:rsidR="00660291" w:rsidRDefault="0066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38D5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7EE5EBE6" wp14:editId="5597C9C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B2558AC" wp14:editId="22C795D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5BB26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558A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05BB26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B8A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5DCC9E17" wp14:editId="0DD9C6A7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0EA08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C9E1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20EA08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77D7" w14:textId="77777777" w:rsidR="00353483" w:rsidRDefault="003534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4D7361B2" wp14:editId="5E77C18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644889170" name="Text Box 644889170" descr="{&quot;HashCode&quot;:90475836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2D986" w14:textId="77777777" w:rsidR="00353483" w:rsidRPr="000A35F9" w:rsidRDefault="00353483" w:rsidP="000A35F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A35F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361B2" id="_x0000_t202" coordsize="21600,21600" o:spt="202" path="m,l,21600r21600,l21600,xe">
              <v:stroke joinstyle="miter"/>
              <v:path gradientshapeok="t" o:connecttype="rect"/>
            </v:shapetype>
            <v:shape id="Text Box 644889170" o:spid="_x0000_s1028" type="#_x0000_t202" alt="{&quot;HashCode&quot;:90475836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9.55pt;z-index:25167718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p/GQIAAC0EAAAOAAAAZHJzL2Uyb0RvYy54bWysU01v2zAMvQ/YfxB0X+x4SdMZcYqsRYYB&#10;QVsgHXpWZCk2IIuapMTOfv0o2U6KbqdhF5kiaX6897S86xpFTsK6GnRBp5OUEqE5lLU+FPTHy+bT&#10;LSXOM10yBVoU9CwcvVt9/LBsTS4yqECVwhIsol3emoJW3ps8SRyvRMPcBIzQGJRgG+bxag9JaVmL&#10;1RuVZGl6k7RgS2OBC+fQ+9AH6SrWl1Jw/ySlE56oguJsPp42nvtwJqslyw+WmarmwxjsH6ZoWK2x&#10;6aXUA/OMHG39R6mm5hYcSD/h0CQgZc1F3AG3mabvttlVzIi4C4LjzAUm9//K8sfTzjxb4ruv0CGB&#10;AZDWuNyhM+zTSduEL05KMI4Qni+wic4Tjs7FYpHNUgxxjM3TLLudhzLJ9W9jnf8moCHBKKhFWiJa&#10;7LR1vk8dU0IzDZtaqUiN0qQt6M3neRp/uESwuNLY4zprsHy370hdFjQb99hDecb1LPTMO8M3Nc6w&#10;Zc4/M4tU49goX/+Eh1SAvWCwKKnA/vqbP+QjAxilpEXpFNT9PDIrKFHfNXLzZTqbBa3FCxr2rXc/&#10;evWxuQdU5RQfiOHRDLlejaa00LyiutehG4aY5tizoNzb8XLveynj++BivY5pqCvD/FbvDA/FA54B&#10;25fulVkzEOCRukcY5cXydzz0uT0T66MHWUeSAsI9ngPwqMlI8/B+gujf3mPW9ZWvfgMAAP//AwBQ&#10;SwMEFAAGAAgAAAAhANg//TfbAAAABQEAAA8AAABkcnMvZG93bnJldi54bWxMj0tPwzAQhO9I/Adr&#10;kbhRpwG1NI1T8RASnBApl97cePMo8TqK3cb8e7Zc4LLSaGZnv8030fbihKPvHCmYzxIQSJUzHTUK&#10;PrcvN/cgfNBkdO8IFXyjh01xeZHrzLiJPvBUhkZwCflMK2hDGDIpfdWi1X7mBiT2ajdaHViOjTSj&#10;nrjc9jJNkoW0uiO+0OoBn1qsvsqjZQw3vKWHxZQ838Zd+Rrr98cu1EpdX8WHNYiAMfyF4YzPO1Aw&#10;094dyXjRK+BHwu88e2l6x3qvYLmagyxy+Z+++AEAAP//AwBQSwECLQAUAAYACAAAACEAtoM4kv4A&#10;AADhAQAAEwAAAAAAAAAAAAAAAAAAAAAAW0NvbnRlbnRfVHlwZXNdLnhtbFBLAQItABQABgAIAAAA&#10;IQA4/SH/1gAAAJQBAAALAAAAAAAAAAAAAAAAAC8BAABfcmVscy8ucmVsc1BLAQItABQABgAIAAAA&#10;IQD8dgp/GQIAAC0EAAAOAAAAAAAAAAAAAAAAAC4CAABkcnMvZTJvRG9jLnhtbFBLAQItABQABgAI&#10;AAAAIQDYP/032wAAAAUBAAAPAAAAAAAAAAAAAAAAAHMEAABkcnMvZG93bnJldi54bWxQSwUGAAAA&#10;AAQABADzAAAAewUAAAAA&#10;" o:allowincell="f" filled="f" stroked="f" strokeweight=".5pt">
              <v:textbox inset=",0,,0">
                <w:txbxContent>
                  <w:p w14:paraId="13C2D986" w14:textId="77777777" w:rsidR="00353483" w:rsidRPr="000A35F9" w:rsidRDefault="00353483" w:rsidP="000A35F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A35F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0EED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6A6B687" wp14:editId="74B54C4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1941FD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6B687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D1941FD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070F" w14:textId="77777777" w:rsidR="00660291" w:rsidRDefault="00660291" w:rsidP="002862F1">
      <w:pPr>
        <w:spacing w:before="120"/>
      </w:pPr>
      <w:r>
        <w:separator/>
      </w:r>
    </w:p>
  </w:footnote>
  <w:footnote w:type="continuationSeparator" w:id="0">
    <w:p w14:paraId="121B8717" w14:textId="77777777" w:rsidR="00660291" w:rsidRDefault="0066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9BE2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9930" w14:textId="624D4E78" w:rsidR="00E261B3" w:rsidRPr="0051568D" w:rsidRDefault="00353483" w:rsidP="0011701A">
    <w:pPr>
      <w:pStyle w:val="Header"/>
    </w:pPr>
    <w:r>
      <w:t>Victorian catch-up vaccination guidelines for 10 years and older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3158F"/>
    <w:multiLevelType w:val="hybridMultilevel"/>
    <w:tmpl w:val="8D5EEB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11644D"/>
    <w:multiLevelType w:val="hybridMultilevel"/>
    <w:tmpl w:val="969C7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9A107F4"/>
    <w:multiLevelType w:val="hybridMultilevel"/>
    <w:tmpl w:val="BEA67F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7552B7"/>
    <w:multiLevelType w:val="hybridMultilevel"/>
    <w:tmpl w:val="CBDAE7B8"/>
    <w:lvl w:ilvl="0" w:tplc="B6788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094300F"/>
    <w:multiLevelType w:val="hybridMultilevel"/>
    <w:tmpl w:val="57EE9FC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837D26"/>
    <w:multiLevelType w:val="hybridMultilevel"/>
    <w:tmpl w:val="203A9D6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A25BC0"/>
    <w:multiLevelType w:val="hybridMultilevel"/>
    <w:tmpl w:val="3B26B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61C3B1C"/>
    <w:multiLevelType w:val="hybridMultilevel"/>
    <w:tmpl w:val="C48256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4B00CEF"/>
    <w:multiLevelType w:val="hybridMultilevel"/>
    <w:tmpl w:val="CCAC8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2314923">
    <w:abstractNumId w:val="10"/>
  </w:num>
  <w:num w:numId="2" w16cid:durableId="1920560320">
    <w:abstractNumId w:val="21"/>
  </w:num>
  <w:num w:numId="3" w16cid:durableId="8005397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39891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58105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7444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1196645">
    <w:abstractNumId w:val="28"/>
  </w:num>
  <w:num w:numId="8" w16cid:durableId="1340765997">
    <w:abstractNumId w:val="18"/>
  </w:num>
  <w:num w:numId="9" w16cid:durableId="1022173550">
    <w:abstractNumId w:val="27"/>
  </w:num>
  <w:num w:numId="10" w16cid:durableId="15785153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6908872">
    <w:abstractNumId w:val="30"/>
  </w:num>
  <w:num w:numId="12" w16cid:durableId="5030589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4913558">
    <w:abstractNumId w:val="22"/>
  </w:num>
  <w:num w:numId="14" w16cid:durableId="14338187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0826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51850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0807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1984784">
    <w:abstractNumId w:val="33"/>
  </w:num>
  <w:num w:numId="19" w16cid:durableId="2625673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0740111">
    <w:abstractNumId w:val="14"/>
  </w:num>
  <w:num w:numId="21" w16cid:durableId="305818725">
    <w:abstractNumId w:val="12"/>
  </w:num>
  <w:num w:numId="22" w16cid:durableId="494032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7394044">
    <w:abstractNumId w:val="15"/>
  </w:num>
  <w:num w:numId="24" w16cid:durableId="1265962615">
    <w:abstractNumId w:val="34"/>
  </w:num>
  <w:num w:numId="25" w16cid:durableId="113639584">
    <w:abstractNumId w:val="32"/>
  </w:num>
  <w:num w:numId="26" w16cid:durableId="612322691">
    <w:abstractNumId w:val="26"/>
  </w:num>
  <w:num w:numId="27" w16cid:durableId="88549298">
    <w:abstractNumId w:val="11"/>
  </w:num>
  <w:num w:numId="28" w16cid:durableId="1188907153">
    <w:abstractNumId w:val="35"/>
  </w:num>
  <w:num w:numId="29" w16cid:durableId="1763334732">
    <w:abstractNumId w:val="9"/>
  </w:num>
  <w:num w:numId="30" w16cid:durableId="655959840">
    <w:abstractNumId w:val="7"/>
  </w:num>
  <w:num w:numId="31" w16cid:durableId="1996184224">
    <w:abstractNumId w:val="6"/>
  </w:num>
  <w:num w:numId="32" w16cid:durableId="514727819">
    <w:abstractNumId w:val="5"/>
  </w:num>
  <w:num w:numId="33" w16cid:durableId="1681006190">
    <w:abstractNumId w:val="4"/>
  </w:num>
  <w:num w:numId="34" w16cid:durableId="1399671218">
    <w:abstractNumId w:val="8"/>
  </w:num>
  <w:num w:numId="35" w16cid:durableId="1889491473">
    <w:abstractNumId w:val="3"/>
  </w:num>
  <w:num w:numId="36" w16cid:durableId="1924759000">
    <w:abstractNumId w:val="2"/>
  </w:num>
  <w:num w:numId="37" w16cid:durableId="1617327333">
    <w:abstractNumId w:val="1"/>
  </w:num>
  <w:num w:numId="38" w16cid:durableId="364137254">
    <w:abstractNumId w:val="0"/>
  </w:num>
  <w:num w:numId="39" w16cid:durableId="794910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33719417">
    <w:abstractNumId w:val="17"/>
  </w:num>
  <w:num w:numId="41" w16cid:durableId="681974834">
    <w:abstractNumId w:val="29"/>
  </w:num>
  <w:num w:numId="42" w16cid:durableId="1998803904">
    <w:abstractNumId w:val="20"/>
  </w:num>
  <w:num w:numId="43" w16cid:durableId="2100060125">
    <w:abstractNumId w:val="31"/>
  </w:num>
  <w:num w:numId="44" w16cid:durableId="1608460247">
    <w:abstractNumId w:val="23"/>
  </w:num>
  <w:num w:numId="45" w16cid:durableId="1987126007">
    <w:abstractNumId w:val="24"/>
  </w:num>
  <w:num w:numId="46" w16cid:durableId="404035422">
    <w:abstractNumId w:val="16"/>
  </w:num>
  <w:num w:numId="47" w16cid:durableId="1464688240">
    <w:abstractNumId w:val="25"/>
  </w:num>
  <w:num w:numId="48" w16cid:durableId="205654443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83"/>
    <w:rsid w:val="00000719"/>
    <w:rsid w:val="0000191C"/>
    <w:rsid w:val="00003403"/>
    <w:rsid w:val="00005347"/>
    <w:rsid w:val="000072B6"/>
    <w:rsid w:val="0001021B"/>
    <w:rsid w:val="00011D89"/>
    <w:rsid w:val="000154FD"/>
    <w:rsid w:val="00016FBF"/>
    <w:rsid w:val="00020647"/>
    <w:rsid w:val="00022271"/>
    <w:rsid w:val="000235E8"/>
    <w:rsid w:val="00024D89"/>
    <w:rsid w:val="000250B6"/>
    <w:rsid w:val="00026E23"/>
    <w:rsid w:val="00033D81"/>
    <w:rsid w:val="00035553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9C4"/>
    <w:rsid w:val="001B058F"/>
    <w:rsid w:val="001B09D2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493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4895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923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258D"/>
    <w:rsid w:val="00353483"/>
    <w:rsid w:val="00357B4E"/>
    <w:rsid w:val="0036506D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0CFC"/>
    <w:rsid w:val="0055119B"/>
    <w:rsid w:val="005548B5"/>
    <w:rsid w:val="00554C28"/>
    <w:rsid w:val="00565F0A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EB8"/>
    <w:rsid w:val="005F71BA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58E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291"/>
    <w:rsid w:val="006608D8"/>
    <w:rsid w:val="006621D7"/>
    <w:rsid w:val="0066302A"/>
    <w:rsid w:val="00667770"/>
    <w:rsid w:val="00670597"/>
    <w:rsid w:val="006706D0"/>
    <w:rsid w:val="00674AF3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5ED2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6019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215"/>
    <w:rsid w:val="007E0DE2"/>
    <w:rsid w:val="007E1227"/>
    <w:rsid w:val="007E3B98"/>
    <w:rsid w:val="007E417A"/>
    <w:rsid w:val="007E6B25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1A26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13E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2892"/>
    <w:rsid w:val="00950E2C"/>
    <w:rsid w:val="00951D50"/>
    <w:rsid w:val="009525EB"/>
    <w:rsid w:val="00952E65"/>
    <w:rsid w:val="0095470B"/>
    <w:rsid w:val="00954874"/>
    <w:rsid w:val="0095615A"/>
    <w:rsid w:val="00957120"/>
    <w:rsid w:val="00961400"/>
    <w:rsid w:val="00963646"/>
    <w:rsid w:val="0096632D"/>
    <w:rsid w:val="009718C7"/>
    <w:rsid w:val="0097559F"/>
    <w:rsid w:val="0097761E"/>
    <w:rsid w:val="00982454"/>
    <w:rsid w:val="00982630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0A8"/>
    <w:rsid w:val="009A13D8"/>
    <w:rsid w:val="009A279E"/>
    <w:rsid w:val="009A3015"/>
    <w:rsid w:val="009A3490"/>
    <w:rsid w:val="009B0A6F"/>
    <w:rsid w:val="009B0A94"/>
    <w:rsid w:val="009B2AE8"/>
    <w:rsid w:val="009B583F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7AD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2FCC"/>
    <w:rsid w:val="00A67263"/>
    <w:rsid w:val="00A7161C"/>
    <w:rsid w:val="00A77AA3"/>
    <w:rsid w:val="00A8236D"/>
    <w:rsid w:val="00A854EB"/>
    <w:rsid w:val="00A872E5"/>
    <w:rsid w:val="00A91406"/>
    <w:rsid w:val="00A92244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38E7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CA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A13"/>
    <w:rsid w:val="00B41F3D"/>
    <w:rsid w:val="00B431E8"/>
    <w:rsid w:val="00B45099"/>
    <w:rsid w:val="00B45141"/>
    <w:rsid w:val="00B46DE7"/>
    <w:rsid w:val="00B475F3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1D4"/>
    <w:rsid w:val="00BA29AD"/>
    <w:rsid w:val="00BA33CF"/>
    <w:rsid w:val="00BA3F8D"/>
    <w:rsid w:val="00BB7A10"/>
    <w:rsid w:val="00BC3DED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487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E3AC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370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0F26"/>
    <w:rsid w:val="00E11332"/>
    <w:rsid w:val="00E11352"/>
    <w:rsid w:val="00E170DC"/>
    <w:rsid w:val="00E17546"/>
    <w:rsid w:val="00E210B5"/>
    <w:rsid w:val="00E261B3"/>
    <w:rsid w:val="00E26818"/>
    <w:rsid w:val="00E27456"/>
    <w:rsid w:val="00E27FFC"/>
    <w:rsid w:val="00E30B15"/>
    <w:rsid w:val="00E33237"/>
    <w:rsid w:val="00E40181"/>
    <w:rsid w:val="00E44A75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70B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4849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37CDC8"/>
  <w15:docId w15:val="{359C3569-488B-4F93-90C4-A42B9657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53483"/>
    <w:rPr>
      <w:rFonts w:ascii="Arial" w:hAnsi="Arial" w:cs="Arial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534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accessibilitypara">
    <w:name w:val="DHHS accessibility para"/>
    <w:uiPriority w:val="8"/>
    <w:rsid w:val="00353483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table" w:styleId="GridTable4-Accent1">
    <w:name w:val="Grid Table 4 Accent 1"/>
    <w:basedOn w:val="TableNormal"/>
    <w:uiPriority w:val="49"/>
    <w:rsid w:val="003534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353483"/>
    <w:pPr>
      <w:ind w:left="720"/>
      <w:contextualSpacing/>
    </w:pPr>
  </w:style>
  <w:style w:type="character" w:customStyle="1" w:styleId="normaltextrun">
    <w:name w:val="normaltextrun"/>
    <w:basedOn w:val="DefaultParagraphFont"/>
    <w:rsid w:val="00353483"/>
  </w:style>
  <w:style w:type="character" w:customStyle="1" w:styleId="eop">
    <w:name w:val="eop"/>
    <w:basedOn w:val="DefaultParagraphFont"/>
    <w:rsid w:val="0035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health.gov.au/topics/immunisation/immunisation-information-for-health-professionals/catch-up-immunisations" TargetMode="External"/><Relationship Id="rId26" Type="http://schemas.openxmlformats.org/officeDocument/2006/relationships/hyperlink" Target="https://translating.homeaffairs.gov.au/en" TargetMode="External"/><Relationship Id="rId39" Type="http://schemas.openxmlformats.org/officeDocument/2006/relationships/hyperlink" Target="https://immunisationhandbook.health.gov.au/contents/catch-up-vaccin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resources/publications/national-immunisation-program-schedule?language=en" TargetMode="External"/><Relationship Id="rId34" Type="http://schemas.openxmlformats.org/officeDocument/2006/relationships/hyperlink" Target="https://www.health.vic.gov.au/immunisation/immunisation-schedule-and-vaccine-eligibility-criteria" TargetMode="External"/><Relationship Id="rId42" Type="http://schemas.openxmlformats.org/officeDocument/2006/relationships/hyperlink" Target="https://www.health.gov.au/our-work/national-immunisation-program" TargetMode="External"/><Relationship Id="rId47" Type="http://schemas.openxmlformats.org/officeDocument/2006/relationships/hyperlink" Target="https://immunisationhandbook.health.gov.au/sites/default/files/2021-09/cdc-foreign-products-tables-may-2019_0.pdf" TargetMode="External"/><Relationship Id="rId50" Type="http://schemas.openxmlformats.org/officeDocument/2006/relationships/hyperlink" Target="Quick%20chart%20of%20Vaccine%20Preventable%20Disease%20terms%20in%20Multiple%20Languages%3c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servicesaustralia.gov.au/individuals/subjects/how-enrol-and-get-started-medicare/enrolling-medicare" TargetMode="External"/><Relationship Id="rId25" Type="http://schemas.openxmlformats.org/officeDocument/2006/relationships/hyperlink" Target="https://www.health.vic.gov.au/immunisation/seasonal-influenza-vaccine" TargetMode="External"/><Relationship Id="rId33" Type="http://schemas.openxmlformats.org/officeDocument/2006/relationships/hyperlink" Target="https://www.health.gov.au/resources/puMen%20Cblications/national-immunisation-program-schedule?language=en" TargetMode="External"/><Relationship Id="rId38" Type="http://schemas.openxmlformats.org/officeDocument/2006/relationships/hyperlink" Target="https://www.health.gov.au/resources/publications/the-australian-immunisation-handbook?language=en" TargetMode="External"/><Relationship Id="rId46" Type="http://schemas.openxmlformats.org/officeDocument/2006/relationships/hyperlink" Target="https://translating.homeaffairs.gov.au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resources/publications/national-immunisation-program-schedule?language=en" TargetMode="External"/><Relationship Id="rId20" Type="http://schemas.openxmlformats.org/officeDocument/2006/relationships/footer" Target="footer3.xml"/><Relationship Id="rId29" Type="http://schemas.openxmlformats.org/officeDocument/2006/relationships/hyperlink" Target="https://www.health.gov.au/resources/publications/national-immunisation-program-schedule?language=en" TargetMode="External"/><Relationship Id="rId41" Type="http://schemas.openxmlformats.org/officeDocument/2006/relationships/hyperlink" Target="https://www.health.gov.au/resources/publications/national-immunisation-program-schedule?language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mmunisationhandbook.health.gov.au/catch-up-calculator/calculator" TargetMode="External"/><Relationship Id="rId32" Type="http://schemas.openxmlformats.org/officeDocument/2006/relationships/hyperlink" Target="https://immunisationhandbook.health.gov.au/" TargetMode="External"/><Relationship Id="rId37" Type="http://schemas.openxmlformats.org/officeDocument/2006/relationships/footer" Target="footer4.xml"/><Relationship Id="rId40" Type="http://schemas.openxmlformats.org/officeDocument/2006/relationships/hyperlink" Target="https://immunisationhandbook.health.gov.au/contents/vaccination-for-special-risk-groups/vaccination-for-migrants-refugees-and-people-seeking-asylum-in-australia" TargetMode="External"/><Relationship Id="rId45" Type="http://schemas.openxmlformats.org/officeDocument/2006/relationships/hyperlink" Target="https://www.health.vic.gov.au/immunisation/immunisation-schedule-victoria-and-vaccine-eligibility-criteria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vic.gov.au/immunisation/immunisation-schedule-victoria-and-vaccine-eligibility-criteria" TargetMode="External"/><Relationship Id="rId28" Type="http://schemas.openxmlformats.org/officeDocument/2006/relationships/hyperlink" Target="https://www.health.gov.au/resources/puMen%20Cblications/national-immunisation-program-schedule?language=en" TargetMode="External"/><Relationship Id="rId36" Type="http://schemas.openxmlformats.org/officeDocument/2006/relationships/hyperlink" Target="https://www.health.gov.au/resources/publications/national-immunisation-program-schedule?language=en" TargetMode="External"/><Relationship Id="rId49" Type="http://schemas.openxmlformats.org/officeDocument/2006/relationships/hyperlink" Target="https://immunizationdata.who.int/listing.html?topic=vaccine-schedule&amp;location=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mmunisationhandbook.health.gov.au/" TargetMode="External"/><Relationship Id="rId31" Type="http://schemas.openxmlformats.org/officeDocument/2006/relationships/hyperlink" Target="https://immunisationhandbook.health.gov.au/catch-up-calculator/calculator" TargetMode="External"/><Relationship Id="rId44" Type="http://schemas.openxmlformats.org/officeDocument/2006/relationships/hyperlink" Target="https://immunisationhandbook.health.gov.au/catch-up-calculator/calculator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immunisationhandbook.health.gov.au/" TargetMode="External"/><Relationship Id="rId27" Type="http://schemas.openxmlformats.org/officeDocument/2006/relationships/hyperlink" Target="https://immunisationhandbook.health.gov.au/" TargetMode="External"/><Relationship Id="rId30" Type="http://schemas.openxmlformats.org/officeDocument/2006/relationships/hyperlink" Target="https://www.health.gov.au/resources/publications/national-immunisation-program-schedule?language=en" TargetMode="External"/><Relationship Id="rId35" Type="http://schemas.openxmlformats.org/officeDocument/2006/relationships/hyperlink" Target="https://www.health.gov.au/resources/publications/national-immunisation-program-schedule?language=en" TargetMode="External"/><Relationship Id="rId43" Type="http://schemas.openxmlformats.org/officeDocument/2006/relationships/hyperlink" Target="https://www.health.gov.au/topics/immunisation/immunisation-information-for-health-professionals/catch-up-immunisations" TargetMode="External"/><Relationship Id="rId48" Type="http://schemas.openxmlformats.org/officeDocument/2006/relationships/hyperlink" Target="https://www.health.gov.au/resources/publications/the-australian-immunisation-handbook?language=en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immunisation@healt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Preview xmlns="56f13c3b-1a5e-4b20-8813-0ef8710fa369" xsi:nil="true"/>
    <TaxCatchAll xmlns="5ce0f2b5-5be5-4508-bce9-d7011ece065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64701D1A-9104-4D1F-9C93-808FCE002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catch-up vaccination guidelines for 10 years and older</vt:lpstr>
    </vt:vector>
  </TitlesOfParts>
  <Manager/>
  <Company>Victoria State Government, Department of Health</Company>
  <LinksUpToDate>false</LinksUpToDate>
  <CharactersWithSpaces>15153</CharactersWithSpaces>
  <SharedDoc>false</SharedDoc>
  <HyperlinkBase>https://www.health.vic.gov.au/publications/victorian-immunisation-catch-up-guidelines-for-10-years-and-older</HyperlinkBase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catch-up vaccination guidelines for 10 years and older</dc:title>
  <dc:subject>Immunisation</dc:subject>
  <dc:creator>Immunisation Program</dc:creator>
  <cp:keywords/>
  <dc:description/>
  <cp:lastModifiedBy>Josie Cichello-Sanderson (Health)</cp:lastModifiedBy>
  <cp:revision>10</cp:revision>
  <cp:lastPrinted>2025-08-22T03:10:00Z</cp:lastPrinted>
  <dcterms:created xsi:type="dcterms:W3CDTF">2025-08-22T02:26:00Z</dcterms:created>
  <dcterms:modified xsi:type="dcterms:W3CDTF">2025-08-22T03:10:00Z</dcterms:modified>
  <cp:category>Immunisation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