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3729E" w14:textId="4EEC28B0" w:rsidR="0074696E" w:rsidRPr="004C6EEE" w:rsidRDefault="0001677A" w:rsidP="00EC40D5">
      <w:pPr>
        <w:pStyle w:val="Sectionbreakfirstpage"/>
      </w:pPr>
      <w:r>
        <w:drawing>
          <wp:anchor distT="0" distB="0" distL="114300" distR="114300" simplePos="0" relativeHeight="251658240" behindDoc="1" locked="1" layoutInCell="1" allowOverlap="1" wp14:anchorId="176DA2E9" wp14:editId="76DEBDEA">
            <wp:simplePos x="0" y="0"/>
            <wp:positionH relativeFrom="page">
              <wp:align>left</wp:align>
            </wp:positionH>
            <wp:positionV relativeFrom="page">
              <wp:align>top</wp:align>
            </wp:positionV>
            <wp:extent cx="7559675" cy="141922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560000" cy="1419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10F48" w14:textId="77777777" w:rsidR="00A62D44" w:rsidRPr="004C6EEE" w:rsidRDefault="00A62D44" w:rsidP="00EC40D5">
      <w:pPr>
        <w:pStyle w:val="Sectionbreakfirstpage"/>
        <w:sectPr w:rsidR="00A62D44" w:rsidRPr="004C6EEE" w:rsidSect="003C396B">
          <w:headerReference w:type="default" r:id="rId12"/>
          <w:footerReference w:type="default" r:id="rId13"/>
          <w:footerReference w:type="first" r:id="rId14"/>
          <w:pgSz w:w="11906" w:h="16838" w:code="9"/>
          <w:pgMar w:top="454" w:right="851" w:bottom="1418" w:left="851" w:header="340" w:footer="1020"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348"/>
      </w:tblGrid>
      <w:tr w:rsidR="003B5733" w14:paraId="0FDADCED" w14:textId="77777777" w:rsidTr="00ED641B">
        <w:trPr>
          <w:trHeight w:val="622"/>
        </w:trPr>
        <w:tc>
          <w:tcPr>
            <w:tcW w:w="10348" w:type="dxa"/>
            <w:tcMar>
              <w:top w:w="1531" w:type="dxa"/>
              <w:left w:w="0" w:type="dxa"/>
              <w:right w:w="0" w:type="dxa"/>
            </w:tcMar>
          </w:tcPr>
          <w:p w14:paraId="40942EF9" w14:textId="77777777" w:rsidR="003B5733" w:rsidRPr="003B5733" w:rsidRDefault="00886938" w:rsidP="003B5733">
            <w:pPr>
              <w:pStyle w:val="Documenttitle"/>
            </w:pPr>
            <w:bookmarkStart w:id="0" w:name="_Hlk205976161"/>
            <w:r>
              <w:t>Blood Matters on the Bench and Beyond</w:t>
            </w:r>
          </w:p>
        </w:tc>
      </w:tr>
      <w:tr w:rsidR="003B5733" w14:paraId="529A2777" w14:textId="77777777" w:rsidTr="00ED641B">
        <w:tc>
          <w:tcPr>
            <w:tcW w:w="10348" w:type="dxa"/>
          </w:tcPr>
          <w:p w14:paraId="5A5A3B19" w14:textId="186B855E" w:rsidR="003B5733" w:rsidRPr="00A1389F" w:rsidRDefault="00886938" w:rsidP="005F44C0">
            <w:pPr>
              <w:pStyle w:val="Documentsubtitle"/>
            </w:pPr>
            <w:r>
              <w:t xml:space="preserve">Issue </w:t>
            </w:r>
            <w:r w:rsidR="00470D65">
              <w:t>2</w:t>
            </w:r>
            <w:r w:rsidR="00832284">
              <w:t>3</w:t>
            </w:r>
            <w:r>
              <w:t xml:space="preserve"> –</w:t>
            </w:r>
            <w:r w:rsidR="001C7DF7">
              <w:t xml:space="preserve"> </w:t>
            </w:r>
            <w:r w:rsidR="00832284">
              <w:t>August</w:t>
            </w:r>
            <w:r w:rsidR="001D517C">
              <w:t xml:space="preserve"> 2025</w:t>
            </w:r>
          </w:p>
        </w:tc>
      </w:tr>
      <w:tr w:rsidR="003B5733" w14:paraId="477E2524" w14:textId="77777777" w:rsidTr="00ED641B">
        <w:tc>
          <w:tcPr>
            <w:tcW w:w="10348" w:type="dxa"/>
          </w:tcPr>
          <w:p w14:paraId="7EE8E3F5" w14:textId="52CA47C8" w:rsidR="003B5733" w:rsidRPr="001E5058" w:rsidRDefault="006B55FB" w:rsidP="001E5058">
            <w:pPr>
              <w:pStyle w:val="Bannermarking"/>
            </w:pPr>
            <w:fldSimple w:instr=" FILLIN  &quot;Type the protective marking&quot; \d OFFICIAL \o  \* MERGEFORMAT ">
              <w:r>
                <w:t>OFFICIAL</w:t>
              </w:r>
            </w:fldSimple>
          </w:p>
        </w:tc>
      </w:tr>
    </w:tbl>
    <w:p w14:paraId="4D63A8B9" w14:textId="77777777" w:rsidR="00580394" w:rsidRPr="00234D63" w:rsidRDefault="00580394" w:rsidP="00234D63">
      <w:pPr>
        <w:pStyle w:val="Body"/>
        <w:sectPr w:rsidR="00580394" w:rsidRPr="00234D63" w:rsidSect="003C396B">
          <w:headerReference w:type="default" r:id="rId15"/>
          <w:type w:val="continuous"/>
          <w:pgSz w:w="11906" w:h="16838" w:code="9"/>
          <w:pgMar w:top="1418" w:right="851" w:bottom="1418" w:left="851" w:header="851" w:footer="851" w:gutter="0"/>
          <w:cols w:space="340"/>
          <w:titlePg/>
          <w:docGrid w:linePitch="360"/>
        </w:sectPr>
      </w:pPr>
    </w:p>
    <w:p w14:paraId="034CA876" w14:textId="788DFA3D" w:rsidR="0050221C" w:rsidRPr="00234D63" w:rsidRDefault="0050221C" w:rsidP="00234D63">
      <w:pPr>
        <w:pStyle w:val="Body"/>
      </w:pPr>
      <w:r w:rsidRPr="00234D63">
        <w:t xml:space="preserve">Welcome to the Blood Matters newsletter for Scientists. </w:t>
      </w:r>
    </w:p>
    <w:p w14:paraId="2EE775E2" w14:textId="5B89242B" w:rsidR="008770B1" w:rsidRPr="00955FC7" w:rsidRDefault="00B34B76" w:rsidP="00633B21">
      <w:pPr>
        <w:pStyle w:val="Heading2"/>
        <w:rPr>
          <w:noProof/>
          <w:lang w:eastAsia="en-AU"/>
        </w:rPr>
      </w:pPr>
      <w:r w:rsidRPr="00955FC7">
        <w:rPr>
          <w:noProof/>
          <w:lang w:eastAsia="en-AU"/>
        </w:rPr>
        <w:t xml:space="preserve">Blood </w:t>
      </w:r>
      <w:r w:rsidR="00955FC7" w:rsidRPr="00955FC7">
        <w:rPr>
          <w:noProof/>
          <w:lang w:eastAsia="en-AU"/>
        </w:rPr>
        <w:t>Matters online events 2025</w:t>
      </w:r>
    </w:p>
    <w:p w14:paraId="2F71B127" w14:textId="1883E4F7" w:rsidR="00955FC7" w:rsidRDefault="00955FC7" w:rsidP="00955FC7">
      <w:pPr>
        <w:pStyle w:val="Body"/>
      </w:pPr>
      <w:r w:rsidRPr="00234D63">
        <w:t xml:space="preserve">Blood Matters online events </w:t>
      </w:r>
      <w:r w:rsidR="00D91768">
        <w:t>are</w:t>
      </w:r>
      <w:r w:rsidRPr="00234D63">
        <w:t xml:space="preserve"> a regular fixture in our education calendar, continuing to support scientists and our multidisciplinary network of transfusion professionals.</w:t>
      </w:r>
    </w:p>
    <w:p w14:paraId="603D6C54" w14:textId="4B3DE2E4" w:rsidR="00955FC7" w:rsidRDefault="00955FC7" w:rsidP="00955FC7">
      <w:pPr>
        <w:pStyle w:val="Body"/>
      </w:pPr>
      <w:r w:rsidRPr="00D91768">
        <w:t xml:space="preserve">Information will </w:t>
      </w:r>
      <w:r w:rsidR="00D91768" w:rsidRPr="00D91768">
        <w:t xml:space="preserve">be </w:t>
      </w:r>
      <w:r w:rsidRPr="00D91768">
        <w:t>sent as dates are finalised throughout the year.</w:t>
      </w:r>
    </w:p>
    <w:p w14:paraId="63EE119A" w14:textId="24B5CBF6" w:rsidR="001D517C" w:rsidRDefault="001D517C" w:rsidP="00A670BB">
      <w:pPr>
        <w:pStyle w:val="Heading2"/>
      </w:pPr>
      <w:r w:rsidRPr="00196FC3">
        <w:t>Blood management summit for scientists</w:t>
      </w:r>
      <w:r w:rsidR="00A670BB">
        <w:t xml:space="preserve"> – save the date</w:t>
      </w:r>
    </w:p>
    <w:p w14:paraId="360613D9" w14:textId="16B6CA35" w:rsidR="001D517C" w:rsidRDefault="00B32EA2" w:rsidP="00A670BB">
      <w:pPr>
        <w:pStyle w:val="Body"/>
        <w:ind w:left="1560"/>
        <w:rPr>
          <w:rStyle w:val="Heading3Char"/>
          <w:b/>
          <w:sz w:val="24"/>
          <w:szCs w:val="24"/>
        </w:rPr>
      </w:pPr>
      <w:r w:rsidRPr="00196FC3">
        <w:rPr>
          <w:noProof/>
          <w:color w:val="C00000"/>
          <w:szCs w:val="27"/>
        </w:rPr>
        <w:drawing>
          <wp:anchor distT="0" distB="0" distL="114300" distR="114300" simplePos="0" relativeHeight="251673600" behindDoc="1" locked="0" layoutInCell="1" allowOverlap="1" wp14:anchorId="7CB4BB11" wp14:editId="216382AB">
            <wp:simplePos x="0" y="0"/>
            <wp:positionH relativeFrom="column">
              <wp:posOffset>0</wp:posOffset>
            </wp:positionH>
            <wp:positionV relativeFrom="paragraph">
              <wp:posOffset>67310</wp:posOffset>
            </wp:positionV>
            <wp:extent cx="886460" cy="914400"/>
            <wp:effectExtent l="0" t="0" r="8890" b="0"/>
            <wp:wrapThrough wrapText="bothSides">
              <wp:wrapPolygon edited="0">
                <wp:start x="2321" y="0"/>
                <wp:lineTo x="0" y="1350"/>
                <wp:lineTo x="0" y="18450"/>
                <wp:lineTo x="11140" y="21150"/>
                <wp:lineTo x="18567" y="21150"/>
                <wp:lineTo x="21352" y="18450"/>
                <wp:lineTo x="21352" y="11250"/>
                <wp:lineTo x="18103" y="7200"/>
                <wp:lineTo x="17639" y="1800"/>
                <wp:lineTo x="14390" y="0"/>
                <wp:lineTo x="2321" y="0"/>
              </wp:wrapPolygon>
            </wp:wrapThrough>
            <wp:docPr id="655581183" name="Picture 655581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4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17C" w:rsidRPr="00196FC3">
        <w:rPr>
          <w:rStyle w:val="Heading3Char"/>
          <w:b/>
          <w:sz w:val="24"/>
          <w:szCs w:val="24"/>
        </w:rPr>
        <w:t>Wednesday 15 October 202</w:t>
      </w:r>
      <w:r w:rsidR="003E439D" w:rsidRPr="00196FC3">
        <w:rPr>
          <w:rStyle w:val="Heading3Char"/>
          <w:b/>
          <w:sz w:val="24"/>
          <w:szCs w:val="24"/>
        </w:rPr>
        <w:t>5</w:t>
      </w:r>
    </w:p>
    <w:p w14:paraId="5609F051" w14:textId="16090749" w:rsidR="00B937F3" w:rsidRPr="00B937F3" w:rsidRDefault="00B937F3" w:rsidP="00A670BB">
      <w:pPr>
        <w:pStyle w:val="Body"/>
        <w:ind w:left="1560"/>
        <w:rPr>
          <w:rStyle w:val="Heading3Char"/>
        </w:rPr>
      </w:pPr>
      <w:r w:rsidRPr="00B937F3">
        <w:rPr>
          <w:rStyle w:val="Heading3Char"/>
        </w:rPr>
        <w:t>10.00am – 3.30pm (time TBC)</w:t>
      </w:r>
    </w:p>
    <w:p w14:paraId="444D0732" w14:textId="792A8D71" w:rsidR="003E439D" w:rsidRDefault="00B937F3" w:rsidP="00955FC7">
      <w:pPr>
        <w:pStyle w:val="Body"/>
      </w:pPr>
      <w:r>
        <w:t>Australian Red Cross</w:t>
      </w:r>
      <w:r w:rsidR="003E439D">
        <w:t xml:space="preserve"> Lifeblood</w:t>
      </w:r>
      <w:r>
        <w:t>,</w:t>
      </w:r>
      <w:r w:rsidR="003E439D">
        <w:t xml:space="preserve"> Melbourne Processing Centre, West Melbourne</w:t>
      </w:r>
    </w:p>
    <w:p w14:paraId="1E23377A" w14:textId="12FCC409" w:rsidR="003E439D" w:rsidRPr="00A670BB" w:rsidRDefault="00B937F3" w:rsidP="00955FC7">
      <w:pPr>
        <w:pStyle w:val="Body"/>
        <w:rPr>
          <w:b/>
          <w:bCs/>
        </w:rPr>
      </w:pPr>
      <w:r w:rsidRPr="00A670BB">
        <w:rPr>
          <w:b/>
          <w:bCs/>
        </w:rPr>
        <w:t xml:space="preserve">Mark the date in your calendar, further </w:t>
      </w:r>
      <w:r w:rsidR="003E439D" w:rsidRPr="00A670BB">
        <w:rPr>
          <w:b/>
          <w:bCs/>
        </w:rPr>
        <w:t xml:space="preserve">details to follow </w:t>
      </w:r>
      <w:r w:rsidR="00D4202F">
        <w:rPr>
          <w:b/>
          <w:bCs/>
        </w:rPr>
        <w:t>soon</w:t>
      </w:r>
      <w:r w:rsidR="003E439D" w:rsidRPr="00A670BB">
        <w:rPr>
          <w:b/>
          <w:bCs/>
        </w:rPr>
        <w:t>.</w:t>
      </w:r>
    </w:p>
    <w:p w14:paraId="629B70B9" w14:textId="77777777" w:rsidR="00371551" w:rsidRPr="00371551" w:rsidRDefault="00371551" w:rsidP="003E0010">
      <w:pPr>
        <w:pStyle w:val="Heading2"/>
      </w:pPr>
      <w:r w:rsidRPr="00371551">
        <w:t>O RhD negative red blood cell (RBC) audit published</w:t>
      </w:r>
    </w:p>
    <w:p w14:paraId="7E385764" w14:textId="359513D7" w:rsidR="00EA6850" w:rsidRPr="00EA6850" w:rsidRDefault="00EA6850" w:rsidP="00EA6850">
      <w:pPr>
        <w:pStyle w:val="Body"/>
        <w:rPr>
          <w:szCs w:val="21"/>
        </w:rPr>
      </w:pPr>
      <w:r w:rsidRPr="00EA6850">
        <w:rPr>
          <w:b/>
          <w:bCs/>
          <w:szCs w:val="21"/>
        </w:rPr>
        <w:t>‘The indications for the use of O RhD negative RBC audit report 2024’</w:t>
      </w:r>
      <w:r w:rsidRPr="00EA6850">
        <w:rPr>
          <w:szCs w:val="21"/>
        </w:rPr>
        <w:t xml:space="preserve"> is now available on the </w:t>
      </w:r>
      <w:hyperlink r:id="rId17" w:history="1">
        <w:r w:rsidRPr="00EA6850">
          <w:rPr>
            <w:rStyle w:val="Hyperlink"/>
            <w:szCs w:val="21"/>
          </w:rPr>
          <w:t>Blood Matters webpage</w:t>
        </w:r>
      </w:hyperlink>
      <w:r w:rsidR="00715E01">
        <w:rPr>
          <w:rStyle w:val="FootnoteReference"/>
          <w:szCs w:val="21"/>
        </w:rPr>
        <w:footnoteReference w:id="1"/>
      </w:r>
      <w:r w:rsidRPr="00EA6850">
        <w:rPr>
          <w:szCs w:val="21"/>
        </w:rPr>
        <w:t xml:space="preserve">. </w:t>
      </w:r>
    </w:p>
    <w:p w14:paraId="527D9BCD" w14:textId="77777777" w:rsidR="00EA6850" w:rsidRPr="00EA6850" w:rsidRDefault="00EA6850" w:rsidP="00EA6850">
      <w:pPr>
        <w:pStyle w:val="Body"/>
        <w:rPr>
          <w:szCs w:val="21"/>
        </w:rPr>
      </w:pPr>
      <w:r w:rsidRPr="00EA6850">
        <w:rPr>
          <w:szCs w:val="21"/>
        </w:rPr>
        <w:t>The audit was conducted in 2 parts:</w:t>
      </w:r>
    </w:p>
    <w:p w14:paraId="37CEE6B5" w14:textId="77777777" w:rsidR="00EA6850" w:rsidRPr="00EA6850" w:rsidRDefault="00EA6850" w:rsidP="00EA6850">
      <w:pPr>
        <w:pStyle w:val="Body"/>
        <w:numPr>
          <w:ilvl w:val="0"/>
          <w:numId w:val="47"/>
        </w:numPr>
        <w:rPr>
          <w:szCs w:val="21"/>
        </w:rPr>
      </w:pPr>
      <w:r w:rsidRPr="00EA6850">
        <w:rPr>
          <w:szCs w:val="21"/>
        </w:rPr>
        <w:t>O RhD negative RBC policy and inventory</w:t>
      </w:r>
    </w:p>
    <w:p w14:paraId="1775826D" w14:textId="77777777" w:rsidR="00EA6850" w:rsidRPr="00EA6850" w:rsidRDefault="00EA6850" w:rsidP="00EA6850">
      <w:pPr>
        <w:pStyle w:val="Body"/>
        <w:numPr>
          <w:ilvl w:val="0"/>
          <w:numId w:val="47"/>
        </w:numPr>
        <w:rPr>
          <w:szCs w:val="21"/>
        </w:rPr>
      </w:pPr>
      <w:r w:rsidRPr="00EA6850">
        <w:rPr>
          <w:szCs w:val="21"/>
        </w:rPr>
        <w:t>A retrospective audit of the fate of all O RhD negative RBC issued during March 2024.</w:t>
      </w:r>
    </w:p>
    <w:p w14:paraId="12194CD1" w14:textId="77777777" w:rsidR="00EA6850" w:rsidRPr="00EA6850" w:rsidRDefault="00EA6850" w:rsidP="00EA6850">
      <w:pPr>
        <w:pStyle w:val="Body"/>
        <w:rPr>
          <w:szCs w:val="21"/>
        </w:rPr>
      </w:pPr>
      <w:r w:rsidRPr="00EA6850">
        <w:rPr>
          <w:szCs w:val="21"/>
        </w:rPr>
        <w:t>The audit aimed to assess the use of O RhD negative RBC against general principles and guidance in Australia and compare the results to the 2017 Blood Matters O RhD negative audit results.</w:t>
      </w:r>
    </w:p>
    <w:p w14:paraId="6FA4B0C2" w14:textId="77777777" w:rsidR="00EA6850" w:rsidRPr="00EA6850" w:rsidRDefault="00EA6850" w:rsidP="00EA6850">
      <w:pPr>
        <w:pStyle w:val="Body"/>
        <w:rPr>
          <w:szCs w:val="21"/>
        </w:rPr>
      </w:pPr>
      <w:r w:rsidRPr="00EA6850">
        <w:rPr>
          <w:szCs w:val="21"/>
        </w:rPr>
        <w:t xml:space="preserve">The results of this audit will assist health services and transfusion laboratories to identify any gaps in policy and practice, understand the current pattern of use for O RhD negative RBC and prompt regular re-evaluation of their RBC inventory. </w:t>
      </w:r>
    </w:p>
    <w:p w14:paraId="1C1E0395" w14:textId="77777777" w:rsidR="00EA6850" w:rsidRPr="00EA6850" w:rsidRDefault="00EA6850" w:rsidP="00EA6850">
      <w:pPr>
        <w:pStyle w:val="Body"/>
        <w:rPr>
          <w:b/>
          <w:bCs/>
          <w:szCs w:val="21"/>
        </w:rPr>
      </w:pPr>
      <w:r w:rsidRPr="00EA6850">
        <w:rPr>
          <w:b/>
          <w:bCs/>
          <w:szCs w:val="21"/>
        </w:rPr>
        <w:t>Audit results snapshot</w:t>
      </w:r>
    </w:p>
    <w:p w14:paraId="467C1D68" w14:textId="77777777" w:rsidR="00EA6850" w:rsidRPr="00EA6850" w:rsidRDefault="00EA6850" w:rsidP="00EA6850">
      <w:pPr>
        <w:pStyle w:val="Body"/>
        <w:rPr>
          <w:szCs w:val="21"/>
        </w:rPr>
      </w:pPr>
      <w:r w:rsidRPr="00EA6850">
        <w:rPr>
          <w:szCs w:val="21"/>
        </w:rPr>
        <w:t>Overall, health services and laboratories have policies in place that support and meet the guidelines and recommendations for the responsible use and stewardship of O RhD negative RBC. There are, however, opportunities for health services to improve in aligning practice with guidelines and local policy.</w:t>
      </w:r>
    </w:p>
    <w:p w14:paraId="789C53EB" w14:textId="77777777" w:rsidR="00715E01" w:rsidRDefault="00EA6850" w:rsidP="00EA6850">
      <w:pPr>
        <w:pStyle w:val="Body"/>
        <w:rPr>
          <w:szCs w:val="21"/>
        </w:rPr>
      </w:pPr>
      <w:r w:rsidRPr="00EA6850">
        <w:rPr>
          <w:szCs w:val="21"/>
        </w:rPr>
        <w:t>The data showed that there has been little change in practice from the 2017 audit and a large proportion (41 per cent) of O RhD negative RBC with a reported fate</w:t>
      </w:r>
      <w:r w:rsidRPr="00EA6850">
        <w:rPr>
          <w:b/>
          <w:bCs/>
          <w:szCs w:val="21"/>
        </w:rPr>
        <w:t xml:space="preserve"> </w:t>
      </w:r>
      <w:r w:rsidRPr="00EA6850">
        <w:rPr>
          <w:szCs w:val="21"/>
        </w:rPr>
        <w:t xml:space="preserve">were not transfused according to current guidelines. </w:t>
      </w:r>
    </w:p>
    <w:p w14:paraId="2280F40D" w14:textId="70BDC54B" w:rsidR="00EA6850" w:rsidRPr="00EA6850" w:rsidRDefault="00C3437D" w:rsidP="00EA6850">
      <w:pPr>
        <w:pStyle w:val="Body"/>
        <w:rPr>
          <w:szCs w:val="21"/>
        </w:rPr>
      </w:pPr>
      <w:r>
        <w:rPr>
          <w:szCs w:val="21"/>
        </w:rPr>
        <w:lastRenderedPageBreak/>
        <w:t>Twenty</w:t>
      </w:r>
      <w:r w:rsidR="00EA6850" w:rsidRPr="00EA6850">
        <w:rPr>
          <w:szCs w:val="21"/>
        </w:rPr>
        <w:t xml:space="preserve"> per cent of these were used to prevent expiry rather than for clinical need which is an increase from 17 per cent in 2017.</w:t>
      </w:r>
    </w:p>
    <w:p w14:paraId="481F6553" w14:textId="4F5FD22D" w:rsidR="00EA6850" w:rsidRPr="00EA6850" w:rsidRDefault="00EA6850" w:rsidP="00EA6850">
      <w:pPr>
        <w:pStyle w:val="Body"/>
        <w:rPr>
          <w:szCs w:val="21"/>
        </w:rPr>
      </w:pPr>
      <w:r w:rsidRPr="00EA6850">
        <w:rPr>
          <w:szCs w:val="21"/>
        </w:rPr>
        <w:t xml:space="preserve">When comparing 2017 with 2024 audit data the proportion of sites holding only O RhD negative RBC increased (24 per cent in 2017 to 33 per cent in 2024) and sites holding all blood groups decreased (9 per cent in 2017 to 6 per cent in 2024). </w:t>
      </w:r>
    </w:p>
    <w:p w14:paraId="777EE961" w14:textId="77777777" w:rsidR="00EA6850" w:rsidRPr="00EA6850" w:rsidRDefault="00EA6850" w:rsidP="00EA6850">
      <w:pPr>
        <w:pStyle w:val="Body"/>
        <w:rPr>
          <w:szCs w:val="21"/>
        </w:rPr>
      </w:pPr>
      <w:r w:rsidRPr="00EA6850">
        <w:rPr>
          <w:szCs w:val="21"/>
        </w:rPr>
        <w:t>There was a marked improvement in health service policy that outlined the requirement to rotate RBC to prevent time expiry, 74 per cent in 2017 to 90 per cent in 2024. RBC rotation occurred between 4-14 days prior to the date of expiry with 7 days being the most common time frame, a decrease from 14 days in the 2017 audit. To ensure RBC can be used appropriately, they must be rotated with sufficient time before expiry.</w:t>
      </w:r>
    </w:p>
    <w:p w14:paraId="28C718D1" w14:textId="07FCC860" w:rsidR="0018502F" w:rsidRPr="00A47FDC" w:rsidRDefault="0018502F" w:rsidP="0018502F">
      <w:pPr>
        <w:pStyle w:val="DHHStablecaption"/>
        <w:rPr>
          <w:sz w:val="21"/>
          <w:szCs w:val="21"/>
        </w:rPr>
      </w:pPr>
      <w:bookmarkStart w:id="1" w:name="_Hlk187750967"/>
      <w:bookmarkStart w:id="2" w:name="_Hlk187419056"/>
      <w:r w:rsidRPr="00A47FDC">
        <w:rPr>
          <w:sz w:val="21"/>
          <w:szCs w:val="21"/>
        </w:rPr>
        <w:t>Summary of use based on guidelines and recommendations</w:t>
      </w:r>
    </w:p>
    <w:tbl>
      <w:tblPr>
        <w:tblStyle w:val="TableGrid"/>
        <w:tblW w:w="9073" w:type="dxa"/>
        <w:tblLayout w:type="fixed"/>
        <w:tblLook w:val="04A0" w:firstRow="1" w:lastRow="0" w:firstColumn="1" w:lastColumn="0" w:noHBand="0" w:noVBand="1"/>
      </w:tblPr>
      <w:tblGrid>
        <w:gridCol w:w="5524"/>
        <w:gridCol w:w="3549"/>
      </w:tblGrid>
      <w:tr w:rsidR="0018502F" w:rsidRPr="0088404D" w14:paraId="74FE3DBA" w14:textId="77777777" w:rsidTr="00C80CA3">
        <w:tc>
          <w:tcPr>
            <w:tcW w:w="5524" w:type="dxa"/>
          </w:tcPr>
          <w:p w14:paraId="790FD7B3" w14:textId="77777777" w:rsidR="0018502F" w:rsidRPr="0088404D" w:rsidRDefault="0018502F" w:rsidP="00C80CA3">
            <w:pPr>
              <w:pStyle w:val="Tablecolhead"/>
            </w:pPr>
            <w:bookmarkStart w:id="3" w:name="_Hlk191989291"/>
            <w:bookmarkEnd w:id="1"/>
            <w:r w:rsidRPr="0088404D">
              <w:t>Indications for use</w:t>
            </w:r>
          </w:p>
        </w:tc>
        <w:tc>
          <w:tcPr>
            <w:tcW w:w="3549" w:type="dxa"/>
          </w:tcPr>
          <w:p w14:paraId="6FD2DCB2" w14:textId="77777777" w:rsidR="0018502F" w:rsidRDefault="0018502F" w:rsidP="00C80CA3">
            <w:pPr>
              <w:pStyle w:val="Tablecolhead"/>
              <w:rPr>
                <w:szCs w:val="18"/>
              </w:rPr>
            </w:pPr>
            <w:r w:rsidRPr="0088404D">
              <w:rPr>
                <w:szCs w:val="18"/>
              </w:rPr>
              <w:t>O RhD negative RBC</w:t>
            </w:r>
            <w:r>
              <w:rPr>
                <w:szCs w:val="18"/>
              </w:rPr>
              <w:t xml:space="preserve"> </w:t>
            </w:r>
          </w:p>
          <w:p w14:paraId="07697D72" w14:textId="77777777" w:rsidR="0018502F" w:rsidRPr="0088404D" w:rsidRDefault="0018502F" w:rsidP="00C80CA3">
            <w:pPr>
              <w:pStyle w:val="Tablecolhead"/>
            </w:pPr>
            <w:r>
              <w:rPr>
                <w:szCs w:val="18"/>
              </w:rPr>
              <w:t xml:space="preserve">Number </w:t>
            </w:r>
            <w:r w:rsidRPr="0088404D">
              <w:rPr>
                <w:szCs w:val="18"/>
              </w:rPr>
              <w:t>(%)</w:t>
            </w:r>
          </w:p>
        </w:tc>
      </w:tr>
      <w:tr w:rsidR="0018502F" w14:paraId="0E23D518" w14:textId="77777777" w:rsidTr="00C80CA3">
        <w:tc>
          <w:tcPr>
            <w:tcW w:w="5524" w:type="dxa"/>
          </w:tcPr>
          <w:p w14:paraId="5892F511" w14:textId="77777777" w:rsidR="0018502F" w:rsidRDefault="0018502F" w:rsidP="00C80CA3">
            <w:pPr>
              <w:pStyle w:val="Tabletext"/>
            </w:pPr>
            <w:r>
              <w:t>Within guidelines: Patient blood group O RhD negative</w:t>
            </w:r>
          </w:p>
        </w:tc>
        <w:tc>
          <w:tcPr>
            <w:tcW w:w="3549" w:type="dxa"/>
          </w:tcPr>
          <w:p w14:paraId="18D0679E" w14:textId="77777777" w:rsidR="0018502F" w:rsidRDefault="0018502F" w:rsidP="00C80CA3">
            <w:pPr>
              <w:pStyle w:val="Tabletext"/>
              <w:jc w:val="right"/>
            </w:pPr>
            <w:r>
              <w:t>898 (40)</w:t>
            </w:r>
          </w:p>
        </w:tc>
      </w:tr>
      <w:tr w:rsidR="0018502F" w14:paraId="3371BFEB" w14:textId="77777777" w:rsidTr="00C80CA3">
        <w:tc>
          <w:tcPr>
            <w:tcW w:w="5524" w:type="dxa"/>
          </w:tcPr>
          <w:p w14:paraId="0FB2B225" w14:textId="77777777" w:rsidR="0018502F" w:rsidRDefault="0018502F" w:rsidP="00C80CA3">
            <w:pPr>
              <w:pStyle w:val="Tabletext"/>
            </w:pPr>
            <w:r>
              <w:t>Within guidelines: Emergency use aligned to guidelines</w:t>
            </w:r>
          </w:p>
        </w:tc>
        <w:tc>
          <w:tcPr>
            <w:tcW w:w="3549" w:type="dxa"/>
          </w:tcPr>
          <w:p w14:paraId="5568E04D" w14:textId="77777777" w:rsidR="0018502F" w:rsidRDefault="0018502F" w:rsidP="00C80CA3">
            <w:pPr>
              <w:pStyle w:val="Tabletext"/>
              <w:jc w:val="right"/>
            </w:pPr>
            <w:r>
              <w:t>73 (3)</w:t>
            </w:r>
          </w:p>
        </w:tc>
      </w:tr>
      <w:tr w:rsidR="0018502F" w14:paraId="3150441F" w14:textId="77777777" w:rsidTr="00C80CA3">
        <w:tc>
          <w:tcPr>
            <w:tcW w:w="5524" w:type="dxa"/>
          </w:tcPr>
          <w:p w14:paraId="2DDC5AF6" w14:textId="77777777" w:rsidR="0018502F" w:rsidRDefault="0018502F" w:rsidP="00C80CA3">
            <w:pPr>
              <w:pStyle w:val="Tabletext"/>
            </w:pPr>
            <w:r>
              <w:t xml:space="preserve">Within guidelines: Phenotyped </w:t>
            </w:r>
          </w:p>
        </w:tc>
        <w:tc>
          <w:tcPr>
            <w:tcW w:w="3549" w:type="dxa"/>
          </w:tcPr>
          <w:p w14:paraId="799A58DE" w14:textId="77777777" w:rsidR="0018502F" w:rsidRDefault="0018502F" w:rsidP="00C80CA3">
            <w:pPr>
              <w:pStyle w:val="Tabletext"/>
              <w:jc w:val="right"/>
            </w:pPr>
            <w:r>
              <w:t>233 (10)</w:t>
            </w:r>
          </w:p>
        </w:tc>
      </w:tr>
      <w:tr w:rsidR="0018502F" w14:paraId="1BE11FAE" w14:textId="77777777" w:rsidTr="00C80CA3">
        <w:tc>
          <w:tcPr>
            <w:tcW w:w="5524" w:type="dxa"/>
          </w:tcPr>
          <w:p w14:paraId="6F521C52" w14:textId="77777777" w:rsidR="0018502F" w:rsidRDefault="0018502F" w:rsidP="00C80CA3">
            <w:pPr>
              <w:pStyle w:val="Tabletext"/>
            </w:pPr>
            <w:r>
              <w:t xml:space="preserve">Within guidelines: Other </w:t>
            </w:r>
          </w:p>
        </w:tc>
        <w:tc>
          <w:tcPr>
            <w:tcW w:w="3549" w:type="dxa"/>
          </w:tcPr>
          <w:p w14:paraId="3C15656F" w14:textId="77777777" w:rsidR="0018502F" w:rsidRDefault="0018502F" w:rsidP="00C80CA3">
            <w:pPr>
              <w:pStyle w:val="Tabletext"/>
              <w:jc w:val="right"/>
            </w:pPr>
            <w:r>
              <w:t>65 (3)</w:t>
            </w:r>
          </w:p>
        </w:tc>
      </w:tr>
      <w:tr w:rsidR="0018502F" w:rsidRPr="00F164B1" w14:paraId="2CD188ED" w14:textId="77777777" w:rsidTr="00C80CA3">
        <w:tc>
          <w:tcPr>
            <w:tcW w:w="5524" w:type="dxa"/>
            <w:shd w:val="clear" w:color="auto" w:fill="F2F2F2" w:themeFill="background1" w:themeFillShade="F2"/>
          </w:tcPr>
          <w:p w14:paraId="26890D36" w14:textId="77777777" w:rsidR="0018502F" w:rsidRPr="00A82F7D" w:rsidRDefault="0018502F" w:rsidP="00C80CA3">
            <w:pPr>
              <w:pStyle w:val="Tabletext"/>
              <w:rPr>
                <w:b/>
                <w:bCs/>
              </w:rPr>
            </w:pPr>
            <w:r w:rsidRPr="00A82F7D">
              <w:rPr>
                <w:b/>
                <w:bCs/>
              </w:rPr>
              <w:t>Total within guidelines</w:t>
            </w:r>
          </w:p>
        </w:tc>
        <w:tc>
          <w:tcPr>
            <w:tcW w:w="3549" w:type="dxa"/>
            <w:shd w:val="clear" w:color="auto" w:fill="F2F2F2" w:themeFill="background1" w:themeFillShade="F2"/>
          </w:tcPr>
          <w:p w14:paraId="72CC9087" w14:textId="77777777" w:rsidR="0018502F" w:rsidRPr="00A82F7D" w:rsidRDefault="0018502F" w:rsidP="00C80CA3">
            <w:pPr>
              <w:pStyle w:val="Tabletext"/>
              <w:jc w:val="right"/>
              <w:rPr>
                <w:b/>
                <w:bCs/>
              </w:rPr>
            </w:pPr>
            <w:r w:rsidRPr="00A82F7D">
              <w:rPr>
                <w:b/>
                <w:bCs/>
              </w:rPr>
              <w:t>1269 (57)</w:t>
            </w:r>
          </w:p>
        </w:tc>
      </w:tr>
      <w:tr w:rsidR="0018502F" w14:paraId="3DBD75B2" w14:textId="77777777" w:rsidTr="00C80CA3">
        <w:tc>
          <w:tcPr>
            <w:tcW w:w="5524" w:type="dxa"/>
          </w:tcPr>
          <w:p w14:paraId="7D7EA590" w14:textId="77777777" w:rsidR="0018502F" w:rsidRDefault="0018502F" w:rsidP="00C80CA3">
            <w:pPr>
              <w:pStyle w:val="Tabletext"/>
            </w:pPr>
            <w:r>
              <w:t>Outside guidelines: Emergency use in female patients &gt; 50 years and male patients &gt; 18 years)</w:t>
            </w:r>
          </w:p>
        </w:tc>
        <w:tc>
          <w:tcPr>
            <w:tcW w:w="3549" w:type="dxa"/>
          </w:tcPr>
          <w:p w14:paraId="7EA291BA" w14:textId="77777777" w:rsidR="0018502F" w:rsidRDefault="0018502F" w:rsidP="00C80CA3">
            <w:pPr>
              <w:pStyle w:val="Tabletext"/>
              <w:jc w:val="right"/>
            </w:pPr>
            <w:r>
              <w:t>200 (9)</w:t>
            </w:r>
          </w:p>
        </w:tc>
      </w:tr>
      <w:tr w:rsidR="0018502F" w14:paraId="668396E7" w14:textId="77777777" w:rsidTr="00C80CA3">
        <w:tc>
          <w:tcPr>
            <w:tcW w:w="5524" w:type="dxa"/>
          </w:tcPr>
          <w:p w14:paraId="28590183" w14:textId="77777777" w:rsidR="0018502F" w:rsidRDefault="0018502F" w:rsidP="00C80CA3">
            <w:pPr>
              <w:pStyle w:val="Tabletext"/>
            </w:pPr>
            <w:r>
              <w:t>Outside guidelines: Emergency use beyond four units of O RhD negative RBCs</w:t>
            </w:r>
          </w:p>
        </w:tc>
        <w:tc>
          <w:tcPr>
            <w:tcW w:w="3549" w:type="dxa"/>
          </w:tcPr>
          <w:p w14:paraId="799BBBE1" w14:textId="77777777" w:rsidR="0018502F" w:rsidRDefault="0018502F" w:rsidP="00C80CA3">
            <w:pPr>
              <w:pStyle w:val="Tabletext"/>
              <w:jc w:val="right"/>
            </w:pPr>
            <w:r>
              <w:t>8 (0.4)</w:t>
            </w:r>
          </w:p>
        </w:tc>
      </w:tr>
      <w:tr w:rsidR="0018502F" w14:paraId="424A24CE" w14:textId="77777777" w:rsidTr="00C80CA3">
        <w:tc>
          <w:tcPr>
            <w:tcW w:w="5524" w:type="dxa"/>
          </w:tcPr>
          <w:p w14:paraId="614118F9" w14:textId="77777777" w:rsidR="0018502F" w:rsidRDefault="0018502F" w:rsidP="00C80CA3">
            <w:pPr>
              <w:pStyle w:val="Tabletext"/>
            </w:pPr>
            <w:r>
              <w:t>Outside guidelines: Used to prevent expiry</w:t>
            </w:r>
          </w:p>
        </w:tc>
        <w:tc>
          <w:tcPr>
            <w:tcW w:w="3549" w:type="dxa"/>
          </w:tcPr>
          <w:p w14:paraId="1967E85E" w14:textId="77777777" w:rsidR="0018502F" w:rsidRDefault="0018502F" w:rsidP="00C80CA3">
            <w:pPr>
              <w:pStyle w:val="Tabletext"/>
              <w:jc w:val="right"/>
            </w:pPr>
            <w:r>
              <w:t>454 (20)</w:t>
            </w:r>
          </w:p>
        </w:tc>
      </w:tr>
      <w:tr w:rsidR="0018502F" w14:paraId="5294C7A2" w14:textId="77777777" w:rsidTr="00C80CA3">
        <w:tc>
          <w:tcPr>
            <w:tcW w:w="5524" w:type="dxa"/>
          </w:tcPr>
          <w:p w14:paraId="3172D7B1" w14:textId="77777777" w:rsidR="0018502F" w:rsidRDefault="0018502F" w:rsidP="00C80CA3">
            <w:pPr>
              <w:pStyle w:val="Tabletext"/>
            </w:pPr>
            <w:r>
              <w:t>Outside guidelines: Inventory (stock not held or insufficient stock of other blood groups)</w:t>
            </w:r>
          </w:p>
        </w:tc>
        <w:tc>
          <w:tcPr>
            <w:tcW w:w="3549" w:type="dxa"/>
          </w:tcPr>
          <w:p w14:paraId="1DC96783" w14:textId="77777777" w:rsidR="0018502F" w:rsidRDefault="0018502F" w:rsidP="00C80CA3">
            <w:pPr>
              <w:pStyle w:val="Tabletext"/>
              <w:jc w:val="right"/>
            </w:pPr>
            <w:r>
              <w:t>143 (6)</w:t>
            </w:r>
          </w:p>
        </w:tc>
      </w:tr>
      <w:tr w:rsidR="0018502F" w14:paraId="1040E86A" w14:textId="77777777" w:rsidTr="00C80CA3">
        <w:tc>
          <w:tcPr>
            <w:tcW w:w="5524" w:type="dxa"/>
          </w:tcPr>
          <w:p w14:paraId="30BB70C9" w14:textId="77777777" w:rsidR="0018502F" w:rsidRDefault="0018502F" w:rsidP="00C80CA3">
            <w:pPr>
              <w:pStyle w:val="Tabletext"/>
            </w:pPr>
            <w:r>
              <w:t>Outside guidelines: Other (including special requirements)</w:t>
            </w:r>
          </w:p>
        </w:tc>
        <w:tc>
          <w:tcPr>
            <w:tcW w:w="3549" w:type="dxa"/>
          </w:tcPr>
          <w:p w14:paraId="21E2AE2E" w14:textId="77777777" w:rsidR="0018502F" w:rsidRDefault="0018502F" w:rsidP="00C80CA3">
            <w:pPr>
              <w:pStyle w:val="Tabletext"/>
              <w:jc w:val="right"/>
            </w:pPr>
            <w:r>
              <w:t>95 (4)</w:t>
            </w:r>
          </w:p>
        </w:tc>
      </w:tr>
      <w:tr w:rsidR="0018502F" w:rsidRPr="00F164B1" w14:paraId="7C6C6981" w14:textId="77777777" w:rsidTr="00C80CA3">
        <w:tc>
          <w:tcPr>
            <w:tcW w:w="5524" w:type="dxa"/>
            <w:shd w:val="clear" w:color="auto" w:fill="F2F2F2" w:themeFill="background1" w:themeFillShade="F2"/>
          </w:tcPr>
          <w:p w14:paraId="2520EBD9" w14:textId="77777777" w:rsidR="0018502F" w:rsidRPr="00A82F7D" w:rsidRDefault="0018502F" w:rsidP="00C80CA3">
            <w:pPr>
              <w:pStyle w:val="Tabletext"/>
              <w:rPr>
                <w:b/>
                <w:bCs/>
              </w:rPr>
            </w:pPr>
            <w:r w:rsidRPr="00A82F7D">
              <w:rPr>
                <w:b/>
                <w:bCs/>
              </w:rPr>
              <w:t>Total outside guidelines</w:t>
            </w:r>
          </w:p>
        </w:tc>
        <w:tc>
          <w:tcPr>
            <w:tcW w:w="3549" w:type="dxa"/>
            <w:shd w:val="clear" w:color="auto" w:fill="F2F2F2" w:themeFill="background1" w:themeFillShade="F2"/>
          </w:tcPr>
          <w:p w14:paraId="7B04A64A" w14:textId="77777777" w:rsidR="0018502F" w:rsidRPr="00A82F7D" w:rsidRDefault="0018502F" w:rsidP="00C80CA3">
            <w:pPr>
              <w:pStyle w:val="Tabletext"/>
              <w:jc w:val="right"/>
              <w:rPr>
                <w:b/>
                <w:bCs/>
              </w:rPr>
            </w:pPr>
            <w:r w:rsidRPr="00A82F7D">
              <w:rPr>
                <w:b/>
                <w:bCs/>
              </w:rPr>
              <w:t>900 (41)</w:t>
            </w:r>
          </w:p>
        </w:tc>
      </w:tr>
      <w:tr w:rsidR="0018502F" w:rsidRPr="00F164B1" w14:paraId="6B8C94A5" w14:textId="77777777" w:rsidTr="00C80CA3">
        <w:tc>
          <w:tcPr>
            <w:tcW w:w="5524" w:type="dxa"/>
            <w:shd w:val="clear" w:color="auto" w:fill="F2F2F2" w:themeFill="background1" w:themeFillShade="F2"/>
          </w:tcPr>
          <w:p w14:paraId="6618672F" w14:textId="77777777" w:rsidR="0018502F" w:rsidRPr="004C18E5" w:rsidRDefault="0018502F" w:rsidP="00C80CA3">
            <w:pPr>
              <w:pStyle w:val="Tabletext"/>
              <w:rPr>
                <w:b/>
                <w:bCs/>
              </w:rPr>
            </w:pPr>
            <w:r w:rsidRPr="00A82F7D">
              <w:rPr>
                <w:b/>
                <w:bCs/>
              </w:rPr>
              <w:t>Total discarded</w:t>
            </w:r>
          </w:p>
        </w:tc>
        <w:tc>
          <w:tcPr>
            <w:tcW w:w="3549" w:type="dxa"/>
            <w:shd w:val="clear" w:color="auto" w:fill="F2F2F2" w:themeFill="background1" w:themeFillShade="F2"/>
          </w:tcPr>
          <w:p w14:paraId="513B5083" w14:textId="77777777" w:rsidR="0018502F" w:rsidRPr="004C18E5" w:rsidRDefault="0018502F" w:rsidP="00C80CA3">
            <w:pPr>
              <w:pStyle w:val="Tabletext"/>
              <w:jc w:val="right"/>
              <w:rPr>
                <w:b/>
                <w:bCs/>
              </w:rPr>
            </w:pPr>
            <w:r w:rsidRPr="00A82F7D">
              <w:rPr>
                <w:b/>
                <w:bCs/>
              </w:rPr>
              <w:t>51 (2)</w:t>
            </w:r>
          </w:p>
        </w:tc>
      </w:tr>
    </w:tbl>
    <w:bookmarkEnd w:id="2"/>
    <w:bookmarkEnd w:id="3"/>
    <w:p w14:paraId="73958762" w14:textId="77777777" w:rsidR="00066B36" w:rsidRPr="00EA6850" w:rsidRDefault="00066B36" w:rsidP="00066B36">
      <w:pPr>
        <w:pStyle w:val="Body"/>
        <w:spacing w:before="120"/>
        <w:rPr>
          <w:b/>
          <w:bCs/>
          <w:szCs w:val="21"/>
        </w:rPr>
      </w:pPr>
      <w:r w:rsidRPr="00EA6850">
        <w:rPr>
          <w:b/>
          <w:bCs/>
          <w:szCs w:val="21"/>
        </w:rPr>
        <w:t>Key recommendations</w:t>
      </w:r>
    </w:p>
    <w:p w14:paraId="4A77BEB3" w14:textId="77777777" w:rsidR="00066B36" w:rsidRPr="00EA6850" w:rsidRDefault="00066B36" w:rsidP="00066B36">
      <w:pPr>
        <w:pStyle w:val="Body"/>
        <w:numPr>
          <w:ilvl w:val="0"/>
          <w:numId w:val="48"/>
        </w:numPr>
        <w:rPr>
          <w:szCs w:val="21"/>
        </w:rPr>
      </w:pPr>
      <w:r w:rsidRPr="00EA6850">
        <w:rPr>
          <w:szCs w:val="21"/>
        </w:rPr>
        <w:t xml:space="preserve">Blood Matters recommends that health services and transfusion laboratories review the report, together with their individual and comparative data. </w:t>
      </w:r>
    </w:p>
    <w:p w14:paraId="6EDBBBDB" w14:textId="642CB7F6" w:rsidR="00066B36" w:rsidRPr="00EA6850" w:rsidRDefault="00066B36" w:rsidP="00066B36">
      <w:pPr>
        <w:pStyle w:val="Body"/>
        <w:numPr>
          <w:ilvl w:val="0"/>
          <w:numId w:val="48"/>
        </w:numPr>
        <w:rPr>
          <w:szCs w:val="21"/>
        </w:rPr>
      </w:pPr>
      <w:r w:rsidRPr="00EA6850">
        <w:rPr>
          <w:szCs w:val="21"/>
        </w:rPr>
        <w:t xml:space="preserve">Health services and transfusion laboratories should review their policies and practices and incorporate the guidance in the National Statement </w:t>
      </w:r>
      <w:r w:rsidR="00D4202F" w:rsidRPr="00D4202F">
        <w:rPr>
          <w:szCs w:val="21"/>
        </w:rPr>
        <w:t>for the Emergency Use of Group O RBC</w:t>
      </w:r>
      <w:r w:rsidR="00D4202F">
        <w:rPr>
          <w:szCs w:val="21"/>
        </w:rPr>
        <w:t xml:space="preserve"> </w:t>
      </w:r>
      <w:r w:rsidRPr="00EA6850">
        <w:rPr>
          <w:szCs w:val="21"/>
        </w:rPr>
        <w:t>where appropriate.</w:t>
      </w:r>
    </w:p>
    <w:p w14:paraId="7EC2B0CC" w14:textId="77777777" w:rsidR="00066B36" w:rsidRPr="00EA6850" w:rsidRDefault="00066B36" w:rsidP="00066B36">
      <w:pPr>
        <w:pStyle w:val="Body"/>
        <w:numPr>
          <w:ilvl w:val="0"/>
          <w:numId w:val="48"/>
        </w:numPr>
        <w:rPr>
          <w:szCs w:val="21"/>
        </w:rPr>
      </w:pPr>
      <w:r w:rsidRPr="00EA6850">
        <w:rPr>
          <w:szCs w:val="21"/>
        </w:rPr>
        <w:t>Health services should work with their local blood management/transfusion committee to implement the recommendations and support alignment with best practice guidelines.</w:t>
      </w:r>
    </w:p>
    <w:p w14:paraId="0E058636" w14:textId="61EBE61E" w:rsidR="00066B36" w:rsidRPr="00EA6850" w:rsidRDefault="00066B36" w:rsidP="00066B36">
      <w:pPr>
        <w:pStyle w:val="Body"/>
        <w:numPr>
          <w:ilvl w:val="0"/>
          <w:numId w:val="48"/>
        </w:numPr>
        <w:rPr>
          <w:szCs w:val="21"/>
        </w:rPr>
      </w:pPr>
      <w:r w:rsidRPr="00EA6850">
        <w:rPr>
          <w:szCs w:val="21"/>
        </w:rPr>
        <w:t>RBC inventory should reflect local ABO blood group</w:t>
      </w:r>
      <w:r w:rsidR="00852595">
        <w:rPr>
          <w:szCs w:val="21"/>
        </w:rPr>
        <w:t xml:space="preserve"> demographic</w:t>
      </w:r>
      <w:r w:rsidRPr="00EA6850">
        <w:rPr>
          <w:szCs w:val="21"/>
        </w:rPr>
        <w:t xml:space="preserve"> distribution to meet clinical need whilst maintaining appropriate levels to minimise time expiry, with regular review.</w:t>
      </w:r>
    </w:p>
    <w:p w14:paraId="04FA8217" w14:textId="1B795DA9" w:rsidR="00066B36" w:rsidRPr="00EA6850" w:rsidRDefault="00C3437D" w:rsidP="00066B36">
      <w:pPr>
        <w:pStyle w:val="Body"/>
        <w:rPr>
          <w:b/>
          <w:bCs/>
          <w:szCs w:val="21"/>
        </w:rPr>
      </w:pPr>
      <w:r>
        <w:rPr>
          <w:b/>
          <w:bCs/>
          <w:szCs w:val="21"/>
        </w:rPr>
        <w:t>Read</w:t>
      </w:r>
      <w:r w:rsidR="00066B36" w:rsidRPr="00EA6850">
        <w:rPr>
          <w:b/>
          <w:bCs/>
          <w:szCs w:val="21"/>
        </w:rPr>
        <w:t xml:space="preserve"> the full report for further results and all recommendations.</w:t>
      </w:r>
    </w:p>
    <w:p w14:paraId="64D60002" w14:textId="77777777" w:rsidR="00066B36" w:rsidRDefault="00066B36" w:rsidP="00371551">
      <w:pPr>
        <w:pStyle w:val="Body"/>
        <w:rPr>
          <w:szCs w:val="21"/>
        </w:rPr>
      </w:pPr>
    </w:p>
    <w:p w14:paraId="62AEC72F" w14:textId="23AD91FB" w:rsidR="00187777" w:rsidRPr="00715E01" w:rsidRDefault="00187777" w:rsidP="00187777">
      <w:pPr>
        <w:pStyle w:val="Heading2"/>
      </w:pPr>
      <w:r w:rsidRPr="00715E01">
        <w:lastRenderedPageBreak/>
        <w:t>Transfusion Laboratory Essentials: new module released</w:t>
      </w:r>
    </w:p>
    <w:p w14:paraId="661C3EBF" w14:textId="54C60095" w:rsidR="00187777" w:rsidRDefault="00187777" w:rsidP="00187777">
      <w:pPr>
        <w:pStyle w:val="Body"/>
      </w:pPr>
      <w:r>
        <w:rPr>
          <w:noProof/>
        </w:rPr>
        <w:drawing>
          <wp:anchor distT="0" distB="0" distL="114300" distR="114300" simplePos="0" relativeHeight="251675648" behindDoc="0" locked="0" layoutInCell="1" allowOverlap="1" wp14:anchorId="2BAF55F4" wp14:editId="24BAF041">
            <wp:simplePos x="0" y="0"/>
            <wp:positionH relativeFrom="column">
              <wp:posOffset>3141345</wp:posOffset>
            </wp:positionH>
            <wp:positionV relativeFrom="paragraph">
              <wp:posOffset>51435</wp:posOffset>
            </wp:positionV>
            <wp:extent cx="3515360" cy="1969770"/>
            <wp:effectExtent l="19050" t="19050" r="27940" b="11430"/>
            <wp:wrapThrough wrapText="bothSides">
              <wp:wrapPolygon edited="0">
                <wp:start x="-117" y="-209"/>
                <wp:lineTo x="-117" y="21516"/>
                <wp:lineTo x="21655" y="21516"/>
                <wp:lineTo x="21655" y="-209"/>
                <wp:lineTo x="-117" y="-209"/>
              </wp:wrapPolygon>
            </wp:wrapThrough>
            <wp:docPr id="1418332773" name="Picture 1" descr="Screenshot of Lifeblood's Transfusion laboratory essentials new module: Welcome to Antibody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32773" name="Picture 1" descr="Screenshot of Lifeblood's Transfusion laboratory essentials new module: Welcome to Antibody Investigations"/>
                    <pic:cNvPicPr/>
                  </pic:nvPicPr>
                  <pic:blipFill>
                    <a:blip r:embed="rId18"/>
                    <a:stretch>
                      <a:fillRect/>
                    </a:stretch>
                  </pic:blipFill>
                  <pic:spPr>
                    <a:xfrm>
                      <a:off x="0" y="0"/>
                      <a:ext cx="3515360" cy="19697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Lifeblood’s Clinical Education Team have released their latest module in their </w:t>
      </w:r>
      <w:hyperlink r:id="rId19" w:history="1">
        <w:r w:rsidRPr="00715E01">
          <w:rPr>
            <w:rStyle w:val="Hyperlink"/>
          </w:rPr>
          <w:t>Transfusion Laboratory Essentials (TLE) course: Antibody investigations</w:t>
        </w:r>
      </w:hyperlink>
      <w:r>
        <w:rPr>
          <w:rStyle w:val="FootnoteReference"/>
        </w:rPr>
        <w:footnoteReference w:id="2"/>
      </w:r>
      <w:r>
        <w:t xml:space="preserve">. While it’s designed for early career scientists, the modules are an accessible learning tool or refresher for all transfusion scientists. </w:t>
      </w:r>
    </w:p>
    <w:p w14:paraId="64A01C12" w14:textId="77777777" w:rsidR="00187777" w:rsidRDefault="00187777" w:rsidP="00187777">
      <w:pPr>
        <w:pStyle w:val="Body"/>
      </w:pPr>
      <w:r>
        <w:t xml:space="preserve">This module introduces learners to all aspects of conducting antibody investigations, featuring comprehensive lessons, interactive activities, and practical case studies to ensure a thorough understanding of the subject. </w:t>
      </w:r>
    </w:p>
    <w:p w14:paraId="6D61D3F3" w14:textId="77777777" w:rsidR="00187777" w:rsidRDefault="00187777" w:rsidP="00187777">
      <w:pPr>
        <w:pStyle w:val="Body"/>
      </w:pPr>
      <w:r>
        <w:t>Key Features:</w:t>
      </w:r>
    </w:p>
    <w:p w14:paraId="5D0D0351" w14:textId="77777777" w:rsidR="00187777" w:rsidRDefault="00187777" w:rsidP="00187777">
      <w:pPr>
        <w:pStyle w:val="Body"/>
        <w:numPr>
          <w:ilvl w:val="0"/>
          <w:numId w:val="50"/>
        </w:numPr>
        <w:spacing w:after="60"/>
        <w:ind w:left="567" w:hanging="425"/>
      </w:pPr>
      <w:r>
        <w:t>In-depth explanations of antibody investigation techniques, with a guided video on the exclusion process</w:t>
      </w:r>
    </w:p>
    <w:p w14:paraId="574525F2" w14:textId="77777777" w:rsidR="00187777" w:rsidRDefault="00187777" w:rsidP="00187777">
      <w:pPr>
        <w:pStyle w:val="Body"/>
        <w:numPr>
          <w:ilvl w:val="0"/>
          <w:numId w:val="50"/>
        </w:numPr>
        <w:spacing w:after="60"/>
        <w:ind w:left="567" w:hanging="425"/>
      </w:pPr>
      <w:r>
        <w:t>Clear guidance on interpreting antibody panels</w:t>
      </w:r>
    </w:p>
    <w:p w14:paraId="12CDA7DB" w14:textId="77777777" w:rsidR="00187777" w:rsidRDefault="00187777" w:rsidP="00187777">
      <w:pPr>
        <w:pStyle w:val="Body"/>
        <w:numPr>
          <w:ilvl w:val="0"/>
          <w:numId w:val="50"/>
        </w:numPr>
        <w:spacing w:after="60"/>
        <w:ind w:left="567" w:hanging="425"/>
      </w:pPr>
      <w:r>
        <w:t>Interactive quizzes to test your knowledge</w:t>
      </w:r>
    </w:p>
    <w:p w14:paraId="76AD4875" w14:textId="77777777" w:rsidR="00187777" w:rsidRDefault="00187777" w:rsidP="00187777">
      <w:pPr>
        <w:pStyle w:val="Body"/>
        <w:numPr>
          <w:ilvl w:val="0"/>
          <w:numId w:val="50"/>
        </w:numPr>
        <w:spacing w:after="60"/>
        <w:ind w:left="567" w:hanging="425"/>
      </w:pPr>
      <w:r>
        <w:t>Real-world case studies for practical application</w:t>
      </w:r>
    </w:p>
    <w:p w14:paraId="70C1B0C7" w14:textId="77777777" w:rsidR="00187777" w:rsidRDefault="00187777" w:rsidP="00187777">
      <w:pPr>
        <w:pStyle w:val="Body"/>
        <w:numPr>
          <w:ilvl w:val="0"/>
          <w:numId w:val="50"/>
        </w:numPr>
        <w:spacing w:after="60"/>
        <w:ind w:left="567" w:hanging="425"/>
      </w:pPr>
      <w:r>
        <w:t>Expert insights, helpful tips, and downloadable resources</w:t>
      </w:r>
    </w:p>
    <w:p w14:paraId="51A7C14C" w14:textId="77777777" w:rsidR="00187777" w:rsidRDefault="00187777" w:rsidP="00187777">
      <w:pPr>
        <w:pStyle w:val="Body"/>
      </w:pPr>
      <w:r>
        <w:t>Take the time to explore this exciting new module and take full advantage of the Clinical Education Team’s resources available to support your own or your team members' learning and professional development.</w:t>
      </w:r>
    </w:p>
    <w:p w14:paraId="587BEAEF" w14:textId="087ADD35" w:rsidR="00371551" w:rsidRPr="0018502F" w:rsidRDefault="005466D0" w:rsidP="0018502F">
      <w:pPr>
        <w:pStyle w:val="Heading2"/>
        <w:rPr>
          <w:rFonts w:eastAsia="Times"/>
        </w:rPr>
      </w:pPr>
      <w:r>
        <w:rPr>
          <w:noProof/>
        </w:rPr>
        <w:drawing>
          <wp:anchor distT="0" distB="0" distL="114300" distR="114300" simplePos="0" relativeHeight="251676672" behindDoc="1" locked="0" layoutInCell="1" allowOverlap="1" wp14:anchorId="5FAD1CDF" wp14:editId="4A80DEBF">
            <wp:simplePos x="0" y="0"/>
            <wp:positionH relativeFrom="column">
              <wp:posOffset>-6985</wp:posOffset>
            </wp:positionH>
            <wp:positionV relativeFrom="paragraph">
              <wp:posOffset>366395</wp:posOffset>
            </wp:positionV>
            <wp:extent cx="4053205" cy="2068195"/>
            <wp:effectExtent l="19050" t="19050" r="23495" b="27305"/>
            <wp:wrapThrough wrapText="bothSides">
              <wp:wrapPolygon edited="0">
                <wp:start x="-102" y="-199"/>
                <wp:lineTo x="-102" y="21686"/>
                <wp:lineTo x="21624" y="21686"/>
                <wp:lineTo x="21624" y="-199"/>
                <wp:lineTo x="-102" y="-199"/>
              </wp:wrapPolygon>
            </wp:wrapThrough>
            <wp:docPr id="688353273" name="Picture 1" descr="Screen shot of Lifeblood Plasma Pathway webpage: &quot;More people can now save liv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53273" name="Picture 1" descr="Screen shot of Lifeblood Plasma Pathway webpage: &quot;More people can now save lives&quot; "/>
                    <pic:cNvPicPr/>
                  </pic:nvPicPr>
                  <pic:blipFill rotWithShape="1">
                    <a:blip r:embed="rId20"/>
                    <a:srcRect l="2166" t="-12" b="12"/>
                    <a:stretch>
                      <a:fillRect/>
                    </a:stretch>
                  </pic:blipFill>
                  <pic:spPr bwMode="auto">
                    <a:xfrm>
                      <a:off x="0" y="0"/>
                      <a:ext cx="4053205" cy="20681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551" w:rsidRPr="0018502F">
        <w:rPr>
          <w:rFonts w:eastAsia="Times"/>
        </w:rPr>
        <w:t>Changes to eligibility criteria for donating plasma for fractionation</w:t>
      </w:r>
    </w:p>
    <w:p w14:paraId="59EA8D61" w14:textId="059D8EC5" w:rsidR="00187777" w:rsidRDefault="0018502F" w:rsidP="00371551">
      <w:pPr>
        <w:pStyle w:val="Body"/>
        <w:rPr>
          <w:szCs w:val="21"/>
        </w:rPr>
      </w:pPr>
      <w:r>
        <w:rPr>
          <w:szCs w:val="21"/>
        </w:rPr>
        <w:t>The</w:t>
      </w:r>
      <w:r w:rsidR="00371551" w:rsidRPr="00371551">
        <w:rPr>
          <w:szCs w:val="21"/>
        </w:rPr>
        <w:t xml:space="preserve"> donor eligibility criteria for donating plasma for fractionation no longer include</w:t>
      </w:r>
      <w:r>
        <w:rPr>
          <w:szCs w:val="21"/>
        </w:rPr>
        <w:t>s</w:t>
      </w:r>
      <w:r w:rsidR="00371551" w:rsidRPr="00371551">
        <w:rPr>
          <w:szCs w:val="21"/>
        </w:rPr>
        <w:t xml:space="preserve"> deferral periods for many sexual activities and/or the use of Pre-Exposure Prophylaxis treatment (</w:t>
      </w:r>
      <w:proofErr w:type="spellStart"/>
      <w:r w:rsidR="00371551" w:rsidRPr="00371551">
        <w:rPr>
          <w:szCs w:val="21"/>
        </w:rPr>
        <w:t>PrEP</w:t>
      </w:r>
      <w:proofErr w:type="spellEnd"/>
      <w:r w:rsidR="00371551" w:rsidRPr="00371551">
        <w:rPr>
          <w:szCs w:val="21"/>
        </w:rPr>
        <w:t>).</w:t>
      </w:r>
    </w:p>
    <w:p w14:paraId="5CD99D8E" w14:textId="637CD4BE" w:rsidR="0018502F" w:rsidRDefault="00187777" w:rsidP="00371551">
      <w:pPr>
        <w:pStyle w:val="Body"/>
        <w:rPr>
          <w:szCs w:val="21"/>
        </w:rPr>
      </w:pPr>
      <w:r w:rsidRPr="00187777">
        <w:rPr>
          <w:noProof/>
        </w:rPr>
        <mc:AlternateContent>
          <mc:Choice Requires="wps">
            <w:drawing>
              <wp:anchor distT="45720" distB="45720" distL="114300" distR="114300" simplePos="0" relativeHeight="251678720" behindDoc="1" locked="0" layoutInCell="1" allowOverlap="1" wp14:anchorId="3165E865" wp14:editId="01ABADEC">
                <wp:simplePos x="0" y="0"/>
                <wp:positionH relativeFrom="column">
                  <wp:posOffset>-8890</wp:posOffset>
                </wp:positionH>
                <wp:positionV relativeFrom="paragraph">
                  <wp:posOffset>1120152</wp:posOffset>
                </wp:positionV>
                <wp:extent cx="20478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14:paraId="47229888" w14:textId="2FED3D3B" w:rsidR="00187777" w:rsidRPr="00187777" w:rsidRDefault="00187777">
                            <w:pPr>
                              <w:rPr>
                                <w:rFonts w:ascii="Arial" w:hAnsi="Arial" w:cs="Arial"/>
                                <w:sz w:val="18"/>
                                <w:szCs w:val="18"/>
                              </w:rPr>
                            </w:pPr>
                            <w:r w:rsidRPr="00187777">
                              <w:rPr>
                                <w:rFonts w:ascii="Arial" w:hAnsi="Arial" w:cs="Arial"/>
                                <w:sz w:val="18"/>
                                <w:szCs w:val="18"/>
                              </w:rPr>
                              <w:t>&lt;https://www.lifeblood.com.au/&gt;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65E865" id="_x0000_t202" coordsize="21600,21600" o:spt="202" path="m,l,21600r21600,l21600,xe">
                <v:stroke joinstyle="miter"/>
                <v:path gradientshapeok="t" o:connecttype="rect"/>
              </v:shapetype>
              <v:shape id="Text Box 2" o:spid="_x0000_s1026" type="#_x0000_t202" style="position:absolute;margin-left:-.7pt;margin-top:88.2pt;width:161.25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eaDgIAAPcDAAAOAAAAZHJzL2Uyb0RvYy54bWysU9tu2zAMfR+wfxD0vtgJkiY14hRdugwD&#10;ugvQ7QNkWY6FyaJGKbGzrx8lp2nQvQ3Tg0CK1BF5eLS+GzrDjgq9Blvy6STnTFkJtbb7kv/4vnu3&#10;4s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" stroked="f">
                <v:textbox style="mso-fit-shape-to-text:t">
                  <w:txbxContent>
                    <w:p w14:paraId="47229888" w14:textId="2FED3D3B" w:rsidR="00187777" w:rsidRPr="00187777" w:rsidRDefault="00187777">
                      <w:pPr>
                        <w:rPr>
                          <w:rFonts w:ascii="Arial" w:hAnsi="Arial" w:cs="Arial"/>
                          <w:sz w:val="18"/>
                          <w:szCs w:val="18"/>
                        </w:rPr>
                      </w:pPr>
                      <w:r w:rsidRPr="00187777">
                        <w:rPr>
                          <w:rFonts w:ascii="Arial" w:hAnsi="Arial" w:cs="Arial"/>
                          <w:sz w:val="18"/>
                          <w:szCs w:val="18"/>
                        </w:rPr>
                        <w:t>&lt;https://www.lifeblood.com.au/&gt;</w:t>
                      </w:r>
                    </w:p>
                  </w:txbxContent>
                </v:textbox>
              </v:shape>
            </w:pict>
          </mc:Fallback>
        </mc:AlternateContent>
      </w:r>
      <w:r w:rsidR="00371551" w:rsidRPr="00371551">
        <w:rPr>
          <w:szCs w:val="21"/>
        </w:rPr>
        <w:t xml:space="preserve">This means gay and bisexual men, more transgender people, sex workers, people who have engaged a sex worker, and anyone who takes </w:t>
      </w:r>
      <w:proofErr w:type="spellStart"/>
      <w:r w:rsidR="00371551" w:rsidRPr="00371551">
        <w:rPr>
          <w:szCs w:val="21"/>
        </w:rPr>
        <w:t>PrEP</w:t>
      </w:r>
      <w:proofErr w:type="spellEnd"/>
      <w:r w:rsidR="00371551" w:rsidRPr="00371551">
        <w:rPr>
          <w:szCs w:val="21"/>
        </w:rPr>
        <w:t xml:space="preserve">, will be able to donate plasma without a wait period - providing they meet all other eligibility criteria. </w:t>
      </w:r>
    </w:p>
    <w:p w14:paraId="3CF45391" w14:textId="3F149CAE" w:rsidR="00371551" w:rsidRPr="00371551" w:rsidRDefault="00371551" w:rsidP="00187777">
      <w:pPr>
        <w:pStyle w:val="Body"/>
        <w:spacing w:before="240"/>
        <w:rPr>
          <w:b/>
          <w:bCs/>
          <w:szCs w:val="21"/>
        </w:rPr>
      </w:pPr>
      <w:r w:rsidRPr="00371551">
        <w:rPr>
          <w:szCs w:val="21"/>
        </w:rPr>
        <w:t xml:space="preserve">This change to eligibility criteria, known as the </w:t>
      </w:r>
      <w:r w:rsidRPr="00187777">
        <w:rPr>
          <w:b/>
          <w:bCs/>
          <w:szCs w:val="21"/>
        </w:rPr>
        <w:t>‘plasma pathway’</w:t>
      </w:r>
      <w:r w:rsidRPr="00371551">
        <w:rPr>
          <w:szCs w:val="21"/>
        </w:rPr>
        <w:t>, was approved by the TGA in 2023 and is being implemented in agreement with the National Blood Authority, CSL Behring, and governments who have legal responsibility for the donor questionnaire in their jurisdictions.</w:t>
      </w:r>
    </w:p>
    <w:p w14:paraId="0436BD8B" w14:textId="237E482C" w:rsidR="00371551" w:rsidRPr="00371551" w:rsidRDefault="00371551" w:rsidP="00371551">
      <w:pPr>
        <w:pStyle w:val="Body"/>
        <w:rPr>
          <w:szCs w:val="21"/>
        </w:rPr>
      </w:pPr>
      <w:r w:rsidRPr="00371551">
        <w:rPr>
          <w:szCs w:val="21"/>
        </w:rPr>
        <w:t xml:space="preserve">These changes to our donor eligibility criteria will enable the greatest number of people to donate plasma without compromising the safety of the blood supply. </w:t>
      </w:r>
    </w:p>
    <w:p w14:paraId="43122522" w14:textId="49F8983A" w:rsidR="00371551" w:rsidRPr="00371551" w:rsidRDefault="0018502F" w:rsidP="00371551">
      <w:pPr>
        <w:pStyle w:val="Body"/>
        <w:rPr>
          <w:szCs w:val="21"/>
        </w:rPr>
      </w:pPr>
      <w:r>
        <w:rPr>
          <w:szCs w:val="21"/>
        </w:rPr>
        <w:t>P</w:t>
      </w:r>
      <w:r w:rsidR="00371551" w:rsidRPr="00371551">
        <w:rPr>
          <w:szCs w:val="21"/>
        </w:rPr>
        <w:t>lease refer to the attached letter for complete details and share this communication with relevant stakeholders in your organisation.</w:t>
      </w:r>
    </w:p>
    <w:p w14:paraId="39279802" w14:textId="77777777" w:rsidR="00187777" w:rsidRPr="00371551" w:rsidRDefault="00187777" w:rsidP="00187777">
      <w:pPr>
        <w:pStyle w:val="Heading2"/>
        <w:rPr>
          <w:rFonts w:eastAsia="Times"/>
        </w:rPr>
      </w:pPr>
      <w:r w:rsidRPr="0018502F">
        <w:rPr>
          <w:rFonts w:eastAsia="Times"/>
        </w:rPr>
        <w:lastRenderedPageBreak/>
        <w:t>Changes to Alburex storage temperature requirements</w:t>
      </w:r>
    </w:p>
    <w:p w14:paraId="3EFF56D9" w14:textId="77777777" w:rsidR="00187777" w:rsidRPr="00371551" w:rsidRDefault="00187777" w:rsidP="005466D0">
      <w:pPr>
        <w:pStyle w:val="Body"/>
        <w:spacing w:after="0"/>
        <w:rPr>
          <w:szCs w:val="21"/>
        </w:rPr>
      </w:pPr>
      <w:r w:rsidRPr="00371551">
        <w:rPr>
          <w:szCs w:val="21"/>
        </w:rPr>
        <w:t xml:space="preserve">CSL Behring has changed the storage temperature requirements of Alburex AU products: </w:t>
      </w:r>
    </w:p>
    <w:p w14:paraId="64B39FAB" w14:textId="77777777" w:rsidR="00187777" w:rsidRPr="00371551" w:rsidRDefault="00187777" w:rsidP="005466D0">
      <w:pPr>
        <w:pStyle w:val="Body"/>
        <w:numPr>
          <w:ilvl w:val="0"/>
          <w:numId w:val="44"/>
        </w:numPr>
        <w:spacing w:after="0"/>
        <w:rPr>
          <w:szCs w:val="21"/>
        </w:rPr>
      </w:pPr>
      <w:r>
        <w:rPr>
          <w:szCs w:val="21"/>
        </w:rPr>
        <w:t>FROM:</w:t>
      </w:r>
      <w:r w:rsidRPr="00371551">
        <w:rPr>
          <w:szCs w:val="21"/>
        </w:rPr>
        <w:t xml:space="preserve"> store below +25°C (Do not freeze) </w:t>
      </w:r>
    </w:p>
    <w:p w14:paraId="5A013EFB" w14:textId="77777777" w:rsidR="00187777" w:rsidRPr="00371551" w:rsidRDefault="00187777" w:rsidP="005466D0">
      <w:pPr>
        <w:pStyle w:val="Body"/>
        <w:numPr>
          <w:ilvl w:val="0"/>
          <w:numId w:val="44"/>
        </w:numPr>
        <w:spacing w:after="0"/>
        <w:rPr>
          <w:szCs w:val="21"/>
        </w:rPr>
      </w:pPr>
      <w:r>
        <w:rPr>
          <w:szCs w:val="21"/>
        </w:rPr>
        <w:t>TO:</w:t>
      </w:r>
      <w:r w:rsidRPr="00371551">
        <w:rPr>
          <w:szCs w:val="21"/>
        </w:rPr>
        <w:t xml:space="preserve"> store below </w:t>
      </w:r>
      <w:r w:rsidRPr="00371551">
        <w:rPr>
          <w:b/>
          <w:bCs/>
          <w:szCs w:val="21"/>
        </w:rPr>
        <w:t xml:space="preserve">+30°C </w:t>
      </w:r>
      <w:r w:rsidRPr="00371551">
        <w:rPr>
          <w:szCs w:val="21"/>
        </w:rPr>
        <w:t xml:space="preserve">(Do not freeze). </w:t>
      </w:r>
    </w:p>
    <w:p w14:paraId="6F16AE82" w14:textId="77777777" w:rsidR="00D4202F" w:rsidRDefault="00D4202F" w:rsidP="00D4202F">
      <w:pPr>
        <w:pStyle w:val="Body"/>
        <w:spacing w:before="120"/>
        <w:rPr>
          <w:szCs w:val="21"/>
        </w:rPr>
      </w:pPr>
      <w:r w:rsidRPr="00371551">
        <w:rPr>
          <w:szCs w:val="21"/>
        </w:rPr>
        <w:t xml:space="preserve">A letter from Australian Red Cross Lifeblood, providing further details is attached </w:t>
      </w:r>
      <w:r>
        <w:rPr>
          <w:szCs w:val="21"/>
        </w:rPr>
        <w:t>for your reference.</w:t>
      </w:r>
    </w:p>
    <w:p w14:paraId="7CDA178B" w14:textId="77777777" w:rsidR="00187777" w:rsidRPr="00371551" w:rsidRDefault="00187777" w:rsidP="005466D0">
      <w:pPr>
        <w:pStyle w:val="Body"/>
        <w:spacing w:before="120" w:after="0"/>
        <w:rPr>
          <w:szCs w:val="21"/>
        </w:rPr>
      </w:pPr>
      <w:r w:rsidRPr="00371551">
        <w:rPr>
          <w:szCs w:val="21"/>
        </w:rPr>
        <w:t xml:space="preserve">See the Product Information for details of the update: </w:t>
      </w:r>
    </w:p>
    <w:p w14:paraId="55C63312" w14:textId="77777777" w:rsidR="00187777" w:rsidRPr="00371551" w:rsidRDefault="00187777" w:rsidP="005466D0">
      <w:pPr>
        <w:pStyle w:val="Body"/>
        <w:spacing w:after="0"/>
        <w:rPr>
          <w:szCs w:val="21"/>
        </w:rPr>
      </w:pPr>
      <w:hyperlink r:id="rId21" w:history="1">
        <w:r w:rsidRPr="00371551">
          <w:rPr>
            <w:rStyle w:val="Hyperlink"/>
            <w:szCs w:val="21"/>
          </w:rPr>
          <w:t>Alburex® 5 AU – 250 mL and 500 mL</w:t>
        </w:r>
      </w:hyperlink>
      <w:r>
        <w:rPr>
          <w:rStyle w:val="FootnoteReference"/>
        </w:rPr>
        <w:footnoteReference w:id="3"/>
      </w:r>
      <w:r w:rsidRPr="00371551">
        <w:rPr>
          <w:szCs w:val="21"/>
        </w:rPr>
        <w:t xml:space="preserve"> </w:t>
      </w:r>
    </w:p>
    <w:p w14:paraId="2FA211E1" w14:textId="77777777" w:rsidR="00187777" w:rsidRPr="00371551" w:rsidRDefault="00187777" w:rsidP="005466D0">
      <w:pPr>
        <w:pStyle w:val="Body"/>
        <w:spacing w:after="0"/>
        <w:rPr>
          <w:szCs w:val="21"/>
        </w:rPr>
      </w:pPr>
      <w:hyperlink r:id="rId22" w:history="1">
        <w:r w:rsidRPr="00371551">
          <w:rPr>
            <w:rStyle w:val="Hyperlink"/>
            <w:szCs w:val="21"/>
          </w:rPr>
          <w:t>Alburex® 20 AU – 50 mL and 100 mL</w:t>
        </w:r>
      </w:hyperlink>
      <w:r>
        <w:rPr>
          <w:rStyle w:val="FootnoteReference"/>
        </w:rPr>
        <w:footnoteReference w:id="4"/>
      </w:r>
      <w:r w:rsidRPr="00371551">
        <w:rPr>
          <w:szCs w:val="21"/>
        </w:rPr>
        <w:t xml:space="preserve"> </w:t>
      </w:r>
    </w:p>
    <w:p w14:paraId="21431B39" w14:textId="77777777" w:rsidR="00187777" w:rsidRPr="00371551" w:rsidRDefault="00187777" w:rsidP="00187777">
      <w:pPr>
        <w:pStyle w:val="Heading2"/>
        <w:rPr>
          <w:rFonts w:eastAsia="Times"/>
        </w:rPr>
      </w:pPr>
      <w:r w:rsidRPr="0018502F">
        <w:rPr>
          <w:rFonts w:eastAsia="Times"/>
        </w:rPr>
        <w:t>Practical advice on the appropriate use of platelets</w:t>
      </w:r>
    </w:p>
    <w:p w14:paraId="26782084" w14:textId="77777777" w:rsidR="00187777" w:rsidRDefault="00187777" w:rsidP="00187777">
      <w:pPr>
        <w:pStyle w:val="Body"/>
        <w:rPr>
          <w:szCs w:val="21"/>
        </w:rPr>
      </w:pPr>
      <w:r w:rsidRPr="00371551">
        <w:rPr>
          <w:szCs w:val="21"/>
        </w:rPr>
        <w:t>The </w:t>
      </w:r>
      <w:r w:rsidRPr="00066B36">
        <w:rPr>
          <w:szCs w:val="21"/>
        </w:rPr>
        <w:t>Association for the Advancement of Blood &amp; Biotherapies (AABB)</w:t>
      </w:r>
      <w:r w:rsidRPr="00371551">
        <w:rPr>
          <w:szCs w:val="21"/>
        </w:rPr>
        <w:t xml:space="preserve"> in partnership with the </w:t>
      </w:r>
      <w:r w:rsidRPr="00066B36">
        <w:rPr>
          <w:szCs w:val="21"/>
        </w:rPr>
        <w:t>International Collaboration for Transfusion Medicine Guidelines (ICTMG)</w:t>
      </w:r>
      <w:r w:rsidRPr="00371551">
        <w:rPr>
          <w:szCs w:val="21"/>
        </w:rPr>
        <w:t xml:space="preserve"> have published a new set of </w:t>
      </w:r>
      <w:r w:rsidRPr="00066B36">
        <w:rPr>
          <w:szCs w:val="21"/>
        </w:rPr>
        <w:t>platelet transfusion guidelines</w:t>
      </w:r>
      <w:r w:rsidRPr="00371551">
        <w:rPr>
          <w:szCs w:val="21"/>
        </w:rPr>
        <w:t>, with practical advice on the appropriate use of platelets in various clinical settings. </w:t>
      </w:r>
    </w:p>
    <w:p w14:paraId="69843461" w14:textId="77777777" w:rsidR="00187777" w:rsidRDefault="00187777" w:rsidP="00187777">
      <w:pPr>
        <w:pStyle w:val="Body"/>
        <w:rPr>
          <w:szCs w:val="21"/>
        </w:rPr>
      </w:pPr>
      <w:r w:rsidRPr="00371551">
        <w:rPr>
          <w:szCs w:val="21"/>
        </w:rPr>
        <w:t xml:space="preserve">The guidelines are informed by a recent systematic literature review and meta-analysis. The panel concluded that the ‘evidence demonstrated that restrictive transfusion strategies probably did not cause increases in mortality or bleeding relative to liberal strategies across predefined clinical populations’. </w:t>
      </w:r>
    </w:p>
    <w:p w14:paraId="0FDA5192" w14:textId="77777777" w:rsidR="00187777" w:rsidRDefault="00187777" w:rsidP="00187777">
      <w:pPr>
        <w:pStyle w:val="Body"/>
        <w:rPr>
          <w:szCs w:val="21"/>
        </w:rPr>
      </w:pPr>
      <w:r w:rsidRPr="00371551">
        <w:rPr>
          <w:szCs w:val="21"/>
        </w:rPr>
        <w:t>The guidelines offer recommendations for platelet transfusion based on specific patient criteria and vary depending on patients’ needs, categorised based on the degree of evidence.</w:t>
      </w:r>
    </w:p>
    <w:p w14:paraId="3545A417" w14:textId="4BB4C825" w:rsidR="005466D0" w:rsidRPr="00371551" w:rsidRDefault="005466D0" w:rsidP="00187777">
      <w:pPr>
        <w:pStyle w:val="Body"/>
        <w:rPr>
          <w:szCs w:val="21"/>
        </w:rPr>
      </w:pPr>
      <w:r w:rsidRPr="00371551">
        <w:rPr>
          <w:szCs w:val="21"/>
        </w:rPr>
        <w:t xml:space="preserve">The full article and </w:t>
      </w:r>
      <w:r>
        <w:rPr>
          <w:szCs w:val="21"/>
        </w:rPr>
        <w:t xml:space="preserve">new international platelet </w:t>
      </w:r>
      <w:r w:rsidRPr="00371551">
        <w:rPr>
          <w:szCs w:val="21"/>
        </w:rPr>
        <w:t xml:space="preserve">guidelines can be found on the </w:t>
      </w:r>
      <w:hyperlink r:id="rId23" w:history="1">
        <w:r w:rsidRPr="00066B36">
          <w:rPr>
            <w:rStyle w:val="Hyperlink"/>
            <w:szCs w:val="21"/>
          </w:rPr>
          <w:t>Lifeblood website</w:t>
        </w:r>
      </w:hyperlink>
      <w:r>
        <w:rPr>
          <w:rStyle w:val="FootnoteReference"/>
          <w:szCs w:val="21"/>
        </w:rPr>
        <w:footnoteReference w:id="5"/>
      </w:r>
      <w:r>
        <w:rPr>
          <w:szCs w:val="21"/>
        </w:rPr>
        <w:t>.</w:t>
      </w:r>
    </w:p>
    <w:p w14:paraId="392C7257" w14:textId="5431B3C0" w:rsidR="00236210" w:rsidRPr="00C335AA" w:rsidRDefault="00236210" w:rsidP="0067151A">
      <w:pPr>
        <w:pStyle w:val="Heading2"/>
      </w:pPr>
      <w:r w:rsidRPr="00C335AA">
        <w:t xml:space="preserve">National </w:t>
      </w:r>
      <w:r w:rsidR="00E73587">
        <w:t xml:space="preserve">medical scientist </w:t>
      </w:r>
      <w:r w:rsidRPr="00C335AA">
        <w:t xml:space="preserve">certification </w:t>
      </w:r>
    </w:p>
    <w:p w14:paraId="06AABF7A" w14:textId="11C9B6C7" w:rsidR="00107B03" w:rsidRDefault="00236210" w:rsidP="00234D63">
      <w:pPr>
        <w:pStyle w:val="Body"/>
        <w:rPr>
          <w:rStyle w:val="Hyperlink"/>
          <w:color w:val="auto"/>
          <w:u w:val="none"/>
        </w:rPr>
      </w:pPr>
      <w:r w:rsidRPr="00234D63">
        <w:t>The Australian Council for Certification of the Medical Laboratory Scientific Workforce</w:t>
      </w:r>
      <w:r w:rsidR="00B36404">
        <w:t xml:space="preserve"> (CMLS) </w:t>
      </w:r>
      <w:r w:rsidR="005466D0">
        <w:t xml:space="preserve">is </w:t>
      </w:r>
      <w:r w:rsidR="00E75DD0">
        <w:t>a voluntary</w:t>
      </w:r>
      <w:r w:rsidR="00B36404">
        <w:t xml:space="preserve"> national professional certification scheme for </w:t>
      </w:r>
      <w:r w:rsidR="00A5377C">
        <w:t>M</w:t>
      </w:r>
      <w:r w:rsidR="00B36404">
        <w:t xml:space="preserve">edical </w:t>
      </w:r>
      <w:r w:rsidR="00A5377C">
        <w:t>L</w:t>
      </w:r>
      <w:r w:rsidR="00B36404">
        <w:t xml:space="preserve">aboratory </w:t>
      </w:r>
      <w:r w:rsidR="00A5377C">
        <w:t>S</w:t>
      </w:r>
      <w:r w:rsidR="00B36404">
        <w:t>cientists.</w:t>
      </w:r>
      <w:r w:rsidRPr="00234D63">
        <w:t xml:space="preserve"> </w:t>
      </w:r>
      <w:r w:rsidR="00A5377C">
        <w:rPr>
          <w:rStyle w:val="Hyperlink"/>
          <w:color w:val="auto"/>
          <w:u w:val="none"/>
        </w:rPr>
        <w:t xml:space="preserve">New applications for certification </w:t>
      </w:r>
      <w:r w:rsidR="00E75DD0">
        <w:rPr>
          <w:rStyle w:val="Hyperlink"/>
          <w:color w:val="auto"/>
          <w:u w:val="none"/>
        </w:rPr>
        <w:t xml:space="preserve">and renewals are processed by the professional bodies providing CPD. More information and links can be found at </w:t>
      </w:r>
      <w:hyperlink r:id="rId24" w:history="1">
        <w:r w:rsidR="001363CA" w:rsidRPr="00426EF9">
          <w:rPr>
            <w:rStyle w:val="Hyperlink"/>
          </w:rPr>
          <w:t>www.cmls.org.au</w:t>
        </w:r>
      </w:hyperlink>
      <w:r w:rsidR="004456DC" w:rsidRPr="004456DC">
        <w:rPr>
          <w:vertAlign w:val="superscript"/>
        </w:rPr>
        <w:t>5</w:t>
      </w:r>
      <w:r w:rsidR="004456DC">
        <w:t>.</w:t>
      </w:r>
      <w:r w:rsidR="00D631F3">
        <w:rPr>
          <w:rStyle w:val="Hyperlink"/>
          <w:color w:val="auto"/>
          <w:u w:val="none"/>
        </w:rPr>
        <w:t xml:space="preserve"> </w:t>
      </w:r>
    </w:p>
    <w:p w14:paraId="511D1827" w14:textId="16E37A29" w:rsidR="00236210" w:rsidRPr="00C335AA" w:rsidRDefault="00236210" w:rsidP="00633B21">
      <w:pPr>
        <w:pStyle w:val="Heading2"/>
      </w:pPr>
      <w:r w:rsidRPr="00C335AA">
        <w:t>How can Blood Matters help you?</w:t>
      </w:r>
    </w:p>
    <w:p w14:paraId="64347F82" w14:textId="30FF38CF" w:rsidR="00236210" w:rsidRPr="0067506D" w:rsidRDefault="00236210" w:rsidP="00234D63">
      <w:pPr>
        <w:pStyle w:val="Body"/>
      </w:pPr>
      <w:r w:rsidRPr="0067506D">
        <w:t>Blood Matters are here to assist health services and laboratories</w:t>
      </w:r>
      <w:r w:rsidR="00D631F3">
        <w:t xml:space="preserve"> with</w:t>
      </w:r>
      <w:r w:rsidRPr="0067506D">
        <w:t xml:space="preserve"> education and provi</w:t>
      </w:r>
      <w:r w:rsidR="00D631F3">
        <w:t xml:space="preserve">sion of </w:t>
      </w:r>
      <w:r w:rsidRPr="0067506D">
        <w:t xml:space="preserve">resources. </w:t>
      </w:r>
    </w:p>
    <w:p w14:paraId="4B86BE1E" w14:textId="09FD0B16" w:rsidR="00236210" w:rsidRDefault="00236210" w:rsidP="00664C61">
      <w:pPr>
        <w:pStyle w:val="Body"/>
        <w:spacing w:after="60"/>
        <w:rPr>
          <w:rFonts w:eastAsia="Times New Roman" w:cs="Arial"/>
          <w:szCs w:val="21"/>
        </w:rPr>
      </w:pPr>
      <w:r w:rsidRPr="0067506D">
        <w:rPr>
          <w:rFonts w:eastAsia="Times New Roman" w:cs="Arial"/>
        </w:rPr>
        <w:t xml:space="preserve">If you have suggestions for tools and resources please </w:t>
      </w:r>
      <w:r w:rsidR="004D6D7B">
        <w:rPr>
          <w:rFonts w:eastAsia="Times New Roman" w:cs="Arial"/>
        </w:rPr>
        <w:t>contact</w:t>
      </w:r>
      <w:r w:rsidRPr="0067506D">
        <w:rPr>
          <w:rFonts w:eastAsia="Times New Roman" w:cs="Arial"/>
        </w:rPr>
        <w:t xml:space="preserve"> Rae French or the Blood Matters team </w:t>
      </w:r>
      <w:r w:rsidR="004D6D7B">
        <w:rPr>
          <w:rFonts w:eastAsia="Times New Roman" w:cs="Arial"/>
        </w:rPr>
        <w:t>via</w:t>
      </w:r>
      <w:r w:rsidRPr="0067506D">
        <w:rPr>
          <w:rFonts w:eastAsia="Times New Roman" w:cs="Arial"/>
        </w:rPr>
        <w:t xml:space="preserve"> email </w:t>
      </w:r>
      <w:hyperlink r:id="rId25" w:history="1">
        <w:r w:rsidRPr="0067506D">
          <w:rPr>
            <w:rStyle w:val="Hyperlink"/>
            <w:rFonts w:eastAsia="Times New Roman" w:cs="Arial"/>
            <w:sz w:val="22"/>
            <w:szCs w:val="22"/>
          </w:rPr>
          <w:t>rfrench@redcrossblood.org.au</w:t>
        </w:r>
      </w:hyperlink>
      <w:r w:rsidRPr="0067506D">
        <w:rPr>
          <w:rFonts w:eastAsia="Times New Roman" w:cs="Arial"/>
        </w:rPr>
        <w:t xml:space="preserve"> </w:t>
      </w:r>
      <w:r w:rsidR="00A621C1">
        <w:rPr>
          <w:rFonts w:eastAsia="Times New Roman" w:cs="Arial"/>
        </w:rPr>
        <w:t xml:space="preserve">&lt;rfrench@redcrossblood.org.au&gt; </w:t>
      </w:r>
      <w:r w:rsidRPr="0067506D">
        <w:rPr>
          <w:rFonts w:eastAsia="Times New Roman" w:cs="Arial"/>
        </w:rPr>
        <w:t xml:space="preserve">or </w:t>
      </w:r>
      <w:hyperlink r:id="rId26" w:history="1">
        <w:r w:rsidRPr="0067506D">
          <w:rPr>
            <w:rStyle w:val="Hyperlink"/>
            <w:rFonts w:eastAsia="Times New Roman" w:cs="Arial"/>
            <w:sz w:val="22"/>
            <w:szCs w:val="22"/>
          </w:rPr>
          <w:t>bloodmatters@redcrossblood.org.au</w:t>
        </w:r>
      </w:hyperlink>
      <w:r w:rsidRPr="0067506D">
        <w:rPr>
          <w:rFonts w:eastAsia="Times New Roman" w:cs="Arial"/>
        </w:rPr>
        <w:t xml:space="preserve"> </w:t>
      </w:r>
      <w:r w:rsidR="00A621C1">
        <w:rPr>
          <w:rFonts w:eastAsia="Times New Roman" w:cs="Arial"/>
        </w:rPr>
        <w:t xml:space="preserve">&lt;bloodmatters@redcrossblood.org.au&gt; </w:t>
      </w:r>
      <w:r w:rsidRPr="0067506D">
        <w:rPr>
          <w:rFonts w:eastAsia="Times New Roman" w:cs="Arial"/>
        </w:rPr>
        <w:t>or phone 03 9694 3524</w:t>
      </w:r>
      <w:r w:rsidRPr="00BE7F06">
        <w:rPr>
          <w:rFonts w:eastAsia="Times New Roman" w:cs="Arial"/>
          <w:szCs w:val="21"/>
        </w:rPr>
        <w:t>.</w:t>
      </w:r>
    </w:p>
    <w:tbl>
      <w:tblPr>
        <w:tblStyle w:val="TableGrid"/>
        <w:tblpPr w:leftFromText="180" w:rightFromText="180" w:vertAnchor="text" w:horzAnchor="margin" w:tblpY="21"/>
        <w:tblW w:w="0" w:type="auto"/>
        <w:tblCellMar>
          <w:bottom w:w="108" w:type="dxa"/>
        </w:tblCellMar>
        <w:tblLook w:val="0620" w:firstRow="1" w:lastRow="0" w:firstColumn="0" w:lastColumn="0" w:noHBand="1" w:noVBand="1"/>
      </w:tblPr>
      <w:tblGrid>
        <w:gridCol w:w="10194"/>
      </w:tblGrid>
      <w:tr w:rsidR="00C3437D" w14:paraId="1D0EEA0B" w14:textId="77777777" w:rsidTr="00C3437D">
        <w:tc>
          <w:tcPr>
            <w:tcW w:w="10194" w:type="dxa"/>
          </w:tcPr>
          <w:p w14:paraId="467435BE" w14:textId="77777777" w:rsidR="00C3437D" w:rsidRPr="0055119B" w:rsidRDefault="00C3437D" w:rsidP="00664C61">
            <w:pPr>
              <w:pStyle w:val="Accessibilitypara"/>
              <w:spacing w:before="60" w:after="60"/>
            </w:pPr>
            <w:bookmarkStart w:id="4" w:name="_Hlk37240926"/>
            <w:r w:rsidRPr="0055119B">
              <w:t>To receive this document in another format</w:t>
            </w:r>
            <w:r>
              <w:t>,</w:t>
            </w:r>
            <w:r w:rsidRPr="0055119B">
              <w:t xml:space="preserve"> phone </w:t>
            </w:r>
            <w:r>
              <w:rPr>
                <w:color w:val="004C97"/>
              </w:rPr>
              <w:t>03 9694 0102</w:t>
            </w:r>
            <w:r w:rsidRPr="0055119B">
              <w:t xml:space="preserve">, using the National Relay Service 13 36 77 if required, or </w:t>
            </w:r>
            <w:hyperlink r:id="rId27" w:history="1">
              <w:r w:rsidRPr="00B650D2">
                <w:rPr>
                  <w:rStyle w:val="Hyperlink"/>
                </w:rPr>
                <w:t>email Blood Matters</w:t>
              </w:r>
            </w:hyperlink>
            <w:r w:rsidRPr="0055119B">
              <w:rPr>
                <w:color w:val="004C97"/>
              </w:rPr>
              <w:t xml:space="preserve"> </w:t>
            </w:r>
            <w:r w:rsidRPr="0055119B">
              <w:t>&lt;</w:t>
            </w:r>
            <w:r>
              <w:t>bloodmatters@redcrossblood.org.au</w:t>
            </w:r>
            <w:r w:rsidRPr="0055119B">
              <w:t>&gt;.</w:t>
            </w:r>
          </w:p>
          <w:p w14:paraId="733E9EA6" w14:textId="77777777" w:rsidR="00C3437D" w:rsidRPr="0067506D" w:rsidRDefault="00C3437D" w:rsidP="00C3437D">
            <w:pPr>
              <w:pStyle w:val="Imprint"/>
              <w:rPr>
                <w:sz w:val="22"/>
                <w:szCs w:val="22"/>
              </w:rPr>
            </w:pPr>
            <w:r w:rsidRPr="0067506D">
              <w:rPr>
                <w:sz w:val="22"/>
                <w:szCs w:val="22"/>
              </w:rPr>
              <w:t>Authorised and published by the Victorian Government, 1 Treasury Place, Melbourne.</w:t>
            </w:r>
          </w:p>
          <w:p w14:paraId="44594456" w14:textId="77777777" w:rsidR="00C3437D" w:rsidRPr="0067506D" w:rsidRDefault="00C3437D" w:rsidP="00C3437D">
            <w:pPr>
              <w:pStyle w:val="Imprint"/>
              <w:rPr>
                <w:sz w:val="22"/>
                <w:szCs w:val="22"/>
              </w:rPr>
            </w:pPr>
            <w:r w:rsidRPr="0067506D">
              <w:rPr>
                <w:sz w:val="22"/>
                <w:szCs w:val="22"/>
              </w:rPr>
              <w:t>© State of Victoria, Australia, Department of Health</w:t>
            </w:r>
            <w:r w:rsidRPr="0067506D">
              <w:rPr>
                <w:color w:val="auto"/>
                <w:sz w:val="22"/>
                <w:szCs w:val="22"/>
              </w:rPr>
              <w:t xml:space="preserve">, </w:t>
            </w:r>
            <w:r>
              <w:rPr>
                <w:color w:val="auto"/>
                <w:sz w:val="22"/>
                <w:szCs w:val="22"/>
              </w:rPr>
              <w:t>August 2025.</w:t>
            </w:r>
          </w:p>
          <w:p w14:paraId="2F9F5ECD" w14:textId="77777777" w:rsidR="00C3437D" w:rsidRPr="0067506D" w:rsidRDefault="00C3437D" w:rsidP="00C3437D">
            <w:pPr>
              <w:pStyle w:val="Imprint"/>
              <w:rPr>
                <w:sz w:val="22"/>
                <w:szCs w:val="22"/>
              </w:rPr>
            </w:pPr>
            <w:r w:rsidRPr="0067506D">
              <w:rPr>
                <w:b/>
                <w:sz w:val="22"/>
                <w:szCs w:val="22"/>
              </w:rPr>
              <w:t>ISSN</w:t>
            </w:r>
            <w:r w:rsidRPr="0067506D">
              <w:rPr>
                <w:sz w:val="22"/>
                <w:szCs w:val="22"/>
              </w:rPr>
              <w:t xml:space="preserve"> 2652-7278 –</w:t>
            </w:r>
            <w:r w:rsidRPr="0067506D">
              <w:rPr>
                <w:color w:val="004C97"/>
                <w:sz w:val="22"/>
                <w:szCs w:val="22"/>
              </w:rPr>
              <w:t xml:space="preserve"> </w:t>
            </w:r>
            <w:r w:rsidRPr="0067506D">
              <w:rPr>
                <w:b/>
                <w:color w:val="auto"/>
                <w:sz w:val="22"/>
                <w:szCs w:val="22"/>
              </w:rPr>
              <w:t>Online (pdf / word)</w:t>
            </w:r>
            <w:r w:rsidRPr="0067506D">
              <w:rPr>
                <w:color w:val="auto"/>
                <w:sz w:val="22"/>
                <w:szCs w:val="22"/>
              </w:rPr>
              <w:t xml:space="preserve"> </w:t>
            </w:r>
          </w:p>
          <w:p w14:paraId="1004A3DC" w14:textId="77777777" w:rsidR="00C3437D" w:rsidRDefault="00C3437D" w:rsidP="00C3437D">
            <w:pPr>
              <w:pStyle w:val="Imprint"/>
            </w:pPr>
            <w:r w:rsidRPr="0067506D">
              <w:rPr>
                <w:sz w:val="22"/>
                <w:szCs w:val="22"/>
              </w:rPr>
              <w:t xml:space="preserve">Available at </w:t>
            </w:r>
            <w:hyperlink r:id="rId28" w:history="1">
              <w:r w:rsidRPr="0067506D">
                <w:rPr>
                  <w:rStyle w:val="Hyperlink"/>
                  <w:sz w:val="22"/>
                  <w:szCs w:val="22"/>
                </w:rPr>
                <w:t>Blood Matters</w:t>
              </w:r>
            </w:hyperlink>
            <w:r w:rsidRPr="0067506D">
              <w:rPr>
                <w:sz w:val="22"/>
                <w:szCs w:val="22"/>
              </w:rPr>
              <w:t xml:space="preserve"> &lt;</w:t>
            </w:r>
            <w:r w:rsidRPr="003F2127">
              <w:rPr>
                <w:color w:val="auto"/>
                <w:sz w:val="22"/>
                <w:szCs w:val="22"/>
              </w:rPr>
              <w:t>https://www.health.vic.gov.au/patient-care/transfusion-science-and-blood-stewardship&gt;</w:t>
            </w:r>
          </w:p>
        </w:tc>
      </w:tr>
      <w:bookmarkEnd w:id="4"/>
    </w:tbl>
    <w:p w14:paraId="4D0C9B48" w14:textId="0B386662" w:rsidR="00D62A6A" w:rsidRPr="004D1791" w:rsidRDefault="00D62A6A" w:rsidP="004D1791">
      <w:pPr>
        <w:pStyle w:val="DHHSbody"/>
        <w:spacing w:after="0" w:line="240" w:lineRule="auto"/>
        <w:rPr>
          <w:rFonts w:cs="Arial"/>
          <w:sz w:val="16"/>
          <w:szCs w:val="16"/>
        </w:rPr>
        <w:sectPr w:rsidR="00D62A6A" w:rsidRPr="004D1791" w:rsidSect="003C396B">
          <w:headerReference w:type="default" r:id="rId29"/>
          <w:footerReference w:type="default" r:id="rId30"/>
          <w:endnotePr>
            <w:numFmt w:val="decimal"/>
          </w:endnotePr>
          <w:type w:val="continuous"/>
          <w:pgSz w:w="11906" w:h="16838" w:code="9"/>
          <w:pgMar w:top="720" w:right="720" w:bottom="1560" w:left="720" w:header="567" w:footer="934" w:gutter="0"/>
          <w:cols w:space="340"/>
          <w:titlePg/>
          <w:docGrid w:linePitch="360"/>
        </w:sectPr>
      </w:pPr>
    </w:p>
    <w:bookmarkEnd w:id="0"/>
    <w:p w14:paraId="19D13095" w14:textId="77777777" w:rsidR="00CA181F" w:rsidRDefault="00CA181F" w:rsidP="00664C61">
      <w:pPr>
        <w:pStyle w:val="Body"/>
      </w:pPr>
    </w:p>
    <w:sectPr w:rsidR="00CA181F" w:rsidSect="003C396B">
      <w:footerReference w:type="default" r:id="rId31"/>
      <w:type w:val="continuous"/>
      <w:pgSz w:w="11906" w:h="16838" w:code="9"/>
      <w:pgMar w:top="1418" w:right="851" w:bottom="1985"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F1110" w14:textId="77777777" w:rsidR="003C396B" w:rsidRDefault="003C396B">
      <w:r>
        <w:separator/>
      </w:r>
    </w:p>
  </w:endnote>
  <w:endnote w:type="continuationSeparator" w:id="0">
    <w:p w14:paraId="5B44663E" w14:textId="77777777" w:rsidR="003C396B" w:rsidRDefault="003C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C0305" w14:textId="4ABE5BD3" w:rsidR="00E261B3" w:rsidRPr="00F65AA9" w:rsidRDefault="00E96EBC" w:rsidP="00F84FA0">
    <w:pPr>
      <w:pStyle w:val="Footer"/>
    </w:pPr>
    <w:r>
      <w:rPr>
        <w:noProof/>
        <w:lang w:eastAsia="en-AU"/>
      </w:rPr>
      <w:drawing>
        <wp:anchor distT="0" distB="0" distL="114300" distR="114300" simplePos="0" relativeHeight="251682304" behindDoc="1" locked="1" layoutInCell="1" allowOverlap="1" wp14:anchorId="03D5968E" wp14:editId="24AC0A82">
          <wp:simplePos x="0" y="0"/>
          <wp:positionH relativeFrom="page">
            <wp:posOffset>-21590</wp:posOffset>
          </wp:positionH>
          <wp:positionV relativeFrom="page">
            <wp:posOffset>9615170</wp:posOffset>
          </wp:positionV>
          <wp:extent cx="7559040" cy="1060450"/>
          <wp:effectExtent l="0" t="0" r="381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srcRect t="90081"/>
                  <a:stretch/>
                </pic:blipFill>
                <pic:spPr bwMode="auto">
                  <a:xfrm>
                    <a:off x="0" y="0"/>
                    <a:ext cx="755904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308AE014" wp14:editId="02F6E5FD">
              <wp:simplePos x="0" y="0"/>
              <wp:positionH relativeFrom="page">
                <wp:posOffset>0</wp:posOffset>
              </wp:positionH>
              <wp:positionV relativeFrom="page">
                <wp:posOffset>10189210</wp:posOffset>
              </wp:positionV>
              <wp:extent cx="7560310" cy="311785"/>
              <wp:effectExtent l="0" t="0" r="0" b="12065"/>
              <wp:wrapNone/>
              <wp:docPr id="5" name="MSIPCMc3054336811d08b680b9289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2BAD8"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8AE014" id="_x0000_t202" coordsize="21600,21600" o:spt="202" path="m,l,21600r21600,l21600,xe">
              <v:stroke joinstyle="miter"/>
              <v:path gradientshapeok="t" o:connecttype="rect"/>
            </v:shapetype>
            <v:shape id="MSIPCMc3054336811d08b680b9289e" o:spid="_x0000_s1027" type="#_x0000_t202" alt="&quot;&quot;"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002BAD8"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5E69E" w14:textId="77777777" w:rsidR="00E261B3" w:rsidRDefault="00E261B3">
    <w:pPr>
      <w:pStyle w:val="Footer"/>
    </w:pPr>
    <w:r>
      <w:rPr>
        <w:noProof/>
      </w:rPr>
      <mc:AlternateContent>
        <mc:Choice Requires="wps">
          <w:drawing>
            <wp:inline distT="0" distB="0" distL="0" distR="0" wp14:anchorId="0A08E54F" wp14:editId="25E4198A">
              <wp:extent cx="7560310" cy="311785"/>
              <wp:effectExtent l="0" t="0" r="0" b="12065"/>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55806"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0A08E54F" id="_x0000_t202" coordsize="21600,21600" o:spt="202" path="m,l,21600r21600,l21600,xe">
              <v:stroke joinstyle="miter"/>
              <v:path gradientshapeok="t" o:connecttype="rect"/>
            </v:shapetype>
            <v:shape id="MSIPCM418f4cbe97f099549309dca7" o:spid="_x0000_s1028" type="#_x0000_t202" alt="{&quot;HashCode&quot;:904758361,&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" filled="f" stroked="f" strokeweight=".5pt">
              <v:textbox inset=",0,,0">
                <w:txbxContent>
                  <w:p w14:paraId="28555806"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D8AA" w14:textId="77777777" w:rsidR="00236210" w:rsidRPr="00A11421" w:rsidRDefault="00236210" w:rsidP="0051568D">
    <w:pPr>
      <w:pStyle w:val="DHHSfooter"/>
    </w:pPr>
    <w:r>
      <w:rPr>
        <w:noProof/>
        <w:lang w:eastAsia="en-AU"/>
      </w:rPr>
      <w:drawing>
        <wp:anchor distT="0" distB="0" distL="114300" distR="114300" simplePos="0" relativeHeight="251680256" behindDoc="1" locked="1" layoutInCell="1" allowOverlap="1" wp14:anchorId="1BEB9708" wp14:editId="771BDCEA">
          <wp:simplePos x="0" y="0"/>
          <wp:positionH relativeFrom="page">
            <wp:posOffset>13335</wp:posOffset>
          </wp:positionH>
          <wp:positionV relativeFrom="page">
            <wp:posOffset>9610090</wp:posOffset>
          </wp:positionV>
          <wp:extent cx="7559040" cy="1060450"/>
          <wp:effectExtent l="0" t="0" r="381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srcRect t="90081"/>
                  <a:stretch/>
                </pic:blipFill>
                <pic:spPr bwMode="auto">
                  <a:xfrm>
                    <a:off x="0" y="0"/>
                    <a:ext cx="755904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6DA5" w14:textId="51DF2AAF" w:rsidR="00373890" w:rsidRPr="00D4202F" w:rsidRDefault="00373890" w:rsidP="00D4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A886B" w14:textId="77777777" w:rsidR="003C396B" w:rsidRDefault="003C396B" w:rsidP="002862F1">
      <w:pPr>
        <w:spacing w:before="120"/>
      </w:pPr>
      <w:r>
        <w:separator/>
      </w:r>
    </w:p>
  </w:footnote>
  <w:footnote w:type="continuationSeparator" w:id="0">
    <w:p w14:paraId="15AE9C9F" w14:textId="77777777" w:rsidR="003C396B" w:rsidRDefault="003C396B">
      <w:r>
        <w:continuationSeparator/>
      </w:r>
    </w:p>
  </w:footnote>
  <w:footnote w:id="1">
    <w:p w14:paraId="4F4A60C6" w14:textId="2B7181D6" w:rsidR="00715E01" w:rsidRDefault="00715E01">
      <w:pPr>
        <w:pStyle w:val="FootnoteText"/>
      </w:pPr>
      <w:r>
        <w:rPr>
          <w:rStyle w:val="FootnoteReference"/>
        </w:rPr>
        <w:footnoteRef/>
      </w:r>
      <w:r>
        <w:t xml:space="preserve"> </w:t>
      </w:r>
      <w:r w:rsidRPr="00715E01">
        <w:rPr>
          <w:rFonts w:ascii="Arial" w:hAnsi="Arial"/>
        </w:rPr>
        <w:t>&lt; https://www.health.vic.gov.au/patient-care/blood-matters-audit-reports&gt;</w:t>
      </w:r>
    </w:p>
  </w:footnote>
  <w:footnote w:id="2">
    <w:p w14:paraId="7A95A6B9" w14:textId="77777777" w:rsidR="00187777" w:rsidRPr="00715E01" w:rsidRDefault="00187777" w:rsidP="00187777">
      <w:pPr>
        <w:pStyle w:val="FootnoteText"/>
        <w:rPr>
          <w:rFonts w:ascii="Arial" w:hAnsi="Arial"/>
        </w:rPr>
      </w:pPr>
      <w:r w:rsidRPr="00715E01">
        <w:rPr>
          <w:rStyle w:val="FootnoteReference"/>
          <w:rFonts w:ascii="Arial" w:hAnsi="Arial"/>
        </w:rPr>
        <w:footnoteRef/>
      </w:r>
      <w:r w:rsidRPr="00715E01">
        <w:rPr>
          <w:rFonts w:ascii="Arial" w:hAnsi="Arial"/>
        </w:rPr>
        <w:t xml:space="preserve"> &lt;https://learn.transfusion.com.au/login/index.php&gt;</w:t>
      </w:r>
    </w:p>
  </w:footnote>
  <w:footnote w:id="3">
    <w:p w14:paraId="457809D5" w14:textId="77777777" w:rsidR="00187777" w:rsidRPr="00066B36" w:rsidRDefault="00187777" w:rsidP="00187777">
      <w:pPr>
        <w:pStyle w:val="FootnoteText"/>
        <w:rPr>
          <w:rFonts w:ascii="Arial" w:hAnsi="Arial"/>
        </w:rPr>
      </w:pPr>
      <w:r w:rsidRPr="00066B36">
        <w:rPr>
          <w:rStyle w:val="FootnoteReference"/>
          <w:rFonts w:ascii="Arial" w:hAnsi="Arial"/>
        </w:rPr>
        <w:footnoteRef/>
      </w:r>
      <w:r w:rsidRPr="00066B36">
        <w:rPr>
          <w:rFonts w:ascii="Arial" w:hAnsi="Arial"/>
        </w:rPr>
        <w:t xml:space="preserve"> &lt;https://www.ebs.tga.gov.au/ebs/picmi/picmirepository.nsf/pdf?OpenAgent=&amp;id=CP-2020-PI-01908-1&amp;d=20250529172310101&gt;</w:t>
      </w:r>
    </w:p>
  </w:footnote>
  <w:footnote w:id="4">
    <w:p w14:paraId="291E0846" w14:textId="77777777" w:rsidR="00187777" w:rsidRPr="00066B36" w:rsidRDefault="00187777" w:rsidP="00187777">
      <w:pPr>
        <w:pStyle w:val="FootnoteText"/>
        <w:rPr>
          <w:rFonts w:ascii="Arial" w:hAnsi="Arial"/>
        </w:rPr>
      </w:pPr>
      <w:r w:rsidRPr="00066B36">
        <w:rPr>
          <w:rStyle w:val="FootnoteReference"/>
          <w:rFonts w:ascii="Arial" w:hAnsi="Arial"/>
        </w:rPr>
        <w:footnoteRef/>
      </w:r>
      <w:r w:rsidRPr="00066B36">
        <w:rPr>
          <w:rFonts w:ascii="Arial" w:hAnsi="Arial"/>
        </w:rPr>
        <w:t xml:space="preserve"> &lt;https://www.ebs.tga.gov.au/ebs/picmi/picmirepository.nsf/pdf?OpenAgent=&amp;id=CP-2020-PI-01909-1&gt;</w:t>
      </w:r>
    </w:p>
  </w:footnote>
  <w:footnote w:id="5">
    <w:p w14:paraId="716F105A" w14:textId="77777777" w:rsidR="005466D0" w:rsidRPr="00066B36" w:rsidRDefault="005466D0" w:rsidP="005466D0">
      <w:pPr>
        <w:pStyle w:val="FootnoteText"/>
        <w:rPr>
          <w:rFonts w:ascii="Arial" w:hAnsi="Arial"/>
        </w:rPr>
      </w:pPr>
      <w:r w:rsidRPr="00066B36">
        <w:rPr>
          <w:rStyle w:val="FootnoteReference"/>
          <w:rFonts w:ascii="Arial" w:hAnsi="Arial"/>
        </w:rPr>
        <w:footnoteRef/>
      </w:r>
      <w:r w:rsidRPr="00066B36">
        <w:rPr>
          <w:rFonts w:ascii="Arial" w:hAnsi="Arial"/>
        </w:rPr>
        <w:t xml:space="preserve"> &lt;https://www.lifeblood.com.au/news-and-stories/health-professionals-news/new-international-platelet-transfusion-guidelines-now&gt;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F1CB"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529EA" w14:textId="77777777" w:rsidR="00E261B3" w:rsidRPr="0051568D" w:rsidRDefault="00B650D2" w:rsidP="0011701A">
    <w:pPr>
      <w:pStyle w:val="Header"/>
    </w:pPr>
    <w:r>
      <w:t>Blood Matters on the Bench and Beyond. Issue 8 – October 2021.</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71B4E" w14:textId="77777777" w:rsidR="00236210" w:rsidRPr="00D4202F" w:rsidRDefault="00236210" w:rsidP="00D42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3AE"/>
    <w:multiLevelType w:val="multilevel"/>
    <w:tmpl w:val="71E2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60C"/>
    <w:multiLevelType w:val="hybridMultilevel"/>
    <w:tmpl w:val="E4C27240"/>
    <w:lvl w:ilvl="0" w:tplc="DC449A66">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24CA1"/>
    <w:multiLevelType w:val="hybridMultilevel"/>
    <w:tmpl w:val="29669890"/>
    <w:lvl w:ilvl="0" w:tplc="C0727EF0">
      <w:start w:val="1"/>
      <w:numFmt w:val="bullet"/>
      <w:lvlText w:val=""/>
      <w:lvlJc w:val="left"/>
      <w:pPr>
        <w:ind w:left="720" w:hanging="360"/>
      </w:pPr>
      <w:rPr>
        <w:rFonts w:ascii="Wingdings" w:hAnsi="Wingdings" w:hint="default"/>
        <w:color w:val="C60C3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F6AC3"/>
    <w:multiLevelType w:val="multilevel"/>
    <w:tmpl w:val="F596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55B3B"/>
    <w:multiLevelType w:val="hybridMultilevel"/>
    <w:tmpl w:val="B22E1FF4"/>
    <w:lvl w:ilvl="0" w:tplc="0BA4E20E">
      <w:start w:val="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64449"/>
    <w:multiLevelType w:val="hybridMultilevel"/>
    <w:tmpl w:val="EF6A6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F7C2FC3"/>
    <w:multiLevelType w:val="hybridMultilevel"/>
    <w:tmpl w:val="E9A8899A"/>
    <w:lvl w:ilvl="0" w:tplc="FFFFFFFF">
      <w:start w:val="1"/>
      <w:numFmt w:val="bullet"/>
      <w:lvlText w:val=""/>
      <w:lvlJc w:val="left"/>
      <w:pPr>
        <w:ind w:left="720" w:hanging="360"/>
      </w:pPr>
      <w:rPr>
        <w:rFonts w:ascii="Wingdings" w:hAnsi="Wingdings" w:hint="default"/>
        <w:color w:val="C60C30"/>
        <w:sz w:val="18"/>
      </w:rPr>
    </w:lvl>
    <w:lvl w:ilvl="1" w:tplc="3228978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997D32"/>
    <w:multiLevelType w:val="hybridMultilevel"/>
    <w:tmpl w:val="2968E0AE"/>
    <w:lvl w:ilvl="0" w:tplc="76F40E8A">
      <w:start w:val="1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33EFF"/>
    <w:multiLevelType w:val="hybridMultilevel"/>
    <w:tmpl w:val="FBEC3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353902"/>
    <w:multiLevelType w:val="hybridMultilevel"/>
    <w:tmpl w:val="19BCB9B0"/>
    <w:lvl w:ilvl="0" w:tplc="1D86DDA8">
      <w:numFmt w:val="bullet"/>
      <w:lvlText w:val=""/>
      <w:lvlJc w:val="left"/>
      <w:pPr>
        <w:ind w:left="720" w:hanging="360"/>
      </w:pPr>
      <w:rPr>
        <w:rFonts w:ascii="Symbol" w:eastAsiaTheme="minorHAnsi" w:hAnsi="Symbol" w:cs="Arial" w:hint="default"/>
        <w:color w:val="2A27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DC2383"/>
    <w:multiLevelType w:val="hybridMultilevel"/>
    <w:tmpl w:val="44C83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2F7EF2"/>
    <w:multiLevelType w:val="multilevel"/>
    <w:tmpl w:val="A30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4C54F3"/>
    <w:multiLevelType w:val="hybridMultilevel"/>
    <w:tmpl w:val="60644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6D4F45"/>
    <w:multiLevelType w:val="hybridMultilevel"/>
    <w:tmpl w:val="5B867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E37455"/>
    <w:multiLevelType w:val="hybridMultilevel"/>
    <w:tmpl w:val="883AB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90F3FDD"/>
    <w:multiLevelType w:val="hybridMultilevel"/>
    <w:tmpl w:val="47144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220B3D"/>
    <w:multiLevelType w:val="hybridMultilevel"/>
    <w:tmpl w:val="BE567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D4F31D8"/>
    <w:multiLevelType w:val="multilevel"/>
    <w:tmpl w:val="CE58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3FA26869"/>
    <w:multiLevelType w:val="hybridMultilevel"/>
    <w:tmpl w:val="EA50B59E"/>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A031159"/>
    <w:multiLevelType w:val="multilevel"/>
    <w:tmpl w:val="81CA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007DE0"/>
    <w:multiLevelType w:val="hybridMultilevel"/>
    <w:tmpl w:val="916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56B21"/>
    <w:multiLevelType w:val="multilevel"/>
    <w:tmpl w:val="3F48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7B3CE9"/>
    <w:multiLevelType w:val="hybridMultilevel"/>
    <w:tmpl w:val="9E92C8F4"/>
    <w:lvl w:ilvl="0" w:tplc="C0727EF0">
      <w:start w:val="1"/>
      <w:numFmt w:val="bullet"/>
      <w:lvlText w:val=""/>
      <w:lvlJc w:val="left"/>
      <w:pPr>
        <w:ind w:left="360" w:hanging="360"/>
      </w:pPr>
      <w:rPr>
        <w:rFonts w:ascii="Wingdings" w:hAnsi="Wingdings" w:hint="default"/>
        <w:color w:val="C60C30"/>
        <w:sz w:val="18"/>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6BA7763"/>
    <w:multiLevelType w:val="multilevel"/>
    <w:tmpl w:val="C046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E25586"/>
    <w:multiLevelType w:val="hybridMultilevel"/>
    <w:tmpl w:val="A08458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74701B"/>
    <w:multiLevelType w:val="hybridMultilevel"/>
    <w:tmpl w:val="158E6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742AB4"/>
    <w:multiLevelType w:val="multilevel"/>
    <w:tmpl w:val="CE62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8D5AAE"/>
    <w:multiLevelType w:val="multilevel"/>
    <w:tmpl w:val="3E9C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0D2525"/>
    <w:multiLevelType w:val="hybridMultilevel"/>
    <w:tmpl w:val="9A60C9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CF1160"/>
    <w:multiLevelType w:val="hybridMultilevel"/>
    <w:tmpl w:val="86E201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3562551"/>
    <w:multiLevelType w:val="hybridMultilevel"/>
    <w:tmpl w:val="B49A0120"/>
    <w:lvl w:ilvl="0" w:tplc="0D6A0F70">
      <w:start w:val="1"/>
      <w:numFmt w:val="bullet"/>
      <w:lvlText w:val=""/>
      <w:lvlJc w:val="left"/>
      <w:pPr>
        <w:ind w:left="720" w:hanging="360"/>
      </w:pPr>
      <w:rPr>
        <w:rFonts w:ascii="Symbol" w:eastAsia="Times" w:hAnsi="Symbol" w:cs="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B97C46"/>
    <w:multiLevelType w:val="multilevel"/>
    <w:tmpl w:val="111CC65C"/>
    <w:lvl w:ilvl="0">
      <w:start w:val="1"/>
      <w:numFmt w:val="bullet"/>
      <w:lvlText w:val=""/>
      <w:lvlJc w:val="left"/>
      <w:pPr>
        <w:ind w:left="284" w:hanging="284"/>
      </w:pPr>
      <w:rPr>
        <w:rFonts w:ascii="Wingdings" w:hAnsi="Wingdings" w:hint="default"/>
        <w:color w:val="C60C30"/>
        <w:sz w:val="18"/>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4F85A9A"/>
    <w:multiLevelType w:val="multilevel"/>
    <w:tmpl w:val="1D8A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5816066"/>
    <w:multiLevelType w:val="hybridMultilevel"/>
    <w:tmpl w:val="E98A08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75A3C19"/>
    <w:multiLevelType w:val="hybridMultilevel"/>
    <w:tmpl w:val="038ED418"/>
    <w:lvl w:ilvl="0" w:tplc="2EF49AB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E85D4A"/>
    <w:multiLevelType w:val="hybridMultilevel"/>
    <w:tmpl w:val="2B282B82"/>
    <w:lvl w:ilvl="0" w:tplc="EAA08E24">
      <w:start w:val="11"/>
      <w:numFmt w:val="bullet"/>
      <w:lvlText w:val="•"/>
      <w:lvlJc w:val="left"/>
      <w:pPr>
        <w:ind w:left="660" w:hanging="360"/>
      </w:pPr>
      <w:rPr>
        <w:rFonts w:ascii="Arial" w:eastAsia="Calibri" w:hAnsi="Arial" w:cs="Arial" w:hint="default"/>
      </w:rPr>
    </w:lvl>
    <w:lvl w:ilvl="1" w:tplc="0C090003">
      <w:start w:val="1"/>
      <w:numFmt w:val="bullet"/>
      <w:lvlText w:val="o"/>
      <w:lvlJc w:val="left"/>
      <w:pPr>
        <w:ind w:left="1380" w:hanging="360"/>
      </w:pPr>
      <w:rPr>
        <w:rFonts w:ascii="Courier New" w:hAnsi="Courier New" w:cs="Courier New" w:hint="default"/>
      </w:rPr>
    </w:lvl>
    <w:lvl w:ilvl="2" w:tplc="0C090005">
      <w:start w:val="1"/>
      <w:numFmt w:val="bullet"/>
      <w:lvlText w:val=""/>
      <w:lvlJc w:val="left"/>
      <w:pPr>
        <w:ind w:left="2100" w:hanging="360"/>
      </w:pPr>
      <w:rPr>
        <w:rFonts w:ascii="Wingdings" w:hAnsi="Wingdings" w:hint="default"/>
      </w:rPr>
    </w:lvl>
    <w:lvl w:ilvl="3" w:tplc="0C090001">
      <w:start w:val="1"/>
      <w:numFmt w:val="bullet"/>
      <w:lvlText w:val=""/>
      <w:lvlJc w:val="left"/>
      <w:pPr>
        <w:ind w:left="2820" w:hanging="360"/>
      </w:pPr>
      <w:rPr>
        <w:rFonts w:ascii="Symbol" w:hAnsi="Symbol" w:hint="default"/>
      </w:rPr>
    </w:lvl>
    <w:lvl w:ilvl="4" w:tplc="0C090003">
      <w:start w:val="1"/>
      <w:numFmt w:val="bullet"/>
      <w:lvlText w:val="o"/>
      <w:lvlJc w:val="left"/>
      <w:pPr>
        <w:ind w:left="3540" w:hanging="360"/>
      </w:pPr>
      <w:rPr>
        <w:rFonts w:ascii="Courier New" w:hAnsi="Courier New" w:cs="Courier New" w:hint="default"/>
      </w:rPr>
    </w:lvl>
    <w:lvl w:ilvl="5" w:tplc="0C090005">
      <w:start w:val="1"/>
      <w:numFmt w:val="bullet"/>
      <w:lvlText w:val=""/>
      <w:lvlJc w:val="left"/>
      <w:pPr>
        <w:ind w:left="4260" w:hanging="360"/>
      </w:pPr>
      <w:rPr>
        <w:rFonts w:ascii="Wingdings" w:hAnsi="Wingdings" w:hint="default"/>
      </w:rPr>
    </w:lvl>
    <w:lvl w:ilvl="6" w:tplc="0C090001">
      <w:start w:val="1"/>
      <w:numFmt w:val="bullet"/>
      <w:lvlText w:val=""/>
      <w:lvlJc w:val="left"/>
      <w:pPr>
        <w:ind w:left="4980" w:hanging="360"/>
      </w:pPr>
      <w:rPr>
        <w:rFonts w:ascii="Symbol" w:hAnsi="Symbol" w:hint="default"/>
      </w:rPr>
    </w:lvl>
    <w:lvl w:ilvl="7" w:tplc="0C090003">
      <w:start w:val="1"/>
      <w:numFmt w:val="bullet"/>
      <w:lvlText w:val="o"/>
      <w:lvlJc w:val="left"/>
      <w:pPr>
        <w:ind w:left="5700" w:hanging="360"/>
      </w:pPr>
      <w:rPr>
        <w:rFonts w:ascii="Courier New" w:hAnsi="Courier New" w:cs="Courier New" w:hint="default"/>
      </w:rPr>
    </w:lvl>
    <w:lvl w:ilvl="8" w:tplc="0C090005">
      <w:start w:val="1"/>
      <w:numFmt w:val="bullet"/>
      <w:lvlText w:val=""/>
      <w:lvlJc w:val="left"/>
      <w:pPr>
        <w:ind w:left="6420" w:hanging="360"/>
      </w:pPr>
      <w:rPr>
        <w:rFonts w:ascii="Wingdings" w:hAnsi="Wingdings" w:hint="default"/>
      </w:rPr>
    </w:lvl>
  </w:abstractNum>
  <w:abstractNum w:abstractNumId="42" w15:restartNumberingAfterBreak="0">
    <w:nsid w:val="700654FC"/>
    <w:multiLevelType w:val="hybridMultilevel"/>
    <w:tmpl w:val="D878232E"/>
    <w:lvl w:ilvl="0" w:tplc="1D7C5DA4">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B13756"/>
    <w:multiLevelType w:val="hybridMultilevel"/>
    <w:tmpl w:val="99861280"/>
    <w:lvl w:ilvl="0" w:tplc="FFFFFFFF">
      <w:start w:val="1"/>
      <w:numFmt w:val="bullet"/>
      <w:lvlText w:val=""/>
      <w:lvlJc w:val="left"/>
      <w:pPr>
        <w:ind w:left="720" w:hanging="360"/>
      </w:pPr>
      <w:rPr>
        <w:rFonts w:ascii="Wingdings" w:hAnsi="Wingdings" w:hint="default"/>
        <w:color w:val="C60C30"/>
        <w:sz w:val="18"/>
      </w:rPr>
    </w:lvl>
    <w:lvl w:ilvl="1" w:tplc="3228978E">
      <w:start w:val="1"/>
      <w:numFmt w:val="bullet"/>
      <w:lvlText w:val=""/>
      <w:lvlJc w:val="left"/>
      <w:pPr>
        <w:ind w:left="1440" w:hanging="360"/>
      </w:pPr>
      <w:rPr>
        <w:rFonts w:ascii="Symbol" w:hAnsi="Symbol" w:hint="default"/>
      </w:rPr>
    </w:lvl>
    <w:lvl w:ilvl="2" w:tplc="161A57E4">
      <w:numFmt w:val="bullet"/>
      <w:lvlText w:val=""/>
      <w:lvlJc w:val="left"/>
      <w:pPr>
        <w:ind w:left="2160" w:hanging="360"/>
      </w:pPr>
      <w:rPr>
        <w:rFonts w:ascii="Symbol" w:eastAsia="Times"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3583F97"/>
    <w:multiLevelType w:val="hybridMultilevel"/>
    <w:tmpl w:val="AF141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9B1FFE"/>
    <w:multiLevelType w:val="hybridMultilevel"/>
    <w:tmpl w:val="FFD43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B53E76"/>
    <w:multiLevelType w:val="hybridMultilevel"/>
    <w:tmpl w:val="D1F05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E962157"/>
    <w:multiLevelType w:val="multilevel"/>
    <w:tmpl w:val="702A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B4729F"/>
    <w:multiLevelType w:val="hybridMultilevel"/>
    <w:tmpl w:val="0DEEB31A"/>
    <w:lvl w:ilvl="0" w:tplc="C0727EF0">
      <w:start w:val="1"/>
      <w:numFmt w:val="bullet"/>
      <w:lvlText w:val=""/>
      <w:lvlJc w:val="left"/>
      <w:pPr>
        <w:ind w:left="720" w:hanging="360"/>
      </w:pPr>
      <w:rPr>
        <w:rFonts w:ascii="Wingdings" w:hAnsi="Wingdings" w:hint="default"/>
        <w:color w:val="C60C3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5862256">
    <w:abstractNumId w:val="19"/>
  </w:num>
  <w:num w:numId="2" w16cid:durableId="633147195">
    <w:abstractNumId w:val="27"/>
  </w:num>
  <w:num w:numId="3" w16cid:durableId="58790387">
    <w:abstractNumId w:val="26"/>
  </w:num>
  <w:num w:numId="4" w16cid:durableId="1523782431">
    <w:abstractNumId w:val="35"/>
  </w:num>
  <w:num w:numId="5" w16cid:durableId="1167130810">
    <w:abstractNumId w:val="20"/>
  </w:num>
  <w:num w:numId="6" w16cid:durableId="1510632121">
    <w:abstractNumId w:val="6"/>
  </w:num>
  <w:num w:numId="7" w16cid:durableId="351416921">
    <w:abstractNumId w:val="16"/>
  </w:num>
  <w:num w:numId="8" w16cid:durableId="8409661">
    <w:abstractNumId w:val="3"/>
  </w:num>
  <w:num w:numId="9" w16cid:durableId="1041511252">
    <w:abstractNumId w:val="31"/>
  </w:num>
  <w:num w:numId="10" w16cid:durableId="559560088">
    <w:abstractNumId w:val="8"/>
  </w:num>
  <w:num w:numId="11" w16cid:durableId="919028146">
    <w:abstractNumId w:val="48"/>
  </w:num>
  <w:num w:numId="12" w16cid:durableId="1050151282">
    <w:abstractNumId w:val="2"/>
  </w:num>
  <w:num w:numId="13" w16cid:durableId="1620524092">
    <w:abstractNumId w:val="12"/>
  </w:num>
  <w:num w:numId="14" w16cid:durableId="149562243">
    <w:abstractNumId w:val="22"/>
  </w:num>
  <w:num w:numId="15" w16cid:durableId="550581498">
    <w:abstractNumId w:val="28"/>
  </w:num>
  <w:num w:numId="16" w16cid:durableId="346442324">
    <w:abstractNumId w:val="32"/>
  </w:num>
  <w:num w:numId="17" w16cid:durableId="892693289">
    <w:abstractNumId w:val="18"/>
  </w:num>
  <w:num w:numId="18" w16cid:durableId="1563557922">
    <w:abstractNumId w:val="38"/>
  </w:num>
  <w:num w:numId="19" w16cid:durableId="978463916">
    <w:abstractNumId w:val="0"/>
  </w:num>
  <w:num w:numId="20" w16cid:durableId="1358238921">
    <w:abstractNumId w:val="37"/>
  </w:num>
  <w:num w:numId="21" w16cid:durableId="1597976809">
    <w:abstractNumId w:val="10"/>
  </w:num>
  <w:num w:numId="22" w16cid:durableId="1967931061">
    <w:abstractNumId w:val="47"/>
  </w:num>
  <w:num w:numId="23" w16cid:durableId="1873878319">
    <w:abstractNumId w:val="24"/>
  </w:num>
  <w:num w:numId="24" w16cid:durableId="2101489698">
    <w:abstractNumId w:val="23"/>
  </w:num>
  <w:num w:numId="25" w16cid:durableId="208343810">
    <w:abstractNumId w:val="7"/>
  </w:num>
  <w:num w:numId="26" w16cid:durableId="696663892">
    <w:abstractNumId w:val="43"/>
  </w:num>
  <w:num w:numId="27" w16cid:durableId="815875466">
    <w:abstractNumId w:val="21"/>
  </w:num>
  <w:num w:numId="28" w16cid:durableId="773595363">
    <w:abstractNumId w:val="30"/>
  </w:num>
  <w:num w:numId="29" w16cid:durableId="1618753076">
    <w:abstractNumId w:val="15"/>
  </w:num>
  <w:num w:numId="30" w16cid:durableId="1748918949">
    <w:abstractNumId w:val="14"/>
  </w:num>
  <w:num w:numId="31" w16cid:durableId="828404503">
    <w:abstractNumId w:val="4"/>
  </w:num>
  <w:num w:numId="32" w16cid:durableId="991449638">
    <w:abstractNumId w:val="33"/>
  </w:num>
  <w:num w:numId="33" w16cid:durableId="795832590">
    <w:abstractNumId w:val="36"/>
  </w:num>
  <w:num w:numId="34" w16cid:durableId="918758565">
    <w:abstractNumId w:val="46"/>
  </w:num>
  <w:num w:numId="35" w16cid:durableId="273362673">
    <w:abstractNumId w:val="42"/>
  </w:num>
  <w:num w:numId="36" w16cid:durableId="752971924">
    <w:abstractNumId w:val="41"/>
  </w:num>
  <w:num w:numId="37" w16cid:durableId="1570576184">
    <w:abstractNumId w:val="17"/>
  </w:num>
  <w:num w:numId="38" w16cid:durableId="1720518423">
    <w:abstractNumId w:val="13"/>
  </w:num>
  <w:num w:numId="39" w16cid:durableId="2053384146">
    <w:abstractNumId w:val="39"/>
  </w:num>
  <w:num w:numId="40" w16cid:durableId="1365251032">
    <w:abstractNumId w:val="5"/>
  </w:num>
  <w:num w:numId="41" w16cid:durableId="343020611">
    <w:abstractNumId w:val="44"/>
  </w:num>
  <w:num w:numId="42" w16cid:durableId="1615206652">
    <w:abstractNumId w:val="11"/>
  </w:num>
  <w:num w:numId="43" w16cid:durableId="95712677">
    <w:abstractNumId w:val="9"/>
  </w:num>
  <w:num w:numId="44" w16cid:durableId="532379092">
    <w:abstractNumId w:val="34"/>
  </w:num>
  <w:num w:numId="45" w16cid:durableId="1407652506">
    <w:abstractNumId w:val="29"/>
  </w:num>
  <w:num w:numId="46" w16cid:durableId="471168702">
    <w:abstractNumId w:val="40"/>
  </w:num>
  <w:num w:numId="47" w16cid:durableId="18958487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65841415">
    <w:abstractNumId w:val="25"/>
  </w:num>
  <w:num w:numId="49" w16cid:durableId="1400833236">
    <w:abstractNumId w:val="45"/>
  </w:num>
  <w:num w:numId="50" w16cid:durableId="184995246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pos w:val="sectEnd"/>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5FB"/>
    <w:rsid w:val="00000719"/>
    <w:rsid w:val="00003403"/>
    <w:rsid w:val="00005347"/>
    <w:rsid w:val="000058C2"/>
    <w:rsid w:val="000072B6"/>
    <w:rsid w:val="0001021B"/>
    <w:rsid w:val="00011D89"/>
    <w:rsid w:val="000154FD"/>
    <w:rsid w:val="0001677A"/>
    <w:rsid w:val="00016FBF"/>
    <w:rsid w:val="00020F0F"/>
    <w:rsid w:val="00022271"/>
    <w:rsid w:val="00022560"/>
    <w:rsid w:val="000235E8"/>
    <w:rsid w:val="00024D89"/>
    <w:rsid w:val="000250B6"/>
    <w:rsid w:val="00026A57"/>
    <w:rsid w:val="00033D81"/>
    <w:rsid w:val="00037366"/>
    <w:rsid w:val="00041BF0"/>
    <w:rsid w:val="00042C8A"/>
    <w:rsid w:val="0004536B"/>
    <w:rsid w:val="00046B68"/>
    <w:rsid w:val="000527DD"/>
    <w:rsid w:val="00054927"/>
    <w:rsid w:val="00054EE3"/>
    <w:rsid w:val="00057712"/>
    <w:rsid w:val="000578B2"/>
    <w:rsid w:val="00060959"/>
    <w:rsid w:val="00060C69"/>
    <w:rsid w:val="00060C8F"/>
    <w:rsid w:val="00061F92"/>
    <w:rsid w:val="0006298A"/>
    <w:rsid w:val="00064447"/>
    <w:rsid w:val="000663CD"/>
    <w:rsid w:val="00066B36"/>
    <w:rsid w:val="0006704B"/>
    <w:rsid w:val="00070447"/>
    <w:rsid w:val="00072AD1"/>
    <w:rsid w:val="000733FE"/>
    <w:rsid w:val="00074219"/>
    <w:rsid w:val="00074CC7"/>
    <w:rsid w:val="00074ED5"/>
    <w:rsid w:val="00077309"/>
    <w:rsid w:val="0008123D"/>
    <w:rsid w:val="0008352D"/>
    <w:rsid w:val="000835C6"/>
    <w:rsid w:val="0008508E"/>
    <w:rsid w:val="000865AF"/>
    <w:rsid w:val="00087951"/>
    <w:rsid w:val="0009113B"/>
    <w:rsid w:val="000928F5"/>
    <w:rsid w:val="00093402"/>
    <w:rsid w:val="00094DA3"/>
    <w:rsid w:val="00096A20"/>
    <w:rsid w:val="00096CD1"/>
    <w:rsid w:val="000A012C"/>
    <w:rsid w:val="000A0EB9"/>
    <w:rsid w:val="000A15C0"/>
    <w:rsid w:val="000A186C"/>
    <w:rsid w:val="000A1E4E"/>
    <w:rsid w:val="000A1EA4"/>
    <w:rsid w:val="000A2476"/>
    <w:rsid w:val="000A641A"/>
    <w:rsid w:val="000B3EDB"/>
    <w:rsid w:val="000B543D"/>
    <w:rsid w:val="000B55F9"/>
    <w:rsid w:val="000B5BF7"/>
    <w:rsid w:val="000B6BC8"/>
    <w:rsid w:val="000C0303"/>
    <w:rsid w:val="000C4276"/>
    <w:rsid w:val="000C42EA"/>
    <w:rsid w:val="000C4546"/>
    <w:rsid w:val="000C4907"/>
    <w:rsid w:val="000C7C18"/>
    <w:rsid w:val="000D1242"/>
    <w:rsid w:val="000E0970"/>
    <w:rsid w:val="000E1910"/>
    <w:rsid w:val="000E2F85"/>
    <w:rsid w:val="000E3A57"/>
    <w:rsid w:val="000E3CC7"/>
    <w:rsid w:val="000E4877"/>
    <w:rsid w:val="000E5FFC"/>
    <w:rsid w:val="000E65A4"/>
    <w:rsid w:val="000E6BD4"/>
    <w:rsid w:val="000E6D6D"/>
    <w:rsid w:val="000F1F1E"/>
    <w:rsid w:val="000F2259"/>
    <w:rsid w:val="000F2DDA"/>
    <w:rsid w:val="000F5213"/>
    <w:rsid w:val="000F5F32"/>
    <w:rsid w:val="000F6711"/>
    <w:rsid w:val="00101001"/>
    <w:rsid w:val="001031A1"/>
    <w:rsid w:val="00103276"/>
    <w:rsid w:val="0010392D"/>
    <w:rsid w:val="0010447F"/>
    <w:rsid w:val="00104910"/>
    <w:rsid w:val="00104FE3"/>
    <w:rsid w:val="0010714F"/>
    <w:rsid w:val="00107B03"/>
    <w:rsid w:val="00107CBB"/>
    <w:rsid w:val="00112049"/>
    <w:rsid w:val="001120C5"/>
    <w:rsid w:val="0011701A"/>
    <w:rsid w:val="00120BD3"/>
    <w:rsid w:val="00122771"/>
    <w:rsid w:val="00122FEA"/>
    <w:rsid w:val="001232BD"/>
    <w:rsid w:val="00124ED5"/>
    <w:rsid w:val="001276FA"/>
    <w:rsid w:val="00134D5E"/>
    <w:rsid w:val="001360A8"/>
    <w:rsid w:val="001363CA"/>
    <w:rsid w:val="0014255B"/>
    <w:rsid w:val="001447B3"/>
    <w:rsid w:val="0014492C"/>
    <w:rsid w:val="001473AC"/>
    <w:rsid w:val="00147AC2"/>
    <w:rsid w:val="00152073"/>
    <w:rsid w:val="0015427F"/>
    <w:rsid w:val="00154E2D"/>
    <w:rsid w:val="00155BF9"/>
    <w:rsid w:val="00156598"/>
    <w:rsid w:val="00160460"/>
    <w:rsid w:val="00161939"/>
    <w:rsid w:val="00161AA0"/>
    <w:rsid w:val="00161D2E"/>
    <w:rsid w:val="00161F3E"/>
    <w:rsid w:val="00162093"/>
    <w:rsid w:val="00162CA9"/>
    <w:rsid w:val="00165459"/>
    <w:rsid w:val="00165A57"/>
    <w:rsid w:val="001712C2"/>
    <w:rsid w:val="00172BAF"/>
    <w:rsid w:val="0017387A"/>
    <w:rsid w:val="001771DD"/>
    <w:rsid w:val="00177995"/>
    <w:rsid w:val="00177A8C"/>
    <w:rsid w:val="0018502F"/>
    <w:rsid w:val="00186B33"/>
    <w:rsid w:val="00187777"/>
    <w:rsid w:val="00192F9D"/>
    <w:rsid w:val="00196EB8"/>
    <w:rsid w:val="00196EFB"/>
    <w:rsid w:val="00196FC3"/>
    <w:rsid w:val="001979FF"/>
    <w:rsid w:val="00197B17"/>
    <w:rsid w:val="001A1950"/>
    <w:rsid w:val="001A1C54"/>
    <w:rsid w:val="001A3ACE"/>
    <w:rsid w:val="001A498D"/>
    <w:rsid w:val="001A73C6"/>
    <w:rsid w:val="001B058F"/>
    <w:rsid w:val="001B2435"/>
    <w:rsid w:val="001B250A"/>
    <w:rsid w:val="001B31FC"/>
    <w:rsid w:val="001B4CAE"/>
    <w:rsid w:val="001B6B82"/>
    <w:rsid w:val="001B738B"/>
    <w:rsid w:val="001C09DB"/>
    <w:rsid w:val="001C277E"/>
    <w:rsid w:val="001C2A72"/>
    <w:rsid w:val="001C31B7"/>
    <w:rsid w:val="001C7880"/>
    <w:rsid w:val="001C7DF7"/>
    <w:rsid w:val="001D0B75"/>
    <w:rsid w:val="001D39A5"/>
    <w:rsid w:val="001D3C09"/>
    <w:rsid w:val="001D3D59"/>
    <w:rsid w:val="001D44E8"/>
    <w:rsid w:val="001D517C"/>
    <w:rsid w:val="001D5D56"/>
    <w:rsid w:val="001D60EC"/>
    <w:rsid w:val="001D6F59"/>
    <w:rsid w:val="001E09F0"/>
    <w:rsid w:val="001E0C5D"/>
    <w:rsid w:val="001E2A36"/>
    <w:rsid w:val="001E44DF"/>
    <w:rsid w:val="001E5058"/>
    <w:rsid w:val="001E68A5"/>
    <w:rsid w:val="001E6BB0"/>
    <w:rsid w:val="001E7282"/>
    <w:rsid w:val="001E750B"/>
    <w:rsid w:val="001F3826"/>
    <w:rsid w:val="001F6E46"/>
    <w:rsid w:val="001F7186"/>
    <w:rsid w:val="001F7C91"/>
    <w:rsid w:val="00200176"/>
    <w:rsid w:val="00201411"/>
    <w:rsid w:val="002033B7"/>
    <w:rsid w:val="0020390B"/>
    <w:rsid w:val="00204F78"/>
    <w:rsid w:val="00206463"/>
    <w:rsid w:val="00206F2F"/>
    <w:rsid w:val="0021053D"/>
    <w:rsid w:val="00210A92"/>
    <w:rsid w:val="00216C03"/>
    <w:rsid w:val="00220371"/>
    <w:rsid w:val="00220C04"/>
    <w:rsid w:val="0022181E"/>
    <w:rsid w:val="0022278D"/>
    <w:rsid w:val="0022701F"/>
    <w:rsid w:val="00227C68"/>
    <w:rsid w:val="00230965"/>
    <w:rsid w:val="002333F5"/>
    <w:rsid w:val="00233724"/>
    <w:rsid w:val="00234D63"/>
    <w:rsid w:val="00236210"/>
    <w:rsid w:val="002365B4"/>
    <w:rsid w:val="002432E1"/>
    <w:rsid w:val="00246207"/>
    <w:rsid w:val="00246C5E"/>
    <w:rsid w:val="00250042"/>
    <w:rsid w:val="00250960"/>
    <w:rsid w:val="00251343"/>
    <w:rsid w:val="002536A4"/>
    <w:rsid w:val="00254F58"/>
    <w:rsid w:val="002600CC"/>
    <w:rsid w:val="002620BC"/>
    <w:rsid w:val="00262802"/>
    <w:rsid w:val="00263A90"/>
    <w:rsid w:val="00263C1F"/>
    <w:rsid w:val="0026408B"/>
    <w:rsid w:val="00267C3E"/>
    <w:rsid w:val="002709BB"/>
    <w:rsid w:val="0027113F"/>
    <w:rsid w:val="002730A5"/>
    <w:rsid w:val="00273BAC"/>
    <w:rsid w:val="00274B5C"/>
    <w:rsid w:val="0027544D"/>
    <w:rsid w:val="002763B3"/>
    <w:rsid w:val="002802E3"/>
    <w:rsid w:val="0028213D"/>
    <w:rsid w:val="002862F1"/>
    <w:rsid w:val="002878DF"/>
    <w:rsid w:val="00291373"/>
    <w:rsid w:val="00292814"/>
    <w:rsid w:val="0029453E"/>
    <w:rsid w:val="0029597D"/>
    <w:rsid w:val="002962C3"/>
    <w:rsid w:val="0029752B"/>
    <w:rsid w:val="002A0A9C"/>
    <w:rsid w:val="002A45B4"/>
    <w:rsid w:val="002A483C"/>
    <w:rsid w:val="002A5D39"/>
    <w:rsid w:val="002B0418"/>
    <w:rsid w:val="002B0C7C"/>
    <w:rsid w:val="002B1729"/>
    <w:rsid w:val="002B36C7"/>
    <w:rsid w:val="002B4DD4"/>
    <w:rsid w:val="002B5277"/>
    <w:rsid w:val="002B5375"/>
    <w:rsid w:val="002B765B"/>
    <w:rsid w:val="002B77C1"/>
    <w:rsid w:val="002C0ED7"/>
    <w:rsid w:val="002C2728"/>
    <w:rsid w:val="002D1E0D"/>
    <w:rsid w:val="002D5006"/>
    <w:rsid w:val="002D7239"/>
    <w:rsid w:val="002E01D0"/>
    <w:rsid w:val="002E161D"/>
    <w:rsid w:val="002E3100"/>
    <w:rsid w:val="002E6C95"/>
    <w:rsid w:val="002E7C36"/>
    <w:rsid w:val="002F0107"/>
    <w:rsid w:val="002F3D32"/>
    <w:rsid w:val="002F3D7C"/>
    <w:rsid w:val="002F5F31"/>
    <w:rsid w:val="002F5F40"/>
    <w:rsid w:val="002F5F46"/>
    <w:rsid w:val="003012D9"/>
    <w:rsid w:val="00302216"/>
    <w:rsid w:val="00303309"/>
    <w:rsid w:val="00303E53"/>
    <w:rsid w:val="003044DA"/>
    <w:rsid w:val="003050B2"/>
    <w:rsid w:val="00305CC1"/>
    <w:rsid w:val="00306E5F"/>
    <w:rsid w:val="00307E14"/>
    <w:rsid w:val="00312451"/>
    <w:rsid w:val="00314054"/>
    <w:rsid w:val="00315BD8"/>
    <w:rsid w:val="00316F27"/>
    <w:rsid w:val="003214F1"/>
    <w:rsid w:val="00322923"/>
    <w:rsid w:val="00322E4B"/>
    <w:rsid w:val="00327870"/>
    <w:rsid w:val="0033259D"/>
    <w:rsid w:val="00332A06"/>
    <w:rsid w:val="003333D2"/>
    <w:rsid w:val="00335D70"/>
    <w:rsid w:val="003361DC"/>
    <w:rsid w:val="003406C6"/>
    <w:rsid w:val="003418CC"/>
    <w:rsid w:val="00344C4D"/>
    <w:rsid w:val="003451C7"/>
    <w:rsid w:val="003459BD"/>
    <w:rsid w:val="00346BA9"/>
    <w:rsid w:val="00350D38"/>
    <w:rsid w:val="00351B36"/>
    <w:rsid w:val="00354ABA"/>
    <w:rsid w:val="00356F17"/>
    <w:rsid w:val="00357B4E"/>
    <w:rsid w:val="00371551"/>
    <w:rsid w:val="003716FD"/>
    <w:rsid w:val="0037204B"/>
    <w:rsid w:val="00373890"/>
    <w:rsid w:val="003744CF"/>
    <w:rsid w:val="00374717"/>
    <w:rsid w:val="003760F7"/>
    <w:rsid w:val="0037676C"/>
    <w:rsid w:val="00381043"/>
    <w:rsid w:val="00381838"/>
    <w:rsid w:val="003829E5"/>
    <w:rsid w:val="00383438"/>
    <w:rsid w:val="00386109"/>
    <w:rsid w:val="00386944"/>
    <w:rsid w:val="00387225"/>
    <w:rsid w:val="00387950"/>
    <w:rsid w:val="00391585"/>
    <w:rsid w:val="003942DB"/>
    <w:rsid w:val="003956CC"/>
    <w:rsid w:val="00395C9A"/>
    <w:rsid w:val="00397ED3"/>
    <w:rsid w:val="003A0853"/>
    <w:rsid w:val="003A52C2"/>
    <w:rsid w:val="003A6B67"/>
    <w:rsid w:val="003B13B6"/>
    <w:rsid w:val="003B15E6"/>
    <w:rsid w:val="003B408A"/>
    <w:rsid w:val="003B5733"/>
    <w:rsid w:val="003C08A2"/>
    <w:rsid w:val="003C2045"/>
    <w:rsid w:val="003C396B"/>
    <w:rsid w:val="003C43A1"/>
    <w:rsid w:val="003C4FC0"/>
    <w:rsid w:val="003C55F4"/>
    <w:rsid w:val="003C5B91"/>
    <w:rsid w:val="003C7897"/>
    <w:rsid w:val="003C7A3F"/>
    <w:rsid w:val="003D2766"/>
    <w:rsid w:val="003D2A74"/>
    <w:rsid w:val="003D352C"/>
    <w:rsid w:val="003D3E8F"/>
    <w:rsid w:val="003D6475"/>
    <w:rsid w:val="003E0010"/>
    <w:rsid w:val="003E254E"/>
    <w:rsid w:val="003E375C"/>
    <w:rsid w:val="003E4086"/>
    <w:rsid w:val="003E439D"/>
    <w:rsid w:val="003E639E"/>
    <w:rsid w:val="003E71E5"/>
    <w:rsid w:val="003F0445"/>
    <w:rsid w:val="003F0CF0"/>
    <w:rsid w:val="003F14B1"/>
    <w:rsid w:val="003F2127"/>
    <w:rsid w:val="003F2B20"/>
    <w:rsid w:val="003F3259"/>
    <w:rsid w:val="003F3289"/>
    <w:rsid w:val="003F4A2C"/>
    <w:rsid w:val="003F4F59"/>
    <w:rsid w:val="003F5CB9"/>
    <w:rsid w:val="004013C7"/>
    <w:rsid w:val="00401FCF"/>
    <w:rsid w:val="0040248F"/>
    <w:rsid w:val="0040381D"/>
    <w:rsid w:val="00404A62"/>
    <w:rsid w:val="00406285"/>
    <w:rsid w:val="004112C6"/>
    <w:rsid w:val="00412763"/>
    <w:rsid w:val="00413D07"/>
    <w:rsid w:val="004148F9"/>
    <w:rsid w:val="00414D4A"/>
    <w:rsid w:val="0042084E"/>
    <w:rsid w:val="00421EEF"/>
    <w:rsid w:val="00424917"/>
    <w:rsid w:val="00424D65"/>
    <w:rsid w:val="00425233"/>
    <w:rsid w:val="0042685E"/>
    <w:rsid w:val="00427A56"/>
    <w:rsid w:val="00435CF5"/>
    <w:rsid w:val="004364C5"/>
    <w:rsid w:val="00437652"/>
    <w:rsid w:val="0044083F"/>
    <w:rsid w:val="00442C6C"/>
    <w:rsid w:val="00443CBE"/>
    <w:rsid w:val="00443E8A"/>
    <w:rsid w:val="0044419E"/>
    <w:rsid w:val="004441BC"/>
    <w:rsid w:val="004442FF"/>
    <w:rsid w:val="004456DC"/>
    <w:rsid w:val="004468B4"/>
    <w:rsid w:val="00450B25"/>
    <w:rsid w:val="0045230A"/>
    <w:rsid w:val="004545D8"/>
    <w:rsid w:val="00454AD0"/>
    <w:rsid w:val="00457337"/>
    <w:rsid w:val="00460041"/>
    <w:rsid w:val="00462E3D"/>
    <w:rsid w:val="00466DC1"/>
    <w:rsid w:val="00466E79"/>
    <w:rsid w:val="00470D65"/>
    <w:rsid w:val="00470D7D"/>
    <w:rsid w:val="0047372D"/>
    <w:rsid w:val="00473BA3"/>
    <w:rsid w:val="004743DD"/>
    <w:rsid w:val="00474CEA"/>
    <w:rsid w:val="00476677"/>
    <w:rsid w:val="00482144"/>
    <w:rsid w:val="00483968"/>
    <w:rsid w:val="00483D49"/>
    <w:rsid w:val="00484F86"/>
    <w:rsid w:val="004874D5"/>
    <w:rsid w:val="00490746"/>
    <w:rsid w:val="00490852"/>
    <w:rsid w:val="00491C9C"/>
    <w:rsid w:val="00492F30"/>
    <w:rsid w:val="004946F4"/>
    <w:rsid w:val="0049487E"/>
    <w:rsid w:val="00495551"/>
    <w:rsid w:val="00495F74"/>
    <w:rsid w:val="00497400"/>
    <w:rsid w:val="004A0538"/>
    <w:rsid w:val="004A0B4A"/>
    <w:rsid w:val="004A160D"/>
    <w:rsid w:val="004A3E81"/>
    <w:rsid w:val="004A4195"/>
    <w:rsid w:val="004A5C62"/>
    <w:rsid w:val="004A5CE5"/>
    <w:rsid w:val="004A707D"/>
    <w:rsid w:val="004B2C1A"/>
    <w:rsid w:val="004C371F"/>
    <w:rsid w:val="004C5541"/>
    <w:rsid w:val="004C6EEE"/>
    <w:rsid w:val="004C702B"/>
    <w:rsid w:val="004D0033"/>
    <w:rsid w:val="004D016B"/>
    <w:rsid w:val="004D1791"/>
    <w:rsid w:val="004D1B22"/>
    <w:rsid w:val="004D23CC"/>
    <w:rsid w:val="004D36F2"/>
    <w:rsid w:val="004D6D7B"/>
    <w:rsid w:val="004E1106"/>
    <w:rsid w:val="004E138F"/>
    <w:rsid w:val="004E4649"/>
    <w:rsid w:val="004E5C2B"/>
    <w:rsid w:val="004F00DD"/>
    <w:rsid w:val="004F2133"/>
    <w:rsid w:val="004F5398"/>
    <w:rsid w:val="004F55F1"/>
    <w:rsid w:val="004F5B3A"/>
    <w:rsid w:val="004F6936"/>
    <w:rsid w:val="0050221C"/>
    <w:rsid w:val="00503DC6"/>
    <w:rsid w:val="005042CE"/>
    <w:rsid w:val="00506426"/>
    <w:rsid w:val="00506F5D"/>
    <w:rsid w:val="00510261"/>
    <w:rsid w:val="00510C37"/>
    <w:rsid w:val="005126D0"/>
    <w:rsid w:val="00513AF5"/>
    <w:rsid w:val="00515614"/>
    <w:rsid w:val="0051568D"/>
    <w:rsid w:val="005206B7"/>
    <w:rsid w:val="00520B4F"/>
    <w:rsid w:val="00521C34"/>
    <w:rsid w:val="005230D7"/>
    <w:rsid w:val="00526AC7"/>
    <w:rsid w:val="00526C15"/>
    <w:rsid w:val="00530313"/>
    <w:rsid w:val="00536395"/>
    <w:rsid w:val="00536499"/>
    <w:rsid w:val="005427A2"/>
    <w:rsid w:val="00543903"/>
    <w:rsid w:val="00543F11"/>
    <w:rsid w:val="00544140"/>
    <w:rsid w:val="00546305"/>
    <w:rsid w:val="005466D0"/>
    <w:rsid w:val="00547A95"/>
    <w:rsid w:val="0055119B"/>
    <w:rsid w:val="00552A29"/>
    <w:rsid w:val="005548B5"/>
    <w:rsid w:val="00560AA0"/>
    <w:rsid w:val="00562E37"/>
    <w:rsid w:val="00567787"/>
    <w:rsid w:val="0057060F"/>
    <w:rsid w:val="00572031"/>
    <w:rsid w:val="00572282"/>
    <w:rsid w:val="00572884"/>
    <w:rsid w:val="00573CE3"/>
    <w:rsid w:val="005766A0"/>
    <w:rsid w:val="00576E84"/>
    <w:rsid w:val="00580394"/>
    <w:rsid w:val="005806CC"/>
    <w:rsid w:val="005809CD"/>
    <w:rsid w:val="00582B8C"/>
    <w:rsid w:val="0058426B"/>
    <w:rsid w:val="0058757E"/>
    <w:rsid w:val="00591C1F"/>
    <w:rsid w:val="00596A4B"/>
    <w:rsid w:val="00597507"/>
    <w:rsid w:val="005A330F"/>
    <w:rsid w:val="005A3612"/>
    <w:rsid w:val="005A37D7"/>
    <w:rsid w:val="005A479D"/>
    <w:rsid w:val="005A47B3"/>
    <w:rsid w:val="005A68CE"/>
    <w:rsid w:val="005B0E93"/>
    <w:rsid w:val="005B1C6D"/>
    <w:rsid w:val="005B21B6"/>
    <w:rsid w:val="005B3A08"/>
    <w:rsid w:val="005B7A63"/>
    <w:rsid w:val="005C0955"/>
    <w:rsid w:val="005C49DA"/>
    <w:rsid w:val="005C50F3"/>
    <w:rsid w:val="005C54B5"/>
    <w:rsid w:val="005C5D80"/>
    <w:rsid w:val="005C5D91"/>
    <w:rsid w:val="005D07B8"/>
    <w:rsid w:val="005D0CBF"/>
    <w:rsid w:val="005D3A45"/>
    <w:rsid w:val="005D6597"/>
    <w:rsid w:val="005D6A94"/>
    <w:rsid w:val="005D7E48"/>
    <w:rsid w:val="005E14E7"/>
    <w:rsid w:val="005E26A3"/>
    <w:rsid w:val="005E2ECB"/>
    <w:rsid w:val="005E447E"/>
    <w:rsid w:val="005E4FD1"/>
    <w:rsid w:val="005F0775"/>
    <w:rsid w:val="005F0CF5"/>
    <w:rsid w:val="005F21EB"/>
    <w:rsid w:val="005F3ED5"/>
    <w:rsid w:val="005F40B8"/>
    <w:rsid w:val="005F7303"/>
    <w:rsid w:val="005F74F9"/>
    <w:rsid w:val="00605908"/>
    <w:rsid w:val="00610D7C"/>
    <w:rsid w:val="00613414"/>
    <w:rsid w:val="00617832"/>
    <w:rsid w:val="00620154"/>
    <w:rsid w:val="0062408D"/>
    <w:rsid w:val="006240CC"/>
    <w:rsid w:val="00624940"/>
    <w:rsid w:val="006254F8"/>
    <w:rsid w:val="00625A7C"/>
    <w:rsid w:val="00625F2C"/>
    <w:rsid w:val="00627DA7"/>
    <w:rsid w:val="00630DA4"/>
    <w:rsid w:val="00632597"/>
    <w:rsid w:val="00633B21"/>
    <w:rsid w:val="006358B4"/>
    <w:rsid w:val="006419AA"/>
    <w:rsid w:val="00643185"/>
    <w:rsid w:val="00644B1F"/>
    <w:rsid w:val="00644B7E"/>
    <w:rsid w:val="006454E6"/>
    <w:rsid w:val="00646235"/>
    <w:rsid w:val="00646A68"/>
    <w:rsid w:val="006505BD"/>
    <w:rsid w:val="006508EA"/>
    <w:rsid w:val="0065092E"/>
    <w:rsid w:val="00653FF2"/>
    <w:rsid w:val="006557A7"/>
    <w:rsid w:val="00656290"/>
    <w:rsid w:val="006562B4"/>
    <w:rsid w:val="006608D8"/>
    <w:rsid w:val="006615C9"/>
    <w:rsid w:val="006621D7"/>
    <w:rsid w:val="0066302A"/>
    <w:rsid w:val="00664C61"/>
    <w:rsid w:val="0066514C"/>
    <w:rsid w:val="00665469"/>
    <w:rsid w:val="00665C17"/>
    <w:rsid w:val="006666AD"/>
    <w:rsid w:val="00667770"/>
    <w:rsid w:val="00670597"/>
    <w:rsid w:val="006706D0"/>
    <w:rsid w:val="0067151A"/>
    <w:rsid w:val="0067506D"/>
    <w:rsid w:val="00677574"/>
    <w:rsid w:val="00681C92"/>
    <w:rsid w:val="00683301"/>
    <w:rsid w:val="0068454C"/>
    <w:rsid w:val="0068584D"/>
    <w:rsid w:val="006908EB"/>
    <w:rsid w:val="00691B62"/>
    <w:rsid w:val="006933B5"/>
    <w:rsid w:val="00693D14"/>
    <w:rsid w:val="00695719"/>
    <w:rsid w:val="006969C4"/>
    <w:rsid w:val="00696F27"/>
    <w:rsid w:val="006A18C2"/>
    <w:rsid w:val="006A3383"/>
    <w:rsid w:val="006B077C"/>
    <w:rsid w:val="006B55FB"/>
    <w:rsid w:val="006B6803"/>
    <w:rsid w:val="006C5B8F"/>
    <w:rsid w:val="006C7E6F"/>
    <w:rsid w:val="006D0F16"/>
    <w:rsid w:val="006D2A3F"/>
    <w:rsid w:val="006D2FBC"/>
    <w:rsid w:val="006D6BFF"/>
    <w:rsid w:val="006E0541"/>
    <w:rsid w:val="006E138B"/>
    <w:rsid w:val="006E3EDB"/>
    <w:rsid w:val="006F0330"/>
    <w:rsid w:val="006F0866"/>
    <w:rsid w:val="006F1FDC"/>
    <w:rsid w:val="006F6426"/>
    <w:rsid w:val="006F65C2"/>
    <w:rsid w:val="006F6960"/>
    <w:rsid w:val="006F6B8C"/>
    <w:rsid w:val="007004FD"/>
    <w:rsid w:val="007013EF"/>
    <w:rsid w:val="007055BD"/>
    <w:rsid w:val="00707B06"/>
    <w:rsid w:val="00714D10"/>
    <w:rsid w:val="00715AE4"/>
    <w:rsid w:val="00715E01"/>
    <w:rsid w:val="00717349"/>
    <w:rsid w:val="007173CA"/>
    <w:rsid w:val="007216AA"/>
    <w:rsid w:val="00721AB5"/>
    <w:rsid w:val="00721CFB"/>
    <w:rsid w:val="00721DEF"/>
    <w:rsid w:val="0072251A"/>
    <w:rsid w:val="00723031"/>
    <w:rsid w:val="00724A43"/>
    <w:rsid w:val="00725D3B"/>
    <w:rsid w:val="007273AC"/>
    <w:rsid w:val="00731A39"/>
    <w:rsid w:val="00731AD4"/>
    <w:rsid w:val="007346E4"/>
    <w:rsid w:val="00734FCA"/>
    <w:rsid w:val="0073582E"/>
    <w:rsid w:val="00740F22"/>
    <w:rsid w:val="00741CF0"/>
    <w:rsid w:val="00741F1A"/>
    <w:rsid w:val="007447DA"/>
    <w:rsid w:val="007450F8"/>
    <w:rsid w:val="00745602"/>
    <w:rsid w:val="0074649C"/>
    <w:rsid w:val="0074696E"/>
    <w:rsid w:val="00746CAC"/>
    <w:rsid w:val="00750135"/>
    <w:rsid w:val="00750EC2"/>
    <w:rsid w:val="00752B28"/>
    <w:rsid w:val="00753127"/>
    <w:rsid w:val="007541A9"/>
    <w:rsid w:val="00754E36"/>
    <w:rsid w:val="0075755C"/>
    <w:rsid w:val="00760B0C"/>
    <w:rsid w:val="00763139"/>
    <w:rsid w:val="00764143"/>
    <w:rsid w:val="00770F37"/>
    <w:rsid w:val="007711A0"/>
    <w:rsid w:val="00772D5E"/>
    <w:rsid w:val="007736F9"/>
    <w:rsid w:val="007743F7"/>
    <w:rsid w:val="0077463E"/>
    <w:rsid w:val="00776928"/>
    <w:rsid w:val="00776E0F"/>
    <w:rsid w:val="007774B1"/>
    <w:rsid w:val="00777BE1"/>
    <w:rsid w:val="007833D8"/>
    <w:rsid w:val="00785677"/>
    <w:rsid w:val="00785CD8"/>
    <w:rsid w:val="00786F16"/>
    <w:rsid w:val="00791BD7"/>
    <w:rsid w:val="00791F8C"/>
    <w:rsid w:val="007933F7"/>
    <w:rsid w:val="00796E20"/>
    <w:rsid w:val="00797C32"/>
    <w:rsid w:val="007A11E8"/>
    <w:rsid w:val="007A3DE9"/>
    <w:rsid w:val="007A75BE"/>
    <w:rsid w:val="007B0883"/>
    <w:rsid w:val="007B0914"/>
    <w:rsid w:val="007B1374"/>
    <w:rsid w:val="007B1E9B"/>
    <w:rsid w:val="007B32E5"/>
    <w:rsid w:val="007B3DB9"/>
    <w:rsid w:val="007B589F"/>
    <w:rsid w:val="007B5FAD"/>
    <w:rsid w:val="007B6186"/>
    <w:rsid w:val="007B73BC"/>
    <w:rsid w:val="007C1838"/>
    <w:rsid w:val="007C1930"/>
    <w:rsid w:val="007C1F0D"/>
    <w:rsid w:val="007C20B9"/>
    <w:rsid w:val="007C5264"/>
    <w:rsid w:val="007C542F"/>
    <w:rsid w:val="007C62FC"/>
    <w:rsid w:val="007C6E2E"/>
    <w:rsid w:val="007C7301"/>
    <w:rsid w:val="007C7720"/>
    <w:rsid w:val="007C7859"/>
    <w:rsid w:val="007C7F28"/>
    <w:rsid w:val="007D0919"/>
    <w:rsid w:val="007D0D90"/>
    <w:rsid w:val="007D1466"/>
    <w:rsid w:val="007D1A80"/>
    <w:rsid w:val="007D2BDE"/>
    <w:rsid w:val="007D2FB6"/>
    <w:rsid w:val="007D49EB"/>
    <w:rsid w:val="007D583E"/>
    <w:rsid w:val="007D5E1C"/>
    <w:rsid w:val="007E0DE2"/>
    <w:rsid w:val="007E1227"/>
    <w:rsid w:val="007E3B98"/>
    <w:rsid w:val="007E417A"/>
    <w:rsid w:val="007E6D71"/>
    <w:rsid w:val="007E79F4"/>
    <w:rsid w:val="007F31B6"/>
    <w:rsid w:val="007F546C"/>
    <w:rsid w:val="007F625F"/>
    <w:rsid w:val="007F665E"/>
    <w:rsid w:val="00800412"/>
    <w:rsid w:val="008041B0"/>
    <w:rsid w:val="0080579C"/>
    <w:rsid w:val="0080587B"/>
    <w:rsid w:val="00806468"/>
    <w:rsid w:val="008115FB"/>
    <w:rsid w:val="008119CA"/>
    <w:rsid w:val="008130C4"/>
    <w:rsid w:val="00814DF5"/>
    <w:rsid w:val="008155F0"/>
    <w:rsid w:val="00816735"/>
    <w:rsid w:val="008173B4"/>
    <w:rsid w:val="00820141"/>
    <w:rsid w:val="008201B8"/>
    <w:rsid w:val="00820E0C"/>
    <w:rsid w:val="008213F0"/>
    <w:rsid w:val="00823275"/>
    <w:rsid w:val="00823465"/>
    <w:rsid w:val="0082366F"/>
    <w:rsid w:val="00823E6F"/>
    <w:rsid w:val="00826DEA"/>
    <w:rsid w:val="00831BE2"/>
    <w:rsid w:val="00832284"/>
    <w:rsid w:val="008338A2"/>
    <w:rsid w:val="00833F0A"/>
    <w:rsid w:val="00835FAF"/>
    <w:rsid w:val="00836A3E"/>
    <w:rsid w:val="00837648"/>
    <w:rsid w:val="00841AA9"/>
    <w:rsid w:val="008446A1"/>
    <w:rsid w:val="008474FE"/>
    <w:rsid w:val="00852595"/>
    <w:rsid w:val="00852E60"/>
    <w:rsid w:val="00853EE4"/>
    <w:rsid w:val="00855535"/>
    <w:rsid w:val="00855920"/>
    <w:rsid w:val="00857C5A"/>
    <w:rsid w:val="0086255E"/>
    <w:rsid w:val="008633F0"/>
    <w:rsid w:val="00867D9D"/>
    <w:rsid w:val="00872E0A"/>
    <w:rsid w:val="00873594"/>
    <w:rsid w:val="00875285"/>
    <w:rsid w:val="00875568"/>
    <w:rsid w:val="008770B1"/>
    <w:rsid w:val="00882C4C"/>
    <w:rsid w:val="00884B62"/>
    <w:rsid w:val="0088529C"/>
    <w:rsid w:val="008868DC"/>
    <w:rsid w:val="00886938"/>
    <w:rsid w:val="0088776A"/>
    <w:rsid w:val="00887903"/>
    <w:rsid w:val="0089149C"/>
    <w:rsid w:val="0089270A"/>
    <w:rsid w:val="00893AD8"/>
    <w:rsid w:val="00893AF6"/>
    <w:rsid w:val="00894BC4"/>
    <w:rsid w:val="008A28A8"/>
    <w:rsid w:val="008A5B32"/>
    <w:rsid w:val="008A65E8"/>
    <w:rsid w:val="008A77B8"/>
    <w:rsid w:val="008B2EE4"/>
    <w:rsid w:val="008B4D3D"/>
    <w:rsid w:val="008B572B"/>
    <w:rsid w:val="008B57C7"/>
    <w:rsid w:val="008C2F92"/>
    <w:rsid w:val="008C3697"/>
    <w:rsid w:val="008C4E1A"/>
    <w:rsid w:val="008C5557"/>
    <w:rsid w:val="008C589D"/>
    <w:rsid w:val="008C6D51"/>
    <w:rsid w:val="008C7CB1"/>
    <w:rsid w:val="008C7F37"/>
    <w:rsid w:val="008D2846"/>
    <w:rsid w:val="008D4236"/>
    <w:rsid w:val="008D4601"/>
    <w:rsid w:val="008D462F"/>
    <w:rsid w:val="008D4F30"/>
    <w:rsid w:val="008D6DCF"/>
    <w:rsid w:val="008E3D31"/>
    <w:rsid w:val="008E3DE9"/>
    <w:rsid w:val="008E4376"/>
    <w:rsid w:val="008E6AF4"/>
    <w:rsid w:val="008E6F7D"/>
    <w:rsid w:val="008E7A0A"/>
    <w:rsid w:val="008E7B49"/>
    <w:rsid w:val="008F29DB"/>
    <w:rsid w:val="008F59F6"/>
    <w:rsid w:val="008F7180"/>
    <w:rsid w:val="00900719"/>
    <w:rsid w:val="009017AC"/>
    <w:rsid w:val="00902A9A"/>
    <w:rsid w:val="00904A1C"/>
    <w:rsid w:val="00905030"/>
    <w:rsid w:val="00906490"/>
    <w:rsid w:val="009111B2"/>
    <w:rsid w:val="009131A8"/>
    <w:rsid w:val="009151F5"/>
    <w:rsid w:val="009220CA"/>
    <w:rsid w:val="00924AE1"/>
    <w:rsid w:val="0092697D"/>
    <w:rsid w:val="009269B1"/>
    <w:rsid w:val="0092724D"/>
    <w:rsid w:val="009272B3"/>
    <w:rsid w:val="009300D9"/>
    <w:rsid w:val="009315BE"/>
    <w:rsid w:val="0093171D"/>
    <w:rsid w:val="00931DD0"/>
    <w:rsid w:val="0093338F"/>
    <w:rsid w:val="00937BD9"/>
    <w:rsid w:val="009446D3"/>
    <w:rsid w:val="009447CB"/>
    <w:rsid w:val="009477B0"/>
    <w:rsid w:val="00950E2C"/>
    <w:rsid w:val="00951D50"/>
    <w:rsid w:val="009525EB"/>
    <w:rsid w:val="00953879"/>
    <w:rsid w:val="009539FB"/>
    <w:rsid w:val="0095427F"/>
    <w:rsid w:val="0095470B"/>
    <w:rsid w:val="00954874"/>
    <w:rsid w:val="00955FC7"/>
    <w:rsid w:val="0095615A"/>
    <w:rsid w:val="00957D8E"/>
    <w:rsid w:val="00961400"/>
    <w:rsid w:val="00963111"/>
    <w:rsid w:val="00963646"/>
    <w:rsid w:val="00964355"/>
    <w:rsid w:val="0096632D"/>
    <w:rsid w:val="009718C7"/>
    <w:rsid w:val="0097559F"/>
    <w:rsid w:val="0097761E"/>
    <w:rsid w:val="00982454"/>
    <w:rsid w:val="00982CF0"/>
    <w:rsid w:val="009853E1"/>
    <w:rsid w:val="00985BC6"/>
    <w:rsid w:val="00986E6B"/>
    <w:rsid w:val="00990032"/>
    <w:rsid w:val="00990B19"/>
    <w:rsid w:val="0099153B"/>
    <w:rsid w:val="00991769"/>
    <w:rsid w:val="0099232C"/>
    <w:rsid w:val="00993F23"/>
    <w:rsid w:val="009942B4"/>
    <w:rsid w:val="00994386"/>
    <w:rsid w:val="0099535D"/>
    <w:rsid w:val="009977F7"/>
    <w:rsid w:val="009A13D8"/>
    <w:rsid w:val="009A16F7"/>
    <w:rsid w:val="009A1C3F"/>
    <w:rsid w:val="009A279E"/>
    <w:rsid w:val="009A3015"/>
    <w:rsid w:val="009A3490"/>
    <w:rsid w:val="009A6287"/>
    <w:rsid w:val="009B0A6F"/>
    <w:rsid w:val="009B0A94"/>
    <w:rsid w:val="009B2AE8"/>
    <w:rsid w:val="009B3E0B"/>
    <w:rsid w:val="009B59E9"/>
    <w:rsid w:val="009B5CC1"/>
    <w:rsid w:val="009B70AA"/>
    <w:rsid w:val="009C1787"/>
    <w:rsid w:val="009C5E77"/>
    <w:rsid w:val="009C6C70"/>
    <w:rsid w:val="009C7A7E"/>
    <w:rsid w:val="009D02E8"/>
    <w:rsid w:val="009D1704"/>
    <w:rsid w:val="009D51D0"/>
    <w:rsid w:val="009D70A4"/>
    <w:rsid w:val="009D7B14"/>
    <w:rsid w:val="009E0791"/>
    <w:rsid w:val="009E08D1"/>
    <w:rsid w:val="009E1B95"/>
    <w:rsid w:val="009E297C"/>
    <w:rsid w:val="009E496F"/>
    <w:rsid w:val="009E4B0D"/>
    <w:rsid w:val="009E5250"/>
    <w:rsid w:val="009E6D88"/>
    <w:rsid w:val="009E7F92"/>
    <w:rsid w:val="009F02A3"/>
    <w:rsid w:val="009F221E"/>
    <w:rsid w:val="009F2CCB"/>
    <w:rsid w:val="009F2F27"/>
    <w:rsid w:val="009F34AA"/>
    <w:rsid w:val="009F4374"/>
    <w:rsid w:val="009F4906"/>
    <w:rsid w:val="009F543F"/>
    <w:rsid w:val="009F5E8B"/>
    <w:rsid w:val="009F6BCB"/>
    <w:rsid w:val="009F7B78"/>
    <w:rsid w:val="00A0057A"/>
    <w:rsid w:val="00A02FA1"/>
    <w:rsid w:val="00A03633"/>
    <w:rsid w:val="00A04CCE"/>
    <w:rsid w:val="00A07421"/>
    <w:rsid w:val="00A0776B"/>
    <w:rsid w:val="00A10FB9"/>
    <w:rsid w:val="00A11421"/>
    <w:rsid w:val="00A12A0E"/>
    <w:rsid w:val="00A1389F"/>
    <w:rsid w:val="00A157B1"/>
    <w:rsid w:val="00A16AA8"/>
    <w:rsid w:val="00A17F6F"/>
    <w:rsid w:val="00A22229"/>
    <w:rsid w:val="00A24442"/>
    <w:rsid w:val="00A30C3B"/>
    <w:rsid w:val="00A30FC1"/>
    <w:rsid w:val="00A330BB"/>
    <w:rsid w:val="00A3584B"/>
    <w:rsid w:val="00A35D3F"/>
    <w:rsid w:val="00A44882"/>
    <w:rsid w:val="00A45125"/>
    <w:rsid w:val="00A5377C"/>
    <w:rsid w:val="00A54715"/>
    <w:rsid w:val="00A6061C"/>
    <w:rsid w:val="00A621C1"/>
    <w:rsid w:val="00A62684"/>
    <w:rsid w:val="00A62D44"/>
    <w:rsid w:val="00A670BB"/>
    <w:rsid w:val="00A67263"/>
    <w:rsid w:val="00A7161C"/>
    <w:rsid w:val="00A7456C"/>
    <w:rsid w:val="00A74760"/>
    <w:rsid w:val="00A77AA3"/>
    <w:rsid w:val="00A80421"/>
    <w:rsid w:val="00A81E86"/>
    <w:rsid w:val="00A8236D"/>
    <w:rsid w:val="00A82974"/>
    <w:rsid w:val="00A854EB"/>
    <w:rsid w:val="00A872E5"/>
    <w:rsid w:val="00A91406"/>
    <w:rsid w:val="00A91C74"/>
    <w:rsid w:val="00A9267A"/>
    <w:rsid w:val="00A96E00"/>
    <w:rsid w:val="00A96E65"/>
    <w:rsid w:val="00A97C72"/>
    <w:rsid w:val="00AA268E"/>
    <w:rsid w:val="00AA310B"/>
    <w:rsid w:val="00AA63D4"/>
    <w:rsid w:val="00AB06E8"/>
    <w:rsid w:val="00AB1CD3"/>
    <w:rsid w:val="00AB352F"/>
    <w:rsid w:val="00AB6601"/>
    <w:rsid w:val="00AC274B"/>
    <w:rsid w:val="00AC4764"/>
    <w:rsid w:val="00AC5007"/>
    <w:rsid w:val="00AC6D36"/>
    <w:rsid w:val="00AD0CBA"/>
    <w:rsid w:val="00AD0FB2"/>
    <w:rsid w:val="00AD177A"/>
    <w:rsid w:val="00AD26E2"/>
    <w:rsid w:val="00AD784C"/>
    <w:rsid w:val="00AE126A"/>
    <w:rsid w:val="00AE1B02"/>
    <w:rsid w:val="00AE1BAE"/>
    <w:rsid w:val="00AE2DEE"/>
    <w:rsid w:val="00AE3005"/>
    <w:rsid w:val="00AE3BD5"/>
    <w:rsid w:val="00AE59A0"/>
    <w:rsid w:val="00AE6C8C"/>
    <w:rsid w:val="00AF0C57"/>
    <w:rsid w:val="00AF26F3"/>
    <w:rsid w:val="00AF3580"/>
    <w:rsid w:val="00AF5F04"/>
    <w:rsid w:val="00AF6EE6"/>
    <w:rsid w:val="00B00672"/>
    <w:rsid w:val="00B01B4D"/>
    <w:rsid w:val="00B06571"/>
    <w:rsid w:val="00B068BA"/>
    <w:rsid w:val="00B07FF7"/>
    <w:rsid w:val="00B127E6"/>
    <w:rsid w:val="00B13851"/>
    <w:rsid w:val="00B13B1C"/>
    <w:rsid w:val="00B14780"/>
    <w:rsid w:val="00B20799"/>
    <w:rsid w:val="00B21F90"/>
    <w:rsid w:val="00B22291"/>
    <w:rsid w:val="00B23F9A"/>
    <w:rsid w:val="00B2417B"/>
    <w:rsid w:val="00B24E6F"/>
    <w:rsid w:val="00B260DB"/>
    <w:rsid w:val="00B26CB5"/>
    <w:rsid w:val="00B2752E"/>
    <w:rsid w:val="00B307CC"/>
    <w:rsid w:val="00B326B7"/>
    <w:rsid w:val="00B32EA2"/>
    <w:rsid w:val="00B34B76"/>
    <w:rsid w:val="00B3588E"/>
    <w:rsid w:val="00B36404"/>
    <w:rsid w:val="00B41F3D"/>
    <w:rsid w:val="00B431E8"/>
    <w:rsid w:val="00B45141"/>
    <w:rsid w:val="00B46DE7"/>
    <w:rsid w:val="00B471FC"/>
    <w:rsid w:val="00B519CD"/>
    <w:rsid w:val="00B5273A"/>
    <w:rsid w:val="00B57329"/>
    <w:rsid w:val="00B576D3"/>
    <w:rsid w:val="00B603C4"/>
    <w:rsid w:val="00B60E61"/>
    <w:rsid w:val="00B62B50"/>
    <w:rsid w:val="00B635B7"/>
    <w:rsid w:val="00B63AE8"/>
    <w:rsid w:val="00B650D2"/>
    <w:rsid w:val="00B65950"/>
    <w:rsid w:val="00B66D83"/>
    <w:rsid w:val="00B6710C"/>
    <w:rsid w:val="00B672C0"/>
    <w:rsid w:val="00B676FD"/>
    <w:rsid w:val="00B7029D"/>
    <w:rsid w:val="00B74EFF"/>
    <w:rsid w:val="00B75646"/>
    <w:rsid w:val="00B80CA1"/>
    <w:rsid w:val="00B90029"/>
    <w:rsid w:val="00B90729"/>
    <w:rsid w:val="00B907DA"/>
    <w:rsid w:val="00B937F3"/>
    <w:rsid w:val="00B945E5"/>
    <w:rsid w:val="00B94CD5"/>
    <w:rsid w:val="00B950BC"/>
    <w:rsid w:val="00B9714C"/>
    <w:rsid w:val="00B974F6"/>
    <w:rsid w:val="00BA29AD"/>
    <w:rsid w:val="00BA33CF"/>
    <w:rsid w:val="00BA3F8D"/>
    <w:rsid w:val="00BA5775"/>
    <w:rsid w:val="00BB7A10"/>
    <w:rsid w:val="00BC39C7"/>
    <w:rsid w:val="00BC3E8F"/>
    <w:rsid w:val="00BC5BAC"/>
    <w:rsid w:val="00BC60BE"/>
    <w:rsid w:val="00BC7468"/>
    <w:rsid w:val="00BC79BA"/>
    <w:rsid w:val="00BC7D4F"/>
    <w:rsid w:val="00BC7ED7"/>
    <w:rsid w:val="00BD2850"/>
    <w:rsid w:val="00BD5345"/>
    <w:rsid w:val="00BD71F3"/>
    <w:rsid w:val="00BE1A3A"/>
    <w:rsid w:val="00BE28D2"/>
    <w:rsid w:val="00BE2B66"/>
    <w:rsid w:val="00BE4A64"/>
    <w:rsid w:val="00BE5E43"/>
    <w:rsid w:val="00BE77E5"/>
    <w:rsid w:val="00BE7F06"/>
    <w:rsid w:val="00BF081C"/>
    <w:rsid w:val="00BF254F"/>
    <w:rsid w:val="00BF30B2"/>
    <w:rsid w:val="00BF3AB1"/>
    <w:rsid w:val="00BF557D"/>
    <w:rsid w:val="00BF7621"/>
    <w:rsid w:val="00BF7F58"/>
    <w:rsid w:val="00C00717"/>
    <w:rsid w:val="00C01381"/>
    <w:rsid w:val="00C01AB1"/>
    <w:rsid w:val="00C026A0"/>
    <w:rsid w:val="00C06137"/>
    <w:rsid w:val="00C079B8"/>
    <w:rsid w:val="00C10037"/>
    <w:rsid w:val="00C121A2"/>
    <w:rsid w:val="00C123EA"/>
    <w:rsid w:val="00C12A49"/>
    <w:rsid w:val="00C133EE"/>
    <w:rsid w:val="00C14411"/>
    <w:rsid w:val="00C149D0"/>
    <w:rsid w:val="00C20283"/>
    <w:rsid w:val="00C22335"/>
    <w:rsid w:val="00C261B8"/>
    <w:rsid w:val="00C26588"/>
    <w:rsid w:val="00C27DE9"/>
    <w:rsid w:val="00C327FE"/>
    <w:rsid w:val="00C32989"/>
    <w:rsid w:val="00C33388"/>
    <w:rsid w:val="00C3437D"/>
    <w:rsid w:val="00C35484"/>
    <w:rsid w:val="00C367AE"/>
    <w:rsid w:val="00C4173A"/>
    <w:rsid w:val="00C4692C"/>
    <w:rsid w:val="00C50DED"/>
    <w:rsid w:val="00C5780E"/>
    <w:rsid w:val="00C602FF"/>
    <w:rsid w:val="00C61174"/>
    <w:rsid w:val="00C6148F"/>
    <w:rsid w:val="00C621B1"/>
    <w:rsid w:val="00C62F7A"/>
    <w:rsid w:val="00C638AD"/>
    <w:rsid w:val="00C63B9C"/>
    <w:rsid w:val="00C6682F"/>
    <w:rsid w:val="00C67397"/>
    <w:rsid w:val="00C67BF4"/>
    <w:rsid w:val="00C7275E"/>
    <w:rsid w:val="00C74C5D"/>
    <w:rsid w:val="00C8373D"/>
    <w:rsid w:val="00C863C4"/>
    <w:rsid w:val="00C8746D"/>
    <w:rsid w:val="00C920EA"/>
    <w:rsid w:val="00C934CF"/>
    <w:rsid w:val="00C93C3E"/>
    <w:rsid w:val="00C969E0"/>
    <w:rsid w:val="00CA12E3"/>
    <w:rsid w:val="00CA1476"/>
    <w:rsid w:val="00CA181F"/>
    <w:rsid w:val="00CA50CB"/>
    <w:rsid w:val="00CA6611"/>
    <w:rsid w:val="00CA6AE6"/>
    <w:rsid w:val="00CA782F"/>
    <w:rsid w:val="00CB056B"/>
    <w:rsid w:val="00CB0FC9"/>
    <w:rsid w:val="00CB187B"/>
    <w:rsid w:val="00CB2835"/>
    <w:rsid w:val="00CB3285"/>
    <w:rsid w:val="00CB4500"/>
    <w:rsid w:val="00CB7800"/>
    <w:rsid w:val="00CC0C72"/>
    <w:rsid w:val="00CC236B"/>
    <w:rsid w:val="00CC2BFD"/>
    <w:rsid w:val="00CC6500"/>
    <w:rsid w:val="00CC7C22"/>
    <w:rsid w:val="00CC7F95"/>
    <w:rsid w:val="00CD0E97"/>
    <w:rsid w:val="00CD3476"/>
    <w:rsid w:val="00CD64DF"/>
    <w:rsid w:val="00CD6FA1"/>
    <w:rsid w:val="00CE225F"/>
    <w:rsid w:val="00CF2F50"/>
    <w:rsid w:val="00CF5A41"/>
    <w:rsid w:val="00CF6198"/>
    <w:rsid w:val="00CF6D93"/>
    <w:rsid w:val="00D019C9"/>
    <w:rsid w:val="00D02919"/>
    <w:rsid w:val="00D04C61"/>
    <w:rsid w:val="00D05B8D"/>
    <w:rsid w:val="00D065A2"/>
    <w:rsid w:val="00D0674D"/>
    <w:rsid w:val="00D079AA"/>
    <w:rsid w:val="00D07D7D"/>
    <w:rsid w:val="00D07F00"/>
    <w:rsid w:val="00D1130F"/>
    <w:rsid w:val="00D13AAE"/>
    <w:rsid w:val="00D14333"/>
    <w:rsid w:val="00D17B72"/>
    <w:rsid w:val="00D2467D"/>
    <w:rsid w:val="00D301A6"/>
    <w:rsid w:val="00D30F4B"/>
    <w:rsid w:val="00D3185C"/>
    <w:rsid w:val="00D3205F"/>
    <w:rsid w:val="00D32615"/>
    <w:rsid w:val="00D3318E"/>
    <w:rsid w:val="00D33E72"/>
    <w:rsid w:val="00D35BD6"/>
    <w:rsid w:val="00D361B5"/>
    <w:rsid w:val="00D405AC"/>
    <w:rsid w:val="00D411A2"/>
    <w:rsid w:val="00D4202F"/>
    <w:rsid w:val="00D4606D"/>
    <w:rsid w:val="00D46C92"/>
    <w:rsid w:val="00D470F9"/>
    <w:rsid w:val="00D47ECC"/>
    <w:rsid w:val="00D50B9C"/>
    <w:rsid w:val="00D52D73"/>
    <w:rsid w:val="00D52E58"/>
    <w:rsid w:val="00D56B20"/>
    <w:rsid w:val="00D578B3"/>
    <w:rsid w:val="00D618F4"/>
    <w:rsid w:val="00D6261F"/>
    <w:rsid w:val="00D62A6A"/>
    <w:rsid w:val="00D631F3"/>
    <w:rsid w:val="00D66B79"/>
    <w:rsid w:val="00D66C75"/>
    <w:rsid w:val="00D714CC"/>
    <w:rsid w:val="00D7215A"/>
    <w:rsid w:val="00D75EA7"/>
    <w:rsid w:val="00D81ADF"/>
    <w:rsid w:val="00D81F21"/>
    <w:rsid w:val="00D84F83"/>
    <w:rsid w:val="00D864F2"/>
    <w:rsid w:val="00D91768"/>
    <w:rsid w:val="00D929EA"/>
    <w:rsid w:val="00D92F95"/>
    <w:rsid w:val="00D943F8"/>
    <w:rsid w:val="00D95470"/>
    <w:rsid w:val="00D95C92"/>
    <w:rsid w:val="00D96B55"/>
    <w:rsid w:val="00DA202B"/>
    <w:rsid w:val="00DA2619"/>
    <w:rsid w:val="00DA2677"/>
    <w:rsid w:val="00DA4239"/>
    <w:rsid w:val="00DA65DE"/>
    <w:rsid w:val="00DB0B61"/>
    <w:rsid w:val="00DB1474"/>
    <w:rsid w:val="00DB2962"/>
    <w:rsid w:val="00DB52FB"/>
    <w:rsid w:val="00DC013B"/>
    <w:rsid w:val="00DC090B"/>
    <w:rsid w:val="00DC1679"/>
    <w:rsid w:val="00DC219B"/>
    <w:rsid w:val="00DC2501"/>
    <w:rsid w:val="00DC2CF1"/>
    <w:rsid w:val="00DC4FCF"/>
    <w:rsid w:val="00DC50E0"/>
    <w:rsid w:val="00DC6386"/>
    <w:rsid w:val="00DC7FFC"/>
    <w:rsid w:val="00DD1130"/>
    <w:rsid w:val="00DD1951"/>
    <w:rsid w:val="00DD1954"/>
    <w:rsid w:val="00DD487D"/>
    <w:rsid w:val="00DD4E83"/>
    <w:rsid w:val="00DD52E7"/>
    <w:rsid w:val="00DD6628"/>
    <w:rsid w:val="00DD6945"/>
    <w:rsid w:val="00DD7233"/>
    <w:rsid w:val="00DD7921"/>
    <w:rsid w:val="00DE2AF4"/>
    <w:rsid w:val="00DE2D04"/>
    <w:rsid w:val="00DE3250"/>
    <w:rsid w:val="00DE451A"/>
    <w:rsid w:val="00DE6028"/>
    <w:rsid w:val="00DE78A3"/>
    <w:rsid w:val="00DF1A71"/>
    <w:rsid w:val="00DF242B"/>
    <w:rsid w:val="00DF38B5"/>
    <w:rsid w:val="00DF50FC"/>
    <w:rsid w:val="00DF68C7"/>
    <w:rsid w:val="00DF731A"/>
    <w:rsid w:val="00E033E3"/>
    <w:rsid w:val="00E0606A"/>
    <w:rsid w:val="00E06566"/>
    <w:rsid w:val="00E06B75"/>
    <w:rsid w:val="00E11332"/>
    <w:rsid w:val="00E11352"/>
    <w:rsid w:val="00E12D66"/>
    <w:rsid w:val="00E170DC"/>
    <w:rsid w:val="00E17546"/>
    <w:rsid w:val="00E210B5"/>
    <w:rsid w:val="00E261B3"/>
    <w:rsid w:val="00E26818"/>
    <w:rsid w:val="00E26DCE"/>
    <w:rsid w:val="00E27FFC"/>
    <w:rsid w:val="00E30B15"/>
    <w:rsid w:val="00E33237"/>
    <w:rsid w:val="00E338C6"/>
    <w:rsid w:val="00E36A4C"/>
    <w:rsid w:val="00E371CD"/>
    <w:rsid w:val="00E40181"/>
    <w:rsid w:val="00E419C8"/>
    <w:rsid w:val="00E50795"/>
    <w:rsid w:val="00E54950"/>
    <w:rsid w:val="00E56A01"/>
    <w:rsid w:val="00E601B1"/>
    <w:rsid w:val="00E62622"/>
    <w:rsid w:val="00E629A1"/>
    <w:rsid w:val="00E633BF"/>
    <w:rsid w:val="00E66491"/>
    <w:rsid w:val="00E6794C"/>
    <w:rsid w:val="00E71037"/>
    <w:rsid w:val="00E713DA"/>
    <w:rsid w:val="00E71591"/>
    <w:rsid w:val="00E71CEB"/>
    <w:rsid w:val="00E73587"/>
    <w:rsid w:val="00E73A2C"/>
    <w:rsid w:val="00E7438A"/>
    <w:rsid w:val="00E7474F"/>
    <w:rsid w:val="00E75DD0"/>
    <w:rsid w:val="00E80DE3"/>
    <w:rsid w:val="00E82C55"/>
    <w:rsid w:val="00E8787E"/>
    <w:rsid w:val="00E90DEB"/>
    <w:rsid w:val="00E918E8"/>
    <w:rsid w:val="00E92AC3"/>
    <w:rsid w:val="00E96EBC"/>
    <w:rsid w:val="00EA1360"/>
    <w:rsid w:val="00EA2F6A"/>
    <w:rsid w:val="00EA6850"/>
    <w:rsid w:val="00EB00E0"/>
    <w:rsid w:val="00EC059F"/>
    <w:rsid w:val="00EC1E27"/>
    <w:rsid w:val="00EC1F24"/>
    <w:rsid w:val="00EC22F6"/>
    <w:rsid w:val="00EC40D5"/>
    <w:rsid w:val="00EC5DF4"/>
    <w:rsid w:val="00ED2643"/>
    <w:rsid w:val="00ED50E6"/>
    <w:rsid w:val="00ED5B9B"/>
    <w:rsid w:val="00ED641B"/>
    <w:rsid w:val="00ED6BAD"/>
    <w:rsid w:val="00ED7447"/>
    <w:rsid w:val="00ED7E7C"/>
    <w:rsid w:val="00EE00D6"/>
    <w:rsid w:val="00EE0FF9"/>
    <w:rsid w:val="00EE11E7"/>
    <w:rsid w:val="00EE1488"/>
    <w:rsid w:val="00EE29AD"/>
    <w:rsid w:val="00EE3978"/>
    <w:rsid w:val="00EE3E24"/>
    <w:rsid w:val="00EE4D5D"/>
    <w:rsid w:val="00EE5131"/>
    <w:rsid w:val="00EE7723"/>
    <w:rsid w:val="00EF109B"/>
    <w:rsid w:val="00EF201C"/>
    <w:rsid w:val="00EF3431"/>
    <w:rsid w:val="00EF36AF"/>
    <w:rsid w:val="00EF59A3"/>
    <w:rsid w:val="00EF6592"/>
    <w:rsid w:val="00EF6675"/>
    <w:rsid w:val="00EF7E63"/>
    <w:rsid w:val="00F008D0"/>
    <w:rsid w:val="00F00F9C"/>
    <w:rsid w:val="00F01D0B"/>
    <w:rsid w:val="00F01E5F"/>
    <w:rsid w:val="00F024F3"/>
    <w:rsid w:val="00F02ABA"/>
    <w:rsid w:val="00F0437A"/>
    <w:rsid w:val="00F101B8"/>
    <w:rsid w:val="00F11037"/>
    <w:rsid w:val="00F16F1B"/>
    <w:rsid w:val="00F250A9"/>
    <w:rsid w:val="00F267AF"/>
    <w:rsid w:val="00F30FF4"/>
    <w:rsid w:val="00F3122E"/>
    <w:rsid w:val="00F32368"/>
    <w:rsid w:val="00F32B41"/>
    <w:rsid w:val="00F32F51"/>
    <w:rsid w:val="00F331AD"/>
    <w:rsid w:val="00F35287"/>
    <w:rsid w:val="00F40A70"/>
    <w:rsid w:val="00F43A37"/>
    <w:rsid w:val="00F44A3C"/>
    <w:rsid w:val="00F451AB"/>
    <w:rsid w:val="00F4641B"/>
    <w:rsid w:val="00F46EB8"/>
    <w:rsid w:val="00F506D6"/>
    <w:rsid w:val="00F50CD1"/>
    <w:rsid w:val="00F511E4"/>
    <w:rsid w:val="00F52D09"/>
    <w:rsid w:val="00F52E08"/>
    <w:rsid w:val="00F5324C"/>
    <w:rsid w:val="00F53A66"/>
    <w:rsid w:val="00F53DDD"/>
    <w:rsid w:val="00F5462D"/>
    <w:rsid w:val="00F55B21"/>
    <w:rsid w:val="00F56EF6"/>
    <w:rsid w:val="00F60082"/>
    <w:rsid w:val="00F61A9F"/>
    <w:rsid w:val="00F61B5F"/>
    <w:rsid w:val="00F62248"/>
    <w:rsid w:val="00F63E62"/>
    <w:rsid w:val="00F64696"/>
    <w:rsid w:val="00F64C7F"/>
    <w:rsid w:val="00F65AA9"/>
    <w:rsid w:val="00F65C70"/>
    <w:rsid w:val="00F6768F"/>
    <w:rsid w:val="00F72C2C"/>
    <w:rsid w:val="00F75177"/>
    <w:rsid w:val="00F7606A"/>
    <w:rsid w:val="00F76CAB"/>
    <w:rsid w:val="00F772C6"/>
    <w:rsid w:val="00F7786B"/>
    <w:rsid w:val="00F804E3"/>
    <w:rsid w:val="00F815B5"/>
    <w:rsid w:val="00F84FA0"/>
    <w:rsid w:val="00F85195"/>
    <w:rsid w:val="00F868E3"/>
    <w:rsid w:val="00F87FD4"/>
    <w:rsid w:val="00F938BA"/>
    <w:rsid w:val="00F97919"/>
    <w:rsid w:val="00FA1B81"/>
    <w:rsid w:val="00FA2C46"/>
    <w:rsid w:val="00FA2F1A"/>
    <w:rsid w:val="00FA3525"/>
    <w:rsid w:val="00FA5A53"/>
    <w:rsid w:val="00FA7268"/>
    <w:rsid w:val="00FB1756"/>
    <w:rsid w:val="00FB2551"/>
    <w:rsid w:val="00FB4769"/>
    <w:rsid w:val="00FB4CDA"/>
    <w:rsid w:val="00FB6481"/>
    <w:rsid w:val="00FB6D36"/>
    <w:rsid w:val="00FB6E88"/>
    <w:rsid w:val="00FC0965"/>
    <w:rsid w:val="00FC0F81"/>
    <w:rsid w:val="00FC252F"/>
    <w:rsid w:val="00FC395C"/>
    <w:rsid w:val="00FC543E"/>
    <w:rsid w:val="00FC5E8E"/>
    <w:rsid w:val="00FC6D26"/>
    <w:rsid w:val="00FD3766"/>
    <w:rsid w:val="00FD47C4"/>
    <w:rsid w:val="00FD5A71"/>
    <w:rsid w:val="00FD722A"/>
    <w:rsid w:val="00FD7A5B"/>
    <w:rsid w:val="00FE2DCF"/>
    <w:rsid w:val="00FE3FA7"/>
    <w:rsid w:val="00FF0A59"/>
    <w:rsid w:val="00FF188F"/>
    <w:rsid w:val="00FF2A4E"/>
    <w:rsid w:val="00FF2E19"/>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F5F7F0"/>
  <w15:docId w15:val="{96B4B3F3-0E5E-4D4C-8B07-A90BC2DE6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CC6500"/>
    <w:rPr>
      <w:rFonts w:ascii="Calibri" w:eastAsiaTheme="minorHAnsi" w:hAnsi="Calibri" w:cs="Calibri"/>
      <w:sz w:val="22"/>
      <w:szCs w:val="22"/>
      <w:lang w:eastAsia="en-US"/>
    </w:rPr>
  </w:style>
  <w:style w:type="paragraph" w:styleId="Heading1">
    <w:name w:val="heading 1"/>
    <w:next w:val="Body"/>
    <w:link w:val="Heading1Char"/>
    <w:uiPriority w:val="1"/>
    <w:qFormat/>
    <w:rsid w:val="00FF188F"/>
    <w:pPr>
      <w:keepNext/>
      <w:keepLines/>
      <w:spacing w:before="320" w:after="200" w:line="440" w:lineRule="atLeast"/>
      <w:outlineLvl w:val="0"/>
    </w:pPr>
    <w:rPr>
      <w:rFonts w:ascii="Arial" w:eastAsia="MS Gothic" w:hAnsi="Arial" w:cs="Arial"/>
      <w:bCs/>
      <w:color w:val="AF272F"/>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FF188F"/>
    <w:rPr>
      <w:rFonts w:ascii="Arial" w:eastAsia="MS Gothic" w:hAnsi="Arial" w:cs="Arial"/>
      <w:bCs/>
      <w:color w:val="AF272F"/>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FF188F"/>
    <w:pPr>
      <w:spacing w:after="240" w:line="560" w:lineRule="atLeast"/>
    </w:pPr>
    <w:rPr>
      <w:rFonts w:ascii="Arial" w:hAnsi="Arial"/>
      <w:b/>
      <w:color w:val="AF272F"/>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FF188F"/>
    <w:pPr>
      <w:spacing w:line="320" w:lineRule="atLeast"/>
    </w:pPr>
    <w:rPr>
      <w:color w:val="AF272F"/>
      <w:sz w:val="24"/>
    </w:rPr>
  </w:style>
  <w:style w:type="paragraph" w:customStyle="1" w:styleId="DHHSbody">
    <w:name w:val="DHHS body"/>
    <w:uiPriority w:val="99"/>
    <w:qFormat/>
    <w:rsid w:val="008173B4"/>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236210"/>
    <w:pPr>
      <w:spacing w:after="40"/>
      <w:ind w:left="284" w:hanging="284"/>
    </w:pPr>
  </w:style>
  <w:style w:type="paragraph" w:customStyle="1" w:styleId="DHHSbullet2">
    <w:name w:val="DHHS bullet 2"/>
    <w:basedOn w:val="DHHSbody"/>
    <w:uiPriority w:val="2"/>
    <w:qFormat/>
    <w:rsid w:val="00236210"/>
    <w:pPr>
      <w:spacing w:after="40"/>
      <w:ind w:left="567" w:hanging="283"/>
    </w:pPr>
  </w:style>
  <w:style w:type="paragraph" w:customStyle="1" w:styleId="DHHSfooter">
    <w:name w:val="DHHS footer"/>
    <w:uiPriority w:val="11"/>
    <w:rsid w:val="00236210"/>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236210"/>
  </w:style>
  <w:style w:type="paragraph" w:styleId="ListParagraph">
    <w:name w:val="List Paragraph"/>
    <w:basedOn w:val="Normal"/>
    <w:uiPriority w:val="34"/>
    <w:qFormat/>
    <w:rsid w:val="000865AF"/>
    <w:pPr>
      <w:ind w:left="720"/>
      <w:contextualSpacing/>
    </w:pPr>
  </w:style>
  <w:style w:type="paragraph" w:styleId="NormalWeb">
    <w:name w:val="Normal (Web)"/>
    <w:basedOn w:val="Normal"/>
    <w:uiPriority w:val="99"/>
    <w:semiHidden/>
    <w:unhideWhenUsed/>
    <w:rsid w:val="009F4906"/>
    <w:pPr>
      <w:spacing w:before="100" w:beforeAutospacing="1" w:after="100" w:afterAutospacing="1"/>
    </w:pPr>
    <w:rPr>
      <w:rFonts w:ascii="Times New Roman" w:hAnsi="Times New Roman"/>
      <w:sz w:val="24"/>
      <w:szCs w:val="24"/>
      <w:lang w:eastAsia="en-AU"/>
    </w:rPr>
  </w:style>
  <w:style w:type="character" w:customStyle="1" w:styleId="font-avenir">
    <w:name w:val="font-avenir"/>
    <w:basedOn w:val="DefaultParagraphFont"/>
    <w:rsid w:val="00CC6500"/>
  </w:style>
  <w:style w:type="paragraph" w:customStyle="1" w:styleId="size-141">
    <w:name w:val="size-141"/>
    <w:basedOn w:val="Normal"/>
    <w:uiPriority w:val="99"/>
    <w:rsid w:val="00CC6500"/>
    <w:pPr>
      <w:spacing w:before="100" w:beforeAutospacing="1" w:after="100" w:afterAutospacing="1" w:line="315" w:lineRule="atLeast"/>
    </w:pPr>
    <w:rPr>
      <w:rFonts w:ascii="Times New Roman" w:hAnsi="Times New Roman" w:cs="Times New Roman"/>
      <w:sz w:val="21"/>
      <w:szCs w:val="21"/>
      <w:lang w:eastAsia="en-AU"/>
    </w:rPr>
  </w:style>
  <w:style w:type="character" w:customStyle="1" w:styleId="rpl-text-label">
    <w:name w:val="rpl-text-label"/>
    <w:basedOn w:val="DefaultParagraphFont"/>
    <w:rsid w:val="0099535D"/>
  </w:style>
  <w:style w:type="character" w:customStyle="1" w:styleId="rpl-text-icongroup">
    <w:name w:val="rpl-text-icon__group"/>
    <w:basedOn w:val="DefaultParagraphFont"/>
    <w:rsid w:val="0099535D"/>
  </w:style>
  <w:style w:type="character" w:customStyle="1" w:styleId="rpl-document-linktitle">
    <w:name w:val="rpl-document-link__title"/>
    <w:basedOn w:val="DefaultParagraphFont"/>
    <w:rsid w:val="0099535D"/>
  </w:style>
  <w:style w:type="character" w:customStyle="1" w:styleId="rpl-document-linktype">
    <w:name w:val="rpl-document-link__type"/>
    <w:basedOn w:val="DefaultParagraphFont"/>
    <w:rsid w:val="0099535D"/>
  </w:style>
  <w:style w:type="character" w:customStyle="1" w:styleId="rpl-document-linksize">
    <w:name w:val="rpl-document-link__size"/>
    <w:basedOn w:val="DefaultParagraphFont"/>
    <w:rsid w:val="0099535D"/>
  </w:style>
  <w:style w:type="paragraph" w:customStyle="1" w:styleId="Default">
    <w:name w:val="Default"/>
    <w:rsid w:val="00E371CD"/>
    <w:pPr>
      <w:autoSpaceDE w:val="0"/>
      <w:autoSpaceDN w:val="0"/>
      <w:adjustRightInd w:val="0"/>
    </w:pPr>
    <w:rPr>
      <w:rFonts w:ascii="Calibri" w:hAnsi="Calibri" w:cs="Calibri"/>
      <w:color w:val="000000"/>
      <w:sz w:val="24"/>
      <w:szCs w:val="24"/>
    </w:rPr>
  </w:style>
  <w:style w:type="character" w:customStyle="1" w:styleId="author">
    <w:name w:val="author"/>
    <w:basedOn w:val="DefaultParagraphFont"/>
    <w:rsid w:val="008D4601"/>
  </w:style>
  <w:style w:type="character" w:customStyle="1" w:styleId="articletitle">
    <w:name w:val="articletitle"/>
    <w:basedOn w:val="DefaultParagraphFont"/>
    <w:rsid w:val="008D4601"/>
  </w:style>
  <w:style w:type="character" w:customStyle="1" w:styleId="pubyear">
    <w:name w:val="pubyear"/>
    <w:basedOn w:val="DefaultParagraphFont"/>
    <w:rsid w:val="008D4601"/>
  </w:style>
  <w:style w:type="character" w:customStyle="1" w:styleId="vol">
    <w:name w:val="vol"/>
    <w:basedOn w:val="DefaultParagraphFont"/>
    <w:rsid w:val="008D4601"/>
  </w:style>
  <w:style w:type="character" w:customStyle="1" w:styleId="pagefirst">
    <w:name w:val="pagefirst"/>
    <w:basedOn w:val="DefaultParagraphFont"/>
    <w:rsid w:val="008D4601"/>
  </w:style>
  <w:style w:type="character" w:customStyle="1" w:styleId="pagelast">
    <w:name w:val="pagelast"/>
    <w:basedOn w:val="DefaultParagraphFont"/>
    <w:rsid w:val="008D4601"/>
  </w:style>
  <w:style w:type="paragraph" w:customStyle="1" w:styleId="DHHStablecaption">
    <w:name w:val="DHHS table caption"/>
    <w:next w:val="DHHSbody"/>
    <w:uiPriority w:val="3"/>
    <w:qFormat/>
    <w:rsid w:val="0018502F"/>
    <w:pPr>
      <w:keepNext/>
      <w:keepLines/>
      <w:spacing w:before="240" w:after="120" w:line="240" w:lineRule="atLeast"/>
    </w:pPr>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98647">
      <w:bodyDiv w:val="1"/>
      <w:marLeft w:val="0"/>
      <w:marRight w:val="0"/>
      <w:marTop w:val="0"/>
      <w:marBottom w:val="0"/>
      <w:divBdr>
        <w:top w:val="none" w:sz="0" w:space="0" w:color="auto"/>
        <w:left w:val="none" w:sz="0" w:space="0" w:color="auto"/>
        <w:bottom w:val="none" w:sz="0" w:space="0" w:color="auto"/>
        <w:right w:val="none" w:sz="0" w:space="0" w:color="auto"/>
      </w:divBdr>
    </w:div>
    <w:div w:id="81724020">
      <w:bodyDiv w:val="1"/>
      <w:marLeft w:val="0"/>
      <w:marRight w:val="0"/>
      <w:marTop w:val="0"/>
      <w:marBottom w:val="0"/>
      <w:divBdr>
        <w:top w:val="none" w:sz="0" w:space="0" w:color="auto"/>
        <w:left w:val="none" w:sz="0" w:space="0" w:color="auto"/>
        <w:bottom w:val="none" w:sz="0" w:space="0" w:color="auto"/>
        <w:right w:val="none" w:sz="0" w:space="0" w:color="auto"/>
      </w:divBdr>
      <w:divsChild>
        <w:div w:id="613487124">
          <w:marLeft w:val="0"/>
          <w:marRight w:val="0"/>
          <w:marTop w:val="0"/>
          <w:marBottom w:val="0"/>
          <w:divBdr>
            <w:top w:val="none" w:sz="0" w:space="0" w:color="auto"/>
            <w:left w:val="none" w:sz="0" w:space="0" w:color="auto"/>
            <w:bottom w:val="none" w:sz="0" w:space="0" w:color="auto"/>
            <w:right w:val="none" w:sz="0" w:space="0" w:color="auto"/>
          </w:divBdr>
        </w:div>
        <w:div w:id="489448308">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8235789">
      <w:bodyDiv w:val="1"/>
      <w:marLeft w:val="0"/>
      <w:marRight w:val="0"/>
      <w:marTop w:val="0"/>
      <w:marBottom w:val="0"/>
      <w:divBdr>
        <w:top w:val="none" w:sz="0" w:space="0" w:color="auto"/>
        <w:left w:val="none" w:sz="0" w:space="0" w:color="auto"/>
        <w:bottom w:val="none" w:sz="0" w:space="0" w:color="auto"/>
        <w:right w:val="none" w:sz="0" w:space="0" w:color="auto"/>
      </w:divBdr>
    </w:div>
    <w:div w:id="148912185">
      <w:bodyDiv w:val="1"/>
      <w:marLeft w:val="0"/>
      <w:marRight w:val="0"/>
      <w:marTop w:val="0"/>
      <w:marBottom w:val="0"/>
      <w:divBdr>
        <w:top w:val="none" w:sz="0" w:space="0" w:color="auto"/>
        <w:left w:val="none" w:sz="0" w:space="0" w:color="auto"/>
        <w:bottom w:val="none" w:sz="0" w:space="0" w:color="auto"/>
        <w:right w:val="none" w:sz="0" w:space="0" w:color="auto"/>
      </w:divBdr>
    </w:div>
    <w:div w:id="163713154">
      <w:bodyDiv w:val="1"/>
      <w:marLeft w:val="0"/>
      <w:marRight w:val="0"/>
      <w:marTop w:val="0"/>
      <w:marBottom w:val="0"/>
      <w:divBdr>
        <w:top w:val="none" w:sz="0" w:space="0" w:color="auto"/>
        <w:left w:val="none" w:sz="0" w:space="0" w:color="auto"/>
        <w:bottom w:val="none" w:sz="0" w:space="0" w:color="auto"/>
        <w:right w:val="none" w:sz="0" w:space="0" w:color="auto"/>
      </w:divBdr>
    </w:div>
    <w:div w:id="18887668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4577777">
      <w:bodyDiv w:val="1"/>
      <w:marLeft w:val="0"/>
      <w:marRight w:val="0"/>
      <w:marTop w:val="0"/>
      <w:marBottom w:val="0"/>
      <w:divBdr>
        <w:top w:val="none" w:sz="0" w:space="0" w:color="auto"/>
        <w:left w:val="none" w:sz="0" w:space="0" w:color="auto"/>
        <w:bottom w:val="none" w:sz="0" w:space="0" w:color="auto"/>
        <w:right w:val="none" w:sz="0" w:space="0" w:color="auto"/>
      </w:divBdr>
    </w:div>
    <w:div w:id="432362700">
      <w:bodyDiv w:val="1"/>
      <w:marLeft w:val="0"/>
      <w:marRight w:val="0"/>
      <w:marTop w:val="0"/>
      <w:marBottom w:val="0"/>
      <w:divBdr>
        <w:top w:val="none" w:sz="0" w:space="0" w:color="auto"/>
        <w:left w:val="none" w:sz="0" w:space="0" w:color="auto"/>
        <w:bottom w:val="none" w:sz="0" w:space="0" w:color="auto"/>
        <w:right w:val="none" w:sz="0" w:space="0" w:color="auto"/>
      </w:divBdr>
      <w:divsChild>
        <w:div w:id="1388720699">
          <w:marLeft w:val="547"/>
          <w:marRight w:val="0"/>
          <w:marTop w:val="160"/>
          <w:marBottom w:val="160"/>
          <w:divBdr>
            <w:top w:val="none" w:sz="0" w:space="0" w:color="auto"/>
            <w:left w:val="none" w:sz="0" w:space="0" w:color="auto"/>
            <w:bottom w:val="none" w:sz="0" w:space="0" w:color="auto"/>
            <w:right w:val="none" w:sz="0" w:space="0" w:color="auto"/>
          </w:divBdr>
        </w:div>
      </w:divsChild>
    </w:div>
    <w:div w:id="438569791">
      <w:bodyDiv w:val="1"/>
      <w:marLeft w:val="0"/>
      <w:marRight w:val="0"/>
      <w:marTop w:val="0"/>
      <w:marBottom w:val="0"/>
      <w:divBdr>
        <w:top w:val="none" w:sz="0" w:space="0" w:color="auto"/>
        <w:left w:val="none" w:sz="0" w:space="0" w:color="auto"/>
        <w:bottom w:val="none" w:sz="0" w:space="0" w:color="auto"/>
        <w:right w:val="none" w:sz="0" w:space="0" w:color="auto"/>
      </w:divBdr>
    </w:div>
    <w:div w:id="446434029">
      <w:bodyDiv w:val="1"/>
      <w:marLeft w:val="0"/>
      <w:marRight w:val="0"/>
      <w:marTop w:val="0"/>
      <w:marBottom w:val="0"/>
      <w:divBdr>
        <w:top w:val="none" w:sz="0" w:space="0" w:color="auto"/>
        <w:left w:val="none" w:sz="0" w:space="0" w:color="auto"/>
        <w:bottom w:val="none" w:sz="0" w:space="0" w:color="auto"/>
        <w:right w:val="none" w:sz="0" w:space="0" w:color="auto"/>
      </w:divBdr>
    </w:div>
    <w:div w:id="460341146">
      <w:bodyDiv w:val="1"/>
      <w:marLeft w:val="0"/>
      <w:marRight w:val="0"/>
      <w:marTop w:val="0"/>
      <w:marBottom w:val="0"/>
      <w:divBdr>
        <w:top w:val="none" w:sz="0" w:space="0" w:color="auto"/>
        <w:left w:val="none" w:sz="0" w:space="0" w:color="auto"/>
        <w:bottom w:val="none" w:sz="0" w:space="0" w:color="auto"/>
        <w:right w:val="none" w:sz="0" w:space="0" w:color="auto"/>
      </w:divBdr>
    </w:div>
    <w:div w:id="553009307">
      <w:bodyDiv w:val="1"/>
      <w:marLeft w:val="0"/>
      <w:marRight w:val="0"/>
      <w:marTop w:val="0"/>
      <w:marBottom w:val="0"/>
      <w:divBdr>
        <w:top w:val="none" w:sz="0" w:space="0" w:color="auto"/>
        <w:left w:val="none" w:sz="0" w:space="0" w:color="auto"/>
        <w:bottom w:val="none" w:sz="0" w:space="0" w:color="auto"/>
        <w:right w:val="none" w:sz="0" w:space="0" w:color="auto"/>
      </w:divBdr>
    </w:div>
    <w:div w:id="554507173">
      <w:bodyDiv w:val="1"/>
      <w:marLeft w:val="0"/>
      <w:marRight w:val="0"/>
      <w:marTop w:val="0"/>
      <w:marBottom w:val="0"/>
      <w:divBdr>
        <w:top w:val="none" w:sz="0" w:space="0" w:color="auto"/>
        <w:left w:val="none" w:sz="0" w:space="0" w:color="auto"/>
        <w:bottom w:val="none" w:sz="0" w:space="0" w:color="auto"/>
        <w:right w:val="none" w:sz="0" w:space="0" w:color="auto"/>
      </w:divBdr>
    </w:div>
    <w:div w:id="581328992">
      <w:bodyDiv w:val="1"/>
      <w:marLeft w:val="0"/>
      <w:marRight w:val="0"/>
      <w:marTop w:val="0"/>
      <w:marBottom w:val="0"/>
      <w:divBdr>
        <w:top w:val="none" w:sz="0" w:space="0" w:color="auto"/>
        <w:left w:val="none" w:sz="0" w:space="0" w:color="auto"/>
        <w:bottom w:val="none" w:sz="0" w:space="0" w:color="auto"/>
        <w:right w:val="none" w:sz="0" w:space="0" w:color="auto"/>
      </w:divBdr>
    </w:div>
    <w:div w:id="595215348">
      <w:bodyDiv w:val="1"/>
      <w:marLeft w:val="0"/>
      <w:marRight w:val="0"/>
      <w:marTop w:val="0"/>
      <w:marBottom w:val="0"/>
      <w:divBdr>
        <w:top w:val="none" w:sz="0" w:space="0" w:color="auto"/>
        <w:left w:val="none" w:sz="0" w:space="0" w:color="auto"/>
        <w:bottom w:val="none" w:sz="0" w:space="0" w:color="auto"/>
        <w:right w:val="none" w:sz="0" w:space="0" w:color="auto"/>
      </w:divBdr>
    </w:div>
    <w:div w:id="597374292">
      <w:bodyDiv w:val="1"/>
      <w:marLeft w:val="0"/>
      <w:marRight w:val="0"/>
      <w:marTop w:val="0"/>
      <w:marBottom w:val="0"/>
      <w:divBdr>
        <w:top w:val="none" w:sz="0" w:space="0" w:color="auto"/>
        <w:left w:val="none" w:sz="0" w:space="0" w:color="auto"/>
        <w:bottom w:val="none" w:sz="0" w:space="0" w:color="auto"/>
        <w:right w:val="none" w:sz="0" w:space="0" w:color="auto"/>
      </w:divBdr>
    </w:div>
    <w:div w:id="634523589">
      <w:bodyDiv w:val="1"/>
      <w:marLeft w:val="0"/>
      <w:marRight w:val="0"/>
      <w:marTop w:val="0"/>
      <w:marBottom w:val="0"/>
      <w:divBdr>
        <w:top w:val="none" w:sz="0" w:space="0" w:color="auto"/>
        <w:left w:val="none" w:sz="0" w:space="0" w:color="auto"/>
        <w:bottom w:val="none" w:sz="0" w:space="0" w:color="auto"/>
        <w:right w:val="none" w:sz="0" w:space="0" w:color="auto"/>
      </w:divBdr>
    </w:div>
    <w:div w:id="645205315">
      <w:bodyDiv w:val="1"/>
      <w:marLeft w:val="0"/>
      <w:marRight w:val="0"/>
      <w:marTop w:val="0"/>
      <w:marBottom w:val="0"/>
      <w:divBdr>
        <w:top w:val="none" w:sz="0" w:space="0" w:color="auto"/>
        <w:left w:val="none" w:sz="0" w:space="0" w:color="auto"/>
        <w:bottom w:val="none" w:sz="0" w:space="0" w:color="auto"/>
        <w:right w:val="none" w:sz="0" w:space="0" w:color="auto"/>
      </w:divBdr>
    </w:div>
    <w:div w:id="732196501">
      <w:bodyDiv w:val="1"/>
      <w:marLeft w:val="0"/>
      <w:marRight w:val="0"/>
      <w:marTop w:val="0"/>
      <w:marBottom w:val="0"/>
      <w:divBdr>
        <w:top w:val="none" w:sz="0" w:space="0" w:color="auto"/>
        <w:left w:val="none" w:sz="0" w:space="0" w:color="auto"/>
        <w:bottom w:val="none" w:sz="0" w:space="0" w:color="auto"/>
        <w:right w:val="none" w:sz="0" w:space="0" w:color="auto"/>
      </w:divBdr>
    </w:div>
    <w:div w:id="81194227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5391040">
      <w:bodyDiv w:val="1"/>
      <w:marLeft w:val="0"/>
      <w:marRight w:val="0"/>
      <w:marTop w:val="0"/>
      <w:marBottom w:val="0"/>
      <w:divBdr>
        <w:top w:val="none" w:sz="0" w:space="0" w:color="auto"/>
        <w:left w:val="none" w:sz="0" w:space="0" w:color="auto"/>
        <w:bottom w:val="none" w:sz="0" w:space="0" w:color="auto"/>
        <w:right w:val="none" w:sz="0" w:space="0" w:color="auto"/>
      </w:divBdr>
    </w:div>
    <w:div w:id="863635423">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261456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47471709">
      <w:bodyDiv w:val="1"/>
      <w:marLeft w:val="0"/>
      <w:marRight w:val="0"/>
      <w:marTop w:val="0"/>
      <w:marBottom w:val="0"/>
      <w:divBdr>
        <w:top w:val="none" w:sz="0" w:space="0" w:color="auto"/>
        <w:left w:val="none" w:sz="0" w:space="0" w:color="auto"/>
        <w:bottom w:val="none" w:sz="0" w:space="0" w:color="auto"/>
        <w:right w:val="none" w:sz="0" w:space="0" w:color="auto"/>
      </w:divBdr>
    </w:div>
    <w:div w:id="1156914125">
      <w:bodyDiv w:val="1"/>
      <w:marLeft w:val="0"/>
      <w:marRight w:val="0"/>
      <w:marTop w:val="0"/>
      <w:marBottom w:val="0"/>
      <w:divBdr>
        <w:top w:val="none" w:sz="0" w:space="0" w:color="auto"/>
        <w:left w:val="none" w:sz="0" w:space="0" w:color="auto"/>
        <w:bottom w:val="none" w:sz="0" w:space="0" w:color="auto"/>
        <w:right w:val="none" w:sz="0" w:space="0" w:color="auto"/>
      </w:divBdr>
    </w:div>
    <w:div w:id="1212305228">
      <w:bodyDiv w:val="1"/>
      <w:marLeft w:val="0"/>
      <w:marRight w:val="0"/>
      <w:marTop w:val="0"/>
      <w:marBottom w:val="0"/>
      <w:divBdr>
        <w:top w:val="none" w:sz="0" w:space="0" w:color="auto"/>
        <w:left w:val="none" w:sz="0" w:space="0" w:color="auto"/>
        <w:bottom w:val="none" w:sz="0" w:space="0" w:color="auto"/>
        <w:right w:val="none" w:sz="0" w:space="0" w:color="auto"/>
      </w:divBdr>
    </w:div>
    <w:div w:id="1278222858">
      <w:bodyDiv w:val="1"/>
      <w:marLeft w:val="0"/>
      <w:marRight w:val="0"/>
      <w:marTop w:val="0"/>
      <w:marBottom w:val="0"/>
      <w:divBdr>
        <w:top w:val="none" w:sz="0" w:space="0" w:color="auto"/>
        <w:left w:val="none" w:sz="0" w:space="0" w:color="auto"/>
        <w:bottom w:val="none" w:sz="0" w:space="0" w:color="auto"/>
        <w:right w:val="none" w:sz="0" w:space="0" w:color="auto"/>
      </w:divBdr>
    </w:div>
    <w:div w:id="1366366713">
      <w:bodyDiv w:val="1"/>
      <w:marLeft w:val="0"/>
      <w:marRight w:val="0"/>
      <w:marTop w:val="0"/>
      <w:marBottom w:val="0"/>
      <w:divBdr>
        <w:top w:val="none" w:sz="0" w:space="0" w:color="auto"/>
        <w:left w:val="none" w:sz="0" w:space="0" w:color="auto"/>
        <w:bottom w:val="none" w:sz="0" w:space="0" w:color="auto"/>
        <w:right w:val="none" w:sz="0" w:space="0" w:color="auto"/>
      </w:divBdr>
    </w:div>
    <w:div w:id="137789574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1027536">
      <w:bodyDiv w:val="1"/>
      <w:marLeft w:val="0"/>
      <w:marRight w:val="0"/>
      <w:marTop w:val="0"/>
      <w:marBottom w:val="0"/>
      <w:divBdr>
        <w:top w:val="none" w:sz="0" w:space="0" w:color="auto"/>
        <w:left w:val="none" w:sz="0" w:space="0" w:color="auto"/>
        <w:bottom w:val="none" w:sz="0" w:space="0" w:color="auto"/>
        <w:right w:val="none" w:sz="0" w:space="0" w:color="auto"/>
      </w:divBdr>
    </w:div>
    <w:div w:id="1431926293">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072698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7962856">
      <w:bodyDiv w:val="1"/>
      <w:marLeft w:val="0"/>
      <w:marRight w:val="0"/>
      <w:marTop w:val="0"/>
      <w:marBottom w:val="0"/>
      <w:divBdr>
        <w:top w:val="none" w:sz="0" w:space="0" w:color="auto"/>
        <w:left w:val="none" w:sz="0" w:space="0" w:color="auto"/>
        <w:bottom w:val="none" w:sz="0" w:space="0" w:color="auto"/>
        <w:right w:val="none" w:sz="0" w:space="0" w:color="auto"/>
      </w:divBdr>
    </w:div>
    <w:div w:id="1522477348">
      <w:bodyDiv w:val="1"/>
      <w:marLeft w:val="0"/>
      <w:marRight w:val="0"/>
      <w:marTop w:val="0"/>
      <w:marBottom w:val="0"/>
      <w:divBdr>
        <w:top w:val="none" w:sz="0" w:space="0" w:color="auto"/>
        <w:left w:val="none" w:sz="0" w:space="0" w:color="auto"/>
        <w:bottom w:val="none" w:sz="0" w:space="0" w:color="auto"/>
        <w:right w:val="none" w:sz="0" w:space="0" w:color="auto"/>
      </w:divBdr>
    </w:div>
    <w:div w:id="1536850694">
      <w:bodyDiv w:val="1"/>
      <w:marLeft w:val="0"/>
      <w:marRight w:val="0"/>
      <w:marTop w:val="0"/>
      <w:marBottom w:val="0"/>
      <w:divBdr>
        <w:top w:val="none" w:sz="0" w:space="0" w:color="auto"/>
        <w:left w:val="none" w:sz="0" w:space="0" w:color="auto"/>
        <w:bottom w:val="none" w:sz="0" w:space="0" w:color="auto"/>
        <w:right w:val="none" w:sz="0" w:space="0" w:color="auto"/>
      </w:divBdr>
    </w:div>
    <w:div w:id="1551458683">
      <w:bodyDiv w:val="1"/>
      <w:marLeft w:val="0"/>
      <w:marRight w:val="0"/>
      <w:marTop w:val="0"/>
      <w:marBottom w:val="0"/>
      <w:divBdr>
        <w:top w:val="none" w:sz="0" w:space="0" w:color="auto"/>
        <w:left w:val="none" w:sz="0" w:space="0" w:color="auto"/>
        <w:bottom w:val="none" w:sz="0" w:space="0" w:color="auto"/>
        <w:right w:val="none" w:sz="0" w:space="0" w:color="auto"/>
      </w:divBdr>
    </w:div>
    <w:div w:id="156934505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2349326">
      <w:bodyDiv w:val="1"/>
      <w:marLeft w:val="0"/>
      <w:marRight w:val="0"/>
      <w:marTop w:val="0"/>
      <w:marBottom w:val="0"/>
      <w:divBdr>
        <w:top w:val="none" w:sz="0" w:space="0" w:color="auto"/>
        <w:left w:val="none" w:sz="0" w:space="0" w:color="auto"/>
        <w:bottom w:val="none" w:sz="0" w:space="0" w:color="auto"/>
        <w:right w:val="none" w:sz="0" w:space="0" w:color="auto"/>
      </w:divBdr>
    </w:div>
    <w:div w:id="1623149514">
      <w:bodyDiv w:val="1"/>
      <w:marLeft w:val="0"/>
      <w:marRight w:val="0"/>
      <w:marTop w:val="0"/>
      <w:marBottom w:val="0"/>
      <w:divBdr>
        <w:top w:val="none" w:sz="0" w:space="0" w:color="auto"/>
        <w:left w:val="none" w:sz="0" w:space="0" w:color="auto"/>
        <w:bottom w:val="none" w:sz="0" w:space="0" w:color="auto"/>
        <w:right w:val="none" w:sz="0" w:space="0" w:color="auto"/>
      </w:divBdr>
    </w:div>
    <w:div w:id="1631592334">
      <w:bodyDiv w:val="1"/>
      <w:marLeft w:val="0"/>
      <w:marRight w:val="0"/>
      <w:marTop w:val="0"/>
      <w:marBottom w:val="0"/>
      <w:divBdr>
        <w:top w:val="none" w:sz="0" w:space="0" w:color="auto"/>
        <w:left w:val="none" w:sz="0" w:space="0" w:color="auto"/>
        <w:bottom w:val="none" w:sz="0" w:space="0" w:color="auto"/>
        <w:right w:val="none" w:sz="0" w:space="0" w:color="auto"/>
      </w:divBdr>
    </w:div>
    <w:div w:id="1642730989">
      <w:bodyDiv w:val="1"/>
      <w:marLeft w:val="0"/>
      <w:marRight w:val="0"/>
      <w:marTop w:val="0"/>
      <w:marBottom w:val="0"/>
      <w:divBdr>
        <w:top w:val="none" w:sz="0" w:space="0" w:color="auto"/>
        <w:left w:val="none" w:sz="0" w:space="0" w:color="auto"/>
        <w:bottom w:val="none" w:sz="0" w:space="0" w:color="auto"/>
        <w:right w:val="none" w:sz="0" w:space="0" w:color="auto"/>
      </w:divBdr>
    </w:div>
    <w:div w:id="1686595090">
      <w:bodyDiv w:val="1"/>
      <w:marLeft w:val="0"/>
      <w:marRight w:val="0"/>
      <w:marTop w:val="0"/>
      <w:marBottom w:val="0"/>
      <w:divBdr>
        <w:top w:val="none" w:sz="0" w:space="0" w:color="auto"/>
        <w:left w:val="none" w:sz="0" w:space="0" w:color="auto"/>
        <w:bottom w:val="none" w:sz="0" w:space="0" w:color="auto"/>
        <w:right w:val="none" w:sz="0" w:space="0" w:color="auto"/>
      </w:divBdr>
    </w:div>
    <w:div w:id="1727290222">
      <w:bodyDiv w:val="1"/>
      <w:marLeft w:val="0"/>
      <w:marRight w:val="0"/>
      <w:marTop w:val="0"/>
      <w:marBottom w:val="0"/>
      <w:divBdr>
        <w:top w:val="none" w:sz="0" w:space="0" w:color="auto"/>
        <w:left w:val="none" w:sz="0" w:space="0" w:color="auto"/>
        <w:bottom w:val="none" w:sz="0" w:space="0" w:color="auto"/>
        <w:right w:val="none" w:sz="0" w:space="0" w:color="auto"/>
      </w:divBdr>
    </w:div>
    <w:div w:id="1737439318">
      <w:bodyDiv w:val="1"/>
      <w:marLeft w:val="0"/>
      <w:marRight w:val="0"/>
      <w:marTop w:val="0"/>
      <w:marBottom w:val="0"/>
      <w:divBdr>
        <w:top w:val="none" w:sz="0" w:space="0" w:color="auto"/>
        <w:left w:val="none" w:sz="0" w:space="0" w:color="auto"/>
        <w:bottom w:val="none" w:sz="0" w:space="0" w:color="auto"/>
        <w:right w:val="none" w:sz="0" w:space="0" w:color="auto"/>
      </w:divBdr>
      <w:divsChild>
        <w:div w:id="95518089">
          <w:marLeft w:val="0"/>
          <w:marRight w:val="0"/>
          <w:marTop w:val="0"/>
          <w:marBottom w:val="0"/>
          <w:divBdr>
            <w:top w:val="none" w:sz="0" w:space="0" w:color="auto"/>
            <w:left w:val="none" w:sz="0" w:space="0" w:color="auto"/>
            <w:bottom w:val="none" w:sz="0" w:space="0" w:color="auto"/>
            <w:right w:val="none" w:sz="0" w:space="0" w:color="auto"/>
          </w:divBdr>
          <w:divsChild>
            <w:div w:id="73019052">
              <w:marLeft w:val="0"/>
              <w:marRight w:val="0"/>
              <w:marTop w:val="0"/>
              <w:marBottom w:val="0"/>
              <w:divBdr>
                <w:top w:val="none" w:sz="0" w:space="0" w:color="auto"/>
                <w:left w:val="none" w:sz="0" w:space="0" w:color="auto"/>
                <w:bottom w:val="none" w:sz="0" w:space="0" w:color="auto"/>
                <w:right w:val="none" w:sz="0" w:space="0" w:color="auto"/>
              </w:divBdr>
              <w:divsChild>
                <w:div w:id="799498053">
                  <w:marLeft w:val="0"/>
                  <w:marRight w:val="0"/>
                  <w:marTop w:val="0"/>
                  <w:marBottom w:val="0"/>
                  <w:divBdr>
                    <w:top w:val="none" w:sz="0" w:space="0" w:color="auto"/>
                    <w:left w:val="none" w:sz="0" w:space="0" w:color="auto"/>
                    <w:bottom w:val="none" w:sz="0" w:space="0" w:color="auto"/>
                    <w:right w:val="none" w:sz="0" w:space="0" w:color="auto"/>
                  </w:divBdr>
                  <w:divsChild>
                    <w:div w:id="178472619">
                      <w:marLeft w:val="0"/>
                      <w:marRight w:val="0"/>
                      <w:marTop w:val="0"/>
                      <w:marBottom w:val="0"/>
                      <w:divBdr>
                        <w:top w:val="none" w:sz="0" w:space="0" w:color="C63663"/>
                        <w:left w:val="none" w:sz="0" w:space="0" w:color="auto"/>
                        <w:bottom w:val="none" w:sz="0" w:space="0" w:color="C63663"/>
                        <w:right w:val="none" w:sz="0" w:space="0" w:color="C63663"/>
                      </w:divBdr>
                    </w:div>
                  </w:divsChild>
                </w:div>
              </w:divsChild>
            </w:div>
          </w:divsChild>
        </w:div>
        <w:div w:id="1234663862">
          <w:marLeft w:val="0"/>
          <w:marRight w:val="0"/>
          <w:marTop w:val="0"/>
          <w:marBottom w:val="0"/>
          <w:divBdr>
            <w:top w:val="none" w:sz="0" w:space="0" w:color="auto"/>
            <w:left w:val="none" w:sz="0" w:space="0" w:color="auto"/>
            <w:bottom w:val="none" w:sz="0" w:space="0" w:color="auto"/>
            <w:right w:val="none" w:sz="0" w:space="0" w:color="auto"/>
          </w:divBdr>
          <w:divsChild>
            <w:div w:id="1223516045">
              <w:marLeft w:val="0"/>
              <w:marRight w:val="0"/>
              <w:marTop w:val="0"/>
              <w:marBottom w:val="0"/>
              <w:divBdr>
                <w:top w:val="none" w:sz="0" w:space="0" w:color="auto"/>
                <w:left w:val="none" w:sz="0" w:space="0" w:color="auto"/>
                <w:bottom w:val="none" w:sz="0" w:space="0" w:color="auto"/>
                <w:right w:val="none" w:sz="0" w:space="0" w:color="auto"/>
              </w:divBdr>
              <w:divsChild>
                <w:div w:id="2045059833">
                  <w:marLeft w:val="0"/>
                  <w:marRight w:val="0"/>
                  <w:marTop w:val="0"/>
                  <w:marBottom w:val="0"/>
                  <w:divBdr>
                    <w:top w:val="none" w:sz="0" w:space="0" w:color="auto"/>
                    <w:left w:val="none" w:sz="0" w:space="0" w:color="auto"/>
                    <w:bottom w:val="none" w:sz="0" w:space="0" w:color="auto"/>
                    <w:right w:val="none" w:sz="0" w:space="0" w:color="auto"/>
                  </w:divBdr>
                  <w:divsChild>
                    <w:div w:id="200868506">
                      <w:marLeft w:val="0"/>
                      <w:marRight w:val="0"/>
                      <w:marTop w:val="0"/>
                      <w:marBottom w:val="0"/>
                      <w:divBdr>
                        <w:top w:val="none" w:sz="0" w:space="0" w:color="auto"/>
                        <w:left w:val="none" w:sz="0" w:space="0" w:color="auto"/>
                        <w:bottom w:val="none" w:sz="0" w:space="0" w:color="auto"/>
                        <w:right w:val="none" w:sz="0" w:space="0" w:color="auto"/>
                      </w:divBdr>
                      <w:divsChild>
                        <w:div w:id="1206872358">
                          <w:marLeft w:val="0"/>
                          <w:marRight w:val="0"/>
                          <w:marTop w:val="0"/>
                          <w:marBottom w:val="0"/>
                          <w:divBdr>
                            <w:top w:val="none" w:sz="0" w:space="0" w:color="auto"/>
                            <w:left w:val="none" w:sz="0" w:space="0" w:color="auto"/>
                            <w:bottom w:val="none" w:sz="0" w:space="0" w:color="auto"/>
                            <w:right w:val="none" w:sz="0" w:space="0" w:color="auto"/>
                          </w:divBdr>
                        </w:div>
                      </w:divsChild>
                    </w:div>
                    <w:div w:id="1293288897">
                      <w:marLeft w:val="0"/>
                      <w:marRight w:val="0"/>
                      <w:marTop w:val="0"/>
                      <w:marBottom w:val="0"/>
                      <w:divBdr>
                        <w:top w:val="none" w:sz="0" w:space="0" w:color="auto"/>
                        <w:left w:val="none" w:sz="0" w:space="0" w:color="auto"/>
                        <w:bottom w:val="none" w:sz="0" w:space="0" w:color="auto"/>
                        <w:right w:val="none" w:sz="0" w:space="0" w:color="auto"/>
                      </w:divBdr>
                      <w:divsChild>
                        <w:div w:id="1817985591">
                          <w:marLeft w:val="0"/>
                          <w:marRight w:val="0"/>
                          <w:marTop w:val="0"/>
                          <w:marBottom w:val="0"/>
                          <w:divBdr>
                            <w:top w:val="none" w:sz="0" w:space="0" w:color="auto"/>
                            <w:left w:val="none" w:sz="0" w:space="0" w:color="auto"/>
                            <w:bottom w:val="none" w:sz="0" w:space="0" w:color="auto"/>
                            <w:right w:val="none" w:sz="0" w:space="0" w:color="auto"/>
                          </w:divBdr>
                        </w:div>
                      </w:divsChild>
                    </w:div>
                    <w:div w:id="771558409">
                      <w:marLeft w:val="0"/>
                      <w:marRight w:val="0"/>
                      <w:marTop w:val="0"/>
                      <w:marBottom w:val="0"/>
                      <w:divBdr>
                        <w:top w:val="none" w:sz="0" w:space="0" w:color="auto"/>
                        <w:left w:val="none" w:sz="0" w:space="0" w:color="auto"/>
                        <w:bottom w:val="none" w:sz="0" w:space="0" w:color="auto"/>
                        <w:right w:val="none" w:sz="0" w:space="0" w:color="auto"/>
                      </w:divBdr>
                      <w:divsChild>
                        <w:div w:id="356081755">
                          <w:marLeft w:val="0"/>
                          <w:marRight w:val="0"/>
                          <w:marTop w:val="0"/>
                          <w:marBottom w:val="0"/>
                          <w:divBdr>
                            <w:top w:val="none" w:sz="0" w:space="0" w:color="auto"/>
                            <w:left w:val="none" w:sz="0" w:space="0" w:color="auto"/>
                            <w:bottom w:val="none" w:sz="0" w:space="0" w:color="auto"/>
                            <w:right w:val="none" w:sz="0" w:space="0" w:color="auto"/>
                          </w:divBdr>
                        </w:div>
                      </w:divsChild>
                    </w:div>
                    <w:div w:id="1856185255">
                      <w:marLeft w:val="0"/>
                      <w:marRight w:val="0"/>
                      <w:marTop w:val="0"/>
                      <w:marBottom w:val="0"/>
                      <w:divBdr>
                        <w:top w:val="none" w:sz="0" w:space="0" w:color="auto"/>
                        <w:left w:val="none" w:sz="0" w:space="0" w:color="auto"/>
                        <w:bottom w:val="none" w:sz="0" w:space="0" w:color="auto"/>
                        <w:right w:val="none" w:sz="0" w:space="0" w:color="auto"/>
                      </w:divBdr>
                      <w:divsChild>
                        <w:div w:id="1360738891">
                          <w:marLeft w:val="0"/>
                          <w:marRight w:val="0"/>
                          <w:marTop w:val="0"/>
                          <w:marBottom w:val="0"/>
                          <w:divBdr>
                            <w:top w:val="none" w:sz="0" w:space="0" w:color="auto"/>
                            <w:left w:val="none" w:sz="0" w:space="0" w:color="auto"/>
                            <w:bottom w:val="none" w:sz="0" w:space="0" w:color="auto"/>
                            <w:right w:val="none" w:sz="0" w:space="0" w:color="auto"/>
                          </w:divBdr>
                        </w:div>
                      </w:divsChild>
                    </w:div>
                    <w:div w:id="1618104401">
                      <w:marLeft w:val="0"/>
                      <w:marRight w:val="0"/>
                      <w:marTop w:val="0"/>
                      <w:marBottom w:val="0"/>
                      <w:divBdr>
                        <w:top w:val="none" w:sz="0" w:space="0" w:color="auto"/>
                        <w:left w:val="none" w:sz="0" w:space="0" w:color="auto"/>
                        <w:bottom w:val="none" w:sz="0" w:space="0" w:color="auto"/>
                        <w:right w:val="none" w:sz="0" w:space="0" w:color="auto"/>
                      </w:divBdr>
                      <w:divsChild>
                        <w:div w:id="1157503404">
                          <w:marLeft w:val="0"/>
                          <w:marRight w:val="0"/>
                          <w:marTop w:val="0"/>
                          <w:marBottom w:val="0"/>
                          <w:divBdr>
                            <w:top w:val="none" w:sz="0" w:space="0" w:color="auto"/>
                            <w:left w:val="none" w:sz="0" w:space="0" w:color="auto"/>
                            <w:bottom w:val="none" w:sz="0" w:space="0" w:color="auto"/>
                            <w:right w:val="none" w:sz="0" w:space="0" w:color="auto"/>
                          </w:divBdr>
                        </w:div>
                      </w:divsChild>
                    </w:div>
                    <w:div w:id="1891722295">
                      <w:marLeft w:val="0"/>
                      <w:marRight w:val="0"/>
                      <w:marTop w:val="0"/>
                      <w:marBottom w:val="0"/>
                      <w:divBdr>
                        <w:top w:val="none" w:sz="0" w:space="0" w:color="auto"/>
                        <w:left w:val="none" w:sz="0" w:space="0" w:color="auto"/>
                        <w:bottom w:val="none" w:sz="0" w:space="0" w:color="auto"/>
                        <w:right w:val="none" w:sz="0" w:space="0" w:color="auto"/>
                      </w:divBdr>
                      <w:divsChild>
                        <w:div w:id="1982541079">
                          <w:marLeft w:val="0"/>
                          <w:marRight w:val="0"/>
                          <w:marTop w:val="0"/>
                          <w:marBottom w:val="0"/>
                          <w:divBdr>
                            <w:top w:val="none" w:sz="0" w:space="0" w:color="auto"/>
                            <w:left w:val="none" w:sz="0" w:space="0" w:color="auto"/>
                            <w:bottom w:val="none" w:sz="0" w:space="0" w:color="auto"/>
                            <w:right w:val="none" w:sz="0" w:space="0" w:color="auto"/>
                          </w:divBdr>
                        </w:div>
                      </w:divsChild>
                    </w:div>
                    <w:div w:id="655769420">
                      <w:marLeft w:val="0"/>
                      <w:marRight w:val="0"/>
                      <w:marTop w:val="0"/>
                      <w:marBottom w:val="0"/>
                      <w:divBdr>
                        <w:top w:val="none" w:sz="0" w:space="0" w:color="auto"/>
                        <w:left w:val="none" w:sz="0" w:space="0" w:color="auto"/>
                        <w:bottom w:val="none" w:sz="0" w:space="0" w:color="auto"/>
                        <w:right w:val="none" w:sz="0" w:space="0" w:color="auto"/>
                      </w:divBdr>
                      <w:divsChild>
                        <w:div w:id="38631360">
                          <w:marLeft w:val="0"/>
                          <w:marRight w:val="0"/>
                          <w:marTop w:val="0"/>
                          <w:marBottom w:val="0"/>
                          <w:divBdr>
                            <w:top w:val="none" w:sz="0" w:space="0" w:color="auto"/>
                            <w:left w:val="none" w:sz="0" w:space="0" w:color="auto"/>
                            <w:bottom w:val="none" w:sz="0" w:space="0" w:color="auto"/>
                            <w:right w:val="none" w:sz="0" w:space="0" w:color="auto"/>
                          </w:divBdr>
                        </w:div>
                      </w:divsChild>
                    </w:div>
                    <w:div w:id="1858502064">
                      <w:marLeft w:val="0"/>
                      <w:marRight w:val="0"/>
                      <w:marTop w:val="0"/>
                      <w:marBottom w:val="0"/>
                      <w:divBdr>
                        <w:top w:val="none" w:sz="0" w:space="0" w:color="auto"/>
                        <w:left w:val="none" w:sz="0" w:space="0" w:color="auto"/>
                        <w:bottom w:val="none" w:sz="0" w:space="0" w:color="auto"/>
                        <w:right w:val="none" w:sz="0" w:space="0" w:color="auto"/>
                      </w:divBdr>
                      <w:divsChild>
                        <w:div w:id="1727292266">
                          <w:marLeft w:val="0"/>
                          <w:marRight w:val="0"/>
                          <w:marTop w:val="0"/>
                          <w:marBottom w:val="0"/>
                          <w:divBdr>
                            <w:top w:val="none" w:sz="0" w:space="0" w:color="auto"/>
                            <w:left w:val="none" w:sz="0" w:space="0" w:color="auto"/>
                            <w:bottom w:val="none" w:sz="0" w:space="0" w:color="auto"/>
                            <w:right w:val="none" w:sz="0" w:space="0" w:color="auto"/>
                          </w:divBdr>
                        </w:div>
                      </w:divsChild>
                    </w:div>
                    <w:div w:id="666515406">
                      <w:marLeft w:val="0"/>
                      <w:marRight w:val="0"/>
                      <w:marTop w:val="0"/>
                      <w:marBottom w:val="0"/>
                      <w:divBdr>
                        <w:top w:val="none" w:sz="0" w:space="0" w:color="auto"/>
                        <w:left w:val="none" w:sz="0" w:space="0" w:color="auto"/>
                        <w:bottom w:val="none" w:sz="0" w:space="0" w:color="auto"/>
                        <w:right w:val="none" w:sz="0" w:space="0" w:color="auto"/>
                      </w:divBdr>
                      <w:divsChild>
                        <w:div w:id="1757944885">
                          <w:marLeft w:val="0"/>
                          <w:marRight w:val="0"/>
                          <w:marTop w:val="0"/>
                          <w:marBottom w:val="0"/>
                          <w:divBdr>
                            <w:top w:val="none" w:sz="0" w:space="0" w:color="auto"/>
                            <w:left w:val="none" w:sz="0" w:space="0" w:color="auto"/>
                            <w:bottom w:val="none" w:sz="0" w:space="0" w:color="auto"/>
                            <w:right w:val="none" w:sz="0" w:space="0" w:color="auto"/>
                          </w:divBdr>
                        </w:div>
                      </w:divsChild>
                    </w:div>
                    <w:div w:id="881136108">
                      <w:marLeft w:val="0"/>
                      <w:marRight w:val="0"/>
                      <w:marTop w:val="0"/>
                      <w:marBottom w:val="0"/>
                      <w:divBdr>
                        <w:top w:val="none" w:sz="0" w:space="0" w:color="auto"/>
                        <w:left w:val="none" w:sz="0" w:space="0" w:color="auto"/>
                        <w:bottom w:val="none" w:sz="0" w:space="0" w:color="auto"/>
                        <w:right w:val="none" w:sz="0" w:space="0" w:color="auto"/>
                      </w:divBdr>
                      <w:divsChild>
                        <w:div w:id="218984123">
                          <w:marLeft w:val="0"/>
                          <w:marRight w:val="0"/>
                          <w:marTop w:val="0"/>
                          <w:marBottom w:val="0"/>
                          <w:divBdr>
                            <w:top w:val="none" w:sz="0" w:space="0" w:color="auto"/>
                            <w:left w:val="none" w:sz="0" w:space="0" w:color="auto"/>
                            <w:bottom w:val="none" w:sz="0" w:space="0" w:color="auto"/>
                            <w:right w:val="none" w:sz="0" w:space="0" w:color="auto"/>
                          </w:divBdr>
                        </w:div>
                      </w:divsChild>
                    </w:div>
                    <w:div w:id="2062898585">
                      <w:marLeft w:val="0"/>
                      <w:marRight w:val="0"/>
                      <w:marTop w:val="0"/>
                      <w:marBottom w:val="0"/>
                      <w:divBdr>
                        <w:top w:val="none" w:sz="0" w:space="0" w:color="auto"/>
                        <w:left w:val="none" w:sz="0" w:space="0" w:color="auto"/>
                        <w:bottom w:val="none" w:sz="0" w:space="0" w:color="auto"/>
                        <w:right w:val="none" w:sz="0" w:space="0" w:color="auto"/>
                      </w:divBdr>
                      <w:divsChild>
                        <w:div w:id="761680238">
                          <w:marLeft w:val="0"/>
                          <w:marRight w:val="0"/>
                          <w:marTop w:val="0"/>
                          <w:marBottom w:val="0"/>
                          <w:divBdr>
                            <w:top w:val="none" w:sz="0" w:space="0" w:color="auto"/>
                            <w:left w:val="none" w:sz="0" w:space="0" w:color="auto"/>
                            <w:bottom w:val="none" w:sz="0" w:space="0" w:color="auto"/>
                            <w:right w:val="none" w:sz="0" w:space="0" w:color="auto"/>
                          </w:divBdr>
                        </w:div>
                      </w:divsChild>
                    </w:div>
                    <w:div w:id="145709473">
                      <w:marLeft w:val="0"/>
                      <w:marRight w:val="0"/>
                      <w:marTop w:val="0"/>
                      <w:marBottom w:val="0"/>
                      <w:divBdr>
                        <w:top w:val="none" w:sz="0" w:space="0" w:color="auto"/>
                        <w:left w:val="none" w:sz="0" w:space="0" w:color="auto"/>
                        <w:bottom w:val="none" w:sz="0" w:space="0" w:color="auto"/>
                        <w:right w:val="none" w:sz="0" w:space="0" w:color="auto"/>
                      </w:divBdr>
                      <w:divsChild>
                        <w:div w:id="309556456">
                          <w:marLeft w:val="0"/>
                          <w:marRight w:val="0"/>
                          <w:marTop w:val="0"/>
                          <w:marBottom w:val="0"/>
                          <w:divBdr>
                            <w:top w:val="none" w:sz="0" w:space="0" w:color="auto"/>
                            <w:left w:val="none" w:sz="0" w:space="0" w:color="auto"/>
                            <w:bottom w:val="none" w:sz="0" w:space="0" w:color="auto"/>
                            <w:right w:val="none" w:sz="0" w:space="0" w:color="auto"/>
                          </w:divBdr>
                        </w:div>
                      </w:divsChild>
                    </w:div>
                    <w:div w:id="989940768">
                      <w:marLeft w:val="0"/>
                      <w:marRight w:val="0"/>
                      <w:marTop w:val="0"/>
                      <w:marBottom w:val="0"/>
                      <w:divBdr>
                        <w:top w:val="none" w:sz="0" w:space="0" w:color="auto"/>
                        <w:left w:val="none" w:sz="0" w:space="0" w:color="auto"/>
                        <w:bottom w:val="none" w:sz="0" w:space="0" w:color="auto"/>
                        <w:right w:val="none" w:sz="0" w:space="0" w:color="auto"/>
                      </w:divBdr>
                      <w:divsChild>
                        <w:div w:id="613442668">
                          <w:marLeft w:val="0"/>
                          <w:marRight w:val="0"/>
                          <w:marTop w:val="0"/>
                          <w:marBottom w:val="0"/>
                          <w:divBdr>
                            <w:top w:val="none" w:sz="0" w:space="0" w:color="auto"/>
                            <w:left w:val="none" w:sz="0" w:space="0" w:color="auto"/>
                            <w:bottom w:val="none" w:sz="0" w:space="0" w:color="auto"/>
                            <w:right w:val="none" w:sz="0" w:space="0" w:color="auto"/>
                          </w:divBdr>
                        </w:div>
                      </w:divsChild>
                    </w:div>
                    <w:div w:id="82340415">
                      <w:marLeft w:val="0"/>
                      <w:marRight w:val="0"/>
                      <w:marTop w:val="0"/>
                      <w:marBottom w:val="0"/>
                      <w:divBdr>
                        <w:top w:val="none" w:sz="0" w:space="0" w:color="auto"/>
                        <w:left w:val="none" w:sz="0" w:space="0" w:color="auto"/>
                        <w:bottom w:val="none" w:sz="0" w:space="0" w:color="auto"/>
                        <w:right w:val="none" w:sz="0" w:space="0" w:color="auto"/>
                      </w:divBdr>
                      <w:divsChild>
                        <w:div w:id="2036925971">
                          <w:marLeft w:val="0"/>
                          <w:marRight w:val="0"/>
                          <w:marTop w:val="0"/>
                          <w:marBottom w:val="0"/>
                          <w:divBdr>
                            <w:top w:val="none" w:sz="0" w:space="0" w:color="auto"/>
                            <w:left w:val="none" w:sz="0" w:space="0" w:color="auto"/>
                            <w:bottom w:val="none" w:sz="0" w:space="0" w:color="auto"/>
                            <w:right w:val="none" w:sz="0" w:space="0" w:color="auto"/>
                          </w:divBdr>
                        </w:div>
                      </w:divsChild>
                    </w:div>
                    <w:div w:id="1946766597">
                      <w:marLeft w:val="0"/>
                      <w:marRight w:val="0"/>
                      <w:marTop w:val="0"/>
                      <w:marBottom w:val="0"/>
                      <w:divBdr>
                        <w:top w:val="none" w:sz="0" w:space="0" w:color="auto"/>
                        <w:left w:val="none" w:sz="0" w:space="0" w:color="auto"/>
                        <w:bottom w:val="none" w:sz="0" w:space="0" w:color="auto"/>
                        <w:right w:val="none" w:sz="0" w:space="0" w:color="auto"/>
                      </w:divBdr>
                      <w:divsChild>
                        <w:div w:id="1364866235">
                          <w:marLeft w:val="0"/>
                          <w:marRight w:val="0"/>
                          <w:marTop w:val="0"/>
                          <w:marBottom w:val="0"/>
                          <w:divBdr>
                            <w:top w:val="none" w:sz="0" w:space="0" w:color="auto"/>
                            <w:left w:val="none" w:sz="0" w:space="0" w:color="auto"/>
                            <w:bottom w:val="none" w:sz="0" w:space="0" w:color="auto"/>
                            <w:right w:val="none" w:sz="0" w:space="0" w:color="auto"/>
                          </w:divBdr>
                        </w:div>
                      </w:divsChild>
                    </w:div>
                    <w:div w:id="2064909923">
                      <w:marLeft w:val="0"/>
                      <w:marRight w:val="0"/>
                      <w:marTop w:val="0"/>
                      <w:marBottom w:val="0"/>
                      <w:divBdr>
                        <w:top w:val="none" w:sz="0" w:space="0" w:color="auto"/>
                        <w:left w:val="none" w:sz="0" w:space="0" w:color="auto"/>
                        <w:bottom w:val="none" w:sz="0" w:space="0" w:color="auto"/>
                        <w:right w:val="none" w:sz="0" w:space="0" w:color="auto"/>
                      </w:divBdr>
                      <w:divsChild>
                        <w:div w:id="88240446">
                          <w:marLeft w:val="0"/>
                          <w:marRight w:val="0"/>
                          <w:marTop w:val="0"/>
                          <w:marBottom w:val="0"/>
                          <w:divBdr>
                            <w:top w:val="none" w:sz="0" w:space="0" w:color="auto"/>
                            <w:left w:val="none" w:sz="0" w:space="0" w:color="auto"/>
                            <w:bottom w:val="none" w:sz="0" w:space="0" w:color="auto"/>
                            <w:right w:val="none" w:sz="0" w:space="0" w:color="auto"/>
                          </w:divBdr>
                        </w:div>
                      </w:divsChild>
                    </w:div>
                    <w:div w:id="1844470415">
                      <w:marLeft w:val="0"/>
                      <w:marRight w:val="0"/>
                      <w:marTop w:val="0"/>
                      <w:marBottom w:val="0"/>
                      <w:divBdr>
                        <w:top w:val="none" w:sz="0" w:space="0" w:color="auto"/>
                        <w:left w:val="none" w:sz="0" w:space="0" w:color="auto"/>
                        <w:bottom w:val="none" w:sz="0" w:space="0" w:color="auto"/>
                        <w:right w:val="none" w:sz="0" w:space="0" w:color="auto"/>
                      </w:divBdr>
                      <w:divsChild>
                        <w:div w:id="171920836">
                          <w:marLeft w:val="0"/>
                          <w:marRight w:val="0"/>
                          <w:marTop w:val="0"/>
                          <w:marBottom w:val="0"/>
                          <w:divBdr>
                            <w:top w:val="none" w:sz="0" w:space="0" w:color="auto"/>
                            <w:left w:val="none" w:sz="0" w:space="0" w:color="auto"/>
                            <w:bottom w:val="none" w:sz="0" w:space="0" w:color="auto"/>
                            <w:right w:val="none" w:sz="0" w:space="0" w:color="auto"/>
                          </w:divBdr>
                        </w:div>
                      </w:divsChild>
                    </w:div>
                    <w:div w:id="2017491440">
                      <w:marLeft w:val="0"/>
                      <w:marRight w:val="0"/>
                      <w:marTop w:val="0"/>
                      <w:marBottom w:val="0"/>
                      <w:divBdr>
                        <w:top w:val="none" w:sz="0" w:space="0" w:color="auto"/>
                        <w:left w:val="none" w:sz="0" w:space="0" w:color="auto"/>
                        <w:bottom w:val="none" w:sz="0" w:space="0" w:color="auto"/>
                        <w:right w:val="none" w:sz="0" w:space="0" w:color="auto"/>
                      </w:divBdr>
                      <w:divsChild>
                        <w:div w:id="1735396459">
                          <w:marLeft w:val="0"/>
                          <w:marRight w:val="0"/>
                          <w:marTop w:val="0"/>
                          <w:marBottom w:val="0"/>
                          <w:divBdr>
                            <w:top w:val="none" w:sz="0" w:space="0" w:color="auto"/>
                            <w:left w:val="none" w:sz="0" w:space="0" w:color="auto"/>
                            <w:bottom w:val="none" w:sz="0" w:space="0" w:color="auto"/>
                            <w:right w:val="none" w:sz="0" w:space="0" w:color="auto"/>
                          </w:divBdr>
                        </w:div>
                      </w:divsChild>
                    </w:div>
                    <w:div w:id="1384603061">
                      <w:marLeft w:val="0"/>
                      <w:marRight w:val="0"/>
                      <w:marTop w:val="0"/>
                      <w:marBottom w:val="0"/>
                      <w:divBdr>
                        <w:top w:val="none" w:sz="0" w:space="0" w:color="auto"/>
                        <w:left w:val="none" w:sz="0" w:space="0" w:color="auto"/>
                        <w:bottom w:val="none" w:sz="0" w:space="0" w:color="auto"/>
                        <w:right w:val="none" w:sz="0" w:space="0" w:color="auto"/>
                      </w:divBdr>
                      <w:divsChild>
                        <w:div w:id="1788086385">
                          <w:marLeft w:val="0"/>
                          <w:marRight w:val="0"/>
                          <w:marTop w:val="0"/>
                          <w:marBottom w:val="0"/>
                          <w:divBdr>
                            <w:top w:val="none" w:sz="0" w:space="0" w:color="auto"/>
                            <w:left w:val="none" w:sz="0" w:space="0" w:color="auto"/>
                            <w:bottom w:val="none" w:sz="0" w:space="0" w:color="auto"/>
                            <w:right w:val="none" w:sz="0" w:space="0" w:color="auto"/>
                          </w:divBdr>
                        </w:div>
                      </w:divsChild>
                    </w:div>
                    <w:div w:id="1110009980">
                      <w:marLeft w:val="0"/>
                      <w:marRight w:val="0"/>
                      <w:marTop w:val="0"/>
                      <w:marBottom w:val="0"/>
                      <w:divBdr>
                        <w:top w:val="none" w:sz="0" w:space="0" w:color="auto"/>
                        <w:left w:val="none" w:sz="0" w:space="0" w:color="auto"/>
                        <w:bottom w:val="none" w:sz="0" w:space="0" w:color="auto"/>
                        <w:right w:val="none" w:sz="0" w:space="0" w:color="auto"/>
                      </w:divBdr>
                      <w:divsChild>
                        <w:div w:id="1380278764">
                          <w:marLeft w:val="0"/>
                          <w:marRight w:val="0"/>
                          <w:marTop w:val="0"/>
                          <w:marBottom w:val="0"/>
                          <w:divBdr>
                            <w:top w:val="none" w:sz="0" w:space="0" w:color="auto"/>
                            <w:left w:val="none" w:sz="0" w:space="0" w:color="auto"/>
                            <w:bottom w:val="none" w:sz="0" w:space="0" w:color="auto"/>
                            <w:right w:val="none" w:sz="0" w:space="0" w:color="auto"/>
                          </w:divBdr>
                        </w:div>
                      </w:divsChild>
                    </w:div>
                    <w:div w:id="1182167243">
                      <w:marLeft w:val="0"/>
                      <w:marRight w:val="0"/>
                      <w:marTop w:val="0"/>
                      <w:marBottom w:val="0"/>
                      <w:divBdr>
                        <w:top w:val="none" w:sz="0" w:space="0" w:color="auto"/>
                        <w:left w:val="none" w:sz="0" w:space="0" w:color="auto"/>
                        <w:bottom w:val="none" w:sz="0" w:space="0" w:color="auto"/>
                        <w:right w:val="none" w:sz="0" w:space="0" w:color="auto"/>
                      </w:divBdr>
                      <w:divsChild>
                        <w:div w:id="947006415">
                          <w:marLeft w:val="0"/>
                          <w:marRight w:val="0"/>
                          <w:marTop w:val="0"/>
                          <w:marBottom w:val="0"/>
                          <w:divBdr>
                            <w:top w:val="none" w:sz="0" w:space="0" w:color="auto"/>
                            <w:left w:val="none" w:sz="0" w:space="0" w:color="auto"/>
                            <w:bottom w:val="none" w:sz="0" w:space="0" w:color="auto"/>
                            <w:right w:val="none" w:sz="0" w:space="0" w:color="auto"/>
                          </w:divBdr>
                        </w:div>
                      </w:divsChild>
                    </w:div>
                    <w:div w:id="442727493">
                      <w:marLeft w:val="0"/>
                      <w:marRight w:val="0"/>
                      <w:marTop w:val="0"/>
                      <w:marBottom w:val="0"/>
                      <w:divBdr>
                        <w:top w:val="none" w:sz="0" w:space="0" w:color="auto"/>
                        <w:left w:val="none" w:sz="0" w:space="0" w:color="auto"/>
                        <w:bottom w:val="none" w:sz="0" w:space="0" w:color="auto"/>
                        <w:right w:val="none" w:sz="0" w:space="0" w:color="auto"/>
                      </w:divBdr>
                      <w:divsChild>
                        <w:div w:id="727000574">
                          <w:marLeft w:val="0"/>
                          <w:marRight w:val="0"/>
                          <w:marTop w:val="0"/>
                          <w:marBottom w:val="0"/>
                          <w:divBdr>
                            <w:top w:val="none" w:sz="0" w:space="0" w:color="auto"/>
                            <w:left w:val="none" w:sz="0" w:space="0" w:color="auto"/>
                            <w:bottom w:val="none" w:sz="0" w:space="0" w:color="auto"/>
                            <w:right w:val="none" w:sz="0" w:space="0" w:color="auto"/>
                          </w:divBdr>
                        </w:div>
                      </w:divsChild>
                    </w:div>
                    <w:div w:id="1405713423">
                      <w:marLeft w:val="0"/>
                      <w:marRight w:val="0"/>
                      <w:marTop w:val="0"/>
                      <w:marBottom w:val="0"/>
                      <w:divBdr>
                        <w:top w:val="none" w:sz="0" w:space="0" w:color="auto"/>
                        <w:left w:val="none" w:sz="0" w:space="0" w:color="auto"/>
                        <w:bottom w:val="none" w:sz="0" w:space="0" w:color="auto"/>
                        <w:right w:val="none" w:sz="0" w:space="0" w:color="auto"/>
                      </w:divBdr>
                      <w:divsChild>
                        <w:div w:id="5371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0581236">
      <w:bodyDiv w:val="1"/>
      <w:marLeft w:val="0"/>
      <w:marRight w:val="0"/>
      <w:marTop w:val="0"/>
      <w:marBottom w:val="0"/>
      <w:divBdr>
        <w:top w:val="none" w:sz="0" w:space="0" w:color="auto"/>
        <w:left w:val="none" w:sz="0" w:space="0" w:color="auto"/>
        <w:bottom w:val="none" w:sz="0" w:space="0" w:color="auto"/>
        <w:right w:val="none" w:sz="0" w:space="0" w:color="auto"/>
      </w:divBdr>
    </w:div>
    <w:div w:id="189006496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4046408">
      <w:bodyDiv w:val="1"/>
      <w:marLeft w:val="0"/>
      <w:marRight w:val="0"/>
      <w:marTop w:val="0"/>
      <w:marBottom w:val="0"/>
      <w:divBdr>
        <w:top w:val="none" w:sz="0" w:space="0" w:color="auto"/>
        <w:left w:val="none" w:sz="0" w:space="0" w:color="auto"/>
        <w:bottom w:val="none" w:sz="0" w:space="0" w:color="auto"/>
        <w:right w:val="none" w:sz="0" w:space="0" w:color="auto"/>
      </w:divBdr>
    </w:div>
    <w:div w:id="1965962504">
      <w:bodyDiv w:val="1"/>
      <w:marLeft w:val="0"/>
      <w:marRight w:val="0"/>
      <w:marTop w:val="0"/>
      <w:marBottom w:val="0"/>
      <w:divBdr>
        <w:top w:val="none" w:sz="0" w:space="0" w:color="auto"/>
        <w:left w:val="none" w:sz="0" w:space="0" w:color="auto"/>
        <w:bottom w:val="none" w:sz="0" w:space="0" w:color="auto"/>
        <w:right w:val="none" w:sz="0" w:space="0" w:color="auto"/>
      </w:divBdr>
    </w:div>
    <w:div w:id="1982230095">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46640173">
      <w:bodyDiv w:val="1"/>
      <w:marLeft w:val="0"/>
      <w:marRight w:val="0"/>
      <w:marTop w:val="0"/>
      <w:marBottom w:val="0"/>
      <w:divBdr>
        <w:top w:val="none" w:sz="0" w:space="0" w:color="auto"/>
        <w:left w:val="none" w:sz="0" w:space="0" w:color="auto"/>
        <w:bottom w:val="none" w:sz="0" w:space="0" w:color="auto"/>
        <w:right w:val="none" w:sz="0" w:space="0" w:color="auto"/>
      </w:divBdr>
    </w:div>
    <w:div w:id="2116557835">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 w:id="21464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mailto:bloodmatters@redcrossblood.org.au" TargetMode="External"/><Relationship Id="rId3" Type="http://schemas.openxmlformats.org/officeDocument/2006/relationships/customXml" Target="../customXml/item3.xml"/><Relationship Id="rId21" Type="http://schemas.openxmlformats.org/officeDocument/2006/relationships/hyperlink" Target="https://www.ebs.tga.gov.au/ebs/picmi/picmirepository.nsf/pdf?OpenAgent=&amp;id=CP-2020-PI-01908-1&amp;d=20250529172310101"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us01.safelinks.protection.outlook.com/?url=https%3A%2F%2Fwww.health.vic.gov.au%2Fpatient-care%2Fblood-matters-audit-reports&amp;data=05%7C02%7CRFrench%40redcrossblood.org.au%7C7e6591cbc6864289e37c08ddc7f1fe97%7C957b3627a6294769908dff92d7d3323d%7C1%7C0%7C638886564361688222%7CUnknown%7CTWFpbGZsb3d8eyJFbXB0eU1hcGkiOnRydWUsIlYiOiIwLjAuMDAwMCIsIlAiOiJXaW4zMiIsIkFOIjoiTWFpbCIsIldUIjoyfQ%3D%3D%7C0%7C%7C%7C&amp;sdata=aRLwIBrtTPrpuxZVPc3jKatTbstK27Qn5lqrjKbZ9gk%3D&amp;reserved=0" TargetMode="External"/><Relationship Id="rId25" Type="http://schemas.openxmlformats.org/officeDocument/2006/relationships/hyperlink" Target="mailto:rfrench@redcrossblood.org.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mls.org.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lifeblood.com.au/news-and-stories/health-professionals-news/new-international-platelet-transfusion-guidelines-now" TargetMode="External"/><Relationship Id="rId28" Type="http://schemas.openxmlformats.org/officeDocument/2006/relationships/hyperlink" Target="https://www.health.vic.gov.au/patient-care/transfusion-science-and-blood-stewardship" TargetMode="External"/><Relationship Id="rId10" Type="http://schemas.openxmlformats.org/officeDocument/2006/relationships/endnotes" Target="endnotes.xml"/><Relationship Id="rId19" Type="http://schemas.openxmlformats.org/officeDocument/2006/relationships/hyperlink" Target="https://learn.transfusion.com.au/login/index.php"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bs.tga.gov.au/ebs/picmi/picmirepository.nsf/pdf?OpenAgent=&amp;id=CP-2020-PI-01909-1" TargetMode="External"/><Relationship Id="rId27" Type="http://schemas.openxmlformats.org/officeDocument/2006/relationships/hyperlink" Target="mailto:bloodmatters@redcrossblood.org.au?subject=Accessible%20document" TargetMode="External"/><Relationship Id="rId30" Type="http://schemas.openxmlformats.org/officeDocument/2006/relationships/footer" Target="footer3.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BD63BA-B351-43B1-A975-E7FD9CE6B7A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purl.org/dc/terms/"/>
    <ds:schemaRef ds:uri="http://schemas.microsoft.com/office/2006/metadata/properties"/>
    <ds:schemaRef ds:uri="http://purl.org/dc/dcmitype/"/>
    <ds:schemaRef ds:uri="http://www.w3.org/XML/1998/namespace"/>
    <ds:schemaRef ds:uri="71bad440-a7e7-46c6-81bd-18ed54663c6a"/>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f9efe166-4f28-4f85-8235-ea2c89133434"/>
  </ds:schemaRefs>
</ds:datastoreItem>
</file>

<file path=customXml/itemProps3.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Metadata/LabelInfo.xml><?xml version="1.0" encoding="utf-8"?>
<clbl:labelList xmlns:clbl="http://schemas.microsoft.com/office/2020/mipLabelMetadata">
  <clbl:label id="{8b70b9b4-4e86-47ad-ba30-80a481ff8f08}" enabled="1" method="Privileged" siteId="{957b3627-a629-4769-908d-ff92d7d3323d}"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1370</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Blood Matters on the Bench and Beyond May 2025</vt:lpstr>
    </vt:vector>
  </TitlesOfParts>
  <Manager/>
  <Company>Victoria State Government, Department of Health, Blood Matters</Company>
  <LinksUpToDate>false</LinksUpToDate>
  <CharactersWithSpaces>10556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Matters on the Bench and Beyond August 2025</dc:title>
  <dc:subject/>
  <dc:creator>Blood Matters (VIC)</dc:creator>
  <cp:keywords>Bench and Beyond newsletter</cp:keywords>
  <dc:description/>
  <cp:lastModifiedBy>Rae French</cp:lastModifiedBy>
  <cp:revision>2</cp:revision>
  <cp:lastPrinted>2025-08-13T03:19:00Z</cp:lastPrinted>
  <dcterms:created xsi:type="dcterms:W3CDTF">2025-08-13T03:19:00Z</dcterms:created>
  <dcterms:modified xsi:type="dcterms:W3CDTF">2025-08-13T03:19:00Z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2021-03-12T01:24:49Z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SIP_Label_8b70b9b4-4e86-47ad-ba30-80a481ff8f08_Enabled">
    <vt:lpwstr>true</vt:lpwstr>
  </property>
  <property fmtid="{D5CDD505-2E9C-101B-9397-08002B2CF9AE}" pid="13" name="MSIP_Label_8b70b9b4-4e86-47ad-ba30-80a481ff8f08_SetDate">
    <vt:lpwstr>2022-11-03T22:38:49Z</vt:lpwstr>
  </property>
  <property fmtid="{D5CDD505-2E9C-101B-9397-08002B2CF9AE}" pid="14" name="MSIP_Label_8b70b9b4-4e86-47ad-ba30-80a481ff8f08_Method">
    <vt:lpwstr>Privileged</vt:lpwstr>
  </property>
  <property fmtid="{D5CDD505-2E9C-101B-9397-08002B2CF9AE}" pid="15" name="MSIP_Label_8b70b9b4-4e86-47ad-ba30-80a481ff8f08_Name">
    <vt:lpwstr>Internal</vt:lpwstr>
  </property>
  <property fmtid="{D5CDD505-2E9C-101B-9397-08002B2CF9AE}" pid="16" name="MSIP_Label_8b70b9b4-4e86-47ad-ba30-80a481ff8f08_SiteId">
    <vt:lpwstr>957b3627-a629-4769-908d-ff92d7d3323d</vt:lpwstr>
  </property>
  <property fmtid="{D5CDD505-2E9C-101B-9397-08002B2CF9AE}" pid="17" name="MSIP_Label_8b70b9b4-4e86-47ad-ba30-80a481ff8f08_ActionId">
    <vt:lpwstr>b8875933-66ac-43a4-b6ff-2f8eb16abc4b</vt:lpwstr>
  </property>
  <property fmtid="{D5CDD505-2E9C-101B-9397-08002B2CF9AE}" pid="18" name="MSIP_Label_8b70b9b4-4e86-47ad-ba30-80a481ff8f08_ContentBits">
    <vt:lpwstr>0</vt:lpwstr>
  </property>
</Properties>
</file>