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D21A" w14:textId="77777777" w:rsidR="0074696E" w:rsidRPr="004C6EEE" w:rsidRDefault="0001677A" w:rsidP="00EC40D5">
      <w:pPr>
        <w:pStyle w:val="Sectionbreakfirstpage"/>
      </w:pPr>
      <w:r>
        <w:drawing>
          <wp:anchor distT="0" distB="0" distL="114300" distR="114300" simplePos="0" relativeHeight="251658240" behindDoc="1" locked="1" layoutInCell="1" allowOverlap="1" wp14:anchorId="24152C4C" wp14:editId="5B512537">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3031F8"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893C6C" w14:paraId="5E3E168F" w14:textId="77777777" w:rsidTr="00B07FF7">
        <w:trPr>
          <w:trHeight w:val="622"/>
        </w:trPr>
        <w:tc>
          <w:tcPr>
            <w:tcW w:w="10348" w:type="dxa"/>
            <w:tcMar>
              <w:top w:w="1531" w:type="dxa"/>
              <w:left w:w="0" w:type="dxa"/>
              <w:right w:w="0" w:type="dxa"/>
            </w:tcMar>
          </w:tcPr>
          <w:p w14:paraId="05F9E11F" w14:textId="41E0915E" w:rsidR="00893C6C" w:rsidRPr="003B5733" w:rsidRDefault="00893C6C" w:rsidP="00893C6C">
            <w:pPr>
              <w:pStyle w:val="Documenttitle"/>
            </w:pPr>
            <w:r>
              <w:t>Transfusion associated circulatory overload risks and mitigation strategies</w:t>
            </w:r>
          </w:p>
        </w:tc>
      </w:tr>
      <w:tr w:rsidR="00893C6C" w14:paraId="50A9B411" w14:textId="77777777" w:rsidTr="00B07FF7">
        <w:tc>
          <w:tcPr>
            <w:tcW w:w="10348" w:type="dxa"/>
          </w:tcPr>
          <w:p w14:paraId="0EF463EA" w14:textId="27C2FCDA" w:rsidR="00893C6C" w:rsidRPr="00DA608D" w:rsidRDefault="00893C6C" w:rsidP="00893C6C">
            <w:pPr>
              <w:pStyle w:val="Heading2"/>
              <w:rPr>
                <w:sz w:val="28"/>
              </w:rPr>
            </w:pPr>
            <w:r>
              <w:rPr>
                <w:b w:val="0"/>
                <w:bCs/>
                <w:sz w:val="28"/>
              </w:rPr>
              <w:t>Serious Transfusion Incident Report (STIR): Bulletin no. 13</w:t>
            </w:r>
          </w:p>
        </w:tc>
      </w:tr>
      <w:tr w:rsidR="00893C6C" w14:paraId="22CC5A0F" w14:textId="77777777" w:rsidTr="00B07FF7">
        <w:tc>
          <w:tcPr>
            <w:tcW w:w="10348" w:type="dxa"/>
          </w:tcPr>
          <w:p w14:paraId="196DC286" w14:textId="6723F55E" w:rsidR="00893C6C" w:rsidRPr="001E5058" w:rsidRDefault="00893C6C" w:rsidP="00893C6C">
            <w:pPr>
              <w:pStyle w:val="Bannermarking"/>
            </w:pPr>
            <w:fldSimple w:instr="FILLIN  &quot;Type the protective marking&quot; \d OFFICIAL \o  \* MERGEFORMAT">
              <w:r>
                <w:t>OFFICIAL</w:t>
              </w:r>
            </w:fldSimple>
          </w:p>
        </w:tc>
      </w:tr>
    </w:tbl>
    <w:p w14:paraId="001569AB" w14:textId="20643485" w:rsidR="00AF2EEC" w:rsidRPr="00B519CD" w:rsidRDefault="00AF2EEC" w:rsidP="00F86304">
      <w:pPr>
        <w:pStyle w:val="Body"/>
        <w:sectPr w:rsidR="00AF2EEC" w:rsidRPr="00B519CD" w:rsidSect="00E62622">
          <w:headerReference w:type="default" r:id="rId15"/>
          <w:type w:val="continuous"/>
          <w:pgSz w:w="11906" w:h="16838" w:code="9"/>
          <w:pgMar w:top="1418" w:right="851" w:bottom="1418" w:left="851" w:header="851" w:footer="851" w:gutter="0"/>
          <w:cols w:space="340"/>
          <w:titlePg/>
          <w:docGrid w:linePitch="360"/>
        </w:sectPr>
      </w:pPr>
    </w:p>
    <w:p w14:paraId="05A630B5" w14:textId="6486970C" w:rsidR="00FE477E" w:rsidRPr="00BD0435" w:rsidRDefault="00AF2EEC" w:rsidP="00F86304">
      <w:pPr>
        <w:pStyle w:val="Body"/>
        <w:rPr>
          <w:vertAlign w:val="superscript"/>
        </w:rPr>
      </w:pPr>
      <w:bookmarkStart w:id="0" w:name="_Hlk199155961"/>
      <w:bookmarkStart w:id="1" w:name="_Toc63347078"/>
      <w:r w:rsidRPr="00DA608D">
        <w:t>Transfusion-associated circulatory overload (TACO) is a common transfusion reaction where excess fluid causes pulmonary oedema, leading to acute respiratory distress during or up to 12 hours post-transfusion.</w:t>
      </w:r>
      <w:r w:rsidR="00BD0435">
        <w:rPr>
          <w:vertAlign w:val="superscript"/>
        </w:rPr>
        <w:t>1</w:t>
      </w:r>
      <w:r w:rsidRPr="00CE372E">
        <w:t xml:space="preserve"> </w:t>
      </w:r>
      <w:r w:rsidR="00992DC0" w:rsidRPr="00DA608D">
        <w:t xml:space="preserve">TACO is identified as the leading cause of transfusion associated </w:t>
      </w:r>
      <w:r w:rsidR="00AB6B56" w:rsidRPr="00DA608D">
        <w:t xml:space="preserve">mortality and morbidity </w:t>
      </w:r>
      <w:r w:rsidR="00992DC0" w:rsidRPr="00DA608D">
        <w:t>internationally.</w:t>
      </w:r>
      <w:r w:rsidR="00BD0435">
        <w:rPr>
          <w:vertAlign w:val="superscript"/>
        </w:rPr>
        <w:t>2,3,4,5</w:t>
      </w:r>
    </w:p>
    <w:p w14:paraId="354C5B93" w14:textId="0863A25A" w:rsidR="00AF2EEC" w:rsidRDefault="00221059" w:rsidP="00A143C6">
      <w:pPr>
        <w:pStyle w:val="Heading2"/>
      </w:pPr>
      <w:r>
        <w:t>What the data tells us</w:t>
      </w:r>
    </w:p>
    <w:p w14:paraId="750C7EDF" w14:textId="139633DA" w:rsidR="00812A2A" w:rsidRDefault="00BD0435" w:rsidP="006112E9">
      <w:pPr>
        <w:pStyle w:val="Body"/>
      </w:pPr>
      <w:r>
        <w:t>T</w:t>
      </w:r>
      <w:r w:rsidR="006112E9">
        <w:t xml:space="preserve">he National Blood Authority </w:t>
      </w:r>
      <w:r w:rsidR="00854954">
        <w:t xml:space="preserve">2021-22 </w:t>
      </w:r>
      <w:r w:rsidR="006112E9">
        <w:t>Haemovigilance report</w:t>
      </w:r>
      <w:r w:rsidRPr="21658B38">
        <w:rPr>
          <w:vertAlign w:val="superscript"/>
        </w:rPr>
        <w:t>6</w:t>
      </w:r>
      <w:r w:rsidR="006112E9">
        <w:t xml:space="preserve"> cited TACO as </w:t>
      </w:r>
      <w:r>
        <w:t xml:space="preserve">Australia’s </w:t>
      </w:r>
      <w:r w:rsidR="006112E9">
        <w:t xml:space="preserve">third most </w:t>
      </w:r>
      <w:r>
        <w:t xml:space="preserve">common transfusion </w:t>
      </w:r>
      <w:r w:rsidR="006112E9">
        <w:t>reaction.</w:t>
      </w:r>
      <w:r>
        <w:t xml:space="preserve"> </w:t>
      </w:r>
      <w:r w:rsidR="00812A2A">
        <w:t>Table 1 presents a comparison of TACO events reported to STIR with data from three international haemovigilance systems.</w:t>
      </w:r>
    </w:p>
    <w:p w14:paraId="4064C618" w14:textId="379BF4D6" w:rsidR="006112E9" w:rsidRDefault="00D65999" w:rsidP="006112E9">
      <w:pPr>
        <w:pStyle w:val="Body"/>
      </w:pPr>
      <w:r>
        <w:rPr>
          <w:i/>
          <w:iCs/>
        </w:rPr>
        <w:t>Table 1</w:t>
      </w:r>
      <w:r w:rsidR="00C71783">
        <w:rPr>
          <w:i/>
          <w:iCs/>
        </w:rPr>
        <w:t xml:space="preserve">: </w:t>
      </w:r>
      <w:r w:rsidRPr="00EA4AA5">
        <w:rPr>
          <w:i/>
          <w:iCs/>
        </w:rPr>
        <w:t>TACO events repo</w:t>
      </w:r>
      <w:r w:rsidR="00BD0435">
        <w:rPr>
          <w:i/>
          <w:iCs/>
        </w:rPr>
        <w:t>rt</w:t>
      </w:r>
      <w:r w:rsidRPr="00EA4AA5">
        <w:rPr>
          <w:i/>
          <w:iCs/>
        </w:rPr>
        <w:t xml:space="preserve">ed to </w:t>
      </w:r>
      <w:r>
        <w:rPr>
          <w:i/>
          <w:iCs/>
        </w:rPr>
        <w:t>4 haemovigilance systems over 4 years</w:t>
      </w:r>
    </w:p>
    <w:tbl>
      <w:tblPr>
        <w:tblStyle w:val="GridTable4-Accent2"/>
        <w:tblW w:w="0" w:type="auto"/>
        <w:tblLook w:val="04A0" w:firstRow="1" w:lastRow="0" w:firstColumn="1" w:lastColumn="0" w:noHBand="0" w:noVBand="1"/>
      </w:tblPr>
      <w:tblGrid>
        <w:gridCol w:w="1815"/>
        <w:gridCol w:w="2094"/>
        <w:gridCol w:w="2095"/>
        <w:gridCol w:w="2095"/>
        <w:gridCol w:w="2095"/>
      </w:tblGrid>
      <w:tr w:rsidR="00CE372E" w14:paraId="57035C9A" w14:textId="77777777" w:rsidTr="00CE37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5" w:type="dxa"/>
          </w:tcPr>
          <w:p w14:paraId="5DCB0BB4" w14:textId="590ABFEE" w:rsidR="00854954" w:rsidRPr="00525943" w:rsidRDefault="00854954" w:rsidP="00525943">
            <w:pPr>
              <w:pStyle w:val="Tablecolhead"/>
              <w:rPr>
                <w:color w:val="FFFFFF" w:themeColor="background1"/>
              </w:rPr>
            </w:pPr>
            <w:r w:rsidRPr="00525943">
              <w:rPr>
                <w:color w:val="FFFFFF" w:themeColor="background1"/>
              </w:rPr>
              <w:t xml:space="preserve">Year </w:t>
            </w:r>
          </w:p>
        </w:tc>
        <w:tc>
          <w:tcPr>
            <w:tcW w:w="2094" w:type="dxa"/>
          </w:tcPr>
          <w:p w14:paraId="674A6295" w14:textId="6D13107C" w:rsidR="00854954" w:rsidRPr="00525943" w:rsidRDefault="00854954" w:rsidP="00525943">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525943">
              <w:rPr>
                <w:color w:val="FFFFFF" w:themeColor="background1"/>
              </w:rPr>
              <w:t xml:space="preserve">Australia – STIR </w:t>
            </w:r>
            <w:r w:rsidR="00CB5967" w:rsidRPr="00525943">
              <w:rPr>
                <w:bCs w:val="0"/>
                <w:color w:val="FFFFFF" w:themeColor="background1"/>
              </w:rPr>
              <w:t>(Vic, Tas, NT, ACT)</w:t>
            </w:r>
          </w:p>
          <w:p w14:paraId="518CD261" w14:textId="5BC80BFF" w:rsidR="00CE372E" w:rsidRPr="00525943" w:rsidRDefault="00CE372E" w:rsidP="00525943">
            <w:pPr>
              <w:pStyle w:val="Tablecolhead"/>
              <w:cnfStyle w:val="100000000000" w:firstRow="1" w:lastRow="0" w:firstColumn="0" w:lastColumn="0" w:oddVBand="0" w:evenVBand="0" w:oddHBand="0" w:evenHBand="0" w:firstRowFirstColumn="0" w:firstRowLastColumn="0" w:lastRowFirstColumn="0" w:lastRowLastColumn="0"/>
              <w:rPr>
                <w:color w:val="FFFFFF" w:themeColor="background1"/>
              </w:rPr>
            </w:pPr>
            <w:r w:rsidRPr="00525943">
              <w:rPr>
                <w:color w:val="FFFFFF" w:themeColor="background1"/>
              </w:rPr>
              <w:t>Number (deaths)</w:t>
            </w:r>
          </w:p>
        </w:tc>
        <w:tc>
          <w:tcPr>
            <w:tcW w:w="2095" w:type="dxa"/>
          </w:tcPr>
          <w:p w14:paraId="5AB7584C" w14:textId="77777777" w:rsidR="00854954" w:rsidRPr="00525943" w:rsidRDefault="00854954" w:rsidP="00525943">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525943">
              <w:rPr>
                <w:color w:val="FFFFFF" w:themeColor="background1"/>
              </w:rPr>
              <w:t>UK – SHOT</w:t>
            </w:r>
          </w:p>
          <w:p w14:paraId="226FB2D9" w14:textId="74962FFA" w:rsidR="00CE372E" w:rsidRPr="00525943" w:rsidRDefault="00CE372E" w:rsidP="00525943">
            <w:pPr>
              <w:pStyle w:val="Tablecolhead"/>
              <w:cnfStyle w:val="100000000000" w:firstRow="1" w:lastRow="0" w:firstColumn="0" w:lastColumn="0" w:oddVBand="0" w:evenVBand="0" w:oddHBand="0" w:evenHBand="0" w:firstRowFirstColumn="0" w:firstRowLastColumn="0" w:lastRowFirstColumn="0" w:lastRowLastColumn="0"/>
              <w:rPr>
                <w:color w:val="FFFFFF" w:themeColor="background1"/>
              </w:rPr>
            </w:pPr>
            <w:r w:rsidRPr="00525943">
              <w:rPr>
                <w:color w:val="FFFFFF" w:themeColor="background1"/>
              </w:rPr>
              <w:t>Number (deaths)</w:t>
            </w:r>
          </w:p>
        </w:tc>
        <w:tc>
          <w:tcPr>
            <w:tcW w:w="2095" w:type="dxa"/>
          </w:tcPr>
          <w:p w14:paraId="49BE9433" w14:textId="611F810C" w:rsidR="00854954" w:rsidRPr="00525943" w:rsidRDefault="00854954" w:rsidP="00525943">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525943">
              <w:rPr>
                <w:color w:val="FFFFFF" w:themeColor="background1"/>
              </w:rPr>
              <w:t xml:space="preserve">Canada – </w:t>
            </w:r>
            <w:r w:rsidR="00340C91" w:rsidRPr="00525943">
              <w:rPr>
                <w:color w:val="FFFFFF" w:themeColor="background1"/>
              </w:rPr>
              <w:t>T</w:t>
            </w:r>
            <w:r w:rsidRPr="00525943">
              <w:rPr>
                <w:color w:val="FFFFFF" w:themeColor="background1"/>
              </w:rPr>
              <w:t>TISS</w:t>
            </w:r>
          </w:p>
          <w:p w14:paraId="322CFFFB" w14:textId="5DA9F5F1" w:rsidR="00CE372E" w:rsidRPr="00525943" w:rsidRDefault="00CE372E" w:rsidP="00525943">
            <w:pPr>
              <w:pStyle w:val="Tablecolhead"/>
              <w:cnfStyle w:val="100000000000" w:firstRow="1" w:lastRow="0" w:firstColumn="0" w:lastColumn="0" w:oddVBand="0" w:evenVBand="0" w:oddHBand="0" w:evenHBand="0" w:firstRowFirstColumn="0" w:firstRowLastColumn="0" w:lastRowFirstColumn="0" w:lastRowLastColumn="0"/>
              <w:rPr>
                <w:color w:val="FFFFFF" w:themeColor="background1"/>
              </w:rPr>
            </w:pPr>
            <w:r w:rsidRPr="00525943">
              <w:rPr>
                <w:color w:val="FFFFFF" w:themeColor="background1"/>
              </w:rPr>
              <w:t>Number (deaths)</w:t>
            </w:r>
          </w:p>
        </w:tc>
        <w:tc>
          <w:tcPr>
            <w:tcW w:w="2095" w:type="dxa"/>
          </w:tcPr>
          <w:p w14:paraId="7F18A3C3" w14:textId="77777777" w:rsidR="00854954" w:rsidRPr="00525943" w:rsidRDefault="00854954" w:rsidP="00525943">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525943">
              <w:rPr>
                <w:color w:val="FFFFFF" w:themeColor="background1"/>
              </w:rPr>
              <w:t>NZ Blood Service</w:t>
            </w:r>
          </w:p>
          <w:p w14:paraId="03650F29" w14:textId="33D61066" w:rsidR="00CE372E" w:rsidRPr="00525943" w:rsidRDefault="00CE372E" w:rsidP="00525943">
            <w:pPr>
              <w:pStyle w:val="Tablecolhead"/>
              <w:cnfStyle w:val="100000000000" w:firstRow="1" w:lastRow="0" w:firstColumn="0" w:lastColumn="0" w:oddVBand="0" w:evenVBand="0" w:oddHBand="0" w:evenHBand="0" w:firstRowFirstColumn="0" w:firstRowLastColumn="0" w:lastRowFirstColumn="0" w:lastRowLastColumn="0"/>
              <w:rPr>
                <w:color w:val="FFFFFF" w:themeColor="background1"/>
              </w:rPr>
            </w:pPr>
            <w:r w:rsidRPr="00525943">
              <w:rPr>
                <w:color w:val="FFFFFF" w:themeColor="background1"/>
              </w:rPr>
              <w:t>Number (deaths)</w:t>
            </w:r>
          </w:p>
        </w:tc>
      </w:tr>
      <w:tr w:rsidR="00CE372E" w14:paraId="4962380C" w14:textId="77777777" w:rsidTr="00CE3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5" w:type="dxa"/>
          </w:tcPr>
          <w:p w14:paraId="37046F71" w14:textId="0386C049" w:rsidR="00854954" w:rsidRDefault="00854954" w:rsidP="006112E9">
            <w:pPr>
              <w:pStyle w:val="Body"/>
            </w:pPr>
            <w:r>
              <w:t xml:space="preserve">2020 </w:t>
            </w:r>
          </w:p>
        </w:tc>
        <w:tc>
          <w:tcPr>
            <w:tcW w:w="2094" w:type="dxa"/>
          </w:tcPr>
          <w:p w14:paraId="40340051" w14:textId="493A2101" w:rsidR="00854954" w:rsidRDefault="00D65999" w:rsidP="006112E9">
            <w:pPr>
              <w:pStyle w:val="Body"/>
              <w:cnfStyle w:val="000000100000" w:firstRow="0" w:lastRow="0" w:firstColumn="0" w:lastColumn="0" w:oddVBand="0" w:evenVBand="0" w:oddHBand="1" w:evenHBand="0" w:firstRowFirstColumn="0" w:firstRowLastColumn="0" w:lastRowFirstColumn="0" w:lastRowLastColumn="0"/>
            </w:pPr>
            <w:r>
              <w:t>19 (0)</w:t>
            </w:r>
          </w:p>
        </w:tc>
        <w:tc>
          <w:tcPr>
            <w:tcW w:w="2095" w:type="dxa"/>
          </w:tcPr>
          <w:p w14:paraId="25FCFB18" w14:textId="23D16837" w:rsidR="00854954" w:rsidRDefault="00D65999" w:rsidP="006112E9">
            <w:pPr>
              <w:pStyle w:val="Body"/>
              <w:cnfStyle w:val="000000100000" w:firstRow="0" w:lastRow="0" w:firstColumn="0" w:lastColumn="0" w:oddVBand="0" w:evenVBand="0" w:oddHBand="1" w:evenHBand="0" w:firstRowFirstColumn="0" w:firstRowLastColumn="0" w:lastRowFirstColumn="0" w:lastRowLastColumn="0"/>
            </w:pPr>
            <w:r>
              <w:t>149 (</w:t>
            </w:r>
            <w:r w:rsidR="0041420E">
              <w:t>18</w:t>
            </w:r>
            <w:r>
              <w:t>)</w:t>
            </w:r>
          </w:p>
        </w:tc>
        <w:tc>
          <w:tcPr>
            <w:tcW w:w="2095" w:type="dxa"/>
          </w:tcPr>
          <w:p w14:paraId="75398F1F" w14:textId="36DF6088" w:rsidR="00854954" w:rsidRDefault="00AF75AB" w:rsidP="006112E9">
            <w:pPr>
              <w:pStyle w:val="Body"/>
              <w:cnfStyle w:val="000000100000" w:firstRow="0" w:lastRow="0" w:firstColumn="0" w:lastColumn="0" w:oddVBand="0" w:evenVBand="0" w:oddHBand="1" w:evenHBand="0" w:firstRowFirstColumn="0" w:firstRowLastColumn="0" w:lastRowFirstColumn="0" w:lastRowLastColumn="0"/>
            </w:pPr>
            <w:r>
              <w:t>280 (4)</w:t>
            </w:r>
          </w:p>
        </w:tc>
        <w:tc>
          <w:tcPr>
            <w:tcW w:w="2095" w:type="dxa"/>
          </w:tcPr>
          <w:p w14:paraId="3C349C70" w14:textId="4B9DE731" w:rsidR="00854954" w:rsidRDefault="00D65999" w:rsidP="006112E9">
            <w:pPr>
              <w:pStyle w:val="Body"/>
              <w:cnfStyle w:val="000000100000" w:firstRow="0" w:lastRow="0" w:firstColumn="0" w:lastColumn="0" w:oddVBand="0" w:evenVBand="0" w:oddHBand="1" w:evenHBand="0" w:firstRowFirstColumn="0" w:firstRowLastColumn="0" w:lastRowFirstColumn="0" w:lastRowLastColumn="0"/>
            </w:pPr>
            <w:r>
              <w:t>18 (2)</w:t>
            </w:r>
          </w:p>
        </w:tc>
      </w:tr>
      <w:tr w:rsidR="00CE372E" w14:paraId="5A0C3517" w14:textId="77777777" w:rsidTr="00CE372E">
        <w:tc>
          <w:tcPr>
            <w:cnfStyle w:val="001000000000" w:firstRow="0" w:lastRow="0" w:firstColumn="1" w:lastColumn="0" w:oddVBand="0" w:evenVBand="0" w:oddHBand="0" w:evenHBand="0" w:firstRowFirstColumn="0" w:firstRowLastColumn="0" w:lastRowFirstColumn="0" w:lastRowLastColumn="0"/>
            <w:tcW w:w="1815" w:type="dxa"/>
          </w:tcPr>
          <w:p w14:paraId="580D0983" w14:textId="1B25280A" w:rsidR="00854954" w:rsidRDefault="00854954" w:rsidP="006112E9">
            <w:pPr>
              <w:pStyle w:val="Body"/>
            </w:pPr>
            <w:r>
              <w:t xml:space="preserve">2021 </w:t>
            </w:r>
          </w:p>
        </w:tc>
        <w:tc>
          <w:tcPr>
            <w:tcW w:w="2094" w:type="dxa"/>
          </w:tcPr>
          <w:p w14:paraId="0732C8AD" w14:textId="2D49BFB8" w:rsidR="00854954" w:rsidRDefault="00D65999" w:rsidP="006112E9">
            <w:pPr>
              <w:pStyle w:val="Body"/>
              <w:cnfStyle w:val="000000000000" w:firstRow="0" w:lastRow="0" w:firstColumn="0" w:lastColumn="0" w:oddVBand="0" w:evenVBand="0" w:oddHBand="0" w:evenHBand="0" w:firstRowFirstColumn="0" w:firstRowLastColumn="0" w:lastRowFirstColumn="0" w:lastRowLastColumn="0"/>
            </w:pPr>
            <w:r>
              <w:t>10 (0)</w:t>
            </w:r>
          </w:p>
        </w:tc>
        <w:tc>
          <w:tcPr>
            <w:tcW w:w="2095" w:type="dxa"/>
          </w:tcPr>
          <w:p w14:paraId="42493F68" w14:textId="08FBE5D6" w:rsidR="00854954" w:rsidRDefault="00D65999" w:rsidP="006112E9">
            <w:pPr>
              <w:pStyle w:val="Body"/>
              <w:cnfStyle w:val="000000000000" w:firstRow="0" w:lastRow="0" w:firstColumn="0" w:lastColumn="0" w:oddVBand="0" w:evenVBand="0" w:oddHBand="0" w:evenHBand="0" w:firstRowFirstColumn="0" w:firstRowLastColumn="0" w:lastRowFirstColumn="0" w:lastRowLastColumn="0"/>
            </w:pPr>
            <w:r>
              <w:t>131 (11)</w:t>
            </w:r>
          </w:p>
        </w:tc>
        <w:tc>
          <w:tcPr>
            <w:tcW w:w="2095" w:type="dxa"/>
          </w:tcPr>
          <w:p w14:paraId="0F125938" w14:textId="3953B1CF" w:rsidR="00854954" w:rsidRDefault="00D65999" w:rsidP="006112E9">
            <w:pPr>
              <w:pStyle w:val="Body"/>
              <w:cnfStyle w:val="000000000000" w:firstRow="0" w:lastRow="0" w:firstColumn="0" w:lastColumn="0" w:oddVBand="0" w:evenVBand="0" w:oddHBand="0" w:evenHBand="0" w:firstRowFirstColumn="0" w:firstRowLastColumn="0" w:lastRowFirstColumn="0" w:lastRowLastColumn="0"/>
            </w:pPr>
            <w:r>
              <w:t>368 (10)</w:t>
            </w:r>
          </w:p>
        </w:tc>
        <w:tc>
          <w:tcPr>
            <w:tcW w:w="2095" w:type="dxa"/>
          </w:tcPr>
          <w:p w14:paraId="4DF5640D" w14:textId="2BC97FA6" w:rsidR="00854954" w:rsidRDefault="00D65999" w:rsidP="006112E9">
            <w:pPr>
              <w:pStyle w:val="Body"/>
              <w:cnfStyle w:val="000000000000" w:firstRow="0" w:lastRow="0" w:firstColumn="0" w:lastColumn="0" w:oddVBand="0" w:evenVBand="0" w:oddHBand="0" w:evenHBand="0" w:firstRowFirstColumn="0" w:firstRowLastColumn="0" w:lastRowFirstColumn="0" w:lastRowLastColumn="0"/>
            </w:pPr>
            <w:r>
              <w:t>18 (0)</w:t>
            </w:r>
          </w:p>
        </w:tc>
      </w:tr>
      <w:tr w:rsidR="00CE372E" w14:paraId="387CE0A1" w14:textId="77777777" w:rsidTr="00CE3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5" w:type="dxa"/>
          </w:tcPr>
          <w:p w14:paraId="215DA28D" w14:textId="3EBBE889" w:rsidR="00854954" w:rsidRDefault="00854954" w:rsidP="006112E9">
            <w:pPr>
              <w:pStyle w:val="Body"/>
            </w:pPr>
            <w:r>
              <w:t xml:space="preserve">2022 </w:t>
            </w:r>
          </w:p>
        </w:tc>
        <w:tc>
          <w:tcPr>
            <w:tcW w:w="2094" w:type="dxa"/>
          </w:tcPr>
          <w:p w14:paraId="2031C3FB" w14:textId="55B3BC33" w:rsidR="00854954" w:rsidRDefault="00D65999" w:rsidP="006112E9">
            <w:pPr>
              <w:pStyle w:val="Body"/>
              <w:cnfStyle w:val="000000100000" w:firstRow="0" w:lastRow="0" w:firstColumn="0" w:lastColumn="0" w:oddVBand="0" w:evenVBand="0" w:oddHBand="1" w:evenHBand="0" w:firstRowFirstColumn="0" w:firstRowLastColumn="0" w:lastRowFirstColumn="0" w:lastRowLastColumn="0"/>
            </w:pPr>
            <w:r>
              <w:t>28 (0)</w:t>
            </w:r>
          </w:p>
        </w:tc>
        <w:tc>
          <w:tcPr>
            <w:tcW w:w="2095" w:type="dxa"/>
          </w:tcPr>
          <w:p w14:paraId="303835F9" w14:textId="247A0AB6" w:rsidR="00854954" w:rsidRDefault="00D65999" w:rsidP="006112E9">
            <w:pPr>
              <w:pStyle w:val="Body"/>
              <w:cnfStyle w:val="000000100000" w:firstRow="0" w:lastRow="0" w:firstColumn="0" w:lastColumn="0" w:oddVBand="0" w:evenVBand="0" w:oddHBand="1" w:evenHBand="0" w:firstRowFirstColumn="0" w:firstRowLastColumn="0" w:lastRowFirstColumn="0" w:lastRowLastColumn="0"/>
            </w:pPr>
            <w:r>
              <w:t>160 (8)</w:t>
            </w:r>
          </w:p>
        </w:tc>
        <w:tc>
          <w:tcPr>
            <w:tcW w:w="2095" w:type="dxa"/>
          </w:tcPr>
          <w:p w14:paraId="777B575D" w14:textId="50957E11" w:rsidR="00854954" w:rsidRDefault="00D65999" w:rsidP="006112E9">
            <w:pPr>
              <w:pStyle w:val="Body"/>
              <w:cnfStyle w:val="000000100000" w:firstRow="0" w:lastRow="0" w:firstColumn="0" w:lastColumn="0" w:oddVBand="0" w:evenVBand="0" w:oddHBand="1" w:evenHBand="0" w:firstRowFirstColumn="0" w:firstRowLastColumn="0" w:lastRowFirstColumn="0" w:lastRowLastColumn="0"/>
            </w:pPr>
            <w:r>
              <w:t>316 (4)</w:t>
            </w:r>
          </w:p>
        </w:tc>
        <w:tc>
          <w:tcPr>
            <w:tcW w:w="2095" w:type="dxa"/>
          </w:tcPr>
          <w:p w14:paraId="51D376AE" w14:textId="4BB0EA4F" w:rsidR="00854954" w:rsidRDefault="00D65999" w:rsidP="006112E9">
            <w:pPr>
              <w:pStyle w:val="Body"/>
              <w:cnfStyle w:val="000000100000" w:firstRow="0" w:lastRow="0" w:firstColumn="0" w:lastColumn="0" w:oddVBand="0" w:evenVBand="0" w:oddHBand="1" w:evenHBand="0" w:firstRowFirstColumn="0" w:firstRowLastColumn="0" w:lastRowFirstColumn="0" w:lastRowLastColumn="0"/>
            </w:pPr>
            <w:r>
              <w:t>32 (0)</w:t>
            </w:r>
          </w:p>
        </w:tc>
      </w:tr>
      <w:tr w:rsidR="00CE372E" w14:paraId="661698FF" w14:textId="77777777" w:rsidTr="00CE372E">
        <w:tc>
          <w:tcPr>
            <w:cnfStyle w:val="001000000000" w:firstRow="0" w:lastRow="0" w:firstColumn="1" w:lastColumn="0" w:oddVBand="0" w:evenVBand="0" w:oddHBand="0" w:evenHBand="0" w:firstRowFirstColumn="0" w:firstRowLastColumn="0" w:lastRowFirstColumn="0" w:lastRowLastColumn="0"/>
            <w:tcW w:w="1815" w:type="dxa"/>
          </w:tcPr>
          <w:p w14:paraId="29C25E26" w14:textId="4621BF13" w:rsidR="00854954" w:rsidRDefault="00854954" w:rsidP="006112E9">
            <w:pPr>
              <w:pStyle w:val="Body"/>
            </w:pPr>
            <w:r>
              <w:t xml:space="preserve">2023 </w:t>
            </w:r>
          </w:p>
        </w:tc>
        <w:tc>
          <w:tcPr>
            <w:tcW w:w="2094" w:type="dxa"/>
          </w:tcPr>
          <w:p w14:paraId="20A2B398" w14:textId="70D77BA0" w:rsidR="00854954" w:rsidRDefault="00D65999" w:rsidP="006112E9">
            <w:pPr>
              <w:pStyle w:val="Body"/>
              <w:cnfStyle w:val="000000000000" w:firstRow="0" w:lastRow="0" w:firstColumn="0" w:lastColumn="0" w:oddVBand="0" w:evenVBand="0" w:oddHBand="0" w:evenHBand="0" w:firstRowFirstColumn="0" w:firstRowLastColumn="0" w:lastRowFirstColumn="0" w:lastRowLastColumn="0"/>
            </w:pPr>
            <w:r>
              <w:t>34 (0)</w:t>
            </w:r>
          </w:p>
        </w:tc>
        <w:tc>
          <w:tcPr>
            <w:tcW w:w="2095" w:type="dxa"/>
          </w:tcPr>
          <w:p w14:paraId="1CD09541" w14:textId="75CD611E" w:rsidR="00854954" w:rsidRDefault="00D65999" w:rsidP="006112E9">
            <w:pPr>
              <w:pStyle w:val="Body"/>
              <w:cnfStyle w:val="000000000000" w:firstRow="0" w:lastRow="0" w:firstColumn="0" w:lastColumn="0" w:oddVBand="0" w:evenVBand="0" w:oddHBand="0" w:evenHBand="0" w:firstRowFirstColumn="0" w:firstRowLastColumn="0" w:lastRowFirstColumn="0" w:lastRowLastColumn="0"/>
            </w:pPr>
            <w:r>
              <w:t>172 (15)</w:t>
            </w:r>
          </w:p>
        </w:tc>
        <w:tc>
          <w:tcPr>
            <w:tcW w:w="2095" w:type="dxa"/>
          </w:tcPr>
          <w:p w14:paraId="08FA9996" w14:textId="3EE5CEC3" w:rsidR="00854954" w:rsidRDefault="00D65999" w:rsidP="006112E9">
            <w:pPr>
              <w:pStyle w:val="Body"/>
              <w:cnfStyle w:val="000000000000" w:firstRow="0" w:lastRow="0" w:firstColumn="0" w:lastColumn="0" w:oddVBand="0" w:evenVBand="0" w:oddHBand="0" w:evenHBand="0" w:firstRowFirstColumn="0" w:firstRowLastColumn="0" w:lastRowFirstColumn="0" w:lastRowLastColumn="0"/>
            </w:pPr>
            <w:r>
              <w:t>223 (0)</w:t>
            </w:r>
          </w:p>
        </w:tc>
        <w:tc>
          <w:tcPr>
            <w:tcW w:w="2095" w:type="dxa"/>
          </w:tcPr>
          <w:p w14:paraId="10E2C119" w14:textId="0D57A8B7" w:rsidR="00854954" w:rsidRDefault="00D65999" w:rsidP="006112E9">
            <w:pPr>
              <w:pStyle w:val="Body"/>
              <w:cnfStyle w:val="000000000000" w:firstRow="0" w:lastRow="0" w:firstColumn="0" w:lastColumn="0" w:oddVBand="0" w:evenVBand="0" w:oddHBand="0" w:evenHBand="0" w:firstRowFirstColumn="0" w:firstRowLastColumn="0" w:lastRowFirstColumn="0" w:lastRowLastColumn="0"/>
            </w:pPr>
            <w:r>
              <w:t>25 (0)</w:t>
            </w:r>
          </w:p>
        </w:tc>
      </w:tr>
    </w:tbl>
    <w:p w14:paraId="710DE89D" w14:textId="0E261947" w:rsidR="00617B8D" w:rsidRPr="00F04265" w:rsidRDefault="00617B8D" w:rsidP="00A143C6">
      <w:pPr>
        <w:pStyle w:val="Heading2"/>
      </w:pPr>
      <w:r w:rsidRPr="00F04265">
        <w:t>A case study</w:t>
      </w:r>
    </w:p>
    <w:p w14:paraId="18DAD8A5" w14:textId="77777777" w:rsidR="00204FFB" w:rsidRPr="00204FFB" w:rsidRDefault="00617B8D" w:rsidP="00204FFB">
      <w:pPr>
        <w:pStyle w:val="Body"/>
      </w:pPr>
      <w:r>
        <w:t>An elderly patient</w:t>
      </w:r>
      <w:r w:rsidRPr="0089254C">
        <w:t xml:space="preserve"> with </w:t>
      </w:r>
      <w:r w:rsidR="00204FFB" w:rsidRPr="00204FFB">
        <w:t>symptomatic anaemia (Hb 66g/L) was transfused a bag of RBCs over one hour (volume 260 mL). Following transfusion, the patient developed chest pain/discomfort, dyspnoea, tachycardia and hypertension, and was treated with oxygen, diuretic, glyceryl trinitrate patch and hydrocortisone.</w:t>
      </w:r>
    </w:p>
    <w:p w14:paraId="02AAE48F" w14:textId="76F4C385" w:rsidR="003838BB" w:rsidRDefault="00617B8D" w:rsidP="003838BB">
      <w:pPr>
        <w:pStyle w:val="Body"/>
      </w:pPr>
      <w:r w:rsidRPr="0089254C">
        <w:t xml:space="preserve">The patient </w:t>
      </w:r>
      <w:r w:rsidR="003838BB">
        <w:t>had</w:t>
      </w:r>
      <w:r w:rsidRPr="0089254C">
        <w:t xml:space="preserve"> a</w:t>
      </w:r>
      <w:r w:rsidR="00204FFB">
        <w:t xml:space="preserve"> </w:t>
      </w:r>
      <w:r w:rsidR="00204FFB" w:rsidRPr="00204FFB">
        <w:t>history of chronic kidney disease and cardiomegaly. Post-transfusion chest X-ray was consistent with pulmonary oedema.</w:t>
      </w:r>
    </w:p>
    <w:p w14:paraId="75E0C407" w14:textId="69C9E520" w:rsidR="00BD0435" w:rsidRPr="00BD0435" w:rsidRDefault="00BF3E5C" w:rsidP="00BD0435">
      <w:pPr>
        <w:pStyle w:val="Body"/>
      </w:pPr>
      <w:r w:rsidRPr="00BD0435">
        <w:t xml:space="preserve">Retrospective review </w:t>
      </w:r>
      <w:r w:rsidRPr="00BF3E5C">
        <w:t>noted the patient had respiratory difficulties earlier in the day, attributed to anaemia. A previous chest X-ray indicated some congestion</w:t>
      </w:r>
      <w:r w:rsidR="00BD0435" w:rsidRPr="00BD0435">
        <w:t xml:space="preserve">, suggestive of overload. </w:t>
      </w:r>
    </w:p>
    <w:p w14:paraId="4D61DC3C" w14:textId="3094A26E" w:rsidR="00AF2EEC" w:rsidRPr="00F04265" w:rsidRDefault="002C7DA0" w:rsidP="00A143C6">
      <w:pPr>
        <w:pStyle w:val="Heading2"/>
      </w:pPr>
      <w:r w:rsidRPr="00F04265">
        <w:t xml:space="preserve">Know who is at risk and </w:t>
      </w:r>
      <w:r w:rsidR="00854954" w:rsidRPr="00F04265">
        <w:t xml:space="preserve">use </w:t>
      </w:r>
      <w:r w:rsidR="00595897" w:rsidRPr="00F04265">
        <w:t>risk reduction strategies</w:t>
      </w:r>
    </w:p>
    <w:p w14:paraId="77D2CACA" w14:textId="4B54C36C" w:rsidR="00BD5AD9" w:rsidRDefault="00BD0435" w:rsidP="00BD5AD9">
      <w:pPr>
        <w:pStyle w:val="Body"/>
      </w:pPr>
      <w:r w:rsidRPr="00BD0435">
        <w:t>Patients with a lower body weight, patients over 60 years of age, infants and severely anaemic patients, are most at risk of developing TACO, however, it can occur in all age groups. Diagnoses typically include signs of</w:t>
      </w:r>
      <w:r>
        <w:t xml:space="preserve"> </w:t>
      </w:r>
      <w:r w:rsidR="00A17282" w:rsidRPr="00AF2EEC">
        <w:t xml:space="preserve">positive fluid balance or cardiac </w:t>
      </w:r>
      <w:r w:rsidR="00F04265">
        <w:t>conditions</w:t>
      </w:r>
      <w:r w:rsidR="00A17282" w:rsidRPr="00AF2EEC">
        <w:t xml:space="preserve"> (Lifeblood, </w:t>
      </w:r>
      <w:hyperlink r:id="rId16" w:history="1">
        <w:r w:rsidR="00A17282" w:rsidRPr="00AF2EEC">
          <w:rPr>
            <w:rStyle w:val="Hyperlink"/>
          </w:rPr>
          <w:t>Transfus</w:t>
        </w:r>
        <w:r w:rsidR="00A17282" w:rsidRPr="00AF2EEC">
          <w:rPr>
            <w:rStyle w:val="Hyperlink"/>
          </w:rPr>
          <w:t>i</w:t>
        </w:r>
        <w:r w:rsidR="00A17282" w:rsidRPr="00AF2EEC">
          <w:rPr>
            <w:rStyle w:val="Hyperlink"/>
          </w:rPr>
          <w:t>on-associated circulatory overload (TACO) | Lifeblood</w:t>
        </w:r>
      </w:hyperlink>
      <w:r w:rsidR="00525943">
        <w:t xml:space="preserve"> &lt;</w:t>
      </w:r>
      <w:r w:rsidR="00525943" w:rsidRPr="00525943">
        <w:t xml:space="preserve"> </w:t>
      </w:r>
      <w:r w:rsidR="00525943" w:rsidRPr="00525943">
        <w:t>https://www.lifeblood.com.au/health-professionals/clinical-practice/adverse-events/TACO</w:t>
      </w:r>
      <w:r w:rsidR="00525943">
        <w:t>&gt;</w:t>
      </w:r>
      <w:r w:rsidR="00A17282" w:rsidRPr="00AF2EEC">
        <w:t>)</w:t>
      </w:r>
      <w:r w:rsidR="00A17282">
        <w:t>.</w:t>
      </w:r>
      <w:r w:rsidR="00BD5AD9" w:rsidRPr="00BD5AD9">
        <w:t xml:space="preserve"> </w:t>
      </w:r>
    </w:p>
    <w:p w14:paraId="2498A367" w14:textId="01AE30F3" w:rsidR="00F21BB7" w:rsidRPr="00F21BB7" w:rsidRDefault="000843A3" w:rsidP="00A143C6">
      <w:pPr>
        <w:pStyle w:val="Body"/>
      </w:pPr>
      <w:r>
        <w:lastRenderedPageBreak/>
        <w:t xml:space="preserve">Staff caring for </w:t>
      </w:r>
      <w:r w:rsidR="00383988">
        <w:t xml:space="preserve">transfused </w:t>
      </w:r>
      <w:r w:rsidR="002D25C2">
        <w:t>patients</w:t>
      </w:r>
      <w:r>
        <w:t xml:space="preserve"> </w:t>
      </w:r>
      <w:r w:rsidR="00383988">
        <w:t xml:space="preserve">should </w:t>
      </w:r>
      <w:r w:rsidR="00CD35A9">
        <w:t>receive education on strategies to</w:t>
      </w:r>
      <w:r w:rsidR="00383988">
        <w:t xml:space="preserve"> reduce </w:t>
      </w:r>
      <w:r w:rsidR="00CD35A9">
        <w:t xml:space="preserve">the risk of </w:t>
      </w:r>
      <w:r w:rsidR="00BD5AD9" w:rsidRPr="00AF2EEC">
        <w:t>TACO</w:t>
      </w:r>
      <w:r w:rsidR="00576110">
        <w:t>, including</w:t>
      </w:r>
      <w:r w:rsidR="00510F72">
        <w:t xml:space="preserve"> </w:t>
      </w:r>
      <w:r w:rsidR="00BD5AD9" w:rsidRPr="00AF2EEC">
        <w:t>characteristics of patients at risk</w:t>
      </w:r>
      <w:r w:rsidR="00510F72">
        <w:t xml:space="preserve">, </w:t>
      </w:r>
      <w:r w:rsidR="00BD5AD9" w:rsidRPr="00AF2EEC">
        <w:t>preventative measures</w:t>
      </w:r>
      <w:r w:rsidR="00576110" w:rsidRPr="00576110">
        <w:t xml:space="preserve"> </w:t>
      </w:r>
      <w:r w:rsidR="00576110">
        <w:t xml:space="preserve">and </w:t>
      </w:r>
      <w:r w:rsidR="00576110" w:rsidRPr="00AF2EEC">
        <w:t>monitoring during and post transfusion</w:t>
      </w:r>
      <w:r w:rsidR="00510F72">
        <w:t>.</w:t>
      </w:r>
    </w:p>
    <w:tbl>
      <w:tblPr>
        <w:tblStyle w:val="GridTable4-Accent2"/>
        <w:tblW w:w="0" w:type="auto"/>
        <w:tblLook w:val="04A0" w:firstRow="1" w:lastRow="0" w:firstColumn="1" w:lastColumn="0" w:noHBand="0" w:noVBand="1"/>
      </w:tblPr>
      <w:tblGrid>
        <w:gridCol w:w="4815"/>
        <w:gridCol w:w="5245"/>
      </w:tblGrid>
      <w:tr w:rsidR="001716EA" w14:paraId="28A84820" w14:textId="77777777" w:rsidTr="00A143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4BF99C2C" w14:textId="70A99AE3" w:rsidR="001716EA" w:rsidRPr="00525943" w:rsidRDefault="001716EA" w:rsidP="00525943">
            <w:pPr>
              <w:pStyle w:val="Tablecolhead"/>
              <w:rPr>
                <w:color w:val="FFFFFF" w:themeColor="background1"/>
              </w:rPr>
            </w:pPr>
            <w:r w:rsidRPr="00525943">
              <w:rPr>
                <w:color w:val="FFFFFF" w:themeColor="background1"/>
              </w:rPr>
              <w:t xml:space="preserve">Patients at greatest risk of </w:t>
            </w:r>
            <w:r w:rsidR="001D1225" w:rsidRPr="00525943">
              <w:rPr>
                <w:color w:val="FFFFFF" w:themeColor="background1"/>
              </w:rPr>
              <w:t>TACO</w:t>
            </w:r>
          </w:p>
        </w:tc>
        <w:tc>
          <w:tcPr>
            <w:tcW w:w="5245" w:type="dxa"/>
          </w:tcPr>
          <w:p w14:paraId="41E927CA" w14:textId="0BD9BD09" w:rsidR="001716EA" w:rsidRPr="00525943" w:rsidRDefault="001D1225" w:rsidP="00525943">
            <w:pPr>
              <w:pStyle w:val="Tablecolhead"/>
              <w:cnfStyle w:val="100000000000" w:firstRow="1" w:lastRow="0" w:firstColumn="0" w:lastColumn="0" w:oddVBand="0" w:evenVBand="0" w:oddHBand="0" w:evenHBand="0" w:firstRowFirstColumn="0" w:firstRowLastColumn="0" w:lastRowFirstColumn="0" w:lastRowLastColumn="0"/>
              <w:rPr>
                <w:color w:val="FFFFFF" w:themeColor="background1"/>
              </w:rPr>
            </w:pPr>
            <w:r w:rsidRPr="00525943">
              <w:rPr>
                <w:color w:val="FFFFFF" w:themeColor="background1"/>
              </w:rPr>
              <w:t>General strategies to reduce TACO risk</w:t>
            </w:r>
          </w:p>
        </w:tc>
      </w:tr>
      <w:tr w:rsidR="001716EA" w14:paraId="1815710A" w14:textId="77777777" w:rsidTr="00A14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01E6A73F" w14:textId="48B25064" w:rsidR="00800E94" w:rsidRPr="00A143C6" w:rsidRDefault="00756E4E" w:rsidP="00F95F8A">
            <w:pPr>
              <w:pStyle w:val="Body"/>
              <w:numPr>
                <w:ilvl w:val="0"/>
                <w:numId w:val="44"/>
              </w:numPr>
              <w:rPr>
                <w:b w:val="0"/>
                <w:bCs w:val="0"/>
              </w:rPr>
            </w:pPr>
            <w:r w:rsidRPr="001B135A">
              <w:rPr>
                <w:b w:val="0"/>
                <w:bCs w:val="0"/>
              </w:rPr>
              <w:t>Heart failure</w:t>
            </w:r>
            <w:r w:rsidR="00F95F8A" w:rsidRPr="001B135A">
              <w:rPr>
                <w:b w:val="0"/>
                <w:bCs w:val="0"/>
              </w:rPr>
              <w:t>: congestive cardiac failure, severe aortic stenosis, moderate or sever</w:t>
            </w:r>
            <w:r w:rsidR="00F02192" w:rsidRPr="001B135A">
              <w:rPr>
                <w:b w:val="0"/>
                <w:bCs w:val="0"/>
              </w:rPr>
              <w:t>e</w:t>
            </w:r>
            <w:r w:rsidR="00F95F8A" w:rsidRPr="001B135A">
              <w:rPr>
                <w:b w:val="0"/>
                <w:bCs w:val="0"/>
              </w:rPr>
              <w:t xml:space="preserve"> ventricular dysfunction</w:t>
            </w:r>
          </w:p>
          <w:p w14:paraId="42604782" w14:textId="2E00F6C4" w:rsidR="00F02192" w:rsidRPr="00A143C6" w:rsidRDefault="00F02192" w:rsidP="00F95F8A">
            <w:pPr>
              <w:pStyle w:val="Body"/>
              <w:numPr>
                <w:ilvl w:val="0"/>
                <w:numId w:val="44"/>
              </w:numPr>
              <w:rPr>
                <w:b w:val="0"/>
                <w:bCs w:val="0"/>
              </w:rPr>
            </w:pPr>
            <w:r w:rsidRPr="001B135A">
              <w:rPr>
                <w:b w:val="0"/>
                <w:bCs w:val="0"/>
              </w:rPr>
              <w:t>Regular diuretic</w:t>
            </w:r>
            <w:r w:rsidR="00EE11FA">
              <w:rPr>
                <w:b w:val="0"/>
                <w:bCs w:val="0"/>
              </w:rPr>
              <w:t xml:space="preserve"> requirement</w:t>
            </w:r>
          </w:p>
          <w:p w14:paraId="7FEB833E" w14:textId="4973AAF7" w:rsidR="00F02192" w:rsidRPr="00A143C6" w:rsidRDefault="00F02192" w:rsidP="00F95F8A">
            <w:pPr>
              <w:pStyle w:val="Body"/>
              <w:numPr>
                <w:ilvl w:val="0"/>
                <w:numId w:val="44"/>
              </w:numPr>
              <w:rPr>
                <w:b w:val="0"/>
                <w:bCs w:val="0"/>
              </w:rPr>
            </w:pPr>
            <w:r w:rsidRPr="001B135A">
              <w:rPr>
                <w:b w:val="0"/>
                <w:bCs w:val="0"/>
              </w:rPr>
              <w:t>Pre-existing respiratory symptoms</w:t>
            </w:r>
            <w:r w:rsidR="00BA4EA2" w:rsidRPr="001B135A">
              <w:rPr>
                <w:b w:val="0"/>
                <w:bCs w:val="0"/>
              </w:rPr>
              <w:t>,</w:t>
            </w:r>
            <w:r w:rsidR="00EE11FA">
              <w:rPr>
                <w:b w:val="0"/>
                <w:bCs w:val="0"/>
              </w:rPr>
              <w:t xml:space="preserve"> where</w:t>
            </w:r>
            <w:r w:rsidR="00BA4EA2" w:rsidRPr="001B135A">
              <w:rPr>
                <w:b w:val="0"/>
                <w:bCs w:val="0"/>
              </w:rPr>
              <w:t xml:space="preserve"> cause</w:t>
            </w:r>
            <w:r w:rsidRPr="001B135A">
              <w:rPr>
                <w:b w:val="0"/>
                <w:bCs w:val="0"/>
              </w:rPr>
              <w:t xml:space="preserve"> </w:t>
            </w:r>
            <w:r w:rsidR="00EE11FA">
              <w:rPr>
                <w:b w:val="0"/>
                <w:bCs w:val="0"/>
              </w:rPr>
              <w:t xml:space="preserve">is </w:t>
            </w:r>
            <w:r w:rsidRPr="001B135A">
              <w:rPr>
                <w:b w:val="0"/>
                <w:bCs w:val="0"/>
              </w:rPr>
              <w:t xml:space="preserve">undiagnosed </w:t>
            </w:r>
          </w:p>
          <w:p w14:paraId="320AB31B" w14:textId="5B6444EE" w:rsidR="00BA4EA2" w:rsidRPr="00A143C6" w:rsidRDefault="00EE11FA" w:rsidP="00F95F8A">
            <w:pPr>
              <w:pStyle w:val="Body"/>
              <w:numPr>
                <w:ilvl w:val="0"/>
                <w:numId w:val="44"/>
              </w:numPr>
              <w:rPr>
                <w:b w:val="0"/>
                <w:bCs w:val="0"/>
              </w:rPr>
            </w:pPr>
            <w:r>
              <w:rPr>
                <w:b w:val="0"/>
                <w:bCs w:val="0"/>
              </w:rPr>
              <w:t>Pre-transfusion s</w:t>
            </w:r>
            <w:r w:rsidR="00B74380" w:rsidRPr="001B135A">
              <w:rPr>
                <w:b w:val="0"/>
                <w:bCs w:val="0"/>
              </w:rPr>
              <w:t>igns of p</w:t>
            </w:r>
            <w:r w:rsidR="00BA4EA2" w:rsidRPr="001B135A">
              <w:rPr>
                <w:b w:val="0"/>
                <w:bCs w:val="0"/>
              </w:rPr>
              <w:t xml:space="preserve">ulmonary </w:t>
            </w:r>
            <w:r w:rsidR="00B74380" w:rsidRPr="001B135A">
              <w:rPr>
                <w:b w:val="0"/>
                <w:bCs w:val="0"/>
              </w:rPr>
              <w:t xml:space="preserve">or peripheral </w:t>
            </w:r>
            <w:r w:rsidR="00BA4EA2" w:rsidRPr="001B135A">
              <w:rPr>
                <w:b w:val="0"/>
                <w:bCs w:val="0"/>
              </w:rPr>
              <w:t>oedema</w:t>
            </w:r>
          </w:p>
          <w:p w14:paraId="06887CD0" w14:textId="77777777" w:rsidR="00B74380" w:rsidRPr="00A143C6" w:rsidRDefault="00B74380" w:rsidP="00F95F8A">
            <w:pPr>
              <w:pStyle w:val="Body"/>
              <w:numPr>
                <w:ilvl w:val="0"/>
                <w:numId w:val="44"/>
              </w:numPr>
              <w:rPr>
                <w:b w:val="0"/>
                <w:bCs w:val="0"/>
              </w:rPr>
            </w:pPr>
            <w:r w:rsidRPr="001B135A">
              <w:rPr>
                <w:b w:val="0"/>
                <w:bCs w:val="0"/>
              </w:rPr>
              <w:t xml:space="preserve">Positive fluid balance </w:t>
            </w:r>
            <w:r w:rsidR="00794B9F" w:rsidRPr="001B135A">
              <w:rPr>
                <w:b w:val="0"/>
                <w:bCs w:val="0"/>
              </w:rPr>
              <w:t>before transfusion</w:t>
            </w:r>
          </w:p>
          <w:p w14:paraId="30CF4D50" w14:textId="065D0026" w:rsidR="00794B9F" w:rsidRPr="00A143C6" w:rsidRDefault="00794B9F" w:rsidP="00F95F8A">
            <w:pPr>
              <w:pStyle w:val="Body"/>
              <w:numPr>
                <w:ilvl w:val="0"/>
                <w:numId w:val="44"/>
              </w:numPr>
              <w:rPr>
                <w:b w:val="0"/>
                <w:bCs w:val="0"/>
              </w:rPr>
            </w:pPr>
            <w:r w:rsidRPr="001B135A">
              <w:rPr>
                <w:b w:val="0"/>
                <w:bCs w:val="0"/>
              </w:rPr>
              <w:t>Ongoing IV fluid</w:t>
            </w:r>
            <w:r w:rsidR="00EE11FA">
              <w:rPr>
                <w:b w:val="0"/>
                <w:bCs w:val="0"/>
              </w:rPr>
              <w:t xml:space="preserve"> administration</w:t>
            </w:r>
            <w:r w:rsidRPr="001B135A">
              <w:rPr>
                <w:b w:val="0"/>
                <w:bCs w:val="0"/>
              </w:rPr>
              <w:t xml:space="preserve"> </w:t>
            </w:r>
          </w:p>
          <w:p w14:paraId="752353FA" w14:textId="73A002E4" w:rsidR="00794B9F" w:rsidRPr="00A143C6" w:rsidRDefault="005949AC" w:rsidP="00F95F8A">
            <w:pPr>
              <w:pStyle w:val="Body"/>
              <w:numPr>
                <w:ilvl w:val="0"/>
                <w:numId w:val="44"/>
              </w:numPr>
              <w:rPr>
                <w:b w:val="0"/>
                <w:bCs w:val="0"/>
              </w:rPr>
            </w:pPr>
            <w:proofErr w:type="spellStart"/>
            <w:r w:rsidRPr="001B135A">
              <w:rPr>
                <w:b w:val="0"/>
                <w:bCs w:val="0"/>
              </w:rPr>
              <w:t>Hypoalbuminaemia</w:t>
            </w:r>
            <w:proofErr w:type="spellEnd"/>
          </w:p>
          <w:p w14:paraId="2E879C1B" w14:textId="77777777" w:rsidR="005949AC" w:rsidRPr="00A143C6" w:rsidRDefault="005949AC" w:rsidP="00F95F8A">
            <w:pPr>
              <w:pStyle w:val="Body"/>
              <w:numPr>
                <w:ilvl w:val="0"/>
                <w:numId w:val="44"/>
              </w:numPr>
              <w:rPr>
                <w:b w:val="0"/>
                <w:bCs w:val="0"/>
              </w:rPr>
            </w:pPr>
            <w:r w:rsidRPr="001B135A">
              <w:rPr>
                <w:b w:val="0"/>
                <w:bCs w:val="0"/>
              </w:rPr>
              <w:t>Significant renal impairment</w:t>
            </w:r>
          </w:p>
          <w:p w14:paraId="5AE3C200" w14:textId="4D1B4952" w:rsidR="00A1317F" w:rsidRDefault="00A1317F" w:rsidP="00A143C6">
            <w:pPr>
              <w:pStyle w:val="Body"/>
              <w:numPr>
                <w:ilvl w:val="0"/>
                <w:numId w:val="44"/>
              </w:numPr>
            </w:pPr>
            <w:r w:rsidRPr="001B135A">
              <w:rPr>
                <w:b w:val="0"/>
                <w:bCs w:val="0"/>
              </w:rPr>
              <w:t>Severe chronic anaemia</w:t>
            </w:r>
          </w:p>
        </w:tc>
        <w:tc>
          <w:tcPr>
            <w:tcW w:w="5245" w:type="dxa"/>
          </w:tcPr>
          <w:p w14:paraId="265E0FFA" w14:textId="4960DAFD" w:rsidR="00BD0435" w:rsidRDefault="00BD0435" w:rsidP="00A16395">
            <w:pPr>
              <w:pStyle w:val="Body"/>
              <w:numPr>
                <w:ilvl w:val="0"/>
                <w:numId w:val="44"/>
              </w:numPr>
              <w:cnfStyle w:val="000000100000" w:firstRow="0" w:lastRow="0" w:firstColumn="0" w:lastColumn="0" w:oddVBand="0" w:evenVBand="0" w:oddHBand="1" w:evenHBand="0" w:firstRowFirstColumn="0" w:firstRowLastColumn="0" w:lastRowFirstColumn="0" w:lastRowLastColumn="0"/>
            </w:pPr>
            <w:r>
              <w:t>Do a pre-transfusion risk assessment</w:t>
            </w:r>
          </w:p>
          <w:p w14:paraId="73D1F88D" w14:textId="2B98F790" w:rsidR="001716EA" w:rsidRDefault="00741A5A" w:rsidP="00A16395">
            <w:pPr>
              <w:pStyle w:val="Body"/>
              <w:numPr>
                <w:ilvl w:val="0"/>
                <w:numId w:val="44"/>
              </w:numPr>
              <w:cnfStyle w:val="000000100000" w:firstRow="0" w:lastRow="0" w:firstColumn="0" w:lastColumn="0" w:oddVBand="0" w:evenVBand="0" w:oddHBand="1" w:evenHBand="0" w:firstRowFirstColumn="0" w:firstRowLastColumn="0" w:lastRowFirstColumn="0" w:lastRowLastColumn="0"/>
            </w:pPr>
            <w:r>
              <w:t xml:space="preserve">Review </w:t>
            </w:r>
            <w:r w:rsidR="00EE11FA">
              <w:t xml:space="preserve">the need for </w:t>
            </w:r>
            <w:r>
              <w:t>transfusion</w:t>
            </w:r>
            <w:r w:rsidR="00EE11FA">
              <w:t>. Do the benefits outweigh the risks?</w:t>
            </w:r>
          </w:p>
          <w:p w14:paraId="7CF5BB53" w14:textId="49A1EB65" w:rsidR="00EE11FA" w:rsidRPr="00EE11FA" w:rsidRDefault="00EE11FA" w:rsidP="00EE11FA">
            <w:pPr>
              <w:pStyle w:val="Body"/>
              <w:numPr>
                <w:ilvl w:val="0"/>
                <w:numId w:val="44"/>
              </w:numPr>
              <w:cnfStyle w:val="000000100000" w:firstRow="0" w:lastRow="0" w:firstColumn="0" w:lastColumn="0" w:oddVBand="0" w:evenVBand="0" w:oddHBand="1" w:evenHBand="0" w:firstRowFirstColumn="0" w:firstRowLastColumn="0" w:lastRowFirstColumn="0" w:lastRowLastColumn="0"/>
            </w:pPr>
            <w:r>
              <w:t>S</w:t>
            </w:r>
            <w:r w:rsidRPr="00EE11FA">
              <w:t>ingle unit transfusion with review between units if further units are deemed necessary</w:t>
            </w:r>
          </w:p>
          <w:p w14:paraId="3073E5E4" w14:textId="42875952" w:rsidR="00EE11FA" w:rsidRDefault="00EE11FA" w:rsidP="00EE11FA">
            <w:pPr>
              <w:pStyle w:val="Body"/>
              <w:numPr>
                <w:ilvl w:val="0"/>
                <w:numId w:val="44"/>
              </w:numPr>
              <w:cnfStyle w:val="000000100000" w:firstRow="0" w:lastRow="0" w:firstColumn="0" w:lastColumn="0" w:oddVBand="0" w:evenVBand="0" w:oddHBand="1" w:evenHBand="0" w:firstRowFirstColumn="0" w:firstRowLastColumn="0" w:lastRowFirstColumn="0" w:lastRowLastColumn="0"/>
            </w:pPr>
            <w:r>
              <w:t xml:space="preserve">Measure and monitor fluid balance, vital signs and symptoms of overload during and </w:t>
            </w:r>
            <w:r w:rsidR="00BD0435">
              <w:t>post</w:t>
            </w:r>
            <w:r>
              <w:t xml:space="preserve"> transfusion</w:t>
            </w:r>
          </w:p>
          <w:p w14:paraId="0DAB61D8" w14:textId="67A6A0DE" w:rsidR="00BD0435" w:rsidRPr="00BD0435" w:rsidRDefault="00BD0435" w:rsidP="00BD0435">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eastAsia="Times"/>
              </w:rPr>
            </w:pPr>
            <w:r w:rsidRPr="00BD0435">
              <w:rPr>
                <w:rFonts w:eastAsia="Times"/>
              </w:rPr>
              <w:t>Consider prophylactic diuretics where appropriate and not contraindicated</w:t>
            </w:r>
          </w:p>
          <w:p w14:paraId="05159BEE" w14:textId="4C70D953" w:rsidR="00B63139" w:rsidRDefault="00510A05" w:rsidP="00A16395">
            <w:pPr>
              <w:pStyle w:val="Body"/>
              <w:numPr>
                <w:ilvl w:val="0"/>
                <w:numId w:val="44"/>
              </w:numPr>
              <w:cnfStyle w:val="000000100000" w:firstRow="0" w:lastRow="0" w:firstColumn="0" w:lastColumn="0" w:oddVBand="0" w:evenVBand="0" w:oddHBand="1" w:evenHBand="0" w:firstRowFirstColumn="0" w:firstRowLastColumn="0" w:lastRowFirstColumn="0" w:lastRowLastColumn="0"/>
            </w:pPr>
            <w:r>
              <w:t>Slow transfusion rate (maximum duration 4-hours)</w:t>
            </w:r>
          </w:p>
          <w:p w14:paraId="6E9653B0" w14:textId="1BE13912" w:rsidR="00C72A11" w:rsidRDefault="00ED7281" w:rsidP="00A143C6">
            <w:pPr>
              <w:pStyle w:val="Body"/>
              <w:numPr>
                <w:ilvl w:val="0"/>
                <w:numId w:val="44"/>
              </w:numPr>
              <w:cnfStyle w:val="000000100000" w:firstRow="0" w:lastRow="0" w:firstColumn="0" w:lastColumn="0" w:oddVBand="0" w:evenVBand="0" w:oddHBand="1" w:evenHBand="0" w:firstRowFirstColumn="0" w:firstRowLastColumn="0" w:lastRowFirstColumn="0" w:lastRowLastColumn="0"/>
            </w:pPr>
            <w:r>
              <w:t>Body weight dosing of red blood cells particularly for infan</w:t>
            </w:r>
            <w:r w:rsidR="001C6569">
              <w:t>ts, children and those with low body weight</w:t>
            </w:r>
          </w:p>
        </w:tc>
      </w:tr>
    </w:tbl>
    <w:p w14:paraId="5A17A7FD" w14:textId="77777777" w:rsidR="00F046C4" w:rsidRPr="00AF2EEC" w:rsidRDefault="00F046C4" w:rsidP="00F046C4">
      <w:pPr>
        <w:pStyle w:val="Heading2"/>
        <w:rPr>
          <w:rFonts w:eastAsia="Times"/>
        </w:rPr>
      </w:pPr>
      <w:r>
        <w:t>Resources to assist practice</w:t>
      </w:r>
      <w:r w:rsidRPr="00AF2EEC">
        <w:rPr>
          <w:rFonts w:eastAsia="Times"/>
        </w:rPr>
        <w:t xml:space="preserve"> </w:t>
      </w:r>
    </w:p>
    <w:p w14:paraId="165F4E62" w14:textId="074CA17A" w:rsidR="00AF2EEC" w:rsidRPr="00AF2EEC" w:rsidRDefault="007A3468" w:rsidP="00AF2EEC">
      <w:pPr>
        <w:pStyle w:val="Body"/>
      </w:pPr>
      <w:r>
        <w:t xml:space="preserve">STIR and SHOT have resources to assist </w:t>
      </w:r>
      <w:r w:rsidR="004125C9" w:rsidRPr="00AF2EEC">
        <w:t xml:space="preserve">assessment and monitoring of </w:t>
      </w:r>
      <w:r w:rsidR="00F04265">
        <w:t xml:space="preserve">patients </w:t>
      </w:r>
      <w:r w:rsidR="004125C9" w:rsidRPr="00AF2EEC">
        <w:t xml:space="preserve">at-risk </w:t>
      </w:r>
      <w:r w:rsidR="00134DAF">
        <w:t>of TACO</w:t>
      </w:r>
      <w:r w:rsidR="00AF2EEC" w:rsidRPr="00AF2EEC">
        <w:t>:</w:t>
      </w:r>
    </w:p>
    <w:p w14:paraId="32F74B63" w14:textId="6BB3E861" w:rsidR="00134DAF" w:rsidRPr="00AF2EEC" w:rsidRDefault="00134DAF" w:rsidP="00134DAF">
      <w:pPr>
        <w:pStyle w:val="Body"/>
        <w:numPr>
          <w:ilvl w:val="0"/>
          <w:numId w:val="43"/>
        </w:numPr>
      </w:pPr>
      <w:r w:rsidRPr="00AF2EEC">
        <w:t xml:space="preserve">STIR educational materials related to TACO awareness, </w:t>
      </w:r>
      <w:hyperlink r:id="rId17" w:history="1">
        <w:r w:rsidRPr="00AF2EEC">
          <w:rPr>
            <w:rStyle w:val="Hyperlink"/>
          </w:rPr>
          <w:t>Serious Transfusion Incident Reporting system (STIR) | health.vic</w:t>
        </w:r>
        <w:r w:rsidRPr="00AF2EEC">
          <w:rPr>
            <w:rStyle w:val="Hyperlink"/>
          </w:rPr>
          <w:t>.</w:t>
        </w:r>
        <w:r w:rsidRPr="00AF2EEC">
          <w:rPr>
            <w:rStyle w:val="Hyperlink"/>
          </w:rPr>
          <w:t>gov.au</w:t>
        </w:r>
      </w:hyperlink>
      <w:r w:rsidR="00525943">
        <w:t xml:space="preserve"> &lt;</w:t>
      </w:r>
      <w:r w:rsidR="00525943" w:rsidRPr="00525943">
        <w:t xml:space="preserve"> </w:t>
      </w:r>
      <w:r w:rsidR="00525943" w:rsidRPr="00525943">
        <w:t>https://www.health.vic.gov.au/patient-care/serious-transfusion-incident-reporting-system-stir</w:t>
      </w:r>
      <w:r w:rsidR="00525943">
        <w:t>&gt;</w:t>
      </w:r>
    </w:p>
    <w:p w14:paraId="614ECF7B" w14:textId="03CA3CE9" w:rsidR="00AF2EEC" w:rsidRPr="00AF2EEC" w:rsidRDefault="00AF2EEC" w:rsidP="00AF2EEC">
      <w:pPr>
        <w:pStyle w:val="Body"/>
        <w:numPr>
          <w:ilvl w:val="0"/>
          <w:numId w:val="43"/>
        </w:numPr>
      </w:pPr>
      <w:r w:rsidRPr="00AF2EEC">
        <w:t>SHOT UK</w:t>
      </w:r>
      <w:r w:rsidR="00EE11FA">
        <w:t>,</w:t>
      </w:r>
      <w:r w:rsidRPr="00AF2EEC">
        <w:t xml:space="preserve"> TACO pre-administration risk assessment tool </w:t>
      </w:r>
      <w:hyperlink r:id="rId18" w:history="1">
        <w:r w:rsidRPr="00AF2EEC">
          <w:rPr>
            <w:rStyle w:val="Hyperlink"/>
          </w:rPr>
          <w:t>TACO pr</w:t>
        </w:r>
        <w:r w:rsidRPr="00AF2EEC">
          <w:rPr>
            <w:rStyle w:val="Hyperlink"/>
          </w:rPr>
          <w:t>e</w:t>
        </w:r>
        <w:r w:rsidRPr="00AF2EEC">
          <w:rPr>
            <w:rStyle w:val="Hyperlink"/>
          </w:rPr>
          <w:t>-administration risk assessment - Serious Hazards of Transfusion</w:t>
        </w:r>
      </w:hyperlink>
      <w:r w:rsidR="00525943">
        <w:t xml:space="preserve"> &lt;</w:t>
      </w:r>
      <w:r w:rsidR="00525943" w:rsidRPr="00525943">
        <w:t xml:space="preserve"> </w:t>
      </w:r>
      <w:r w:rsidR="00525943" w:rsidRPr="00525943">
        <w:t>https://www.shotuk.org/resources/taco-pre-administration-risk-assessment-transfusion-associated-circulatory-overload/</w:t>
      </w:r>
      <w:r w:rsidR="00525943">
        <w:t>&gt;</w:t>
      </w:r>
    </w:p>
    <w:p w14:paraId="12EC259F" w14:textId="77777777" w:rsidR="00AF2EEC" w:rsidRPr="00AF2EEC" w:rsidRDefault="00AF2EEC" w:rsidP="00AF2EEC">
      <w:pPr>
        <w:pStyle w:val="Heading2"/>
        <w:rPr>
          <w:rFonts w:eastAsia="Times"/>
        </w:rPr>
      </w:pPr>
      <w:r w:rsidRPr="00AF2EEC">
        <w:rPr>
          <w:rFonts w:eastAsia="Times"/>
        </w:rPr>
        <w:t>References:</w:t>
      </w:r>
    </w:p>
    <w:p w14:paraId="687AB1C0" w14:textId="79DA2C4C" w:rsidR="00BD0435" w:rsidRPr="00AF2EEC" w:rsidRDefault="00BD0435" w:rsidP="00BD0435">
      <w:pPr>
        <w:pStyle w:val="Body"/>
        <w:numPr>
          <w:ilvl w:val="0"/>
          <w:numId w:val="46"/>
        </w:numPr>
      </w:pPr>
      <w:r w:rsidRPr="00AF2EEC">
        <w:t xml:space="preserve">Lifeblood, </w:t>
      </w:r>
      <w:hyperlink r:id="rId19" w:history="1">
        <w:r w:rsidRPr="00AF2EEC">
          <w:rPr>
            <w:rStyle w:val="Hyperlink"/>
          </w:rPr>
          <w:t>Transfusion-associated circulatory overload (TACO) | Li</w:t>
        </w:r>
        <w:r w:rsidRPr="00AF2EEC">
          <w:rPr>
            <w:rStyle w:val="Hyperlink"/>
          </w:rPr>
          <w:t>f</w:t>
        </w:r>
        <w:r w:rsidRPr="00AF2EEC">
          <w:rPr>
            <w:rStyle w:val="Hyperlink"/>
          </w:rPr>
          <w:t>eblood</w:t>
        </w:r>
      </w:hyperlink>
      <w:r w:rsidR="00525943">
        <w:t xml:space="preserve"> &lt;</w:t>
      </w:r>
      <w:r w:rsidR="00525943" w:rsidRPr="00525943">
        <w:t>https://www.lifeblood.com.au/health-professionals/clinical-practice/adverse-events/TACO</w:t>
      </w:r>
      <w:r w:rsidR="00525943">
        <w:t>&gt;</w:t>
      </w:r>
    </w:p>
    <w:p w14:paraId="086BFF5C" w14:textId="57C02DDD" w:rsidR="00AF2EEC" w:rsidRPr="00AF2EEC" w:rsidRDefault="00AF2EEC" w:rsidP="00BD0435">
      <w:pPr>
        <w:pStyle w:val="Body"/>
        <w:numPr>
          <w:ilvl w:val="0"/>
          <w:numId w:val="46"/>
        </w:numPr>
      </w:pPr>
      <w:r w:rsidRPr="00AF2EEC">
        <w:t xml:space="preserve">FDA, Fatalities Reported to FDA Following Blood Collection and Transfusion Annual Summary for Fiscal Year 2020 </w:t>
      </w:r>
      <w:r w:rsidR="00525943">
        <w:t>&lt;</w:t>
      </w:r>
      <w:hyperlink r:id="rId20" w:history="1">
        <w:r w:rsidR="00525943" w:rsidRPr="004C30DB">
          <w:rPr>
            <w:rStyle w:val="Hyperlink"/>
          </w:rPr>
          <w:t>https://www.fda.gov/media/160</w:t>
        </w:r>
        <w:r w:rsidR="00525943" w:rsidRPr="004C30DB">
          <w:rPr>
            <w:rStyle w:val="Hyperlink"/>
          </w:rPr>
          <w:t>8</w:t>
        </w:r>
        <w:r w:rsidR="00525943" w:rsidRPr="004C30DB">
          <w:rPr>
            <w:rStyle w:val="Hyperlink"/>
          </w:rPr>
          <w:t>59/download</w:t>
        </w:r>
      </w:hyperlink>
      <w:r w:rsidR="00525943">
        <w:t>&gt;</w:t>
      </w:r>
    </w:p>
    <w:p w14:paraId="7B83C961" w14:textId="29F49543" w:rsidR="00AF2EEC" w:rsidRPr="00AF2EEC" w:rsidRDefault="00525943" w:rsidP="00BD0435">
      <w:pPr>
        <w:pStyle w:val="Body"/>
        <w:numPr>
          <w:ilvl w:val="0"/>
          <w:numId w:val="46"/>
        </w:numPr>
      </w:pPr>
      <w:hyperlink r:id="rId21" w:history="1">
        <w:r w:rsidR="00AF2EEC" w:rsidRPr="00525943">
          <w:rPr>
            <w:rStyle w:val="Hyperlink"/>
          </w:rPr>
          <w:t>New Zealand Blood Service, National Haemovigilance Programme Annual Report</w:t>
        </w:r>
        <w:r w:rsidR="00402447" w:rsidRPr="00525943">
          <w:rPr>
            <w:rStyle w:val="Hyperlink"/>
          </w:rPr>
          <w:t>s 202</w:t>
        </w:r>
        <w:r w:rsidR="00464869" w:rsidRPr="00525943">
          <w:rPr>
            <w:rStyle w:val="Hyperlink"/>
          </w:rPr>
          <w:t>0 -</w:t>
        </w:r>
        <w:r w:rsidR="00AF2EEC" w:rsidRPr="00525943">
          <w:rPr>
            <w:rStyle w:val="Hyperlink"/>
          </w:rPr>
          <w:t xml:space="preserve"> 2023</w:t>
        </w:r>
      </w:hyperlink>
      <w:r w:rsidR="00AF2EEC" w:rsidRPr="00AF2EEC">
        <w:t xml:space="preserve">, </w:t>
      </w:r>
      <w:r>
        <w:t>&lt;</w:t>
      </w:r>
      <w:r w:rsidRPr="00525943">
        <w:t>https://www.nzblood.</w:t>
      </w:r>
      <w:r w:rsidRPr="00525943">
        <w:t>c</w:t>
      </w:r>
      <w:r w:rsidRPr="00525943">
        <w:t>o.nz/healthcare-professionals/haemovigilance-programme/haemovigilance-annual-report/</w:t>
      </w:r>
      <w:r>
        <w:t>&gt;</w:t>
      </w:r>
    </w:p>
    <w:p w14:paraId="0F399ADB" w14:textId="043FDD86" w:rsidR="00F0486C" w:rsidRDefault="00AE37C7" w:rsidP="00BD0435">
      <w:pPr>
        <w:pStyle w:val="Body"/>
        <w:numPr>
          <w:ilvl w:val="0"/>
          <w:numId w:val="46"/>
        </w:numPr>
      </w:pPr>
      <w:r>
        <w:t>Serious Hazards of Transfusion</w:t>
      </w:r>
      <w:r w:rsidR="00BA575D">
        <w:t xml:space="preserve"> </w:t>
      </w:r>
      <w:r w:rsidR="001072E6">
        <w:t xml:space="preserve">(SHOT) </w:t>
      </w:r>
      <w:r w:rsidR="00F80F10">
        <w:t>Annual Reports 202</w:t>
      </w:r>
      <w:r w:rsidR="0091618C">
        <w:t xml:space="preserve">0 – 2023 </w:t>
      </w:r>
      <w:hyperlink r:id="rId22" w:history="1">
        <w:r w:rsidR="0091618C" w:rsidRPr="0091618C">
          <w:rPr>
            <w:rStyle w:val="Hyperlink"/>
          </w:rPr>
          <w:t>Annual SHOT Reports - Serious Hazards of Transf</w:t>
        </w:r>
        <w:r w:rsidR="0091618C" w:rsidRPr="0091618C">
          <w:rPr>
            <w:rStyle w:val="Hyperlink"/>
          </w:rPr>
          <w:t>u</w:t>
        </w:r>
        <w:r w:rsidR="0091618C" w:rsidRPr="0091618C">
          <w:rPr>
            <w:rStyle w:val="Hyperlink"/>
          </w:rPr>
          <w:t>sion</w:t>
        </w:r>
      </w:hyperlink>
      <w:r w:rsidR="0091618C">
        <w:t xml:space="preserve"> </w:t>
      </w:r>
      <w:r w:rsidR="00525943">
        <w:t>&lt;</w:t>
      </w:r>
      <w:r w:rsidR="00525943" w:rsidRPr="00525943">
        <w:t xml:space="preserve"> </w:t>
      </w:r>
      <w:r w:rsidR="00525943" w:rsidRPr="00525943">
        <w:t>https://www.shotuk.org/shot-reports/</w:t>
      </w:r>
      <w:r w:rsidR="00525943">
        <w:t>&gt;</w:t>
      </w:r>
    </w:p>
    <w:p w14:paraId="7FB573E7" w14:textId="154E18AE" w:rsidR="00BD0435" w:rsidRDefault="00525943" w:rsidP="00BD0435">
      <w:pPr>
        <w:pStyle w:val="Body"/>
        <w:numPr>
          <w:ilvl w:val="0"/>
          <w:numId w:val="46"/>
        </w:numPr>
      </w:pPr>
      <w:hyperlink r:id="rId23" w:history="1">
        <w:r w:rsidR="00AF75AB" w:rsidRPr="00525943">
          <w:rPr>
            <w:rStyle w:val="Hyperlink"/>
          </w:rPr>
          <w:t>Transfusion Transmitted Injuries Surveillance System (TTISS) 2016-2020 Summary Report</w:t>
        </w:r>
      </w:hyperlink>
      <w:r w:rsidR="00AF75AB" w:rsidRPr="00AF75AB">
        <w:t xml:space="preserve"> </w:t>
      </w:r>
      <w:bookmarkEnd w:id="0"/>
      <w:bookmarkEnd w:id="1"/>
      <w:r>
        <w:t>&lt;</w:t>
      </w:r>
      <w:r w:rsidRPr="00525943">
        <w:t>https://www.canada.ca/en/public-health/services/publications/drugs-health-products/transfusion-transmitted-injuries-surveillance-system-summary-report-2016-2020.html</w:t>
      </w:r>
      <w:r>
        <w:t>&gt;</w:t>
      </w:r>
    </w:p>
    <w:p w14:paraId="71EA2EBC" w14:textId="583BCB39" w:rsidR="00200176" w:rsidRPr="00200176" w:rsidRDefault="00525943" w:rsidP="00BD0435">
      <w:pPr>
        <w:pStyle w:val="Body"/>
        <w:numPr>
          <w:ilvl w:val="0"/>
          <w:numId w:val="46"/>
        </w:numPr>
      </w:pPr>
      <w:hyperlink r:id="rId24" w:history="1">
        <w:r w:rsidR="00BD0435" w:rsidRPr="00525943">
          <w:rPr>
            <w:rStyle w:val="Hyperlink"/>
          </w:rPr>
          <w:t>Australian Haemovigilance Report, Data for 2021-22</w:t>
        </w:r>
      </w:hyperlink>
      <w:r w:rsidR="00BD0435" w:rsidRPr="00361934">
        <w:t xml:space="preserve"> published by the National Blood Authority</w:t>
      </w:r>
      <w:r w:rsidR="00BD0435">
        <w:t xml:space="preserve"> </w:t>
      </w:r>
      <w:r>
        <w:t>&lt;</w:t>
      </w:r>
      <w:r w:rsidRPr="00525943">
        <w:t>https://www.blood.gov.au/haemovigilance-reporting</w:t>
      </w:r>
      <w:r>
        <w:t>&gt;</w:t>
      </w:r>
    </w:p>
    <w:tbl>
      <w:tblPr>
        <w:tblStyle w:val="TableGrid"/>
        <w:tblW w:w="0" w:type="auto"/>
        <w:tblCellMar>
          <w:bottom w:w="108" w:type="dxa"/>
        </w:tblCellMar>
        <w:tblLook w:val="0600" w:firstRow="0" w:lastRow="0" w:firstColumn="0" w:lastColumn="0" w:noHBand="1" w:noVBand="1"/>
      </w:tblPr>
      <w:tblGrid>
        <w:gridCol w:w="10194"/>
      </w:tblGrid>
      <w:tr w:rsidR="0055119B" w14:paraId="3FC25DEF" w14:textId="77777777" w:rsidTr="00EC40D5">
        <w:tc>
          <w:tcPr>
            <w:tcW w:w="10194" w:type="dxa"/>
          </w:tcPr>
          <w:p w14:paraId="5BC36D8D" w14:textId="41857099" w:rsidR="00787928" w:rsidRDefault="00787928" w:rsidP="00787928">
            <w:pPr>
              <w:pStyle w:val="Accessibilitypara"/>
            </w:pPr>
            <w:bookmarkStart w:id="2" w:name="_Hlk37240926"/>
            <w:r>
              <w:t xml:space="preserve">To receive this document in another format, phone 03 9694 0102, using the National Relay Service 13 36 77 if required, or </w:t>
            </w:r>
            <w:hyperlink r:id="rId25" w:history="1">
              <w:r w:rsidRPr="00525943">
                <w:rPr>
                  <w:rStyle w:val="Hyperlink"/>
                </w:rPr>
                <w:t>email Blood Matters</w:t>
              </w:r>
            </w:hyperlink>
            <w:r>
              <w:t xml:space="preserve"> &lt;bloodmatters@redcrossblood.org.au&gt;.</w:t>
            </w:r>
          </w:p>
          <w:p w14:paraId="734E9FE6" w14:textId="77777777" w:rsidR="00787928" w:rsidRDefault="00787928" w:rsidP="00787928">
            <w:pPr>
              <w:pStyle w:val="Accessibilitypara"/>
            </w:pPr>
            <w:r>
              <w:t>Authorised and published by the Victorian Government, 1 Treasury Place, Melbourne.</w:t>
            </w:r>
          </w:p>
          <w:p w14:paraId="2A59270D" w14:textId="7AFA85F6" w:rsidR="00787928" w:rsidRDefault="00787928" w:rsidP="00787928">
            <w:pPr>
              <w:pStyle w:val="Accessibilitypara"/>
            </w:pPr>
            <w:r>
              <w:t>© State of Victoria, Australia, Department of Health, July 2025.</w:t>
            </w:r>
          </w:p>
          <w:p w14:paraId="393BF829" w14:textId="77777777" w:rsidR="00787928" w:rsidRDefault="00787928" w:rsidP="00787928">
            <w:pPr>
              <w:pStyle w:val="Accessibilitypara"/>
            </w:pPr>
            <w:r>
              <w:t>ISSN 2652-6212 (online/PDF/Word) or (print)</w:t>
            </w:r>
          </w:p>
          <w:p w14:paraId="6F9B9C26" w14:textId="449F1FD9" w:rsidR="0055119B" w:rsidRDefault="00787928" w:rsidP="00787928">
            <w:pPr>
              <w:pStyle w:val="Imprint"/>
            </w:pPr>
            <w:r>
              <w:t xml:space="preserve">Available at </w:t>
            </w:r>
            <w:hyperlink r:id="rId26" w:history="1">
              <w:r w:rsidRPr="00525943">
                <w:rPr>
                  <w:rStyle w:val="Hyperlink"/>
                </w:rPr>
                <w:t>Blood Matters</w:t>
              </w:r>
            </w:hyperlink>
            <w:r>
              <w:t xml:space="preserve"> &lt;https://www.health.vic.gov.au/patient-care/blood-matters-program&gt;</w:t>
            </w:r>
          </w:p>
        </w:tc>
      </w:tr>
      <w:bookmarkEnd w:id="2"/>
    </w:tbl>
    <w:p w14:paraId="1E9A64AE" w14:textId="77777777" w:rsidR="00162CA9" w:rsidRDefault="00162CA9" w:rsidP="00162CA9">
      <w:pPr>
        <w:pStyle w:val="Body"/>
      </w:pPr>
    </w:p>
    <w:sectPr w:rsidR="00162CA9" w:rsidSect="00D5409D">
      <w:footerReference w:type="default" r:id="rId2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CE18B" w14:textId="77777777" w:rsidR="00410D62" w:rsidRDefault="00410D62">
      <w:r>
        <w:separator/>
      </w:r>
    </w:p>
  </w:endnote>
  <w:endnote w:type="continuationSeparator" w:id="0">
    <w:p w14:paraId="1BBBF777" w14:textId="77777777" w:rsidR="00410D62" w:rsidRDefault="00410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A0CF" w14:textId="77777777" w:rsidR="00E261B3" w:rsidRPr="00F65AA9" w:rsidRDefault="0001677A" w:rsidP="00F84FA0">
    <w:pPr>
      <w:pStyle w:val="Footer"/>
    </w:pPr>
    <w:r>
      <w:rPr>
        <w:noProof/>
        <w:lang w:eastAsia="en-AU"/>
      </w:rPr>
      <w:drawing>
        <wp:anchor distT="0" distB="0" distL="114300" distR="114300" simplePos="0" relativeHeight="251676160" behindDoc="1" locked="1" layoutInCell="1" allowOverlap="1" wp14:anchorId="18447C85" wp14:editId="1669C22D">
          <wp:simplePos x="0" y="0"/>
          <wp:positionH relativeFrom="page">
            <wp:posOffset>0</wp:posOffset>
          </wp:positionH>
          <wp:positionV relativeFrom="page">
            <wp:posOffset>9536430</wp:posOffset>
          </wp:positionV>
          <wp:extent cx="7559675" cy="1156335"/>
          <wp:effectExtent l="0" t="0" r="0" b="0"/>
          <wp:wrapNone/>
          <wp:docPr id="713084706" name="Picture 713084706"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ctoria State Government&#10;Australian Red Cross&#10;Blood Matters"/>
                  <pic:cNvPicPr/>
                </pic:nvPicPr>
                <pic:blipFill rotWithShape="1">
                  <a:blip r:embed="rId1"/>
                  <a:srcRect t="89176"/>
                  <a:stretch/>
                </pic:blipFill>
                <pic:spPr bwMode="auto">
                  <a:xfrm>
                    <a:off x="0" y="0"/>
                    <a:ext cx="7559675" cy="1156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724AF33D" wp14:editId="40626285">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7FBA4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7ABAFA97">
            <v:shapetype id="_x0000_t202" coordsize="21600,21600" o:spt="202" path="m,l,21600r21600,l21600,xe" w14:anchorId="724AF33D">
              <v:stroke joinstyle="miter"/>
              <v:path gradientshapeok="t" o:connecttype="rect"/>
            </v:shapetype>
            <v:shape id="MSIPCMc3054336811d08b680b9289e"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EBEA" w14:textId="77777777" w:rsidR="00E261B3" w:rsidRDefault="00E261B3">
    <w:pPr>
      <w:pStyle w:val="Footer"/>
    </w:pPr>
    <w:r>
      <w:rPr>
        <w:noProof/>
      </w:rPr>
      <mc:AlternateContent>
        <mc:Choice Requires="wps">
          <w:drawing>
            <wp:anchor distT="0" distB="0" distL="114300" distR="114300" simplePos="0" relativeHeight="251670016" behindDoc="0" locked="0" layoutInCell="0" allowOverlap="1" wp14:anchorId="196A6FCC" wp14:editId="234F92A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B79EE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4421D957">
            <v:shapetype id="_x0000_t202" coordsize="21600,21600" o:spt="202" path="m,l,21600r21600,l21600,xe" w14:anchorId="196A6FCC">
              <v:stroke joinstyle="miter"/>
              <v:path gradientshapeok="t" o:connecttype="rect"/>
            </v:shapetype>
            <v:shape id="MSIPCM418f4cbe97f099549309dca7" style="position:absolute;left:0;text-align:left;margin-left:0;margin-top:802.35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B21F90" w:rsidR="00E261B3" w:rsidP="00B21F90" w:rsidRDefault="00E261B3" w14:paraId="75F360E3"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077D"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3EBA6E62" wp14:editId="11296B4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3FA04A"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265E7E88">
            <v:shapetype id="_x0000_t202" coordsize="21600,21600" o:spt="202" path="m,l,21600r21600,l21600,xe" w14:anchorId="3EBA6E62">
              <v:stroke joinstyle="miter"/>
              <v:path gradientshapeok="t" o:connecttype="rect"/>
            </v:shapetype>
            <v:shape id="MSIPCMf473436da8889006ed5648e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B07FF7" w:rsidR="00B07FF7" w:rsidP="00B07FF7" w:rsidRDefault="00B07FF7" w14:paraId="09E77742" w14:textId="7777777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E8FC1" w14:textId="77777777" w:rsidR="00410D62" w:rsidRDefault="00410D62" w:rsidP="002862F1">
      <w:pPr>
        <w:spacing w:before="120"/>
      </w:pPr>
      <w:r>
        <w:separator/>
      </w:r>
    </w:p>
  </w:footnote>
  <w:footnote w:type="continuationSeparator" w:id="0">
    <w:p w14:paraId="03F8C61A" w14:textId="77777777" w:rsidR="00410D62" w:rsidRDefault="00410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C9F4"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4F9B" w14:textId="09561FB8" w:rsidR="00E261B3" w:rsidRPr="0051568D" w:rsidRDefault="00BD0435" w:rsidP="0011701A">
    <w:pPr>
      <w:pStyle w:val="Header"/>
    </w:pPr>
    <w:r>
      <w:t>TACO risk mitigation strategies</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00603F5"/>
    <w:multiLevelType w:val="hybridMultilevel"/>
    <w:tmpl w:val="396AF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7C44AA7"/>
    <w:multiLevelType w:val="hybridMultilevel"/>
    <w:tmpl w:val="72F47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5B2AB0"/>
    <w:multiLevelType w:val="hybridMultilevel"/>
    <w:tmpl w:val="E70EA2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0F2623"/>
    <w:multiLevelType w:val="hybridMultilevel"/>
    <w:tmpl w:val="4828A6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256468"/>
    <w:multiLevelType w:val="hybridMultilevel"/>
    <w:tmpl w:val="E242A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4D77B4"/>
    <w:multiLevelType w:val="hybridMultilevel"/>
    <w:tmpl w:val="EAFC6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611206521">
    <w:abstractNumId w:val="10"/>
  </w:num>
  <w:num w:numId="2" w16cid:durableId="552695002">
    <w:abstractNumId w:val="18"/>
  </w:num>
  <w:num w:numId="3" w16cid:durableId="20599305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46083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55946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75888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5682305">
    <w:abstractNumId w:val="22"/>
  </w:num>
  <w:num w:numId="8" w16cid:durableId="762144313">
    <w:abstractNumId w:val="17"/>
  </w:num>
  <w:num w:numId="9" w16cid:durableId="1410808031">
    <w:abstractNumId w:val="21"/>
  </w:num>
  <w:num w:numId="10" w16cid:durableId="16201424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7815339">
    <w:abstractNumId w:val="25"/>
  </w:num>
  <w:num w:numId="12" w16cid:durableId="16081522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1684087">
    <w:abstractNumId w:val="19"/>
  </w:num>
  <w:num w:numId="14" w16cid:durableId="10483824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03984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32832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09791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2785317">
    <w:abstractNumId w:val="28"/>
  </w:num>
  <w:num w:numId="19" w16cid:durableId="5345116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6386771">
    <w:abstractNumId w:val="14"/>
  </w:num>
  <w:num w:numId="21" w16cid:durableId="781806464">
    <w:abstractNumId w:val="12"/>
  </w:num>
  <w:num w:numId="22" w16cid:durableId="301513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8607387">
    <w:abstractNumId w:val="15"/>
  </w:num>
  <w:num w:numId="24" w16cid:durableId="1102381079">
    <w:abstractNumId w:val="29"/>
  </w:num>
  <w:num w:numId="25" w16cid:durableId="1267424417">
    <w:abstractNumId w:val="27"/>
  </w:num>
  <w:num w:numId="26" w16cid:durableId="1817798184">
    <w:abstractNumId w:val="20"/>
  </w:num>
  <w:num w:numId="27" w16cid:durableId="548998301">
    <w:abstractNumId w:val="11"/>
  </w:num>
  <w:num w:numId="28" w16cid:durableId="502554341">
    <w:abstractNumId w:val="32"/>
  </w:num>
  <w:num w:numId="29" w16cid:durableId="358895270">
    <w:abstractNumId w:val="9"/>
  </w:num>
  <w:num w:numId="30" w16cid:durableId="709888422">
    <w:abstractNumId w:val="7"/>
  </w:num>
  <w:num w:numId="31" w16cid:durableId="360280257">
    <w:abstractNumId w:val="6"/>
  </w:num>
  <w:num w:numId="32" w16cid:durableId="1428423049">
    <w:abstractNumId w:val="5"/>
  </w:num>
  <w:num w:numId="33" w16cid:durableId="1317951307">
    <w:abstractNumId w:val="4"/>
  </w:num>
  <w:num w:numId="34" w16cid:durableId="956521831">
    <w:abstractNumId w:val="8"/>
  </w:num>
  <w:num w:numId="35" w16cid:durableId="1776363177">
    <w:abstractNumId w:val="3"/>
  </w:num>
  <w:num w:numId="36" w16cid:durableId="1913739184">
    <w:abstractNumId w:val="2"/>
  </w:num>
  <w:num w:numId="37" w16cid:durableId="1535079116">
    <w:abstractNumId w:val="1"/>
  </w:num>
  <w:num w:numId="38" w16cid:durableId="1639259359">
    <w:abstractNumId w:val="0"/>
  </w:num>
  <w:num w:numId="39" w16cid:durableId="8310200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7040469">
    <w:abstractNumId w:val="16"/>
  </w:num>
  <w:num w:numId="41" w16cid:durableId="1056974522">
    <w:abstractNumId w:val="23"/>
  </w:num>
  <w:num w:numId="42" w16cid:durableId="1689477215">
    <w:abstractNumId w:val="30"/>
  </w:num>
  <w:num w:numId="43" w16cid:durableId="583685992">
    <w:abstractNumId w:val="31"/>
  </w:num>
  <w:num w:numId="44" w16cid:durableId="1241060558">
    <w:abstractNumId w:val="26"/>
  </w:num>
  <w:num w:numId="45" w16cid:durableId="149910757">
    <w:abstractNumId w:val="23"/>
  </w:num>
  <w:num w:numId="46" w16cid:durableId="967512901">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EEC"/>
    <w:rsid w:val="00000719"/>
    <w:rsid w:val="00003403"/>
    <w:rsid w:val="00003780"/>
    <w:rsid w:val="000044FD"/>
    <w:rsid w:val="00005347"/>
    <w:rsid w:val="000072B6"/>
    <w:rsid w:val="0001021B"/>
    <w:rsid w:val="00011A4B"/>
    <w:rsid w:val="00011D89"/>
    <w:rsid w:val="000154FD"/>
    <w:rsid w:val="0001677A"/>
    <w:rsid w:val="00016FBF"/>
    <w:rsid w:val="00022271"/>
    <w:rsid w:val="000235E8"/>
    <w:rsid w:val="00024D89"/>
    <w:rsid w:val="000250B6"/>
    <w:rsid w:val="00033D81"/>
    <w:rsid w:val="00037366"/>
    <w:rsid w:val="0004186F"/>
    <w:rsid w:val="00041BF0"/>
    <w:rsid w:val="00041D5D"/>
    <w:rsid w:val="00042C8A"/>
    <w:rsid w:val="0004536B"/>
    <w:rsid w:val="000464FC"/>
    <w:rsid w:val="00046B68"/>
    <w:rsid w:val="000527DD"/>
    <w:rsid w:val="00056D9B"/>
    <w:rsid w:val="000578B2"/>
    <w:rsid w:val="00060959"/>
    <w:rsid w:val="00060C8F"/>
    <w:rsid w:val="0006153D"/>
    <w:rsid w:val="0006298A"/>
    <w:rsid w:val="000663CD"/>
    <w:rsid w:val="000733FE"/>
    <w:rsid w:val="00074219"/>
    <w:rsid w:val="00074ED5"/>
    <w:rsid w:val="000835C6"/>
    <w:rsid w:val="00083819"/>
    <w:rsid w:val="000843A3"/>
    <w:rsid w:val="00084400"/>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07C9"/>
    <w:rsid w:val="000C42EA"/>
    <w:rsid w:val="000C4546"/>
    <w:rsid w:val="000D1242"/>
    <w:rsid w:val="000D242E"/>
    <w:rsid w:val="000D6924"/>
    <w:rsid w:val="000E0970"/>
    <w:rsid w:val="000E1910"/>
    <w:rsid w:val="000E3CC7"/>
    <w:rsid w:val="000E6BD4"/>
    <w:rsid w:val="000E6D6D"/>
    <w:rsid w:val="000F1F1E"/>
    <w:rsid w:val="000F2259"/>
    <w:rsid w:val="000F2DDA"/>
    <w:rsid w:val="000F3F81"/>
    <w:rsid w:val="000F4056"/>
    <w:rsid w:val="000F5213"/>
    <w:rsid w:val="00101001"/>
    <w:rsid w:val="00103276"/>
    <w:rsid w:val="0010392D"/>
    <w:rsid w:val="0010447F"/>
    <w:rsid w:val="00104FE3"/>
    <w:rsid w:val="0010714F"/>
    <w:rsid w:val="001072E6"/>
    <w:rsid w:val="001120C5"/>
    <w:rsid w:val="0011701A"/>
    <w:rsid w:val="00120BD3"/>
    <w:rsid w:val="00122FEA"/>
    <w:rsid w:val="001232BD"/>
    <w:rsid w:val="00124ED5"/>
    <w:rsid w:val="0012557C"/>
    <w:rsid w:val="001276FA"/>
    <w:rsid w:val="00134DAF"/>
    <w:rsid w:val="0014255B"/>
    <w:rsid w:val="001447B3"/>
    <w:rsid w:val="00152073"/>
    <w:rsid w:val="00154E2D"/>
    <w:rsid w:val="00155702"/>
    <w:rsid w:val="00156598"/>
    <w:rsid w:val="00161939"/>
    <w:rsid w:val="00161AA0"/>
    <w:rsid w:val="00161D2E"/>
    <w:rsid w:val="00161F3E"/>
    <w:rsid w:val="00162093"/>
    <w:rsid w:val="00162CA9"/>
    <w:rsid w:val="00165459"/>
    <w:rsid w:val="00165A57"/>
    <w:rsid w:val="00166F39"/>
    <w:rsid w:val="001712C2"/>
    <w:rsid w:val="001716EA"/>
    <w:rsid w:val="00172BAF"/>
    <w:rsid w:val="001771DD"/>
    <w:rsid w:val="00177995"/>
    <w:rsid w:val="00177A8C"/>
    <w:rsid w:val="0018180C"/>
    <w:rsid w:val="00186B33"/>
    <w:rsid w:val="00190759"/>
    <w:rsid w:val="00192F9D"/>
    <w:rsid w:val="00196EB8"/>
    <w:rsid w:val="00196EFB"/>
    <w:rsid w:val="001979FF"/>
    <w:rsid w:val="00197B17"/>
    <w:rsid w:val="001A1950"/>
    <w:rsid w:val="001A1C54"/>
    <w:rsid w:val="001A3ACE"/>
    <w:rsid w:val="001B058F"/>
    <w:rsid w:val="001B135A"/>
    <w:rsid w:val="001B738B"/>
    <w:rsid w:val="001C09DB"/>
    <w:rsid w:val="001C277E"/>
    <w:rsid w:val="001C2A72"/>
    <w:rsid w:val="001C31B7"/>
    <w:rsid w:val="001C6569"/>
    <w:rsid w:val="001C7695"/>
    <w:rsid w:val="001C7700"/>
    <w:rsid w:val="001D0B75"/>
    <w:rsid w:val="001D0D14"/>
    <w:rsid w:val="001D1225"/>
    <w:rsid w:val="001D2CA7"/>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5A3"/>
    <w:rsid w:val="001F6E46"/>
    <w:rsid w:val="001F7186"/>
    <w:rsid w:val="001F7C91"/>
    <w:rsid w:val="00200176"/>
    <w:rsid w:val="002033B7"/>
    <w:rsid w:val="00204FFB"/>
    <w:rsid w:val="00206463"/>
    <w:rsid w:val="00206F2F"/>
    <w:rsid w:val="0021053D"/>
    <w:rsid w:val="00210A92"/>
    <w:rsid w:val="0021176E"/>
    <w:rsid w:val="0021667C"/>
    <w:rsid w:val="00216C03"/>
    <w:rsid w:val="00220012"/>
    <w:rsid w:val="00220C04"/>
    <w:rsid w:val="00221059"/>
    <w:rsid w:val="0022278D"/>
    <w:rsid w:val="0022339F"/>
    <w:rsid w:val="0022701F"/>
    <w:rsid w:val="00227C68"/>
    <w:rsid w:val="002333F5"/>
    <w:rsid w:val="00233724"/>
    <w:rsid w:val="002365B4"/>
    <w:rsid w:val="002432E1"/>
    <w:rsid w:val="00245DB3"/>
    <w:rsid w:val="00246207"/>
    <w:rsid w:val="00246C5E"/>
    <w:rsid w:val="002507E3"/>
    <w:rsid w:val="00250960"/>
    <w:rsid w:val="00251343"/>
    <w:rsid w:val="002536A4"/>
    <w:rsid w:val="00254F58"/>
    <w:rsid w:val="002620BC"/>
    <w:rsid w:val="00262802"/>
    <w:rsid w:val="00263A90"/>
    <w:rsid w:val="00263C1F"/>
    <w:rsid w:val="0026408B"/>
    <w:rsid w:val="00267C3E"/>
    <w:rsid w:val="002709BB"/>
    <w:rsid w:val="0027113F"/>
    <w:rsid w:val="00273BAC"/>
    <w:rsid w:val="00274B5C"/>
    <w:rsid w:val="00275FA8"/>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7DA0"/>
    <w:rsid w:val="002D1E0D"/>
    <w:rsid w:val="002D25C2"/>
    <w:rsid w:val="002D5006"/>
    <w:rsid w:val="002D5B93"/>
    <w:rsid w:val="002E01D0"/>
    <w:rsid w:val="002E161D"/>
    <w:rsid w:val="002E3100"/>
    <w:rsid w:val="002E6C95"/>
    <w:rsid w:val="002E7C36"/>
    <w:rsid w:val="002F0107"/>
    <w:rsid w:val="002F3D32"/>
    <w:rsid w:val="002F5F31"/>
    <w:rsid w:val="002F5F46"/>
    <w:rsid w:val="00302216"/>
    <w:rsid w:val="00303E53"/>
    <w:rsid w:val="003041B1"/>
    <w:rsid w:val="00305CC1"/>
    <w:rsid w:val="00306E5F"/>
    <w:rsid w:val="00307E14"/>
    <w:rsid w:val="00314054"/>
    <w:rsid w:val="00314D64"/>
    <w:rsid w:val="00315BD8"/>
    <w:rsid w:val="00316F27"/>
    <w:rsid w:val="00317B56"/>
    <w:rsid w:val="00320A4B"/>
    <w:rsid w:val="003214F1"/>
    <w:rsid w:val="003227F2"/>
    <w:rsid w:val="00322E4B"/>
    <w:rsid w:val="00327870"/>
    <w:rsid w:val="00327D4D"/>
    <w:rsid w:val="0033259D"/>
    <w:rsid w:val="003333D2"/>
    <w:rsid w:val="003345C2"/>
    <w:rsid w:val="003406C6"/>
    <w:rsid w:val="00340C91"/>
    <w:rsid w:val="003418CC"/>
    <w:rsid w:val="00342A75"/>
    <w:rsid w:val="00345635"/>
    <w:rsid w:val="003459BD"/>
    <w:rsid w:val="00350D38"/>
    <w:rsid w:val="00351B36"/>
    <w:rsid w:val="00357B4E"/>
    <w:rsid w:val="00361934"/>
    <w:rsid w:val="0036475E"/>
    <w:rsid w:val="003716FD"/>
    <w:rsid w:val="0037204B"/>
    <w:rsid w:val="00373890"/>
    <w:rsid w:val="003744CF"/>
    <w:rsid w:val="00374717"/>
    <w:rsid w:val="0037676C"/>
    <w:rsid w:val="00381043"/>
    <w:rsid w:val="003829E5"/>
    <w:rsid w:val="003838BB"/>
    <w:rsid w:val="00383988"/>
    <w:rsid w:val="00386109"/>
    <w:rsid w:val="00386944"/>
    <w:rsid w:val="00387225"/>
    <w:rsid w:val="003956CC"/>
    <w:rsid w:val="00395C9A"/>
    <w:rsid w:val="00396AD3"/>
    <w:rsid w:val="003A0853"/>
    <w:rsid w:val="003A4E7B"/>
    <w:rsid w:val="003A6B67"/>
    <w:rsid w:val="003B13B6"/>
    <w:rsid w:val="003B15E6"/>
    <w:rsid w:val="003B408A"/>
    <w:rsid w:val="003B5733"/>
    <w:rsid w:val="003C08A2"/>
    <w:rsid w:val="003C2045"/>
    <w:rsid w:val="003C43A1"/>
    <w:rsid w:val="003C4FC0"/>
    <w:rsid w:val="003C55F4"/>
    <w:rsid w:val="003C615F"/>
    <w:rsid w:val="003C7897"/>
    <w:rsid w:val="003C7A3F"/>
    <w:rsid w:val="003D2766"/>
    <w:rsid w:val="003D2A74"/>
    <w:rsid w:val="003D3E8F"/>
    <w:rsid w:val="003D6475"/>
    <w:rsid w:val="003E0F50"/>
    <w:rsid w:val="003E375C"/>
    <w:rsid w:val="003E4086"/>
    <w:rsid w:val="003E639E"/>
    <w:rsid w:val="003E71E5"/>
    <w:rsid w:val="003F0445"/>
    <w:rsid w:val="003F0CF0"/>
    <w:rsid w:val="003F14B1"/>
    <w:rsid w:val="003F19CE"/>
    <w:rsid w:val="003F2B20"/>
    <w:rsid w:val="003F3289"/>
    <w:rsid w:val="003F5CB9"/>
    <w:rsid w:val="004013C7"/>
    <w:rsid w:val="00401704"/>
    <w:rsid w:val="00401FCF"/>
    <w:rsid w:val="00402447"/>
    <w:rsid w:val="0040248F"/>
    <w:rsid w:val="00406285"/>
    <w:rsid w:val="00410D62"/>
    <w:rsid w:val="004112C6"/>
    <w:rsid w:val="004122A4"/>
    <w:rsid w:val="004125C9"/>
    <w:rsid w:val="0041420E"/>
    <w:rsid w:val="004148F9"/>
    <w:rsid w:val="00414D4A"/>
    <w:rsid w:val="0042084E"/>
    <w:rsid w:val="004219C8"/>
    <w:rsid w:val="00421EEF"/>
    <w:rsid w:val="00424D65"/>
    <w:rsid w:val="004259CE"/>
    <w:rsid w:val="00442C6C"/>
    <w:rsid w:val="00443CBE"/>
    <w:rsid w:val="00443E8A"/>
    <w:rsid w:val="004441BC"/>
    <w:rsid w:val="0044575A"/>
    <w:rsid w:val="004468B4"/>
    <w:rsid w:val="004470AC"/>
    <w:rsid w:val="004515AD"/>
    <w:rsid w:val="0045230A"/>
    <w:rsid w:val="00452ACD"/>
    <w:rsid w:val="00454AD0"/>
    <w:rsid w:val="00457337"/>
    <w:rsid w:val="00462E3D"/>
    <w:rsid w:val="00464869"/>
    <w:rsid w:val="00466E79"/>
    <w:rsid w:val="00470D7D"/>
    <w:rsid w:val="0047372D"/>
    <w:rsid w:val="00473BA3"/>
    <w:rsid w:val="004743DD"/>
    <w:rsid w:val="00474CEA"/>
    <w:rsid w:val="00483968"/>
    <w:rsid w:val="00483A7D"/>
    <w:rsid w:val="00484F86"/>
    <w:rsid w:val="00490746"/>
    <w:rsid w:val="00490852"/>
    <w:rsid w:val="00491C9C"/>
    <w:rsid w:val="00492F30"/>
    <w:rsid w:val="004946F4"/>
    <w:rsid w:val="0049487E"/>
    <w:rsid w:val="004A160D"/>
    <w:rsid w:val="004A3E81"/>
    <w:rsid w:val="004A4195"/>
    <w:rsid w:val="004A5C62"/>
    <w:rsid w:val="004A5CE5"/>
    <w:rsid w:val="004A707D"/>
    <w:rsid w:val="004B4903"/>
    <w:rsid w:val="004B5714"/>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4260"/>
    <w:rsid w:val="00506F5D"/>
    <w:rsid w:val="00510A05"/>
    <w:rsid w:val="00510C37"/>
    <w:rsid w:val="00510F72"/>
    <w:rsid w:val="005126D0"/>
    <w:rsid w:val="0051568D"/>
    <w:rsid w:val="00525943"/>
    <w:rsid w:val="00526AC7"/>
    <w:rsid w:val="00526C15"/>
    <w:rsid w:val="005272C6"/>
    <w:rsid w:val="00536395"/>
    <w:rsid w:val="00536499"/>
    <w:rsid w:val="00543903"/>
    <w:rsid w:val="00543F11"/>
    <w:rsid w:val="0054425B"/>
    <w:rsid w:val="00546305"/>
    <w:rsid w:val="00547A95"/>
    <w:rsid w:val="0055119B"/>
    <w:rsid w:val="00551430"/>
    <w:rsid w:val="005548B5"/>
    <w:rsid w:val="00572031"/>
    <w:rsid w:val="00572282"/>
    <w:rsid w:val="00573CE3"/>
    <w:rsid w:val="00575134"/>
    <w:rsid w:val="00576110"/>
    <w:rsid w:val="00576B7B"/>
    <w:rsid w:val="00576E84"/>
    <w:rsid w:val="00580394"/>
    <w:rsid w:val="005809CD"/>
    <w:rsid w:val="00580ACA"/>
    <w:rsid w:val="00581611"/>
    <w:rsid w:val="0058173C"/>
    <w:rsid w:val="00582B8C"/>
    <w:rsid w:val="0058757E"/>
    <w:rsid w:val="005949AC"/>
    <w:rsid w:val="00595897"/>
    <w:rsid w:val="00596A4B"/>
    <w:rsid w:val="00597507"/>
    <w:rsid w:val="005A479D"/>
    <w:rsid w:val="005A7FB8"/>
    <w:rsid w:val="005B05D6"/>
    <w:rsid w:val="005B1C6D"/>
    <w:rsid w:val="005B21B6"/>
    <w:rsid w:val="005B26AD"/>
    <w:rsid w:val="005B3A08"/>
    <w:rsid w:val="005B7A63"/>
    <w:rsid w:val="005C0955"/>
    <w:rsid w:val="005C49DA"/>
    <w:rsid w:val="005C50F3"/>
    <w:rsid w:val="005C51F5"/>
    <w:rsid w:val="005C54B5"/>
    <w:rsid w:val="005C5D80"/>
    <w:rsid w:val="005C5D91"/>
    <w:rsid w:val="005D07B8"/>
    <w:rsid w:val="005D147D"/>
    <w:rsid w:val="005D6597"/>
    <w:rsid w:val="005D76FF"/>
    <w:rsid w:val="005E14E7"/>
    <w:rsid w:val="005E26A3"/>
    <w:rsid w:val="005E2ECB"/>
    <w:rsid w:val="005E447E"/>
    <w:rsid w:val="005E4FD1"/>
    <w:rsid w:val="005F0775"/>
    <w:rsid w:val="005F0CF5"/>
    <w:rsid w:val="005F21EB"/>
    <w:rsid w:val="0060437F"/>
    <w:rsid w:val="00605908"/>
    <w:rsid w:val="00610D7C"/>
    <w:rsid w:val="006112E9"/>
    <w:rsid w:val="00612F9D"/>
    <w:rsid w:val="00613414"/>
    <w:rsid w:val="00617B8D"/>
    <w:rsid w:val="00620154"/>
    <w:rsid w:val="0062408D"/>
    <w:rsid w:val="006240CC"/>
    <w:rsid w:val="00624940"/>
    <w:rsid w:val="006254F8"/>
    <w:rsid w:val="00627526"/>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4D90"/>
    <w:rsid w:val="00667770"/>
    <w:rsid w:val="00670597"/>
    <w:rsid w:val="006706D0"/>
    <w:rsid w:val="00677574"/>
    <w:rsid w:val="00682678"/>
    <w:rsid w:val="0068454C"/>
    <w:rsid w:val="00691B62"/>
    <w:rsid w:val="006933B5"/>
    <w:rsid w:val="00693D14"/>
    <w:rsid w:val="006961E7"/>
    <w:rsid w:val="00696F27"/>
    <w:rsid w:val="006A18C2"/>
    <w:rsid w:val="006A3383"/>
    <w:rsid w:val="006B077C"/>
    <w:rsid w:val="006B37DF"/>
    <w:rsid w:val="006B6803"/>
    <w:rsid w:val="006C60AA"/>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53FA"/>
    <w:rsid w:val="007273AC"/>
    <w:rsid w:val="00731AD4"/>
    <w:rsid w:val="007346E4"/>
    <w:rsid w:val="00734FCA"/>
    <w:rsid w:val="0073582E"/>
    <w:rsid w:val="00735D96"/>
    <w:rsid w:val="00740F22"/>
    <w:rsid w:val="00741A2F"/>
    <w:rsid w:val="00741A5A"/>
    <w:rsid w:val="00741CF0"/>
    <w:rsid w:val="00741F1A"/>
    <w:rsid w:val="007447DA"/>
    <w:rsid w:val="007450F8"/>
    <w:rsid w:val="0074696E"/>
    <w:rsid w:val="00750135"/>
    <w:rsid w:val="00750EC2"/>
    <w:rsid w:val="00752B28"/>
    <w:rsid w:val="007541A9"/>
    <w:rsid w:val="00754E36"/>
    <w:rsid w:val="00756E4E"/>
    <w:rsid w:val="00763139"/>
    <w:rsid w:val="00763DD3"/>
    <w:rsid w:val="007706FD"/>
    <w:rsid w:val="00770F37"/>
    <w:rsid w:val="007711A0"/>
    <w:rsid w:val="00772D5E"/>
    <w:rsid w:val="007743F7"/>
    <w:rsid w:val="0077463E"/>
    <w:rsid w:val="00776928"/>
    <w:rsid w:val="00776E0F"/>
    <w:rsid w:val="007774B1"/>
    <w:rsid w:val="00777BE1"/>
    <w:rsid w:val="007833D8"/>
    <w:rsid w:val="00785677"/>
    <w:rsid w:val="00786F16"/>
    <w:rsid w:val="00787928"/>
    <w:rsid w:val="00791BD7"/>
    <w:rsid w:val="007933F7"/>
    <w:rsid w:val="00794B9F"/>
    <w:rsid w:val="00796E20"/>
    <w:rsid w:val="00797C32"/>
    <w:rsid w:val="007A11E8"/>
    <w:rsid w:val="007A3468"/>
    <w:rsid w:val="007B0914"/>
    <w:rsid w:val="007B1374"/>
    <w:rsid w:val="007B32E5"/>
    <w:rsid w:val="007B3DB9"/>
    <w:rsid w:val="007B589F"/>
    <w:rsid w:val="007B6186"/>
    <w:rsid w:val="007B73BC"/>
    <w:rsid w:val="007C1838"/>
    <w:rsid w:val="007C1A39"/>
    <w:rsid w:val="007C1EB0"/>
    <w:rsid w:val="007C20B9"/>
    <w:rsid w:val="007C3590"/>
    <w:rsid w:val="007C6392"/>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0E94"/>
    <w:rsid w:val="0080587B"/>
    <w:rsid w:val="00806468"/>
    <w:rsid w:val="008119CA"/>
    <w:rsid w:val="00812A2A"/>
    <w:rsid w:val="008130C4"/>
    <w:rsid w:val="008155F0"/>
    <w:rsid w:val="00816735"/>
    <w:rsid w:val="00820141"/>
    <w:rsid w:val="00820E0C"/>
    <w:rsid w:val="008213F0"/>
    <w:rsid w:val="00823275"/>
    <w:rsid w:val="0082366F"/>
    <w:rsid w:val="0082702E"/>
    <w:rsid w:val="008338A2"/>
    <w:rsid w:val="00835FAF"/>
    <w:rsid w:val="00841AA9"/>
    <w:rsid w:val="008474FE"/>
    <w:rsid w:val="00853EE4"/>
    <w:rsid w:val="00854431"/>
    <w:rsid w:val="00854954"/>
    <w:rsid w:val="00855535"/>
    <w:rsid w:val="00855920"/>
    <w:rsid w:val="00857C5A"/>
    <w:rsid w:val="008615EE"/>
    <w:rsid w:val="0086255E"/>
    <w:rsid w:val="008633F0"/>
    <w:rsid w:val="00867D9D"/>
    <w:rsid w:val="00872E0A"/>
    <w:rsid w:val="00873594"/>
    <w:rsid w:val="00875285"/>
    <w:rsid w:val="00884B62"/>
    <w:rsid w:val="0088529C"/>
    <w:rsid w:val="008852A2"/>
    <w:rsid w:val="00887903"/>
    <w:rsid w:val="0089270A"/>
    <w:rsid w:val="00893AF6"/>
    <w:rsid w:val="00893C6C"/>
    <w:rsid w:val="00894BC4"/>
    <w:rsid w:val="008A28A8"/>
    <w:rsid w:val="008A5B32"/>
    <w:rsid w:val="008B2EE4"/>
    <w:rsid w:val="008B4D3D"/>
    <w:rsid w:val="008B57C7"/>
    <w:rsid w:val="008C2F92"/>
    <w:rsid w:val="008C3697"/>
    <w:rsid w:val="008C5557"/>
    <w:rsid w:val="008C589D"/>
    <w:rsid w:val="008C6D51"/>
    <w:rsid w:val="008C7CB1"/>
    <w:rsid w:val="008D2846"/>
    <w:rsid w:val="008D4236"/>
    <w:rsid w:val="008D462F"/>
    <w:rsid w:val="008D49C8"/>
    <w:rsid w:val="008D6DCF"/>
    <w:rsid w:val="008E3DE9"/>
    <w:rsid w:val="008E4376"/>
    <w:rsid w:val="008E72AE"/>
    <w:rsid w:val="008E7A0A"/>
    <w:rsid w:val="008E7B49"/>
    <w:rsid w:val="008F59F6"/>
    <w:rsid w:val="00900719"/>
    <w:rsid w:val="009017AC"/>
    <w:rsid w:val="00902A9A"/>
    <w:rsid w:val="00904A1C"/>
    <w:rsid w:val="00905030"/>
    <w:rsid w:val="00906490"/>
    <w:rsid w:val="009111B2"/>
    <w:rsid w:val="009151F5"/>
    <w:rsid w:val="0091618C"/>
    <w:rsid w:val="00917D69"/>
    <w:rsid w:val="009220CA"/>
    <w:rsid w:val="00924639"/>
    <w:rsid w:val="00924AE1"/>
    <w:rsid w:val="0092508B"/>
    <w:rsid w:val="009269B1"/>
    <w:rsid w:val="0092724D"/>
    <w:rsid w:val="009272B3"/>
    <w:rsid w:val="009315BE"/>
    <w:rsid w:val="0093338F"/>
    <w:rsid w:val="00936B6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2DC0"/>
    <w:rsid w:val="00994386"/>
    <w:rsid w:val="009977F7"/>
    <w:rsid w:val="009A13D8"/>
    <w:rsid w:val="009A142D"/>
    <w:rsid w:val="009A279E"/>
    <w:rsid w:val="009A3015"/>
    <w:rsid w:val="009A3490"/>
    <w:rsid w:val="009B0A6F"/>
    <w:rsid w:val="009B0A94"/>
    <w:rsid w:val="009B2AE8"/>
    <w:rsid w:val="009B59E9"/>
    <w:rsid w:val="009B63EB"/>
    <w:rsid w:val="009B70AA"/>
    <w:rsid w:val="009C5E77"/>
    <w:rsid w:val="009C7A7E"/>
    <w:rsid w:val="009D02E8"/>
    <w:rsid w:val="009D51D0"/>
    <w:rsid w:val="009D70A4"/>
    <w:rsid w:val="009D7B14"/>
    <w:rsid w:val="009E08D1"/>
    <w:rsid w:val="009E1604"/>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17F"/>
    <w:rsid w:val="00A1389F"/>
    <w:rsid w:val="00A143C6"/>
    <w:rsid w:val="00A157B1"/>
    <w:rsid w:val="00A16395"/>
    <w:rsid w:val="00A17282"/>
    <w:rsid w:val="00A17969"/>
    <w:rsid w:val="00A22229"/>
    <w:rsid w:val="00A24442"/>
    <w:rsid w:val="00A330BB"/>
    <w:rsid w:val="00A36114"/>
    <w:rsid w:val="00A44882"/>
    <w:rsid w:val="00A45125"/>
    <w:rsid w:val="00A54715"/>
    <w:rsid w:val="00A6061C"/>
    <w:rsid w:val="00A623D7"/>
    <w:rsid w:val="00A62D44"/>
    <w:rsid w:val="00A67263"/>
    <w:rsid w:val="00A7161C"/>
    <w:rsid w:val="00A7354F"/>
    <w:rsid w:val="00A77AA3"/>
    <w:rsid w:val="00A8029D"/>
    <w:rsid w:val="00A80421"/>
    <w:rsid w:val="00A8236D"/>
    <w:rsid w:val="00A854EB"/>
    <w:rsid w:val="00A872E5"/>
    <w:rsid w:val="00A91406"/>
    <w:rsid w:val="00A96E65"/>
    <w:rsid w:val="00A97C72"/>
    <w:rsid w:val="00AA268E"/>
    <w:rsid w:val="00AA310B"/>
    <w:rsid w:val="00AA6320"/>
    <w:rsid w:val="00AA63D4"/>
    <w:rsid w:val="00AB03E6"/>
    <w:rsid w:val="00AB06E8"/>
    <w:rsid w:val="00AB1CD3"/>
    <w:rsid w:val="00AB352F"/>
    <w:rsid w:val="00AB6B56"/>
    <w:rsid w:val="00AC274B"/>
    <w:rsid w:val="00AC4764"/>
    <w:rsid w:val="00AC6D36"/>
    <w:rsid w:val="00AD0CBA"/>
    <w:rsid w:val="00AD112B"/>
    <w:rsid w:val="00AD177A"/>
    <w:rsid w:val="00AD26E2"/>
    <w:rsid w:val="00AD56E3"/>
    <w:rsid w:val="00AD784C"/>
    <w:rsid w:val="00AE126A"/>
    <w:rsid w:val="00AE1BAE"/>
    <w:rsid w:val="00AE3005"/>
    <w:rsid w:val="00AE37C7"/>
    <w:rsid w:val="00AE3BD5"/>
    <w:rsid w:val="00AE59A0"/>
    <w:rsid w:val="00AF0B80"/>
    <w:rsid w:val="00AF0C57"/>
    <w:rsid w:val="00AF114C"/>
    <w:rsid w:val="00AF26F3"/>
    <w:rsid w:val="00AF2EEC"/>
    <w:rsid w:val="00AF5F04"/>
    <w:rsid w:val="00AF75AB"/>
    <w:rsid w:val="00B00672"/>
    <w:rsid w:val="00B01B4D"/>
    <w:rsid w:val="00B06571"/>
    <w:rsid w:val="00B068BA"/>
    <w:rsid w:val="00B07FF7"/>
    <w:rsid w:val="00B13851"/>
    <w:rsid w:val="00B13B1C"/>
    <w:rsid w:val="00B14780"/>
    <w:rsid w:val="00B21F90"/>
    <w:rsid w:val="00B22291"/>
    <w:rsid w:val="00B22B58"/>
    <w:rsid w:val="00B23F9A"/>
    <w:rsid w:val="00B2417B"/>
    <w:rsid w:val="00B24E6F"/>
    <w:rsid w:val="00B26CB5"/>
    <w:rsid w:val="00B2752E"/>
    <w:rsid w:val="00B307CC"/>
    <w:rsid w:val="00B326B7"/>
    <w:rsid w:val="00B3588E"/>
    <w:rsid w:val="00B41F3D"/>
    <w:rsid w:val="00B431E8"/>
    <w:rsid w:val="00B435A1"/>
    <w:rsid w:val="00B45141"/>
    <w:rsid w:val="00B46DE7"/>
    <w:rsid w:val="00B519CD"/>
    <w:rsid w:val="00B5273A"/>
    <w:rsid w:val="00B561D2"/>
    <w:rsid w:val="00B57329"/>
    <w:rsid w:val="00B60E61"/>
    <w:rsid w:val="00B62B50"/>
    <w:rsid w:val="00B63139"/>
    <w:rsid w:val="00B635B7"/>
    <w:rsid w:val="00B63AE8"/>
    <w:rsid w:val="00B65950"/>
    <w:rsid w:val="00B66D83"/>
    <w:rsid w:val="00B672C0"/>
    <w:rsid w:val="00B676FD"/>
    <w:rsid w:val="00B74380"/>
    <w:rsid w:val="00B75646"/>
    <w:rsid w:val="00B84A6F"/>
    <w:rsid w:val="00B871EA"/>
    <w:rsid w:val="00B8728A"/>
    <w:rsid w:val="00B90729"/>
    <w:rsid w:val="00B907DA"/>
    <w:rsid w:val="00B94CD5"/>
    <w:rsid w:val="00B950BC"/>
    <w:rsid w:val="00B9714C"/>
    <w:rsid w:val="00BA29AD"/>
    <w:rsid w:val="00BA33CF"/>
    <w:rsid w:val="00BA3F8D"/>
    <w:rsid w:val="00BA4EA2"/>
    <w:rsid w:val="00BA575D"/>
    <w:rsid w:val="00BB7A10"/>
    <w:rsid w:val="00BC3E8F"/>
    <w:rsid w:val="00BC60BE"/>
    <w:rsid w:val="00BC6CF5"/>
    <w:rsid w:val="00BC7468"/>
    <w:rsid w:val="00BC7D4F"/>
    <w:rsid w:val="00BC7ED7"/>
    <w:rsid w:val="00BD0435"/>
    <w:rsid w:val="00BD05C7"/>
    <w:rsid w:val="00BD2850"/>
    <w:rsid w:val="00BD5AD9"/>
    <w:rsid w:val="00BD6802"/>
    <w:rsid w:val="00BE28D2"/>
    <w:rsid w:val="00BE4A64"/>
    <w:rsid w:val="00BE5E43"/>
    <w:rsid w:val="00BE71E8"/>
    <w:rsid w:val="00BF30B2"/>
    <w:rsid w:val="00BF3E5C"/>
    <w:rsid w:val="00BF557D"/>
    <w:rsid w:val="00BF7F58"/>
    <w:rsid w:val="00C01381"/>
    <w:rsid w:val="00C01AB1"/>
    <w:rsid w:val="00C026A0"/>
    <w:rsid w:val="00C06137"/>
    <w:rsid w:val="00C079B8"/>
    <w:rsid w:val="00C10037"/>
    <w:rsid w:val="00C123EA"/>
    <w:rsid w:val="00C12A49"/>
    <w:rsid w:val="00C133EE"/>
    <w:rsid w:val="00C145FD"/>
    <w:rsid w:val="00C149D0"/>
    <w:rsid w:val="00C26588"/>
    <w:rsid w:val="00C27DE9"/>
    <w:rsid w:val="00C32989"/>
    <w:rsid w:val="00C32D27"/>
    <w:rsid w:val="00C33388"/>
    <w:rsid w:val="00C35484"/>
    <w:rsid w:val="00C4173A"/>
    <w:rsid w:val="00C440C3"/>
    <w:rsid w:val="00C4739A"/>
    <w:rsid w:val="00C50DED"/>
    <w:rsid w:val="00C602FF"/>
    <w:rsid w:val="00C61174"/>
    <w:rsid w:val="00C6148F"/>
    <w:rsid w:val="00C621B1"/>
    <w:rsid w:val="00C62F7A"/>
    <w:rsid w:val="00C6303E"/>
    <w:rsid w:val="00C63B9C"/>
    <w:rsid w:val="00C6600A"/>
    <w:rsid w:val="00C6682F"/>
    <w:rsid w:val="00C67BF4"/>
    <w:rsid w:val="00C71783"/>
    <w:rsid w:val="00C7275E"/>
    <w:rsid w:val="00C72A11"/>
    <w:rsid w:val="00C74C5D"/>
    <w:rsid w:val="00C863C4"/>
    <w:rsid w:val="00C8746D"/>
    <w:rsid w:val="00C87C8F"/>
    <w:rsid w:val="00C920EA"/>
    <w:rsid w:val="00C93C3E"/>
    <w:rsid w:val="00CA12E3"/>
    <w:rsid w:val="00CA1476"/>
    <w:rsid w:val="00CA6611"/>
    <w:rsid w:val="00CA6AE6"/>
    <w:rsid w:val="00CA782F"/>
    <w:rsid w:val="00CB187B"/>
    <w:rsid w:val="00CB2835"/>
    <w:rsid w:val="00CB3285"/>
    <w:rsid w:val="00CB4500"/>
    <w:rsid w:val="00CB5967"/>
    <w:rsid w:val="00CB6481"/>
    <w:rsid w:val="00CB7800"/>
    <w:rsid w:val="00CC0C72"/>
    <w:rsid w:val="00CC2BFD"/>
    <w:rsid w:val="00CD2872"/>
    <w:rsid w:val="00CD3476"/>
    <w:rsid w:val="00CD35A9"/>
    <w:rsid w:val="00CD64DF"/>
    <w:rsid w:val="00CE225F"/>
    <w:rsid w:val="00CE372E"/>
    <w:rsid w:val="00CF102F"/>
    <w:rsid w:val="00CF2F50"/>
    <w:rsid w:val="00CF6198"/>
    <w:rsid w:val="00D020DD"/>
    <w:rsid w:val="00D02919"/>
    <w:rsid w:val="00D02AE7"/>
    <w:rsid w:val="00D04C61"/>
    <w:rsid w:val="00D05B8D"/>
    <w:rsid w:val="00D065A2"/>
    <w:rsid w:val="00D079AA"/>
    <w:rsid w:val="00D07F00"/>
    <w:rsid w:val="00D1130F"/>
    <w:rsid w:val="00D17B72"/>
    <w:rsid w:val="00D3185C"/>
    <w:rsid w:val="00D31A63"/>
    <w:rsid w:val="00D3205F"/>
    <w:rsid w:val="00D3318E"/>
    <w:rsid w:val="00D33E72"/>
    <w:rsid w:val="00D35BD6"/>
    <w:rsid w:val="00D361B5"/>
    <w:rsid w:val="00D405AC"/>
    <w:rsid w:val="00D411A2"/>
    <w:rsid w:val="00D43272"/>
    <w:rsid w:val="00D4606D"/>
    <w:rsid w:val="00D46C92"/>
    <w:rsid w:val="00D50B9C"/>
    <w:rsid w:val="00D52D73"/>
    <w:rsid w:val="00D52E58"/>
    <w:rsid w:val="00D5409D"/>
    <w:rsid w:val="00D56B20"/>
    <w:rsid w:val="00D578B3"/>
    <w:rsid w:val="00D618F4"/>
    <w:rsid w:val="00D6261F"/>
    <w:rsid w:val="00D65999"/>
    <w:rsid w:val="00D714CC"/>
    <w:rsid w:val="00D75EA7"/>
    <w:rsid w:val="00D81ADF"/>
    <w:rsid w:val="00D81F21"/>
    <w:rsid w:val="00D864F2"/>
    <w:rsid w:val="00D92F95"/>
    <w:rsid w:val="00D943F8"/>
    <w:rsid w:val="00D95470"/>
    <w:rsid w:val="00D96B55"/>
    <w:rsid w:val="00DA2619"/>
    <w:rsid w:val="00DA4239"/>
    <w:rsid w:val="00DA608D"/>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1B5D"/>
    <w:rsid w:val="00DD487D"/>
    <w:rsid w:val="00DD4E83"/>
    <w:rsid w:val="00DD6628"/>
    <w:rsid w:val="00DD6945"/>
    <w:rsid w:val="00DE2D04"/>
    <w:rsid w:val="00DE3250"/>
    <w:rsid w:val="00DE451A"/>
    <w:rsid w:val="00DE6028"/>
    <w:rsid w:val="00DE78A3"/>
    <w:rsid w:val="00DF0CBD"/>
    <w:rsid w:val="00DF1A71"/>
    <w:rsid w:val="00DF50FC"/>
    <w:rsid w:val="00DF68C7"/>
    <w:rsid w:val="00DF731A"/>
    <w:rsid w:val="00E00E3A"/>
    <w:rsid w:val="00E06B75"/>
    <w:rsid w:val="00E11332"/>
    <w:rsid w:val="00E11352"/>
    <w:rsid w:val="00E156AD"/>
    <w:rsid w:val="00E170DC"/>
    <w:rsid w:val="00E17546"/>
    <w:rsid w:val="00E208C4"/>
    <w:rsid w:val="00E210B5"/>
    <w:rsid w:val="00E261B3"/>
    <w:rsid w:val="00E26818"/>
    <w:rsid w:val="00E27FFC"/>
    <w:rsid w:val="00E30B15"/>
    <w:rsid w:val="00E33237"/>
    <w:rsid w:val="00E34831"/>
    <w:rsid w:val="00E40181"/>
    <w:rsid w:val="00E412F1"/>
    <w:rsid w:val="00E54950"/>
    <w:rsid w:val="00E56A01"/>
    <w:rsid w:val="00E62622"/>
    <w:rsid w:val="00E629A1"/>
    <w:rsid w:val="00E6794C"/>
    <w:rsid w:val="00E71591"/>
    <w:rsid w:val="00E71CEB"/>
    <w:rsid w:val="00E7474F"/>
    <w:rsid w:val="00E80DE3"/>
    <w:rsid w:val="00E82A8A"/>
    <w:rsid w:val="00E82C55"/>
    <w:rsid w:val="00E8787E"/>
    <w:rsid w:val="00E92AC3"/>
    <w:rsid w:val="00EA1360"/>
    <w:rsid w:val="00EA2F6A"/>
    <w:rsid w:val="00EA4AA5"/>
    <w:rsid w:val="00EB00E0"/>
    <w:rsid w:val="00EC059F"/>
    <w:rsid w:val="00EC1F24"/>
    <w:rsid w:val="00EC22F6"/>
    <w:rsid w:val="00EC40D5"/>
    <w:rsid w:val="00EC6543"/>
    <w:rsid w:val="00EC7BB0"/>
    <w:rsid w:val="00ED4FAC"/>
    <w:rsid w:val="00ED5B9B"/>
    <w:rsid w:val="00ED6841"/>
    <w:rsid w:val="00ED6BAD"/>
    <w:rsid w:val="00ED7281"/>
    <w:rsid w:val="00ED7447"/>
    <w:rsid w:val="00EE00D6"/>
    <w:rsid w:val="00EE11E7"/>
    <w:rsid w:val="00EE11FA"/>
    <w:rsid w:val="00EE1488"/>
    <w:rsid w:val="00EE1DF7"/>
    <w:rsid w:val="00EE29AD"/>
    <w:rsid w:val="00EE3955"/>
    <w:rsid w:val="00EE3E24"/>
    <w:rsid w:val="00EE3FE6"/>
    <w:rsid w:val="00EE4D5D"/>
    <w:rsid w:val="00EE5131"/>
    <w:rsid w:val="00EF109B"/>
    <w:rsid w:val="00EF201C"/>
    <w:rsid w:val="00EF36AF"/>
    <w:rsid w:val="00EF59A3"/>
    <w:rsid w:val="00EF6675"/>
    <w:rsid w:val="00F00F9C"/>
    <w:rsid w:val="00F01E5F"/>
    <w:rsid w:val="00F02192"/>
    <w:rsid w:val="00F024F3"/>
    <w:rsid w:val="00F02ABA"/>
    <w:rsid w:val="00F04265"/>
    <w:rsid w:val="00F0437A"/>
    <w:rsid w:val="00F046C4"/>
    <w:rsid w:val="00F0486C"/>
    <w:rsid w:val="00F101B8"/>
    <w:rsid w:val="00F10F6A"/>
    <w:rsid w:val="00F11037"/>
    <w:rsid w:val="00F16F1B"/>
    <w:rsid w:val="00F21BB7"/>
    <w:rsid w:val="00F250A9"/>
    <w:rsid w:val="00F267AF"/>
    <w:rsid w:val="00F3018D"/>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2248"/>
    <w:rsid w:val="00F64696"/>
    <w:rsid w:val="00F6588C"/>
    <w:rsid w:val="00F65AA9"/>
    <w:rsid w:val="00F6768F"/>
    <w:rsid w:val="00F70D0F"/>
    <w:rsid w:val="00F72C2C"/>
    <w:rsid w:val="00F76CAB"/>
    <w:rsid w:val="00F772C6"/>
    <w:rsid w:val="00F80F10"/>
    <w:rsid w:val="00F815B5"/>
    <w:rsid w:val="00F84FA0"/>
    <w:rsid w:val="00F85195"/>
    <w:rsid w:val="00F86304"/>
    <w:rsid w:val="00F868E3"/>
    <w:rsid w:val="00F87D53"/>
    <w:rsid w:val="00F901AC"/>
    <w:rsid w:val="00F92F03"/>
    <w:rsid w:val="00F938BA"/>
    <w:rsid w:val="00F95F8A"/>
    <w:rsid w:val="00F97919"/>
    <w:rsid w:val="00FA2C46"/>
    <w:rsid w:val="00FA3525"/>
    <w:rsid w:val="00FA4C4F"/>
    <w:rsid w:val="00FA5A53"/>
    <w:rsid w:val="00FB1D1E"/>
    <w:rsid w:val="00FB2551"/>
    <w:rsid w:val="00FB3BEE"/>
    <w:rsid w:val="00FB4769"/>
    <w:rsid w:val="00FB4CDA"/>
    <w:rsid w:val="00FB6481"/>
    <w:rsid w:val="00FB6AC4"/>
    <w:rsid w:val="00FB6D36"/>
    <w:rsid w:val="00FC0965"/>
    <w:rsid w:val="00FC0F81"/>
    <w:rsid w:val="00FC252F"/>
    <w:rsid w:val="00FC395C"/>
    <w:rsid w:val="00FC5E8E"/>
    <w:rsid w:val="00FD3766"/>
    <w:rsid w:val="00FD47C4"/>
    <w:rsid w:val="00FD722A"/>
    <w:rsid w:val="00FE2DCF"/>
    <w:rsid w:val="00FE3FA7"/>
    <w:rsid w:val="00FE477E"/>
    <w:rsid w:val="00FF188F"/>
    <w:rsid w:val="00FF2A4E"/>
    <w:rsid w:val="00FF2FCE"/>
    <w:rsid w:val="00FF4DE4"/>
    <w:rsid w:val="00FF4F7D"/>
    <w:rsid w:val="00FF54DF"/>
    <w:rsid w:val="00FF6D9D"/>
    <w:rsid w:val="00FF7DD5"/>
    <w:rsid w:val="21658B3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E9869E"/>
  <w15:docId w15:val="{62F4CE45-65AA-450E-9E78-665F48AE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styleId="ListParagraph">
    <w:name w:val="List Paragraph"/>
    <w:basedOn w:val="Normal"/>
    <w:uiPriority w:val="72"/>
    <w:semiHidden/>
    <w:qFormat/>
    <w:rsid w:val="00A16395"/>
    <w:pPr>
      <w:ind w:left="720"/>
      <w:contextualSpacing/>
    </w:pPr>
  </w:style>
  <w:style w:type="table" w:styleId="ListTable3-Accent2">
    <w:name w:val="List Table 3 Accent 2"/>
    <w:basedOn w:val="TableNormal"/>
    <w:uiPriority w:val="48"/>
    <w:rsid w:val="00A623D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GridTable6Colorful-Accent2">
    <w:name w:val="Grid Table 6 Colorful Accent 2"/>
    <w:basedOn w:val="TableNormal"/>
    <w:uiPriority w:val="51"/>
    <w:rsid w:val="00A623D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1Light-Accent2">
    <w:name w:val="Grid Table 1 Light Accent 2"/>
    <w:basedOn w:val="TableNormal"/>
    <w:uiPriority w:val="46"/>
    <w:rsid w:val="00664D9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ListTable7Colorful-Accent2">
    <w:name w:val="List Table 7 Colorful Accent 2"/>
    <w:basedOn w:val="TableNormal"/>
    <w:uiPriority w:val="52"/>
    <w:rsid w:val="00664D90"/>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2">
    <w:name w:val="List Table 5 Dark Accent 2"/>
    <w:basedOn w:val="TableNormal"/>
    <w:uiPriority w:val="50"/>
    <w:rsid w:val="00C6600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2">
    <w:name w:val="List Table 6 Colorful Accent 2"/>
    <w:basedOn w:val="TableNormal"/>
    <w:uiPriority w:val="51"/>
    <w:rsid w:val="00C6600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2">
    <w:name w:val="List Table 1 Light Accent 2"/>
    <w:basedOn w:val="TableNormal"/>
    <w:uiPriority w:val="46"/>
    <w:rsid w:val="00EE1DF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2">
    <w:name w:val="Grid Table 4 Accent 2"/>
    <w:basedOn w:val="TableNormal"/>
    <w:uiPriority w:val="49"/>
    <w:rsid w:val="00D6599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6720161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shotuk.org/resources/taco-pre-administration-risk-assessment-transfusion-associated-circulatory-overload/" TargetMode="External"/><Relationship Id="rId26" Type="http://schemas.openxmlformats.org/officeDocument/2006/relationships/hyperlink" Target="https://www.health.vic.gov.au/patient-care/blood-matters-program" TargetMode="External"/><Relationship Id="rId3" Type="http://schemas.openxmlformats.org/officeDocument/2006/relationships/customXml" Target="../customXml/item3.xml"/><Relationship Id="rId21" Type="http://schemas.openxmlformats.org/officeDocument/2006/relationships/hyperlink" Target="https://www.nzblood.co.nz/healthcare-professionals/haemovigilance-programme/haemovigilance-annual-repor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patient-care/serious-transfusion-incident-reporting-system-stir" TargetMode="External"/><Relationship Id="rId25" Type="http://schemas.openxmlformats.org/officeDocument/2006/relationships/hyperlink" Target="mailto:bloodmatters@redcrossblood.org.au" TargetMode="External"/><Relationship Id="rId2" Type="http://schemas.openxmlformats.org/officeDocument/2006/relationships/customXml" Target="../customXml/item2.xml"/><Relationship Id="rId16" Type="http://schemas.openxmlformats.org/officeDocument/2006/relationships/hyperlink" Target="https://www.lifeblood.com.au/health-professionals/clinical-practice/adverse-events/TACO" TargetMode="External"/><Relationship Id="rId20" Type="http://schemas.openxmlformats.org/officeDocument/2006/relationships/hyperlink" Target="https://www.fda.gov/media/160859/downloa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lood.gov.au/haemovigilance-reporting"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canada.ca/en/public-health/services/publications/drugs-health-products/transfusion-transmitted-injuries-surveillance-system-summary-report-2016-2020.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ifeblood.com.au/health-professionals/clinical-practice/adverse-events/TAC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shotuk.org/shot-reports/" TargetMode="External"/><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motion\Branding_templates\New%20templates%20July%202021\Blood%20Matters%20DH%20red%20factsheet_front%20page%20logos%20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Update_x0020_File_x0020_Name_x0020_Memoranda xmlns="f564a0ab-7d10-463c-8b8b-579d03fbf2e1">
      <Url xsi:nil="true"/>
      <Description xsi:nil="true"/>
    </Update_x0020_File_x0020_Name_x0020_Memoranda>
    <CBSFileName xmlns="59098f23-3ca6-4eec-8c4e-6f77ceae2d9e">Attachment 1 - STIR bulletin Transfusion-associated circulatory overload (TACO)</CBSFileName>
    <CBSDocType xmlns="59098f23-3ca6-4eec-8c4e-6f77ceae2d9e" xsi:nil="true"/>
    <RecordStatus xmlns="4e6cfa50-9814-4036-b2f8-54bb7ef1e7f8" xsi:nil="true"/>
    <TaxCatchAll xmlns="5ce0f2b5-5be5-4508-bce9-d7011ece0659"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Validate_x0020_File_x0020_Name_x0020_Memoranda xmlns="f564a0ab-7d10-463c-8b8b-579d03fbf2e1">
      <Url>https://dhhsvicgovau.sharepoint.com/sites/ourbriefings/_layouts/15/wrkstat.aspx?List=f564a0ab-7d10-463c-8b8b-579d03fbf2e1&amp;WorkflowInstanceName=c5266aa7-7ba5-405d-a69b-087fd24eeb73</Url>
      <Description>ok</Description>
    </Validate_x0020_File_x0020_Name_x0020_Memoranda>
  </documentManagement>
</p:properties>
</file>

<file path=customXml/item4.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5" ma:contentTypeDescription="" ma:contentTypeScope="" ma:versionID="1d6bbf3d691cb1f70aa232ea7a02a218">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8ad1d8d773cd8bf858a8122a1c5224f1"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element ref="ns4:MediaServiceSearchProperties" minOccurs="0"/>
                <xsd:element ref="ns4:Validate_x0020_File_x0020_Name_x0020_Memoranda"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dexed="true" ma:internalName="CBSDueBy">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Validate_x0020_File_x0020_Name_x0020_Memoranda" ma:index="34" nillable="true" ma:displayName="Validate File Name Memoranda" ma:internalName="Vali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31e7afd-8cb4-4255-a884-cbcde2747e4c"/>
    <ds:schemaRef ds:uri="f564a0ab-7d10-463c-8b8b-579d03fbf2e1"/>
    <ds:schemaRef ds:uri="59098f23-3ca6-4eec-8c4e-6f77ceae2d9e"/>
    <ds:schemaRef ds:uri="4e6cfa50-9814-4036-b2f8-54bb7ef1e7f8"/>
    <ds:schemaRef ds:uri="5ce0f2b5-5be5-4508-bce9-d7011ece0659"/>
  </ds:schemaRefs>
</ds:datastoreItem>
</file>

<file path=customXml/itemProps4.xml><?xml version="1.0" encoding="utf-8"?>
<ds:datastoreItem xmlns:ds="http://schemas.openxmlformats.org/officeDocument/2006/customXml" ds:itemID="{3A5B3F68-7BC7-44FF-A8EF-01C56412A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d9262fe-586d-4d19-94d3-2a13903414dc}" enabled="1" method="Privileged" siteId="{957b3627-a629-4769-908d-ff92d7d3323d}" removed="0"/>
</clbl:labelList>
</file>

<file path=docProps/app.xml><?xml version="1.0" encoding="utf-8"?>
<Properties xmlns="http://schemas.openxmlformats.org/officeDocument/2006/extended-properties" xmlns:vt="http://schemas.openxmlformats.org/officeDocument/2006/docPropsVTypes">
  <Template>Blood Matters DH red factsheet_front page logos only.dotx</Template>
  <TotalTime>8</TotalTime>
  <Pages>3</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STIR Bulletin No. 13 – Transfusion Associated Circulatory Overload (TACO) mitigation strategies</vt:lpstr>
    </vt:vector>
  </TitlesOfParts>
  <Manager/>
  <Company>Victoria State Government, Department of Health, Blood Matters</Company>
  <LinksUpToDate>false</LinksUpToDate>
  <CharactersWithSpaces>6730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STIR Bulletin No. 13 – Transfusion Associated Circulatory Overload (TACO) mitigation strategies</dc:title>
  <dc:subject/>
  <dc:creator>Blood Matters</dc:creator>
  <cp:keywords/>
  <dc:description/>
  <cp:lastModifiedBy>Emily Hirst (Health)</cp:lastModifiedBy>
  <cp:revision>3</cp:revision>
  <cp:lastPrinted>2020-03-30T03:28:00Z</cp:lastPrinted>
  <dcterms:created xsi:type="dcterms:W3CDTF">2025-08-25T04:18:00Z</dcterms:created>
  <dcterms:modified xsi:type="dcterms:W3CDTF">2025-09-15T03:43:00Z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