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296B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2EF627F" wp14:editId="54A272E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B71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B5733" w14:paraId="658BE50B" w14:textId="77777777" w:rsidTr="00BA24DE">
        <w:trPr>
          <w:trHeight w:val="622"/>
        </w:trPr>
        <w:tc>
          <w:tcPr>
            <w:tcW w:w="10348" w:type="dxa"/>
          </w:tcPr>
          <w:p w14:paraId="4C2FBFA5" w14:textId="77777777" w:rsidR="00072597" w:rsidRDefault="00072597" w:rsidP="003B5733">
            <w:pPr>
              <w:pStyle w:val="Documenttitle"/>
            </w:pPr>
          </w:p>
          <w:p w14:paraId="286C4D57" w14:textId="77777777" w:rsidR="00072597" w:rsidRDefault="00072597" w:rsidP="003B5733">
            <w:pPr>
              <w:pStyle w:val="Documenttitle"/>
            </w:pPr>
          </w:p>
          <w:p w14:paraId="5F373F7F" w14:textId="1D99FF33" w:rsidR="003B5733" w:rsidRPr="003B5733" w:rsidRDefault="007A4C12" w:rsidP="003B5733">
            <w:pPr>
              <w:pStyle w:val="Documenttitle"/>
            </w:pPr>
            <w:r>
              <w:t>Pretransfusion s</w:t>
            </w:r>
            <w:r w:rsidR="007B799C">
              <w:t>pecimen collection</w:t>
            </w:r>
            <w:r w:rsidR="007C7E13">
              <w:t xml:space="preserve"> and</w:t>
            </w:r>
            <w:r w:rsidR="00BA7221">
              <w:t xml:space="preserve"> </w:t>
            </w:r>
            <w:r w:rsidR="007C7E13">
              <w:t>rejection</w:t>
            </w:r>
            <w:r w:rsidR="000675B7">
              <w:t xml:space="preserve"> </w:t>
            </w:r>
          </w:p>
        </w:tc>
      </w:tr>
      <w:tr w:rsidR="003B5733" w14:paraId="773DD05D" w14:textId="77777777" w:rsidTr="00BA24DE">
        <w:tc>
          <w:tcPr>
            <w:tcW w:w="10348" w:type="dxa"/>
          </w:tcPr>
          <w:p w14:paraId="42DEC524" w14:textId="7D109EF4" w:rsidR="003B5733" w:rsidRPr="00A1389F" w:rsidRDefault="00966696" w:rsidP="005F44C0">
            <w:pPr>
              <w:pStyle w:val="Documentsubtitle"/>
            </w:pPr>
            <w:r>
              <w:t xml:space="preserve">Blood Matters </w:t>
            </w:r>
            <w:r w:rsidR="00B93F8E">
              <w:t xml:space="preserve">audit </w:t>
            </w:r>
            <w:r>
              <w:t>202</w:t>
            </w:r>
            <w:r w:rsidR="000675B7">
              <w:t>6</w:t>
            </w:r>
          </w:p>
        </w:tc>
      </w:tr>
      <w:tr w:rsidR="003B5733" w14:paraId="64D8C6BA" w14:textId="77777777" w:rsidTr="00BA24DE">
        <w:tc>
          <w:tcPr>
            <w:tcW w:w="10348" w:type="dxa"/>
          </w:tcPr>
          <w:p w14:paraId="196F7B45" w14:textId="77777777" w:rsidR="003B5733" w:rsidRPr="001E5058" w:rsidRDefault="00BA3624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B4CC467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4C8027FC" w14:textId="4228EFDF" w:rsidR="00CE4D23" w:rsidRDefault="00AD784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b/>
        </w:rPr>
        <w:fldChar w:fldCharType="begin"/>
      </w:r>
      <w:r>
        <w:instrText xml:space="preserve"> TOC \h \z \t "Heading 1,1,Heading 2,2" </w:instrText>
      </w:r>
      <w:r>
        <w:rPr>
          <w:b/>
        </w:rPr>
        <w:fldChar w:fldCharType="separate"/>
      </w:r>
      <w:bookmarkStart w:id="0" w:name="_Hlk184627355"/>
      <w:r w:rsidR="00CE4D23" w:rsidRPr="005A12AE">
        <w:rPr>
          <w:rStyle w:val="Hyperlink"/>
        </w:rPr>
        <w:fldChar w:fldCharType="begin"/>
      </w:r>
      <w:r w:rsidR="00CE4D23" w:rsidRPr="005A12AE">
        <w:rPr>
          <w:rStyle w:val="Hyperlink"/>
        </w:rPr>
        <w:instrText xml:space="preserve"> </w:instrText>
      </w:r>
      <w:r w:rsidR="00CE4D23">
        <w:instrText>HYPERLINK \l "_Toc185252828"</w:instrText>
      </w:r>
      <w:r w:rsidR="00CE4D23" w:rsidRPr="005A12AE">
        <w:rPr>
          <w:rStyle w:val="Hyperlink"/>
        </w:rPr>
        <w:instrText xml:space="preserve"> </w:instrText>
      </w:r>
      <w:r w:rsidR="00CE4D23" w:rsidRPr="005A12AE">
        <w:rPr>
          <w:rStyle w:val="Hyperlink"/>
        </w:rPr>
      </w:r>
      <w:r w:rsidR="00CE4D23" w:rsidRPr="005A12AE">
        <w:rPr>
          <w:rStyle w:val="Hyperlink"/>
        </w:rPr>
        <w:fldChar w:fldCharType="separate"/>
      </w:r>
      <w:r w:rsidR="00CE4D23" w:rsidRPr="005A12AE">
        <w:rPr>
          <w:rStyle w:val="Hyperlink"/>
        </w:rPr>
        <w:t>Background</w:t>
      </w:r>
      <w:r w:rsidR="00CE4D23">
        <w:rPr>
          <w:webHidden/>
        </w:rPr>
        <w:tab/>
      </w:r>
      <w:r w:rsidR="00CE4D23">
        <w:rPr>
          <w:webHidden/>
        </w:rPr>
        <w:fldChar w:fldCharType="begin"/>
      </w:r>
      <w:r w:rsidR="00CE4D23">
        <w:rPr>
          <w:webHidden/>
        </w:rPr>
        <w:instrText xml:space="preserve"> PAGEREF _Toc185252828 \h </w:instrText>
      </w:r>
      <w:r w:rsidR="00CE4D23">
        <w:rPr>
          <w:webHidden/>
        </w:rPr>
      </w:r>
      <w:r w:rsidR="00CE4D23">
        <w:rPr>
          <w:webHidden/>
        </w:rPr>
        <w:fldChar w:fldCharType="separate"/>
      </w:r>
      <w:r w:rsidR="000B5935">
        <w:rPr>
          <w:webHidden/>
        </w:rPr>
        <w:t>1</w:t>
      </w:r>
      <w:r w:rsidR="00CE4D23">
        <w:rPr>
          <w:webHidden/>
        </w:rPr>
        <w:fldChar w:fldCharType="end"/>
      </w:r>
      <w:r w:rsidR="00CE4D23" w:rsidRPr="005A12AE">
        <w:rPr>
          <w:rStyle w:val="Hyperlink"/>
        </w:rPr>
        <w:fldChar w:fldCharType="end"/>
      </w:r>
    </w:p>
    <w:p w14:paraId="6B8AD74B" w14:textId="08AFAFAD" w:rsidR="00CE4D23" w:rsidRDefault="00CE4D2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252829" w:history="1">
        <w:r w:rsidRPr="005A12AE">
          <w:rPr>
            <w:rStyle w:val="Hyperlink"/>
          </w:rPr>
          <w:t>Aims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_Toc185252829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593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7255E7" w14:textId="4B554534" w:rsidR="00CE4D23" w:rsidRDefault="00CE4D2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252830" w:history="1">
        <w:r w:rsidRPr="005A12AE">
          <w:rPr>
            <w:rStyle w:val="Hyperlink"/>
          </w:rPr>
          <w:t>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_Toc185252830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593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55649EB" w14:textId="16C7D9E7" w:rsidR="00CE4D23" w:rsidRDefault="00CE4D2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252831" w:history="1">
        <w:r w:rsidRPr="005A12AE">
          <w:rPr>
            <w:rStyle w:val="Hyperlink"/>
          </w:rPr>
          <w:t>Method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_Toc185252831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593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5EB5C1" w14:textId="56CCBE39" w:rsidR="00CE4D23" w:rsidRDefault="00CE4D2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252832" w:history="1">
        <w:r w:rsidRPr="005A12AE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_Toc185252832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593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6F90D7" w14:textId="32F0EA10" w:rsidR="00CE4D23" w:rsidRDefault="00CE4D2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85252833" w:history="1">
        <w:r w:rsidRPr="005A12AE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_Toc185252833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B593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bookmarkEnd w:id="0"/>
    <w:p w14:paraId="2E2D54EC" w14:textId="6A689D51" w:rsidR="00580394" w:rsidRPr="00B519CD" w:rsidRDefault="00AD784C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1C1FB369" w14:textId="77777777" w:rsidR="00F32368" w:rsidRPr="00F32368" w:rsidRDefault="00F32368" w:rsidP="00F32368">
      <w:pPr>
        <w:pStyle w:val="Body"/>
      </w:pPr>
      <w:bookmarkStart w:id="1" w:name="_Hlk41913885"/>
    </w:p>
    <w:p w14:paraId="4F4B649D" w14:textId="58DD8139" w:rsidR="00A62D44" w:rsidRPr="00B57329" w:rsidRDefault="00966696" w:rsidP="001E0C5D">
      <w:pPr>
        <w:pStyle w:val="Heading2"/>
      </w:pPr>
      <w:bookmarkStart w:id="2" w:name="_Toc185252828"/>
      <w:bookmarkEnd w:id="1"/>
      <w:r>
        <w:t>Background</w:t>
      </w:r>
      <w:bookmarkEnd w:id="2"/>
    </w:p>
    <w:p w14:paraId="72227D47" w14:textId="77777777" w:rsidR="00966696" w:rsidRPr="00966696" w:rsidRDefault="00966696" w:rsidP="00966696">
      <w:pPr>
        <w:rPr>
          <w:rFonts w:eastAsia="Times"/>
        </w:rPr>
      </w:pPr>
      <w:r w:rsidRPr="00966696">
        <w:rPr>
          <w:rFonts w:eastAsia="Times"/>
        </w:rPr>
        <w:t>The Blood Matters Program assists health services to ensure blood and blood products are administered to patients appropriately and safely in accordance with best practice guidelines.</w:t>
      </w:r>
    </w:p>
    <w:p w14:paraId="4899E8AA" w14:textId="29D39816" w:rsidR="00630F03" w:rsidRDefault="00966696" w:rsidP="00966696">
      <w:pPr>
        <w:rPr>
          <w:rFonts w:cs="Arial"/>
          <w:szCs w:val="21"/>
        </w:rPr>
      </w:pPr>
      <w:r w:rsidRPr="00966696">
        <w:rPr>
          <w:rFonts w:eastAsia="Times"/>
        </w:rPr>
        <w:t xml:space="preserve">The Serious Transfusion Incident Reporting (STIR) system </w:t>
      </w:r>
      <w:r w:rsidR="000675B7">
        <w:rPr>
          <w:rFonts w:eastAsia="Times"/>
        </w:rPr>
        <w:t>continues to receive</w:t>
      </w:r>
      <w:r w:rsidRPr="00966696">
        <w:rPr>
          <w:rFonts w:eastAsia="Times"/>
        </w:rPr>
        <w:t xml:space="preserve"> notifications for wrong blood in tube</w:t>
      </w:r>
      <w:r w:rsidR="000922F2">
        <w:rPr>
          <w:rFonts w:eastAsia="Times"/>
        </w:rPr>
        <w:t xml:space="preserve"> (</w:t>
      </w:r>
      <w:r w:rsidR="000922F2" w:rsidRPr="000922F2">
        <w:rPr>
          <w:rFonts w:eastAsia="Times"/>
        </w:rPr>
        <w:t>WBIT</w:t>
      </w:r>
      <w:r w:rsidRPr="00966696">
        <w:rPr>
          <w:rFonts w:eastAsia="Times"/>
        </w:rPr>
        <w:t>) and incorrect blood component transfused</w:t>
      </w:r>
      <w:r w:rsidR="000922F2" w:rsidRPr="000922F2">
        <w:t xml:space="preserve"> </w:t>
      </w:r>
      <w:r w:rsidR="000922F2">
        <w:t>(</w:t>
      </w:r>
      <w:r w:rsidR="000922F2" w:rsidRPr="000922F2">
        <w:rPr>
          <w:rFonts w:eastAsia="Times"/>
        </w:rPr>
        <w:t>IBCT</w:t>
      </w:r>
      <w:r w:rsidRPr="00966696">
        <w:rPr>
          <w:rFonts w:eastAsia="Times"/>
        </w:rPr>
        <w:t xml:space="preserve">) </w:t>
      </w:r>
      <w:r w:rsidR="002C055C" w:rsidRPr="002C055C">
        <w:rPr>
          <w:rFonts w:eastAsia="Times"/>
        </w:rPr>
        <w:t xml:space="preserve">(see </w:t>
      </w:r>
      <w:r w:rsidR="00AB606C">
        <w:rPr>
          <w:rFonts w:eastAsia="Times"/>
        </w:rPr>
        <w:t>T</w:t>
      </w:r>
      <w:r w:rsidR="00AB606C" w:rsidRPr="002C055C">
        <w:rPr>
          <w:rFonts w:eastAsia="Times"/>
        </w:rPr>
        <w:t xml:space="preserve">able </w:t>
      </w:r>
      <w:r w:rsidR="002C055C" w:rsidRPr="002C055C">
        <w:rPr>
          <w:rFonts w:eastAsia="Times"/>
        </w:rPr>
        <w:t>1 below)</w:t>
      </w:r>
      <w:r w:rsidRPr="00966696">
        <w:rPr>
          <w:rFonts w:eastAsia="Times"/>
        </w:rPr>
        <w:t xml:space="preserve">. </w:t>
      </w:r>
      <w:r w:rsidR="000675B7">
        <w:rPr>
          <w:rFonts w:eastAsia="Times"/>
        </w:rPr>
        <w:t xml:space="preserve">A </w:t>
      </w:r>
      <w:r w:rsidR="00AB606C">
        <w:rPr>
          <w:rFonts w:eastAsia="Times"/>
        </w:rPr>
        <w:t>WBIT</w:t>
      </w:r>
      <w:r w:rsidR="000675B7">
        <w:rPr>
          <w:rFonts w:eastAsia="Times"/>
        </w:rPr>
        <w:t xml:space="preserve"> can result in an</w:t>
      </w:r>
      <w:r w:rsidR="00616918">
        <w:rPr>
          <w:rFonts w:eastAsia="Times"/>
        </w:rPr>
        <w:t xml:space="preserve"> </w:t>
      </w:r>
      <w:r w:rsidR="00B631DE">
        <w:rPr>
          <w:rFonts w:eastAsia="Times"/>
        </w:rPr>
        <w:t>IBCT</w:t>
      </w:r>
      <w:r w:rsidR="00616918">
        <w:rPr>
          <w:rFonts w:eastAsia="Times"/>
        </w:rPr>
        <w:t>, the most serious being</w:t>
      </w:r>
      <w:r w:rsidR="000675B7">
        <w:rPr>
          <w:rFonts w:eastAsia="Times"/>
        </w:rPr>
        <w:t xml:space="preserve"> an incompatible blood transfusion </w:t>
      </w:r>
      <w:r w:rsidR="00842A0A">
        <w:rPr>
          <w:rFonts w:eastAsia="Times"/>
        </w:rPr>
        <w:t>with the potential for significant morbidity and mortality</w:t>
      </w:r>
      <w:r w:rsidR="00AB606C">
        <w:rPr>
          <w:rFonts w:eastAsia="Times"/>
        </w:rPr>
        <w:t>.</w:t>
      </w:r>
      <w:r w:rsidR="00AB606C" w:rsidRPr="00966696">
        <w:rPr>
          <w:rFonts w:eastAsia="Times"/>
        </w:rPr>
        <w:t xml:space="preserve"> </w:t>
      </w:r>
    </w:p>
    <w:p w14:paraId="4F8C3B06" w14:textId="5633D3F0" w:rsidR="00091D59" w:rsidRDefault="00091D59" w:rsidP="733CEF13">
      <w:pPr>
        <w:rPr>
          <w:rFonts w:cs="Arial"/>
        </w:rPr>
      </w:pPr>
      <w:r w:rsidRPr="0F79912E">
        <w:rPr>
          <w:rFonts w:cs="Arial"/>
        </w:rPr>
        <w:t xml:space="preserve">Health services </w:t>
      </w:r>
      <w:r w:rsidR="007C7E13" w:rsidRPr="0F79912E">
        <w:rPr>
          <w:rFonts w:cs="Arial"/>
        </w:rPr>
        <w:t>need to</w:t>
      </w:r>
      <w:r w:rsidR="00C10CAC" w:rsidRPr="0F79912E">
        <w:rPr>
          <w:rFonts w:cs="Arial"/>
        </w:rPr>
        <w:t xml:space="preserve"> investiga</w:t>
      </w:r>
      <w:r w:rsidR="007C7E13" w:rsidRPr="0F79912E">
        <w:rPr>
          <w:rFonts w:cs="Arial"/>
        </w:rPr>
        <w:t>te</w:t>
      </w:r>
      <w:r w:rsidRPr="0F79912E">
        <w:rPr>
          <w:rFonts w:cs="Arial"/>
        </w:rPr>
        <w:t xml:space="preserve"> how the </w:t>
      </w:r>
      <w:r w:rsidR="007F440F">
        <w:rPr>
          <w:rFonts w:cs="Arial"/>
        </w:rPr>
        <w:t>WBIT</w:t>
      </w:r>
      <w:r w:rsidRPr="0F79912E">
        <w:rPr>
          <w:rFonts w:cs="Arial"/>
        </w:rPr>
        <w:t xml:space="preserve"> occurred, follow up with staff involved </w:t>
      </w:r>
      <w:r w:rsidR="00AB606C" w:rsidRPr="0F79912E">
        <w:rPr>
          <w:rFonts w:cs="Arial"/>
        </w:rPr>
        <w:t xml:space="preserve">and review processes </w:t>
      </w:r>
      <w:r w:rsidR="00C10CAC" w:rsidRPr="0F79912E">
        <w:rPr>
          <w:rFonts w:cs="Arial"/>
        </w:rPr>
        <w:t xml:space="preserve">to mitigate the risk of recurrence. </w:t>
      </w:r>
      <w:r w:rsidR="00C85740" w:rsidRPr="0F79912E">
        <w:rPr>
          <w:rFonts w:cs="Arial"/>
        </w:rPr>
        <w:t>T</w:t>
      </w:r>
      <w:r w:rsidR="00C10CAC" w:rsidRPr="0F79912E">
        <w:rPr>
          <w:rFonts w:cs="Arial"/>
        </w:rPr>
        <w:t>hese incidents</w:t>
      </w:r>
      <w:r w:rsidRPr="0F79912E">
        <w:rPr>
          <w:rFonts w:cs="Arial"/>
        </w:rPr>
        <w:t xml:space="preserve"> </w:t>
      </w:r>
      <w:r w:rsidR="00C85740" w:rsidRPr="0F79912E">
        <w:rPr>
          <w:rFonts w:cs="Arial"/>
        </w:rPr>
        <w:t xml:space="preserve">must also be reported </w:t>
      </w:r>
      <w:r w:rsidRPr="0F79912E">
        <w:rPr>
          <w:rFonts w:cs="Arial"/>
        </w:rPr>
        <w:t>via internal incident management systems and externally to STIR or other haemovigilance systems.</w:t>
      </w:r>
    </w:p>
    <w:p w14:paraId="61B0EB16" w14:textId="6B3D1C08" w:rsidR="00091D59" w:rsidRDefault="0005039B" w:rsidP="00966696">
      <w:pPr>
        <w:rPr>
          <w:rFonts w:cs="Arial"/>
          <w:szCs w:val="21"/>
        </w:rPr>
      </w:pPr>
      <w:r>
        <w:rPr>
          <w:rFonts w:cs="Arial"/>
          <w:szCs w:val="21"/>
        </w:rPr>
        <w:t xml:space="preserve">The STIR WBIT definition changed in </w:t>
      </w:r>
      <w:r w:rsidR="00AB606C">
        <w:rPr>
          <w:rFonts w:cs="Arial"/>
          <w:szCs w:val="21"/>
        </w:rPr>
        <w:t>financial year 2015-16 (</w:t>
      </w:r>
      <w:r>
        <w:rPr>
          <w:rFonts w:cs="Arial"/>
          <w:szCs w:val="21"/>
        </w:rPr>
        <w:t>FY16</w:t>
      </w:r>
      <w:r w:rsidR="00AB606C">
        <w:rPr>
          <w:rFonts w:cs="Arial"/>
          <w:szCs w:val="21"/>
        </w:rPr>
        <w:t>)</w:t>
      </w:r>
      <w:r>
        <w:rPr>
          <w:rFonts w:cs="Arial"/>
          <w:szCs w:val="21"/>
        </w:rPr>
        <w:t xml:space="preserve"> to: </w:t>
      </w:r>
    </w:p>
    <w:p w14:paraId="740BA0C0" w14:textId="77777777" w:rsidR="00091D59" w:rsidRDefault="00091D59" w:rsidP="00966696">
      <w:pPr>
        <w:rPr>
          <w:rFonts w:cs="Arial"/>
          <w:szCs w:val="21"/>
        </w:rPr>
      </w:pPr>
      <w:r w:rsidRPr="00091D59">
        <w:rPr>
          <w:rFonts w:cs="Arial"/>
          <w:szCs w:val="21"/>
        </w:rPr>
        <w:t xml:space="preserve">• the sample is taken from the wrong patient but labelled as per the intended patient, or </w:t>
      </w:r>
    </w:p>
    <w:p w14:paraId="0374B88A" w14:textId="5BAF6D94" w:rsidR="00091D59" w:rsidRDefault="00091D59" w:rsidP="00966696">
      <w:pPr>
        <w:rPr>
          <w:rFonts w:cs="Arial"/>
          <w:szCs w:val="21"/>
        </w:rPr>
      </w:pPr>
      <w:r w:rsidRPr="00091D59">
        <w:rPr>
          <w:rFonts w:cs="Arial"/>
          <w:szCs w:val="21"/>
        </w:rPr>
        <w:t>• the sample is taken from the intended patient but labelled as per another patient.</w:t>
      </w:r>
    </w:p>
    <w:p w14:paraId="75B27299" w14:textId="5C0D2AA3" w:rsidR="0005039B" w:rsidRDefault="007458CA" w:rsidP="00966696">
      <w:pPr>
        <w:rPr>
          <w:rFonts w:cs="Arial"/>
          <w:szCs w:val="21"/>
        </w:rPr>
      </w:pPr>
      <w:r>
        <w:rPr>
          <w:rFonts w:cs="Arial"/>
          <w:szCs w:val="21"/>
        </w:rPr>
        <w:t xml:space="preserve">WBITs continue to be the most common procedural adverse event reported to STIR, with a peak incidence of 36 in FY24. </w:t>
      </w:r>
    </w:p>
    <w:p w14:paraId="43C129B5" w14:textId="77777777" w:rsidR="00120988" w:rsidRDefault="00120988" w:rsidP="00966696">
      <w:pPr>
        <w:rPr>
          <w:rFonts w:cs="Arial"/>
          <w:szCs w:val="21"/>
        </w:rPr>
      </w:pPr>
    </w:p>
    <w:p w14:paraId="1303CEAB" w14:textId="77777777" w:rsidR="00120988" w:rsidRDefault="00120988" w:rsidP="00966696">
      <w:pPr>
        <w:rPr>
          <w:rFonts w:cs="Arial"/>
          <w:szCs w:val="21"/>
        </w:rPr>
      </w:pPr>
    </w:p>
    <w:p w14:paraId="7B524DF5" w14:textId="77777777" w:rsidR="00120988" w:rsidRDefault="00120988" w:rsidP="00966696">
      <w:pPr>
        <w:rPr>
          <w:rFonts w:cs="Arial"/>
          <w:szCs w:val="21"/>
        </w:rPr>
      </w:pPr>
    </w:p>
    <w:p w14:paraId="1CAA5A1B" w14:textId="77777777" w:rsidR="00120988" w:rsidRDefault="00120988" w:rsidP="00966696">
      <w:pPr>
        <w:rPr>
          <w:rFonts w:cs="Arial"/>
          <w:szCs w:val="21"/>
        </w:rPr>
      </w:pPr>
    </w:p>
    <w:p w14:paraId="0DC6CF79" w14:textId="44B720A0" w:rsidR="00120988" w:rsidRPr="00120988" w:rsidRDefault="00120988" w:rsidP="00966696">
      <w:pPr>
        <w:rPr>
          <w:rFonts w:cs="Arial"/>
          <w:b/>
          <w:bCs/>
          <w:szCs w:val="21"/>
        </w:rPr>
      </w:pPr>
      <w:r w:rsidRPr="00120988">
        <w:rPr>
          <w:rFonts w:cs="Arial"/>
          <w:b/>
          <w:bCs/>
          <w:szCs w:val="21"/>
        </w:rPr>
        <w:lastRenderedPageBreak/>
        <w:t>Table 1: Number of Wrong Blood in Tube</w:t>
      </w:r>
      <w:r w:rsidR="00557D39">
        <w:rPr>
          <w:rFonts w:cs="Arial"/>
          <w:b/>
          <w:bCs/>
          <w:szCs w:val="21"/>
        </w:rPr>
        <w:t xml:space="preserve"> (WBIT)</w:t>
      </w:r>
      <w:r w:rsidRPr="00120988">
        <w:rPr>
          <w:rFonts w:cs="Arial"/>
          <w:b/>
          <w:bCs/>
          <w:szCs w:val="21"/>
        </w:rPr>
        <w:t xml:space="preserve"> events reported to STIR FY16-FY25</w:t>
      </w:r>
    </w:p>
    <w:p w14:paraId="353B4411" w14:textId="4FDFAFDD" w:rsidR="00AC152C" w:rsidRDefault="00971BA9" w:rsidP="00966696">
      <w:pPr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 wp14:anchorId="31BDEA29" wp14:editId="7D301C5C">
            <wp:extent cx="5114925" cy="3074622"/>
            <wp:effectExtent l="0" t="0" r="0" b="0"/>
            <wp:docPr id="820807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3" cy="309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365A0" w14:textId="46A54899" w:rsidR="001068A2" w:rsidRPr="00966696" w:rsidRDefault="001068A2" w:rsidP="001068A2">
      <w:pPr>
        <w:rPr>
          <w:rFonts w:cs="Arial"/>
          <w:szCs w:val="21"/>
        </w:rPr>
      </w:pPr>
      <w:r>
        <w:t xml:space="preserve">The </w:t>
      </w:r>
      <w:hyperlink r:id="rId17" w:history="1">
        <w:r w:rsidRPr="001068A2">
          <w:rPr>
            <w:rStyle w:val="Hyperlink"/>
          </w:rPr>
          <w:t xml:space="preserve">National safety and quality health service </w:t>
        </w:r>
      </w:hyperlink>
      <w:r>
        <w:t>(</w:t>
      </w:r>
      <w:hyperlink r:id="rId18" w:history="1">
        <w:r w:rsidRPr="00BA7221">
          <w:rPr>
            <w:rStyle w:val="Hyperlink"/>
            <w:rFonts w:cs="Arial"/>
            <w:szCs w:val="21"/>
          </w:rPr>
          <w:t>NSQHS Standards</w:t>
        </w:r>
      </w:hyperlink>
      <w:r>
        <w:rPr>
          <w:rStyle w:val="FootnoteReference"/>
          <w:rFonts w:cs="Arial"/>
          <w:szCs w:val="21"/>
        </w:rPr>
        <w:footnoteReference w:id="1"/>
      </w:r>
      <w:r>
        <w:t xml:space="preserve">), specifically the </w:t>
      </w:r>
      <w:hyperlink r:id="rId19" w:history="1">
        <w:r w:rsidRPr="00DC26CE">
          <w:rPr>
            <w:rStyle w:val="Hyperlink"/>
          </w:rPr>
          <w:t>Blood Management Standard</w:t>
        </w:r>
      </w:hyperlink>
      <w:r>
        <w:t xml:space="preserve"> action 7.06 states that health service organisations support clinicians to prescribe and administer blood and blood products appropriately, in accordance with national guidelines and national criteria. </w:t>
      </w:r>
    </w:p>
    <w:p w14:paraId="2CC034C0" w14:textId="3327405D" w:rsidR="00D2666E" w:rsidRDefault="00D9327F" w:rsidP="00D2666E">
      <w:pPr>
        <w:rPr>
          <w:rFonts w:eastAsia="Times"/>
        </w:rPr>
      </w:pPr>
      <w:r>
        <w:t>T</w:t>
      </w:r>
      <w:r w:rsidR="00BA7221" w:rsidRPr="007C7E13">
        <w:t>he</w:t>
      </w:r>
      <w:r w:rsidR="00A552CB" w:rsidRPr="00A552CB">
        <w:t xml:space="preserve"> </w:t>
      </w:r>
      <w:hyperlink r:id="rId20" w:history="1">
        <w:r w:rsidR="00A552CB" w:rsidRPr="00A552CB">
          <w:rPr>
            <w:rStyle w:val="Hyperlink"/>
          </w:rPr>
          <w:t>Australian and New Zealand Society of Blood Transfusion (</w:t>
        </w:r>
        <w:r w:rsidR="00BA7221" w:rsidRPr="00A552CB">
          <w:rPr>
            <w:rStyle w:val="Hyperlink"/>
            <w:rFonts w:cs="Arial"/>
            <w:szCs w:val="21"/>
          </w:rPr>
          <w:t>ANZSBT</w:t>
        </w:r>
        <w:r w:rsidR="00A552CB" w:rsidRPr="00A552CB">
          <w:rPr>
            <w:rStyle w:val="Hyperlink"/>
            <w:rFonts w:cs="Arial"/>
            <w:szCs w:val="21"/>
          </w:rPr>
          <w:t>)</w:t>
        </w:r>
        <w:r w:rsidR="00BA7221" w:rsidRPr="00A552CB">
          <w:rPr>
            <w:rStyle w:val="Hyperlink"/>
            <w:rFonts w:cs="Arial"/>
            <w:szCs w:val="21"/>
          </w:rPr>
          <w:t xml:space="preserve"> Guidelines for the </w:t>
        </w:r>
        <w:r w:rsidR="00D0145B" w:rsidRPr="00A552CB">
          <w:rPr>
            <w:rStyle w:val="Hyperlink"/>
            <w:rFonts w:cs="Arial"/>
            <w:szCs w:val="21"/>
          </w:rPr>
          <w:t xml:space="preserve">administration </w:t>
        </w:r>
        <w:r w:rsidR="00BA7221" w:rsidRPr="00A552CB">
          <w:rPr>
            <w:rStyle w:val="Hyperlink"/>
            <w:rFonts w:cs="Arial"/>
            <w:szCs w:val="21"/>
          </w:rPr>
          <w:t xml:space="preserve">of </w:t>
        </w:r>
        <w:r w:rsidR="00D0145B" w:rsidRPr="00A552CB">
          <w:rPr>
            <w:rStyle w:val="Hyperlink"/>
            <w:rFonts w:cs="Arial"/>
            <w:szCs w:val="21"/>
          </w:rPr>
          <w:t xml:space="preserve">blood products </w:t>
        </w:r>
        <w:r w:rsidR="00BA7221" w:rsidRPr="00A552CB">
          <w:rPr>
            <w:rStyle w:val="Hyperlink"/>
            <w:rFonts w:cs="Arial"/>
            <w:szCs w:val="21"/>
          </w:rPr>
          <w:t>3</w:t>
        </w:r>
        <w:r w:rsidR="00BA7221" w:rsidRPr="00A552CB">
          <w:rPr>
            <w:rStyle w:val="Hyperlink"/>
            <w:rFonts w:cs="Arial"/>
            <w:szCs w:val="21"/>
            <w:vertAlign w:val="superscript"/>
          </w:rPr>
          <w:t>rd</w:t>
        </w:r>
        <w:r w:rsidR="00BA7221" w:rsidRPr="00A552CB">
          <w:rPr>
            <w:rStyle w:val="Hyperlink"/>
            <w:rFonts w:cs="Arial"/>
            <w:szCs w:val="21"/>
          </w:rPr>
          <w:t xml:space="preserve"> edition (2024)</w:t>
        </w:r>
      </w:hyperlink>
      <w:r w:rsidR="00BA7221" w:rsidRPr="00C7135A">
        <w:rPr>
          <w:vertAlign w:val="superscript"/>
        </w:rPr>
        <w:footnoteReference w:id="2"/>
      </w:r>
      <w:r w:rsidR="00BA7221" w:rsidRPr="007C7E13">
        <w:t xml:space="preserve">, </w:t>
      </w:r>
      <w:r w:rsidR="00D2666E" w:rsidRPr="00D2666E">
        <w:rPr>
          <w:rFonts w:cs="Arial"/>
          <w:szCs w:val="21"/>
        </w:rPr>
        <w:t>Section 4</w:t>
      </w:r>
      <w:r w:rsidR="00D2666E">
        <w:rPr>
          <w:rFonts w:cs="Arial"/>
          <w:szCs w:val="21"/>
        </w:rPr>
        <w:t xml:space="preserve"> and </w:t>
      </w:r>
      <w:hyperlink r:id="rId21" w:history="1">
        <w:r w:rsidR="00D2666E" w:rsidRPr="00BA7221">
          <w:rPr>
            <w:rStyle w:val="Hyperlink"/>
            <w:rFonts w:cs="Arial"/>
            <w:szCs w:val="21"/>
          </w:rPr>
          <w:t>Guidelines for transfusion and immunohaematology laboratory practice (2025)</w:t>
        </w:r>
      </w:hyperlink>
      <w:r w:rsidR="00BA7221">
        <w:rPr>
          <w:rStyle w:val="FootnoteReference"/>
          <w:rFonts w:cs="Arial"/>
          <w:szCs w:val="21"/>
        </w:rPr>
        <w:footnoteReference w:id="3"/>
      </w:r>
      <w:r w:rsidR="00D2666E" w:rsidRPr="00D2666E">
        <w:rPr>
          <w:rFonts w:cs="Arial"/>
          <w:szCs w:val="21"/>
        </w:rPr>
        <w:t>, Section 1.6.2</w:t>
      </w:r>
      <w:r>
        <w:rPr>
          <w:rFonts w:cs="Arial"/>
          <w:szCs w:val="21"/>
        </w:rPr>
        <w:t xml:space="preserve"> cover pretransfusion specimen collection. </w:t>
      </w:r>
      <w:r w:rsidR="00D2666E" w:rsidRPr="00DE4D9F">
        <w:rPr>
          <w:rFonts w:eastAsia="Times"/>
        </w:rPr>
        <w:t xml:space="preserve">Health service policies and procedures for </w:t>
      </w:r>
      <w:r w:rsidR="00D2666E">
        <w:rPr>
          <w:rFonts w:eastAsia="Times"/>
        </w:rPr>
        <w:t>pretransfusion testing should be</w:t>
      </w:r>
      <w:r w:rsidR="00D2666E" w:rsidRPr="00DE4D9F">
        <w:rPr>
          <w:rFonts w:eastAsia="Times"/>
        </w:rPr>
        <w:t xml:space="preserve"> aligned with </w:t>
      </w:r>
      <w:r w:rsidR="00D2666E">
        <w:rPr>
          <w:rFonts w:eastAsia="Times"/>
        </w:rPr>
        <w:t xml:space="preserve">these </w:t>
      </w:r>
      <w:r w:rsidR="00D2666E" w:rsidRPr="00DE4D9F">
        <w:rPr>
          <w:rFonts w:eastAsia="Times"/>
        </w:rPr>
        <w:t>national guidelines.</w:t>
      </w:r>
    </w:p>
    <w:p w14:paraId="59B32185" w14:textId="4E42FC72" w:rsidR="0083555D" w:rsidRDefault="00120988" w:rsidP="00966696">
      <w:pPr>
        <w:rPr>
          <w:rFonts w:cs="Arial"/>
          <w:szCs w:val="21"/>
        </w:rPr>
      </w:pPr>
      <w:r>
        <w:rPr>
          <w:rFonts w:cs="Arial"/>
          <w:szCs w:val="21"/>
        </w:rPr>
        <w:t>It is vital that health service policy and procedures are</w:t>
      </w:r>
      <w:r w:rsidR="00387484">
        <w:rPr>
          <w:rFonts w:cs="Arial"/>
          <w:szCs w:val="21"/>
        </w:rPr>
        <w:t xml:space="preserve"> up to date, accessible and reflect current national guidelines. They should also be</w:t>
      </w:r>
      <w:r>
        <w:rPr>
          <w:rFonts w:cs="Arial"/>
          <w:szCs w:val="21"/>
        </w:rPr>
        <w:t xml:space="preserve"> followed when collecting </w:t>
      </w:r>
      <w:r w:rsidR="0083555D">
        <w:rPr>
          <w:rFonts w:cs="Arial"/>
          <w:szCs w:val="21"/>
        </w:rPr>
        <w:t xml:space="preserve">pretransfusion </w:t>
      </w:r>
      <w:r w:rsidR="00387484">
        <w:rPr>
          <w:rFonts w:cs="Arial"/>
          <w:szCs w:val="21"/>
        </w:rPr>
        <w:t>specimens (</w:t>
      </w:r>
      <w:r w:rsidR="0083555D">
        <w:rPr>
          <w:rFonts w:cs="Arial"/>
          <w:szCs w:val="21"/>
        </w:rPr>
        <w:t>blood group and antibody screen or a crossmatch</w:t>
      </w:r>
      <w:r>
        <w:rPr>
          <w:rFonts w:cs="Arial"/>
          <w:szCs w:val="21"/>
        </w:rPr>
        <w:t>)</w:t>
      </w:r>
      <w:r w:rsidR="00A552CB">
        <w:rPr>
          <w:rFonts w:cs="Arial"/>
          <w:szCs w:val="21"/>
        </w:rPr>
        <w:t xml:space="preserve"> </w:t>
      </w:r>
      <w:r w:rsidR="00A552CB" w:rsidRPr="00A552CB">
        <w:rPr>
          <w:rFonts w:cs="Arial"/>
          <w:szCs w:val="21"/>
        </w:rPr>
        <w:t xml:space="preserve">to ensure the correct patient receives the correct </w:t>
      </w:r>
      <w:r>
        <w:rPr>
          <w:rFonts w:cs="Arial"/>
          <w:szCs w:val="21"/>
        </w:rPr>
        <w:t xml:space="preserve">blood </w:t>
      </w:r>
      <w:r w:rsidR="00A552CB" w:rsidRPr="00A552CB">
        <w:rPr>
          <w:rFonts w:cs="Arial"/>
          <w:szCs w:val="21"/>
        </w:rPr>
        <w:t>component.</w:t>
      </w:r>
      <w:r w:rsidR="00A552CB">
        <w:rPr>
          <w:rFonts w:cs="Arial"/>
          <w:szCs w:val="21"/>
        </w:rPr>
        <w:t xml:space="preserve"> </w:t>
      </w:r>
    </w:p>
    <w:p w14:paraId="1A0B962D" w14:textId="385A3CC5" w:rsidR="00DE4D9F" w:rsidRDefault="00DE4D9F" w:rsidP="00DE4D9F">
      <w:pPr>
        <w:pStyle w:val="Heading2"/>
      </w:pPr>
      <w:bookmarkStart w:id="3" w:name="_Toc185252829"/>
      <w:r>
        <w:t>Aims</w:t>
      </w:r>
      <w:bookmarkEnd w:id="3"/>
    </w:p>
    <w:p w14:paraId="385C3883" w14:textId="4F431442" w:rsidR="00DE4D9F" w:rsidRPr="00DE4D9F" w:rsidRDefault="00DE4D9F" w:rsidP="00BA24DE">
      <w:pPr>
        <w:pStyle w:val="Body"/>
      </w:pPr>
      <w:r w:rsidRPr="00DE4D9F">
        <w:t xml:space="preserve">To identify if health service </w:t>
      </w:r>
      <w:r w:rsidR="00D2666E">
        <w:t xml:space="preserve">and laboratory </w:t>
      </w:r>
      <w:r w:rsidRPr="00DE4D9F">
        <w:t>policies</w:t>
      </w:r>
      <w:r w:rsidR="00731D3D">
        <w:t xml:space="preserve"> and </w:t>
      </w:r>
      <w:r w:rsidR="004C723A">
        <w:t>procedures</w:t>
      </w:r>
      <w:r w:rsidR="002F0939">
        <w:t xml:space="preserve"> for pre transfusion testing</w:t>
      </w:r>
      <w:r w:rsidR="00731D3D">
        <w:t xml:space="preserve"> are consistent with</w:t>
      </w:r>
      <w:r w:rsidRPr="00DE4D9F">
        <w:t xml:space="preserve"> </w:t>
      </w:r>
      <w:r w:rsidR="00731D3D" w:rsidRPr="00DE4D9F">
        <w:t>the ANZSBT</w:t>
      </w:r>
      <w:r w:rsidR="00A552CB">
        <w:t xml:space="preserve"> </w:t>
      </w:r>
      <w:r w:rsidR="00731D3D" w:rsidRPr="00DE4D9F">
        <w:t>Guidelines for the administration of blood products 3rd edition (2024)</w:t>
      </w:r>
      <w:r w:rsidR="00D2666E">
        <w:t xml:space="preserve"> and </w:t>
      </w:r>
      <w:r w:rsidR="00D2666E" w:rsidRPr="00D2666E">
        <w:t xml:space="preserve">Guidelines for transfusion and immunohaematology laboratory practice </w:t>
      </w:r>
      <w:r w:rsidR="0083555D">
        <w:t>2</w:t>
      </w:r>
      <w:r w:rsidR="0083555D" w:rsidRPr="007C7E13">
        <w:rPr>
          <w:vertAlign w:val="superscript"/>
        </w:rPr>
        <w:t>nd</w:t>
      </w:r>
      <w:r w:rsidR="0083555D">
        <w:t xml:space="preserve"> edition </w:t>
      </w:r>
      <w:r w:rsidR="00D2666E" w:rsidRPr="00D2666E">
        <w:t>(2025)</w:t>
      </w:r>
      <w:r w:rsidR="00731D3D" w:rsidRPr="00DE4D9F">
        <w:t>.</w:t>
      </w:r>
      <w:r w:rsidR="00731D3D">
        <w:t xml:space="preserve"> </w:t>
      </w:r>
    </w:p>
    <w:p w14:paraId="48A049C1" w14:textId="1696A32B" w:rsidR="00C37031" w:rsidRPr="00C37031" w:rsidRDefault="00C37031" w:rsidP="00C37031">
      <w:pPr>
        <w:pStyle w:val="Heading2"/>
      </w:pPr>
      <w:bookmarkStart w:id="4" w:name="_Toc185252830"/>
      <w:r w:rsidRPr="00C37031">
        <w:t>Objectives</w:t>
      </w:r>
      <w:bookmarkEnd w:id="4"/>
    </w:p>
    <w:p w14:paraId="483A5DD6" w14:textId="354411B8" w:rsidR="00C37031" w:rsidRPr="00C37031" w:rsidRDefault="00C37031" w:rsidP="00C37031">
      <w:pPr>
        <w:pStyle w:val="Bulletafternumbers1"/>
      </w:pPr>
      <w:r w:rsidRPr="00C37031">
        <w:t xml:space="preserve">To determine if health services have pretransfusion </w:t>
      </w:r>
      <w:r w:rsidR="00616918">
        <w:t>specimen collection</w:t>
      </w:r>
      <w:r w:rsidR="00616918" w:rsidRPr="00C37031">
        <w:t xml:space="preserve"> </w:t>
      </w:r>
      <w:r w:rsidRPr="00C37031">
        <w:t>procedures, incorporating positive patient identification and alignment with the ANZSBT Guidelines for the administration of blood products (2024)</w:t>
      </w:r>
      <w:r w:rsidR="00616918">
        <w:t xml:space="preserve"> and the ANZSBT Guidelines for transfusion </w:t>
      </w:r>
      <w:r w:rsidR="00397015">
        <w:t>and immunohaematology</w:t>
      </w:r>
      <w:r w:rsidR="00616918">
        <w:t xml:space="preserve"> laboratory practice (2025)</w:t>
      </w:r>
    </w:p>
    <w:p w14:paraId="32762758" w14:textId="2F9A7C08" w:rsidR="00D2666E" w:rsidRDefault="00C37031" w:rsidP="00C37031">
      <w:pPr>
        <w:pStyle w:val="Bulletafternumbers1"/>
      </w:pPr>
      <w:r w:rsidRPr="00C37031">
        <w:t xml:space="preserve">To </w:t>
      </w:r>
      <w:r w:rsidR="00397015">
        <w:t>establish baseline pretransfusion specimen collection and</w:t>
      </w:r>
      <w:r w:rsidR="00D2666E">
        <w:t xml:space="preserve"> rejection rates</w:t>
      </w:r>
    </w:p>
    <w:p w14:paraId="020E7F52" w14:textId="52F97197" w:rsidR="00C7135A" w:rsidRDefault="00D2666E" w:rsidP="00C37031">
      <w:pPr>
        <w:pStyle w:val="Bulletafternumbers1"/>
      </w:pPr>
      <w:r>
        <w:lastRenderedPageBreak/>
        <w:t>To understand</w:t>
      </w:r>
      <w:r w:rsidR="00397015">
        <w:t xml:space="preserve"> the underlying reasons</w:t>
      </w:r>
      <w:r w:rsidR="00C7135A">
        <w:t xml:space="preserve"> and identify trends in pretransfusion</w:t>
      </w:r>
      <w:r w:rsidR="00397015">
        <w:t xml:space="preserve"> </w:t>
      </w:r>
      <w:r w:rsidR="00C7135A">
        <w:t>specimen</w:t>
      </w:r>
      <w:r w:rsidR="00397015">
        <w:t xml:space="preserve"> rejection</w:t>
      </w:r>
    </w:p>
    <w:p w14:paraId="022EA3BA" w14:textId="5867C998" w:rsidR="00C37031" w:rsidRPr="00C37031" w:rsidRDefault="00C7135A" w:rsidP="00C37031">
      <w:pPr>
        <w:pStyle w:val="Bulletafternumbers1"/>
      </w:pPr>
      <w:r>
        <w:t>To understand governance frameworks in place for managing WBIT events</w:t>
      </w:r>
    </w:p>
    <w:p w14:paraId="27209EB8" w14:textId="2BFE5D86" w:rsidR="00C37031" w:rsidRDefault="00C37031" w:rsidP="00C37031">
      <w:pPr>
        <w:pStyle w:val="Heading2"/>
      </w:pPr>
      <w:bookmarkStart w:id="5" w:name="_Toc185252831"/>
      <w:r>
        <w:t>Method</w:t>
      </w:r>
      <w:bookmarkEnd w:id="5"/>
    </w:p>
    <w:p w14:paraId="0DEA074C" w14:textId="20D937E8" w:rsidR="009F68BF" w:rsidRDefault="00C37031" w:rsidP="00C37031">
      <w:pPr>
        <w:pStyle w:val="Body"/>
      </w:pPr>
      <w:r>
        <w:t>Audit</w:t>
      </w:r>
      <w:r w:rsidR="009F68BF">
        <w:t xml:space="preserve"> of health service</w:t>
      </w:r>
      <w:r w:rsidR="004C6FA1">
        <w:t xml:space="preserve"> procedures in relation to</w:t>
      </w:r>
      <w:r w:rsidR="009F68BF">
        <w:t>:</w:t>
      </w:r>
    </w:p>
    <w:p w14:paraId="58F74BB6" w14:textId="623325A8" w:rsidR="00CA0DDF" w:rsidRDefault="006422A5" w:rsidP="00CA0DDF">
      <w:pPr>
        <w:pStyle w:val="Body"/>
        <w:numPr>
          <w:ilvl w:val="0"/>
          <w:numId w:val="47"/>
        </w:numPr>
      </w:pPr>
      <w:r>
        <w:t>P</w:t>
      </w:r>
      <w:r w:rsidR="009F68BF">
        <w:t xml:space="preserve">retransfusion </w:t>
      </w:r>
      <w:r w:rsidR="00005EE1">
        <w:t xml:space="preserve">specimen </w:t>
      </w:r>
      <w:r w:rsidR="009F68BF">
        <w:t>collection and</w:t>
      </w:r>
      <w:r w:rsidR="00CA0DDF">
        <w:t xml:space="preserve"> labelling</w:t>
      </w:r>
      <w:r w:rsidR="001559B5">
        <w:t xml:space="preserve"> requirements</w:t>
      </w:r>
      <w:r w:rsidR="002F0939">
        <w:t xml:space="preserve"> </w:t>
      </w:r>
    </w:p>
    <w:p w14:paraId="045A5352" w14:textId="519A4509" w:rsidR="00CA0DDF" w:rsidRDefault="001559B5" w:rsidP="00CA0DDF">
      <w:pPr>
        <w:pStyle w:val="Body"/>
        <w:numPr>
          <w:ilvl w:val="0"/>
          <w:numId w:val="47"/>
        </w:numPr>
      </w:pPr>
      <w:r>
        <w:t xml:space="preserve">Specimen </w:t>
      </w:r>
      <w:r w:rsidR="00CA0DDF">
        <w:t>rejection criteria, follow up and reporting processes</w:t>
      </w:r>
    </w:p>
    <w:p w14:paraId="49E93991" w14:textId="3ADED253" w:rsidR="00CA0DDF" w:rsidRDefault="00CA0DDF" w:rsidP="000F334A">
      <w:pPr>
        <w:pStyle w:val="Body"/>
        <w:numPr>
          <w:ilvl w:val="0"/>
          <w:numId w:val="47"/>
        </w:numPr>
      </w:pPr>
      <w:r>
        <w:t>WBIT identification and investigation processes</w:t>
      </w:r>
    </w:p>
    <w:p w14:paraId="77B252C1" w14:textId="1743D023" w:rsidR="009F68BF" w:rsidRDefault="001559B5" w:rsidP="001559B5">
      <w:pPr>
        <w:pStyle w:val="Body"/>
      </w:pPr>
      <w:r>
        <w:t>In addition</w:t>
      </w:r>
      <w:r w:rsidR="000F334A">
        <w:t>,</w:t>
      </w:r>
      <w:r>
        <w:t xml:space="preserve"> </w:t>
      </w:r>
      <w:r w:rsidR="002F0939">
        <w:t xml:space="preserve">health services will be requested to report </w:t>
      </w:r>
      <w:r w:rsidR="005C2D4A">
        <w:t xml:space="preserve">the following </w:t>
      </w:r>
      <w:r>
        <w:t xml:space="preserve">data for the month of October </w:t>
      </w:r>
      <w:r w:rsidR="007458CA">
        <w:t>2025:</w:t>
      </w:r>
    </w:p>
    <w:p w14:paraId="25E70970" w14:textId="55D5257E" w:rsidR="009F68BF" w:rsidRDefault="001559B5" w:rsidP="000F334A">
      <w:pPr>
        <w:pStyle w:val="Body"/>
        <w:numPr>
          <w:ilvl w:val="0"/>
          <w:numId w:val="48"/>
        </w:numPr>
      </w:pPr>
      <w:r>
        <w:t xml:space="preserve">number of </w:t>
      </w:r>
      <w:r w:rsidR="005066D7">
        <w:t xml:space="preserve">pretransfusion </w:t>
      </w:r>
      <w:r w:rsidR="00005EE1">
        <w:t xml:space="preserve">specimens </w:t>
      </w:r>
      <w:r>
        <w:t xml:space="preserve">collected </w:t>
      </w:r>
    </w:p>
    <w:p w14:paraId="57857ECF" w14:textId="6D0C2C3C" w:rsidR="009F68BF" w:rsidRDefault="00005EE1" w:rsidP="000F334A">
      <w:pPr>
        <w:pStyle w:val="Body"/>
        <w:numPr>
          <w:ilvl w:val="0"/>
          <w:numId w:val="48"/>
        </w:numPr>
      </w:pPr>
      <w:r>
        <w:t xml:space="preserve">number of </w:t>
      </w:r>
      <w:r w:rsidR="009F68BF" w:rsidRPr="009F68BF">
        <w:t>pretransfusion specimen</w:t>
      </w:r>
      <w:r w:rsidR="005066D7">
        <w:t>s</w:t>
      </w:r>
      <w:r w:rsidR="009F68BF" w:rsidRPr="009F68BF">
        <w:t xml:space="preserve"> </w:t>
      </w:r>
      <w:r w:rsidR="005066D7">
        <w:t>rejected</w:t>
      </w:r>
    </w:p>
    <w:p w14:paraId="273452CC" w14:textId="0709F55C" w:rsidR="009F68BF" w:rsidRDefault="009F68BF" w:rsidP="000F334A">
      <w:pPr>
        <w:pStyle w:val="Body"/>
        <w:numPr>
          <w:ilvl w:val="0"/>
          <w:numId w:val="48"/>
        </w:numPr>
      </w:pPr>
      <w:r>
        <w:t>r</w:t>
      </w:r>
      <w:r w:rsidR="000F334A">
        <w:t>e</w:t>
      </w:r>
      <w:r>
        <w:t xml:space="preserve">ason </w:t>
      </w:r>
      <w:r w:rsidR="005066D7">
        <w:t xml:space="preserve">for </w:t>
      </w:r>
      <w:r>
        <w:t xml:space="preserve">pretransfusion specimen </w:t>
      </w:r>
      <w:r w:rsidR="005066D7">
        <w:t>rejection</w:t>
      </w:r>
    </w:p>
    <w:p w14:paraId="1C8F0C01" w14:textId="747A1AEB" w:rsidR="001559B5" w:rsidRDefault="00273E70" w:rsidP="000F334A">
      <w:pPr>
        <w:pStyle w:val="Body"/>
        <w:numPr>
          <w:ilvl w:val="0"/>
          <w:numId w:val="48"/>
        </w:numPr>
      </w:pPr>
      <w:r>
        <w:t xml:space="preserve">where and when </w:t>
      </w:r>
      <w:r w:rsidR="005066D7">
        <w:t xml:space="preserve">the specimen rejection </w:t>
      </w:r>
      <w:r>
        <w:t>occurred</w:t>
      </w:r>
      <w:r w:rsidR="006422A5">
        <w:t>.</w:t>
      </w:r>
    </w:p>
    <w:p w14:paraId="02199952" w14:textId="3472C0AF" w:rsidR="00C37031" w:rsidRPr="00C37031" w:rsidRDefault="00C37031" w:rsidP="00C37031">
      <w:pPr>
        <w:rPr>
          <w:rFonts w:cs="Arial"/>
          <w:szCs w:val="21"/>
        </w:rPr>
      </w:pPr>
      <w:r w:rsidRPr="00C37031">
        <w:rPr>
          <w:rFonts w:cs="Arial"/>
          <w:szCs w:val="21"/>
        </w:rPr>
        <w:t xml:space="preserve">Data entry </w:t>
      </w:r>
      <w:r w:rsidR="00333C91">
        <w:rPr>
          <w:rFonts w:cs="Arial"/>
          <w:szCs w:val="21"/>
        </w:rPr>
        <w:t xml:space="preserve">is open and available </w:t>
      </w:r>
      <w:r w:rsidR="005066D7">
        <w:rPr>
          <w:rFonts w:cs="Arial"/>
          <w:szCs w:val="21"/>
        </w:rPr>
        <w:t>for completion between</w:t>
      </w:r>
      <w:r w:rsidR="00333C91">
        <w:rPr>
          <w:rFonts w:cs="Arial"/>
          <w:szCs w:val="21"/>
        </w:rPr>
        <w:t xml:space="preserve"> </w:t>
      </w:r>
      <w:r w:rsidR="00BA24DE">
        <w:rPr>
          <w:rFonts w:cs="Arial"/>
          <w:szCs w:val="21"/>
        </w:rPr>
        <w:t>1</w:t>
      </w:r>
      <w:r w:rsidR="00333C91">
        <w:rPr>
          <w:rFonts w:cs="Arial"/>
          <w:szCs w:val="21"/>
        </w:rPr>
        <w:t xml:space="preserve"> March </w:t>
      </w:r>
      <w:r w:rsidR="005066D7">
        <w:rPr>
          <w:rFonts w:cs="Arial"/>
          <w:szCs w:val="21"/>
        </w:rPr>
        <w:t>and</w:t>
      </w:r>
      <w:r w:rsidR="005066D7" w:rsidRPr="00C37031">
        <w:rPr>
          <w:rFonts w:cs="Arial"/>
          <w:szCs w:val="21"/>
        </w:rPr>
        <w:t xml:space="preserve"> </w:t>
      </w:r>
      <w:r w:rsidR="00397015">
        <w:rPr>
          <w:rFonts w:cs="Arial"/>
          <w:szCs w:val="21"/>
        </w:rPr>
        <w:t>3</w:t>
      </w:r>
      <w:r w:rsidR="007F6922">
        <w:rPr>
          <w:rFonts w:cs="Arial"/>
          <w:szCs w:val="21"/>
        </w:rPr>
        <w:t>1</w:t>
      </w:r>
      <w:r w:rsidR="00397015">
        <w:rPr>
          <w:rFonts w:cs="Arial"/>
          <w:szCs w:val="21"/>
        </w:rPr>
        <w:t xml:space="preserve"> March</w:t>
      </w:r>
      <w:r w:rsidRPr="00C37031">
        <w:rPr>
          <w:rFonts w:cs="Arial"/>
          <w:szCs w:val="21"/>
        </w:rPr>
        <w:t xml:space="preserve"> 202</w:t>
      </w:r>
      <w:r w:rsidR="00397015">
        <w:rPr>
          <w:rFonts w:cs="Arial"/>
          <w:szCs w:val="21"/>
        </w:rPr>
        <w:t>6</w:t>
      </w:r>
      <w:r w:rsidRPr="00C37031">
        <w:rPr>
          <w:rFonts w:cs="Arial"/>
          <w:szCs w:val="21"/>
        </w:rPr>
        <w:t>.</w:t>
      </w:r>
    </w:p>
    <w:p w14:paraId="2B1B83E1" w14:textId="6685D194" w:rsidR="00C37031" w:rsidRPr="00FF38CA" w:rsidRDefault="00C37031" w:rsidP="00C37031">
      <w:pPr>
        <w:rPr>
          <w:rFonts w:cs="Arial"/>
          <w:szCs w:val="21"/>
        </w:rPr>
      </w:pPr>
      <w:r w:rsidRPr="00FF38CA">
        <w:rPr>
          <w:rFonts w:cs="Arial"/>
          <w:szCs w:val="21"/>
        </w:rPr>
        <w:t>Data entry is electronic using RED</w:t>
      </w:r>
      <w:r w:rsidR="002335BA">
        <w:rPr>
          <w:rFonts w:cs="Arial"/>
          <w:szCs w:val="21"/>
        </w:rPr>
        <w:t>C</w:t>
      </w:r>
      <w:r w:rsidRPr="00FF38CA">
        <w:rPr>
          <w:rFonts w:cs="Arial"/>
          <w:szCs w:val="21"/>
        </w:rPr>
        <w:t>ap</w:t>
      </w:r>
      <w:r w:rsidR="003A2946">
        <w:rPr>
          <w:rFonts w:cs="Arial"/>
          <w:szCs w:val="21"/>
        </w:rPr>
        <w:t xml:space="preserve"> </w:t>
      </w:r>
      <w:r w:rsidR="004F6D3C">
        <w:rPr>
          <w:rFonts w:cs="Arial"/>
          <w:szCs w:val="21"/>
        </w:rPr>
        <w:t>.</w:t>
      </w:r>
    </w:p>
    <w:p w14:paraId="5B564E2C" w14:textId="32B77AF5" w:rsidR="00C37031" w:rsidRPr="00C37031" w:rsidRDefault="003A2946" w:rsidP="00C37031">
      <w:pPr>
        <w:rPr>
          <w:rFonts w:cs="Arial"/>
          <w:szCs w:val="21"/>
        </w:rPr>
      </w:pPr>
      <w:r>
        <w:rPr>
          <w:rFonts w:cs="Arial"/>
          <w:szCs w:val="21"/>
        </w:rPr>
        <w:t>For all inquiries includ</w:t>
      </w:r>
      <w:r w:rsidR="005066D7">
        <w:rPr>
          <w:rFonts w:cs="Arial"/>
          <w:szCs w:val="21"/>
        </w:rPr>
        <w:t>ing</w:t>
      </w:r>
      <w:r>
        <w:rPr>
          <w:rFonts w:cs="Arial"/>
          <w:szCs w:val="21"/>
        </w:rPr>
        <w:t xml:space="preserve"> problems with data entry</w:t>
      </w:r>
      <w:r w:rsidR="00C37031" w:rsidRPr="00C37031">
        <w:rPr>
          <w:rFonts w:cs="Arial"/>
          <w:szCs w:val="21"/>
        </w:rPr>
        <w:t xml:space="preserve"> please contact Blood Matters on 03</w:t>
      </w:r>
      <w:r w:rsidR="00C37031" w:rsidRPr="00333C91">
        <w:t xml:space="preserve"> </w:t>
      </w:r>
      <w:r w:rsidR="00C37031" w:rsidRPr="00C37031">
        <w:rPr>
          <w:rFonts w:cs="Arial"/>
          <w:szCs w:val="21"/>
        </w:rPr>
        <w:t xml:space="preserve">9694 0102 or email </w:t>
      </w:r>
      <w:hyperlink r:id="rId22" w:history="1">
        <w:r w:rsidR="00C37031" w:rsidRPr="00C37031">
          <w:rPr>
            <w:rStyle w:val="Hyperlink"/>
            <w:rFonts w:cs="Arial"/>
            <w:szCs w:val="21"/>
          </w:rPr>
          <w:t>bloodmatters@redcrossblood.org.au</w:t>
        </w:r>
      </w:hyperlink>
      <w:r w:rsidR="00C37031" w:rsidRPr="00C37031">
        <w:rPr>
          <w:rFonts w:cs="Arial"/>
          <w:szCs w:val="21"/>
        </w:rPr>
        <w:t xml:space="preserve">  </w:t>
      </w:r>
    </w:p>
    <w:p w14:paraId="09B6007C" w14:textId="26329674" w:rsidR="00DE4D9F" w:rsidRPr="00DE4D9F" w:rsidRDefault="00C37031" w:rsidP="00DE4D9F">
      <w:pPr>
        <w:rPr>
          <w:rFonts w:eastAsia="Times"/>
        </w:rPr>
      </w:pPr>
      <w:r w:rsidRPr="00C37031">
        <w:rPr>
          <w:rFonts w:eastAsia="Times"/>
        </w:rPr>
        <w:t xml:space="preserve">Victorian health services are expected (as outlined in the Victorian Department of Health Policy and Funding agreement) to complete </w:t>
      </w:r>
      <w:r w:rsidR="003A2946">
        <w:rPr>
          <w:rFonts w:eastAsia="Times"/>
        </w:rPr>
        <w:t>this audit</w:t>
      </w:r>
      <w:r w:rsidRPr="00C37031">
        <w:rPr>
          <w:rFonts w:eastAsia="Times"/>
        </w:rPr>
        <w:t>.</w:t>
      </w:r>
    </w:p>
    <w:p w14:paraId="1AE4A76E" w14:textId="75A0472B" w:rsidR="00DE4D9F" w:rsidRPr="00C37031" w:rsidRDefault="00C37031" w:rsidP="00C37031">
      <w:pPr>
        <w:pStyle w:val="Heading2"/>
      </w:pPr>
      <w:bookmarkStart w:id="6" w:name="_Toc185252832"/>
      <w:r w:rsidRPr="00C37031">
        <w:t>Definitions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37031" w:rsidRPr="00C37031" w14:paraId="2DD23D73" w14:textId="77777777" w:rsidTr="00DF01A3">
        <w:trPr>
          <w:cantSplit/>
          <w:tblHeader/>
        </w:trPr>
        <w:tc>
          <w:tcPr>
            <w:tcW w:w="3539" w:type="dxa"/>
          </w:tcPr>
          <w:p w14:paraId="52ACCCB9" w14:textId="05181A2C" w:rsidR="00C37031" w:rsidRPr="00C37031" w:rsidRDefault="00C37031" w:rsidP="00C37031">
            <w:pPr>
              <w:pStyle w:val="Tablecolhead"/>
              <w:rPr>
                <w:rFonts w:eastAsia="Times"/>
              </w:rPr>
            </w:pPr>
            <w:r w:rsidRPr="00C37031">
              <w:t>Element</w:t>
            </w:r>
          </w:p>
        </w:tc>
        <w:tc>
          <w:tcPr>
            <w:tcW w:w="5477" w:type="dxa"/>
          </w:tcPr>
          <w:p w14:paraId="4A36A7DA" w14:textId="7EA58AF0" w:rsidR="00C37031" w:rsidRPr="00C37031" w:rsidRDefault="00C37031" w:rsidP="00C37031">
            <w:pPr>
              <w:pStyle w:val="Tablecolhead"/>
              <w:rPr>
                <w:rFonts w:eastAsia="Times"/>
              </w:rPr>
            </w:pPr>
            <w:r w:rsidRPr="00C37031">
              <w:t>How it is defined</w:t>
            </w:r>
          </w:p>
        </w:tc>
      </w:tr>
      <w:tr w:rsidR="006422A5" w:rsidRPr="00C37031" w14:paraId="6D5D9CA1" w14:textId="77777777" w:rsidTr="00DF01A3">
        <w:trPr>
          <w:cantSplit/>
        </w:trPr>
        <w:tc>
          <w:tcPr>
            <w:tcW w:w="3539" w:type="dxa"/>
          </w:tcPr>
          <w:p w14:paraId="61D8AFFE" w14:textId="6B369CBF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ANZSBT</w:t>
            </w:r>
          </w:p>
        </w:tc>
        <w:tc>
          <w:tcPr>
            <w:tcW w:w="5477" w:type="dxa"/>
          </w:tcPr>
          <w:p w14:paraId="50E49CBB" w14:textId="292848BE" w:rsidR="006422A5" w:rsidRPr="00FE00BE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Australia and New Zealand Society of Blood Transfusion</w:t>
            </w:r>
          </w:p>
        </w:tc>
      </w:tr>
      <w:tr w:rsidR="006422A5" w:rsidRPr="00C37031" w14:paraId="7B32C197" w14:textId="77777777" w:rsidTr="00DF01A3">
        <w:trPr>
          <w:cantSplit/>
        </w:trPr>
        <w:tc>
          <w:tcPr>
            <w:tcW w:w="3539" w:type="dxa"/>
          </w:tcPr>
          <w:p w14:paraId="4E6C3DE5" w14:textId="61D8B897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Crossmatch</w:t>
            </w:r>
          </w:p>
        </w:tc>
        <w:tc>
          <w:tcPr>
            <w:tcW w:w="5477" w:type="dxa"/>
          </w:tcPr>
          <w:p w14:paraId="298F5814" w14:textId="1DFCA886" w:rsidR="006422A5" w:rsidRPr="00FE00BE" w:rsidRDefault="007458CA" w:rsidP="007458CA">
            <w:pPr>
              <w:rPr>
                <w:rFonts w:eastAsia="Times"/>
              </w:rPr>
            </w:pPr>
            <w:r>
              <w:rPr>
                <w:rFonts w:eastAsia="Times"/>
              </w:rPr>
              <w:t>T</w:t>
            </w:r>
            <w:r w:rsidRPr="007458CA">
              <w:rPr>
                <w:rFonts w:eastAsia="Times"/>
              </w:rPr>
              <w:t>est to assess compatibility between a blood component and the intended recipient</w:t>
            </w:r>
          </w:p>
        </w:tc>
      </w:tr>
      <w:tr w:rsidR="006422A5" w:rsidRPr="00C37031" w14:paraId="67A62FF3" w14:textId="77777777" w:rsidTr="00DF01A3">
        <w:trPr>
          <w:cantSplit/>
        </w:trPr>
        <w:tc>
          <w:tcPr>
            <w:tcW w:w="3539" w:type="dxa"/>
          </w:tcPr>
          <w:p w14:paraId="489FDEC3" w14:textId="1C48D818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DOB</w:t>
            </w:r>
          </w:p>
        </w:tc>
        <w:tc>
          <w:tcPr>
            <w:tcW w:w="5477" w:type="dxa"/>
          </w:tcPr>
          <w:p w14:paraId="3831C02C" w14:textId="3196E4CA" w:rsidR="006422A5" w:rsidRPr="00FE00BE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Date of birth</w:t>
            </w:r>
          </w:p>
        </w:tc>
      </w:tr>
      <w:tr w:rsidR="006422A5" w:rsidRPr="00C37031" w14:paraId="460C2E1A" w14:textId="77777777" w:rsidTr="00DF01A3">
        <w:trPr>
          <w:cantSplit/>
        </w:trPr>
        <w:tc>
          <w:tcPr>
            <w:tcW w:w="3539" w:type="dxa"/>
          </w:tcPr>
          <w:p w14:paraId="2A897CF6" w14:textId="69365249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EMR</w:t>
            </w:r>
          </w:p>
        </w:tc>
        <w:tc>
          <w:tcPr>
            <w:tcW w:w="5477" w:type="dxa"/>
          </w:tcPr>
          <w:p w14:paraId="778BB784" w14:textId="63FF9B8D" w:rsidR="006422A5" w:rsidRPr="00FE00BE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Electronic medical record</w:t>
            </w:r>
          </w:p>
        </w:tc>
      </w:tr>
      <w:tr w:rsidR="006422A5" w:rsidRPr="00C37031" w14:paraId="1B4A0B70" w14:textId="77777777" w:rsidTr="00DF01A3">
        <w:trPr>
          <w:cantSplit/>
        </w:trPr>
        <w:tc>
          <w:tcPr>
            <w:tcW w:w="3539" w:type="dxa"/>
          </w:tcPr>
          <w:p w14:paraId="4F648785" w14:textId="0201AA96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Family name</w:t>
            </w:r>
          </w:p>
        </w:tc>
        <w:tc>
          <w:tcPr>
            <w:tcW w:w="5477" w:type="dxa"/>
          </w:tcPr>
          <w:p w14:paraId="5EAFD9F9" w14:textId="14F9EE53" w:rsidR="006422A5" w:rsidRPr="00FE00BE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Surname or last name</w:t>
            </w:r>
          </w:p>
        </w:tc>
      </w:tr>
      <w:tr w:rsidR="006422A5" w:rsidRPr="00C37031" w14:paraId="4E1042DF" w14:textId="77777777" w:rsidTr="00DF01A3">
        <w:trPr>
          <w:cantSplit/>
        </w:trPr>
        <w:tc>
          <w:tcPr>
            <w:tcW w:w="3539" w:type="dxa"/>
          </w:tcPr>
          <w:p w14:paraId="0B734B55" w14:textId="5238B843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Given names</w:t>
            </w:r>
          </w:p>
        </w:tc>
        <w:tc>
          <w:tcPr>
            <w:tcW w:w="5477" w:type="dxa"/>
          </w:tcPr>
          <w:p w14:paraId="611DC4B5" w14:textId="6501BB6D" w:rsidR="006422A5" w:rsidRPr="00FE00BE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 xml:space="preserve">First name </w:t>
            </w:r>
            <w:r>
              <w:rPr>
                <w:rFonts w:eastAsia="Times"/>
              </w:rPr>
              <w:t>(</w:t>
            </w:r>
            <w:r w:rsidRPr="00C37031">
              <w:rPr>
                <w:rFonts w:eastAsia="Times"/>
              </w:rPr>
              <w:t>and middle name</w:t>
            </w:r>
            <w:r>
              <w:rPr>
                <w:rFonts w:eastAsia="Times"/>
              </w:rPr>
              <w:t xml:space="preserve"> if applicable)</w:t>
            </w:r>
          </w:p>
        </w:tc>
      </w:tr>
      <w:tr w:rsidR="006422A5" w:rsidRPr="00C37031" w14:paraId="75F762C4" w14:textId="77777777" w:rsidTr="00DF01A3">
        <w:trPr>
          <w:cantSplit/>
        </w:trPr>
        <w:tc>
          <w:tcPr>
            <w:tcW w:w="3539" w:type="dxa"/>
          </w:tcPr>
          <w:p w14:paraId="0105B2AB" w14:textId="0E8043AE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G&amp;S</w:t>
            </w:r>
          </w:p>
        </w:tc>
        <w:tc>
          <w:tcPr>
            <w:tcW w:w="5477" w:type="dxa"/>
          </w:tcPr>
          <w:p w14:paraId="52A3EE3C" w14:textId="4B28B678" w:rsidR="006422A5" w:rsidRPr="00FE00BE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Blood group and antibody screen</w:t>
            </w:r>
          </w:p>
        </w:tc>
      </w:tr>
      <w:tr w:rsidR="006422A5" w:rsidRPr="00C37031" w14:paraId="19CF46EF" w14:textId="77777777" w:rsidTr="00DF01A3">
        <w:trPr>
          <w:cantSplit/>
        </w:trPr>
        <w:tc>
          <w:tcPr>
            <w:tcW w:w="3539" w:type="dxa"/>
          </w:tcPr>
          <w:p w14:paraId="451CD5EC" w14:textId="4442B2DD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ID</w:t>
            </w:r>
          </w:p>
        </w:tc>
        <w:tc>
          <w:tcPr>
            <w:tcW w:w="5477" w:type="dxa"/>
          </w:tcPr>
          <w:p w14:paraId="7E478BE8" w14:textId="4DD4A8B8" w:rsidR="006422A5" w:rsidRPr="00FE00BE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Identification</w:t>
            </w:r>
          </w:p>
        </w:tc>
      </w:tr>
      <w:tr w:rsidR="006422A5" w:rsidRPr="00C37031" w14:paraId="2183DEE4" w14:textId="77777777" w:rsidTr="00DF01A3">
        <w:trPr>
          <w:cantSplit/>
        </w:trPr>
        <w:tc>
          <w:tcPr>
            <w:tcW w:w="3539" w:type="dxa"/>
          </w:tcPr>
          <w:p w14:paraId="2EB7C1DD" w14:textId="79982BF8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MRN</w:t>
            </w:r>
          </w:p>
        </w:tc>
        <w:tc>
          <w:tcPr>
            <w:tcW w:w="5477" w:type="dxa"/>
          </w:tcPr>
          <w:p w14:paraId="5A95023E" w14:textId="5DDBD2CF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t>Medical record number</w:t>
            </w:r>
          </w:p>
        </w:tc>
      </w:tr>
      <w:tr w:rsidR="006422A5" w:rsidRPr="00C37031" w14:paraId="2DEA0013" w14:textId="77777777" w:rsidTr="00DF01A3">
        <w:trPr>
          <w:cantSplit/>
        </w:trPr>
        <w:tc>
          <w:tcPr>
            <w:tcW w:w="3539" w:type="dxa"/>
          </w:tcPr>
          <w:p w14:paraId="16A09E5F" w14:textId="55334A01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NSQHS</w:t>
            </w:r>
          </w:p>
        </w:tc>
        <w:tc>
          <w:tcPr>
            <w:tcW w:w="5477" w:type="dxa"/>
          </w:tcPr>
          <w:p w14:paraId="2AE853F7" w14:textId="2BAAFD67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National Safety and Quality Health Service</w:t>
            </w:r>
          </w:p>
        </w:tc>
      </w:tr>
      <w:tr w:rsidR="006422A5" w:rsidRPr="00C37031" w14:paraId="022086D0" w14:textId="77777777" w:rsidTr="00DF01A3">
        <w:trPr>
          <w:cantSplit/>
        </w:trPr>
        <w:tc>
          <w:tcPr>
            <w:tcW w:w="3539" w:type="dxa"/>
          </w:tcPr>
          <w:p w14:paraId="1BFA0D12" w14:textId="59C8279E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NUM</w:t>
            </w:r>
          </w:p>
        </w:tc>
        <w:tc>
          <w:tcPr>
            <w:tcW w:w="5477" w:type="dxa"/>
          </w:tcPr>
          <w:p w14:paraId="62D435CB" w14:textId="6EA4B203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Nurse Unit Manager</w:t>
            </w:r>
          </w:p>
        </w:tc>
      </w:tr>
      <w:tr w:rsidR="006422A5" w:rsidRPr="00C37031" w14:paraId="76A402F3" w14:textId="77777777" w:rsidTr="00DF01A3">
        <w:trPr>
          <w:cantSplit/>
        </w:trPr>
        <w:tc>
          <w:tcPr>
            <w:tcW w:w="3539" w:type="dxa"/>
          </w:tcPr>
          <w:p w14:paraId="055BDB40" w14:textId="77777777" w:rsidR="006422A5" w:rsidRPr="00C37031" w:rsidRDefault="006422A5" w:rsidP="006422A5">
            <w:pPr>
              <w:rPr>
                <w:rFonts w:eastAsia="Times"/>
              </w:rPr>
            </w:pPr>
            <w:r w:rsidRPr="00C37031">
              <w:rPr>
                <w:rFonts w:eastAsia="Times"/>
              </w:rPr>
              <w:lastRenderedPageBreak/>
              <w:t>Positive patient identification</w:t>
            </w:r>
          </w:p>
        </w:tc>
        <w:tc>
          <w:tcPr>
            <w:tcW w:w="5477" w:type="dxa"/>
          </w:tcPr>
          <w:p w14:paraId="2FF6EC16" w14:textId="5E5C8E3E" w:rsidR="006422A5" w:rsidRPr="00C37031" w:rsidRDefault="006422A5" w:rsidP="006422A5">
            <w:pPr>
              <w:rPr>
                <w:rFonts w:eastAsia="Times"/>
              </w:rPr>
            </w:pPr>
            <w:r w:rsidRPr="00FE00BE">
              <w:rPr>
                <w:rFonts w:eastAsia="Times"/>
              </w:rPr>
              <w:t>‘Positive patient identification’ is correctly identifying a patient to ensure that the right person receives their intended care.</w:t>
            </w:r>
            <w:r w:rsidRPr="00C37031">
              <w:rPr>
                <w:rFonts w:eastAsia="Times"/>
              </w:rPr>
              <w:t xml:space="preserve"> This involves the following:</w:t>
            </w:r>
          </w:p>
          <w:p w14:paraId="2ECBC68F" w14:textId="6D5AE02F" w:rsidR="006422A5" w:rsidRPr="00C37031" w:rsidRDefault="006422A5" w:rsidP="006422A5">
            <w:pPr>
              <w:numPr>
                <w:ilvl w:val="0"/>
                <w:numId w:val="45"/>
              </w:numPr>
              <w:rPr>
                <w:rFonts w:eastAsia="Times"/>
              </w:rPr>
            </w:pPr>
            <w:r w:rsidRPr="00C37031">
              <w:rPr>
                <w:rFonts w:eastAsia="Times"/>
              </w:rPr>
              <w:t xml:space="preserve">Ask the patient (if conscious and competent) to state and spell their family name and given name in full, and their date of birth (DOB). </w:t>
            </w:r>
          </w:p>
          <w:p w14:paraId="5A8D2920" w14:textId="36A70A44" w:rsidR="006422A5" w:rsidRPr="00C37031" w:rsidRDefault="006422A5" w:rsidP="006422A5">
            <w:pPr>
              <w:numPr>
                <w:ilvl w:val="0"/>
                <w:numId w:val="45"/>
              </w:numPr>
              <w:rPr>
                <w:rFonts w:eastAsia="Times"/>
              </w:rPr>
            </w:pPr>
            <w:r w:rsidRPr="00C37031">
              <w:rPr>
                <w:rFonts w:eastAsia="Times"/>
              </w:rPr>
              <w:t>ensure that the stated family name and given names and DOB are identical to those on the identification band.</w:t>
            </w:r>
          </w:p>
          <w:p w14:paraId="746F8DE8" w14:textId="06271B4C" w:rsidR="006422A5" w:rsidRPr="00C37031" w:rsidRDefault="006422A5" w:rsidP="006422A5">
            <w:pPr>
              <w:numPr>
                <w:ilvl w:val="0"/>
                <w:numId w:val="45"/>
              </w:numPr>
              <w:rPr>
                <w:rFonts w:eastAsia="Times"/>
              </w:rPr>
            </w:pPr>
            <w:r w:rsidRPr="00C37031">
              <w:rPr>
                <w:rFonts w:eastAsia="Times"/>
              </w:rPr>
              <w:t xml:space="preserve">If the patient is unable to state and spell their name, a parent, guardian or carer (if present and able to do so) </w:t>
            </w:r>
            <w:r>
              <w:rPr>
                <w:rFonts w:eastAsia="Times"/>
              </w:rPr>
              <w:t>can</w:t>
            </w:r>
            <w:r w:rsidRPr="00C37031">
              <w:rPr>
                <w:rFonts w:eastAsia="Times"/>
              </w:rPr>
              <w:t xml:space="preserve"> verify the patient’s identity</w:t>
            </w:r>
            <w:r>
              <w:rPr>
                <w:rFonts w:eastAsia="Times"/>
              </w:rPr>
              <w:t xml:space="preserve"> as above</w:t>
            </w:r>
            <w:r w:rsidRPr="00C37031">
              <w:rPr>
                <w:rFonts w:eastAsia="Times"/>
              </w:rPr>
              <w:t xml:space="preserve">; </w:t>
            </w:r>
          </w:p>
        </w:tc>
      </w:tr>
      <w:tr w:rsidR="006422A5" w:rsidRPr="00C37031" w14:paraId="01C7D413" w14:textId="77777777" w:rsidTr="00DF01A3">
        <w:trPr>
          <w:cantSplit/>
        </w:trPr>
        <w:tc>
          <w:tcPr>
            <w:tcW w:w="3539" w:type="dxa"/>
          </w:tcPr>
          <w:p w14:paraId="44A3F914" w14:textId="7A14F143" w:rsidR="006422A5" w:rsidRPr="00C37031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Pretransfusion specimen</w:t>
            </w:r>
          </w:p>
        </w:tc>
        <w:tc>
          <w:tcPr>
            <w:tcW w:w="5477" w:type="dxa"/>
          </w:tcPr>
          <w:p w14:paraId="61973B39" w14:textId="7DB66643" w:rsidR="006422A5" w:rsidRPr="00FE00BE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Specimen collected for blood group and antibody screen and/or crossmatch</w:t>
            </w:r>
          </w:p>
        </w:tc>
      </w:tr>
      <w:tr w:rsidR="006422A5" w:rsidRPr="00C37031" w14:paraId="58CF9201" w14:textId="77777777" w:rsidTr="00DF01A3">
        <w:trPr>
          <w:cantSplit/>
        </w:trPr>
        <w:tc>
          <w:tcPr>
            <w:tcW w:w="3539" w:type="dxa"/>
          </w:tcPr>
          <w:p w14:paraId="079BFB5F" w14:textId="744CE582" w:rsidR="006422A5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STIR</w:t>
            </w:r>
          </w:p>
        </w:tc>
        <w:tc>
          <w:tcPr>
            <w:tcW w:w="5477" w:type="dxa"/>
          </w:tcPr>
          <w:p w14:paraId="0607157A" w14:textId="450DAD7A" w:rsidR="006422A5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Serious Transfusion Incident Reporting system</w:t>
            </w:r>
          </w:p>
        </w:tc>
      </w:tr>
      <w:tr w:rsidR="006422A5" w:rsidRPr="00C37031" w14:paraId="189B7883" w14:textId="77777777" w:rsidTr="00DF01A3">
        <w:trPr>
          <w:cantSplit/>
        </w:trPr>
        <w:tc>
          <w:tcPr>
            <w:tcW w:w="3539" w:type="dxa"/>
          </w:tcPr>
          <w:p w14:paraId="573FA4F1" w14:textId="477B86B3" w:rsidR="006422A5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Zero tolerance</w:t>
            </w:r>
          </w:p>
        </w:tc>
        <w:tc>
          <w:tcPr>
            <w:tcW w:w="5477" w:type="dxa"/>
          </w:tcPr>
          <w:p w14:paraId="3FA784B9" w14:textId="485C0FB9" w:rsidR="006422A5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  <w:lang w:val="en-US"/>
              </w:rPr>
              <w:t>S</w:t>
            </w:r>
            <w:r w:rsidRPr="006422A5">
              <w:rPr>
                <w:rFonts w:eastAsia="Times"/>
                <w:lang w:val="en-US"/>
              </w:rPr>
              <w:t xml:space="preserve">trict policy where </w:t>
            </w:r>
            <w:r>
              <w:rPr>
                <w:rFonts w:eastAsia="Times"/>
                <w:lang w:val="en-US"/>
              </w:rPr>
              <w:t>pretransfusion</w:t>
            </w:r>
            <w:r w:rsidRPr="006422A5">
              <w:rPr>
                <w:rFonts w:eastAsia="Times"/>
                <w:lang w:val="en-US"/>
              </w:rPr>
              <w:t xml:space="preserve"> specimens or request forms with insufficient or incorrect patient identification or labelling are immediately rejected and not processed.</w:t>
            </w:r>
          </w:p>
        </w:tc>
      </w:tr>
      <w:tr w:rsidR="006422A5" w:rsidRPr="00C37031" w14:paraId="5B840E17" w14:textId="77777777" w:rsidTr="00DF01A3">
        <w:trPr>
          <w:cantSplit/>
          <w:trHeight w:val="356"/>
        </w:trPr>
        <w:tc>
          <w:tcPr>
            <w:tcW w:w="3539" w:type="dxa"/>
          </w:tcPr>
          <w:p w14:paraId="4444D9BA" w14:textId="22E98F27" w:rsidR="006422A5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WBIT</w:t>
            </w:r>
          </w:p>
        </w:tc>
        <w:tc>
          <w:tcPr>
            <w:tcW w:w="5477" w:type="dxa"/>
          </w:tcPr>
          <w:p w14:paraId="160F7C39" w14:textId="77777777" w:rsidR="006422A5" w:rsidRDefault="006422A5" w:rsidP="006422A5">
            <w:pPr>
              <w:rPr>
                <w:rFonts w:eastAsia="Times"/>
              </w:rPr>
            </w:pPr>
            <w:r>
              <w:rPr>
                <w:rFonts w:eastAsia="Times"/>
              </w:rPr>
              <w:t>Wrong blood in tube</w:t>
            </w:r>
          </w:p>
          <w:p w14:paraId="76F88DAC" w14:textId="77777777" w:rsidR="006422A5" w:rsidRDefault="006422A5" w:rsidP="006422A5">
            <w:pPr>
              <w:rPr>
                <w:rFonts w:cs="Arial"/>
                <w:szCs w:val="21"/>
              </w:rPr>
            </w:pPr>
            <w:r w:rsidRPr="00091D59">
              <w:rPr>
                <w:rFonts w:cs="Arial"/>
                <w:szCs w:val="21"/>
              </w:rPr>
              <w:t xml:space="preserve">• the sample is taken from the wrong patient but labelled as per the intended patient, or </w:t>
            </w:r>
          </w:p>
          <w:p w14:paraId="20619B00" w14:textId="1CD7D4C0" w:rsidR="006422A5" w:rsidRPr="00D0145B" w:rsidRDefault="006422A5" w:rsidP="006422A5">
            <w:pPr>
              <w:rPr>
                <w:rFonts w:cs="Arial"/>
                <w:szCs w:val="21"/>
              </w:rPr>
            </w:pPr>
            <w:r w:rsidRPr="00091D59">
              <w:rPr>
                <w:rFonts w:cs="Arial"/>
                <w:szCs w:val="21"/>
              </w:rPr>
              <w:t>• the sample is taken from the intended patient but labelled as per another patient.</w:t>
            </w:r>
          </w:p>
        </w:tc>
      </w:tr>
    </w:tbl>
    <w:p w14:paraId="5E9487C6" w14:textId="77777777" w:rsidR="00BA24DE" w:rsidRDefault="00BA24DE">
      <w:pPr>
        <w:spacing w:after="0" w:line="240" w:lineRule="auto"/>
      </w:pPr>
      <w:bookmarkStart w:id="7" w:name="_Toc185252833"/>
      <w:r>
        <w:br w:type="page"/>
      </w:r>
    </w:p>
    <w:p w14:paraId="52A60252" w14:textId="21250D10" w:rsidR="00C37031" w:rsidRPr="00C37031" w:rsidRDefault="00C37031" w:rsidP="00C37031">
      <w:pPr>
        <w:pStyle w:val="Heading2"/>
      </w:pPr>
      <w:r w:rsidRPr="00C37031">
        <w:lastRenderedPageBreak/>
        <w:t>References</w:t>
      </w:r>
      <w:bookmarkEnd w:id="7"/>
    </w:p>
    <w:p w14:paraId="210FCFE9" w14:textId="77777777" w:rsidR="00AA23F0" w:rsidRPr="00DE4D9F" w:rsidRDefault="00AA23F0" w:rsidP="00AA23F0">
      <w:pPr>
        <w:rPr>
          <w:rFonts w:eastAsia="Times"/>
        </w:rPr>
      </w:pPr>
      <w:r w:rsidRPr="00DE4D9F">
        <w:rPr>
          <w:rFonts w:eastAsia="Times"/>
        </w:rPr>
        <w:t xml:space="preserve">Australian Commission on Safety and Quality in Health Care. National Safety and Quality Health Service Standards. 2nd ed. – version 2. Sydney: ACSQHC; 2021. Accessed Nov. 12, 2024. [Online] Available: </w:t>
      </w:r>
      <w:hyperlink r:id="rId23" w:history="1">
        <w:r w:rsidRPr="00DE4D9F">
          <w:rPr>
            <w:rStyle w:val="Hyperlink"/>
            <w:rFonts w:eastAsia="Times"/>
          </w:rPr>
          <w:t>https://www.safetyandquality.gov.au/sites/default/files/2021-05/national_safety_and_quality_health_service_nsqhs_standards_second_edition_-_updated_may_2021.pdf</w:t>
        </w:r>
      </w:hyperlink>
      <w:r w:rsidRPr="00DE4D9F">
        <w:rPr>
          <w:rFonts w:eastAsia="Times"/>
        </w:rPr>
        <w:t xml:space="preserve"> </w:t>
      </w:r>
    </w:p>
    <w:p w14:paraId="76A7E3B3" w14:textId="77777777" w:rsidR="00AA23F0" w:rsidRPr="00DE4D9F" w:rsidRDefault="00AA23F0" w:rsidP="00AA23F0">
      <w:pPr>
        <w:rPr>
          <w:rFonts w:eastAsia="Times"/>
        </w:rPr>
      </w:pPr>
      <w:r w:rsidRPr="00DE4D9F">
        <w:rPr>
          <w:rFonts w:eastAsia="Times"/>
        </w:rPr>
        <w:t xml:space="preserve">Australian commission on safety and quality in health care. National Safety and Quality Health Services Standards. Blood Management Standard. Accessed Sep. 25, 2024. [Online]. Available: </w:t>
      </w:r>
      <w:hyperlink r:id="rId24" w:history="1">
        <w:r w:rsidRPr="00DE4D9F">
          <w:rPr>
            <w:rStyle w:val="Hyperlink"/>
            <w:rFonts w:eastAsia="Times"/>
          </w:rPr>
          <w:t>https://www.safetyandquality.gov.au/standards/nsqhs-standards/blood-management-standard</w:t>
        </w:r>
      </w:hyperlink>
    </w:p>
    <w:p w14:paraId="21D743DD" w14:textId="77777777" w:rsidR="00AA23F0" w:rsidRPr="00DE4D9F" w:rsidRDefault="00AA23F0" w:rsidP="00AA23F0">
      <w:pPr>
        <w:rPr>
          <w:rFonts w:eastAsia="Times"/>
        </w:rPr>
      </w:pPr>
      <w:r w:rsidRPr="00DE4D9F">
        <w:rPr>
          <w:rFonts w:eastAsia="Times"/>
        </w:rPr>
        <w:t xml:space="preserve">Australian commission on safety and quality in health care. National Safety and Quality Health Services Standards. Communicating for Safety Standard Accessed Sep. 25, 2024. [Online]. Available: </w:t>
      </w:r>
      <w:hyperlink r:id="rId25" w:history="1">
        <w:r w:rsidRPr="00DE4D9F">
          <w:rPr>
            <w:rStyle w:val="Hyperlink"/>
            <w:rFonts w:eastAsia="Times"/>
          </w:rPr>
          <w:t>https://www.safetyandquality.gov.au/standards/nsqhs-standards/communicating-safety-standard</w:t>
        </w:r>
      </w:hyperlink>
    </w:p>
    <w:p w14:paraId="5A53363F" w14:textId="36C5F9ED" w:rsidR="00AA23F0" w:rsidRPr="00DE4D9F" w:rsidRDefault="00AA23F0" w:rsidP="00AA23F0">
      <w:pPr>
        <w:rPr>
          <w:rFonts w:eastAsia="Times"/>
        </w:rPr>
      </w:pPr>
      <w:bookmarkStart w:id="8" w:name="_Hlk203486876"/>
      <w:r w:rsidRPr="00DE4D9F">
        <w:rPr>
          <w:rFonts w:eastAsia="Times"/>
        </w:rPr>
        <w:t xml:space="preserve">Australian and New Zealand Society of Blood Transfusion. Guidelines for the administration of blood products. 3rd Ed. (2024) [Online]. </w:t>
      </w:r>
      <w:bookmarkStart w:id="9" w:name="_Hlk178157281"/>
      <w:r w:rsidRPr="00DE4D9F">
        <w:rPr>
          <w:rFonts w:eastAsia="Times"/>
        </w:rPr>
        <w:t xml:space="preserve">Accessed Sep. 25, 2024. </w:t>
      </w:r>
      <w:bookmarkEnd w:id="9"/>
      <w:r w:rsidRPr="00DE4D9F">
        <w:rPr>
          <w:rFonts w:eastAsia="Times"/>
        </w:rPr>
        <w:t xml:space="preserve">Available: </w:t>
      </w:r>
      <w:hyperlink r:id="rId26" w:history="1">
        <w:r w:rsidRPr="00DE4D9F">
          <w:rPr>
            <w:rStyle w:val="Hyperlink"/>
            <w:rFonts w:eastAsia="Times"/>
          </w:rPr>
          <w:t>https://anzsbt.org.au/wp-content/uploads/2024/02/Guidelines-for-the-Administration-of-Blood-Products-revised-Feb-2024.pdf</w:t>
        </w:r>
      </w:hyperlink>
      <w:bookmarkEnd w:id="8"/>
      <w:r w:rsidRPr="00DE4D9F">
        <w:rPr>
          <w:rFonts w:eastAsia="Times"/>
        </w:rPr>
        <w:t xml:space="preserve">   </w:t>
      </w:r>
    </w:p>
    <w:p w14:paraId="3F982ECC" w14:textId="608208A9" w:rsidR="00AA23F0" w:rsidRDefault="00397015" w:rsidP="00C37031">
      <w:pPr>
        <w:rPr>
          <w:rFonts w:eastAsia="Times"/>
        </w:rPr>
      </w:pPr>
      <w:r w:rsidRPr="00DE4D9F">
        <w:rPr>
          <w:rFonts w:eastAsia="Times"/>
        </w:rPr>
        <w:t xml:space="preserve">Australian and New Zealand Society of Blood Transfusion. </w:t>
      </w:r>
      <w:r w:rsidRPr="00397015">
        <w:rPr>
          <w:rFonts w:eastAsia="Times"/>
        </w:rPr>
        <w:t>Guidelines for transfusion and immunohaematology laboratory practice (</w:t>
      </w:r>
      <w:r w:rsidRPr="00DE4D9F">
        <w:rPr>
          <w:rFonts w:eastAsia="Times"/>
        </w:rPr>
        <w:t xml:space="preserve">. </w:t>
      </w:r>
      <w:r>
        <w:rPr>
          <w:rFonts w:eastAsia="Times"/>
        </w:rPr>
        <w:t>2nd</w:t>
      </w:r>
      <w:r w:rsidRPr="00DE4D9F">
        <w:rPr>
          <w:rFonts w:eastAsia="Times"/>
        </w:rPr>
        <w:t xml:space="preserve"> Ed. (202</w:t>
      </w:r>
      <w:r>
        <w:rPr>
          <w:rFonts w:eastAsia="Times"/>
        </w:rPr>
        <w:t>5</w:t>
      </w:r>
      <w:r w:rsidRPr="00DE4D9F">
        <w:rPr>
          <w:rFonts w:eastAsia="Times"/>
        </w:rPr>
        <w:t xml:space="preserve">) [Online]. Accessed </w:t>
      </w:r>
      <w:r>
        <w:rPr>
          <w:rFonts w:eastAsia="Times"/>
        </w:rPr>
        <w:t>Jul. 25</w:t>
      </w:r>
      <w:r w:rsidRPr="00DE4D9F">
        <w:rPr>
          <w:rFonts w:eastAsia="Times"/>
        </w:rPr>
        <w:t>, 202</w:t>
      </w:r>
      <w:r>
        <w:rPr>
          <w:rFonts w:eastAsia="Times"/>
        </w:rPr>
        <w:t>5</w:t>
      </w:r>
      <w:r w:rsidRPr="00DE4D9F">
        <w:rPr>
          <w:rFonts w:eastAsia="Times"/>
        </w:rPr>
        <w:t>. Available:</w:t>
      </w:r>
      <w:r w:rsidRPr="00397015">
        <w:t xml:space="preserve"> </w:t>
      </w:r>
      <w:hyperlink r:id="rId27" w:history="1">
        <w:r w:rsidRPr="00CB0766">
          <w:rPr>
            <w:rStyle w:val="Hyperlink"/>
            <w:rFonts w:eastAsia="Times"/>
          </w:rPr>
          <w:t>https://anzsbt.org.au/wp-content/uploads/2025/06/Guidelines-for-transfusion-and-immunohaematology-laboratory-practice_June-2025-PUBLISHED-1.pdf</w:t>
        </w:r>
      </w:hyperlink>
      <w:r>
        <w:rPr>
          <w:rFonts w:eastAsia="Times"/>
        </w:rPr>
        <w:t xml:space="preserve"> </w:t>
      </w:r>
      <w:r w:rsidRPr="00DE4D9F">
        <w:rPr>
          <w:rFonts w:eastAsia="Times"/>
        </w:rPr>
        <w:t xml:space="preserve"> </w:t>
      </w:r>
    </w:p>
    <w:p w14:paraId="681D8A96" w14:textId="77777777" w:rsidR="00F50AB1" w:rsidRDefault="00F50AB1" w:rsidP="00C37031">
      <w:pPr>
        <w:rPr>
          <w:rFonts w:eastAsia="Times"/>
        </w:rPr>
      </w:pPr>
    </w:p>
    <w:p w14:paraId="3CA4818A" w14:textId="77777777" w:rsidR="00AB61E1" w:rsidRDefault="00AB61E1" w:rsidP="00C37031">
      <w:pPr>
        <w:rPr>
          <w:rFonts w:eastAsia="Times"/>
        </w:rPr>
      </w:pPr>
    </w:p>
    <w:p w14:paraId="057CAF50" w14:textId="77777777" w:rsidR="00AB61E1" w:rsidRDefault="00AB61E1" w:rsidP="00C37031">
      <w:pPr>
        <w:rPr>
          <w:rFonts w:eastAsia="Times"/>
        </w:rPr>
      </w:pPr>
    </w:p>
    <w:p w14:paraId="25720EA1" w14:textId="77777777" w:rsidR="00AB61E1" w:rsidRDefault="00AB61E1" w:rsidP="00C37031">
      <w:pPr>
        <w:rPr>
          <w:rFonts w:eastAsia="Times"/>
        </w:rPr>
      </w:pPr>
    </w:p>
    <w:p w14:paraId="58093084" w14:textId="77777777" w:rsidR="00AB61E1" w:rsidRDefault="00AB61E1" w:rsidP="00C37031">
      <w:pPr>
        <w:rPr>
          <w:rFonts w:eastAsia="Times"/>
        </w:rPr>
      </w:pPr>
    </w:p>
    <w:p w14:paraId="2EEB9B67" w14:textId="77777777" w:rsidR="00F50AB1" w:rsidRPr="00C37031" w:rsidRDefault="00F50AB1" w:rsidP="00C37031">
      <w:pPr>
        <w:rPr>
          <w:rFonts w:eastAsia="Tim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14:paraId="36FC55DB" w14:textId="77777777" w:rsidTr="001261E5">
        <w:tc>
          <w:tcPr>
            <w:tcW w:w="10194" w:type="dxa"/>
          </w:tcPr>
          <w:p w14:paraId="30D3E927" w14:textId="44C16133" w:rsidR="0055119B" w:rsidRPr="0055119B" w:rsidRDefault="0055119B" w:rsidP="0055119B">
            <w:pPr>
              <w:pStyle w:val="Accessibilitypara"/>
            </w:pPr>
            <w:bookmarkStart w:id="1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F50AB1" w:rsidRPr="00F50AB1"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email </w:t>
            </w:r>
            <w:hyperlink r:id="rId28" w:history="1">
              <w:r w:rsidR="00F50AB1" w:rsidRPr="00F50AB1">
                <w:rPr>
                  <w:rStyle w:val="Hyperlink"/>
                </w:rPr>
                <w:t>Blood Matters</w:t>
              </w:r>
            </w:hyperlink>
            <w:r w:rsidRPr="0055119B">
              <w:rPr>
                <w:color w:val="004C97"/>
              </w:rPr>
              <w:t xml:space="preserve">, </w:t>
            </w:r>
            <w:r w:rsidRPr="0055119B">
              <w:t>&lt;</w:t>
            </w:r>
            <w:r w:rsidR="00F50AB1">
              <w:t>bloodmatters@redcrossblood.org.au</w:t>
            </w:r>
            <w:r w:rsidRPr="0055119B">
              <w:t>&gt;.</w:t>
            </w:r>
          </w:p>
          <w:p w14:paraId="4CA44852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57752BF" w14:textId="7824E8EC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 xml:space="preserve">Department of </w:t>
            </w:r>
            <w:r w:rsidR="001E2A36" w:rsidRPr="00F2501D">
              <w:t>Health</w:t>
            </w:r>
            <w:r w:rsidRPr="00F2501D">
              <w:t>,</w:t>
            </w:r>
            <w:r w:rsidR="00397015" w:rsidRPr="00F2501D">
              <w:t xml:space="preserve"> </w:t>
            </w:r>
            <w:r w:rsidR="00F2501D" w:rsidRPr="00F2501D">
              <w:t>February 2026</w:t>
            </w:r>
            <w:r w:rsidRPr="00F2501D">
              <w:t>.</w:t>
            </w:r>
          </w:p>
          <w:p w14:paraId="019516E7" w14:textId="49BAC39C" w:rsidR="0055119B" w:rsidRPr="00E33237" w:rsidRDefault="0055119B" w:rsidP="00F50AB1">
            <w:pPr>
              <w:pStyle w:val="Imprint"/>
              <w:rPr>
                <w:color w:val="004C97"/>
              </w:rPr>
            </w:pPr>
            <w:r w:rsidRPr="00E33237">
              <w:rPr>
                <w:color w:val="004C97"/>
              </w:rPr>
              <w:t xml:space="preserve">Except where otherwise indicated, the images in this document show models and illustrative settings only, and do not necessarily depict actual services, facilities or recipients of services. </w:t>
            </w:r>
          </w:p>
          <w:p w14:paraId="133B0767" w14:textId="57D73528" w:rsidR="001261E5" w:rsidRDefault="001261E5" w:rsidP="00F50AB1">
            <w:pPr>
              <w:pStyle w:val="Imprint"/>
            </w:pPr>
            <w:r w:rsidRPr="001261E5">
              <w:rPr>
                <w:b/>
                <w:bCs/>
              </w:rPr>
              <w:t xml:space="preserve">ISBN </w:t>
            </w:r>
            <w:r w:rsidRPr="001261E5">
              <w:t xml:space="preserve">978-1-76131-721-7 </w:t>
            </w:r>
            <w:r w:rsidRPr="001261E5">
              <w:rPr>
                <w:b/>
                <w:bCs/>
              </w:rPr>
              <w:t>(pdf/online/MS word)</w:t>
            </w:r>
            <w:r w:rsidRPr="001261E5">
              <w:t xml:space="preserve"> </w:t>
            </w:r>
          </w:p>
          <w:p w14:paraId="3EB814A2" w14:textId="25DC65D3" w:rsidR="0055119B" w:rsidRDefault="0055119B" w:rsidP="00F50AB1">
            <w:pPr>
              <w:pStyle w:val="Imprint"/>
            </w:pPr>
            <w:r w:rsidRPr="0055119B">
              <w:t xml:space="preserve">Available at </w:t>
            </w:r>
            <w:hyperlink r:id="rId29" w:history="1">
              <w:r w:rsidR="00F50AB1" w:rsidRPr="00F50AB1">
                <w:rPr>
                  <w:rStyle w:val="Hyperlink"/>
                </w:rPr>
                <w:t>Blood Matters Program</w:t>
              </w:r>
            </w:hyperlink>
            <w:r w:rsidR="00F50AB1">
              <w:t xml:space="preserve"> </w:t>
            </w:r>
            <w:r w:rsidRPr="0055119B">
              <w:t>&lt;</w:t>
            </w:r>
            <w:r w:rsidR="00F50AB1" w:rsidRPr="00F50AB1">
              <w:rPr>
                <w:color w:val="004C97"/>
              </w:rPr>
              <w:t>https://www.health.vic.gov.au/patient-care/blood-matters-program</w:t>
            </w:r>
            <w:r w:rsidRPr="0055119B">
              <w:t>&gt;</w:t>
            </w:r>
          </w:p>
        </w:tc>
      </w:tr>
      <w:bookmarkEnd w:id="10"/>
    </w:tbl>
    <w:p w14:paraId="09768595" w14:textId="77777777" w:rsidR="00162CA9" w:rsidRDefault="00162CA9" w:rsidP="00162CA9">
      <w:pPr>
        <w:pStyle w:val="Body"/>
      </w:pPr>
    </w:p>
    <w:p w14:paraId="71174DAF" w14:textId="77777777" w:rsidR="00F07EEB" w:rsidRDefault="00F07EEB" w:rsidP="00162CA9">
      <w:pPr>
        <w:pStyle w:val="Body"/>
      </w:pPr>
    </w:p>
    <w:sectPr w:rsidR="00F07EEB" w:rsidSect="00D5409D">
      <w:footerReference w:type="default" r:id="rId3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D89E" w14:textId="77777777" w:rsidR="00161D3D" w:rsidRDefault="00161D3D">
      <w:r>
        <w:separator/>
      </w:r>
    </w:p>
  </w:endnote>
  <w:endnote w:type="continuationSeparator" w:id="0">
    <w:p w14:paraId="3392EEEE" w14:textId="77777777" w:rsidR="00161D3D" w:rsidRDefault="0016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BDF2" w14:textId="156342B9" w:rsidR="00E261B3" w:rsidRPr="00F65AA9" w:rsidRDefault="002130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1" wp14:anchorId="1C038123" wp14:editId="3156C9D3">
          <wp:simplePos x="0" y="0"/>
          <wp:positionH relativeFrom="page">
            <wp:posOffset>-317500</wp:posOffset>
          </wp:positionH>
          <wp:positionV relativeFrom="page">
            <wp:posOffset>9428480</wp:posOffset>
          </wp:positionV>
          <wp:extent cx="7915275" cy="1210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54" b="454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10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C5DE885" wp14:editId="19AE1DA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396ED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E88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396ED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6A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B408ED" wp14:editId="60C73899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6A363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08E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36A363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C3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D330E1" wp14:editId="220705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ED04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330E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87ED04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0B89" w14:textId="77777777" w:rsidR="00161D3D" w:rsidRDefault="00161D3D" w:rsidP="002862F1">
      <w:pPr>
        <w:spacing w:before="120"/>
      </w:pPr>
      <w:r>
        <w:separator/>
      </w:r>
    </w:p>
  </w:footnote>
  <w:footnote w:type="continuationSeparator" w:id="0">
    <w:p w14:paraId="430A1793" w14:textId="77777777" w:rsidR="00161D3D" w:rsidRDefault="00161D3D">
      <w:r>
        <w:continuationSeparator/>
      </w:r>
    </w:p>
  </w:footnote>
  <w:footnote w:id="1">
    <w:p w14:paraId="78F03F8C" w14:textId="77777777" w:rsidR="001068A2" w:rsidRDefault="001068A2" w:rsidP="001068A2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BA7221">
        <w:t>https://www.safetyandquality.gov.au/standards/nsqhs-standards/blood-management-standard</w:t>
      </w:r>
      <w:r>
        <w:t>&gt;</w:t>
      </w:r>
    </w:p>
  </w:footnote>
  <w:footnote w:id="2">
    <w:p w14:paraId="2B4B608E" w14:textId="77777777" w:rsidR="00BA7221" w:rsidRDefault="00BA7221" w:rsidP="00BA7221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BA7221">
        <w:t>https://anzsbt.org.au/guidelines/guidelines-for-the-administration-of-blood-products/</w:t>
      </w:r>
      <w:r>
        <w:t>&gt;</w:t>
      </w:r>
    </w:p>
  </w:footnote>
  <w:footnote w:id="3">
    <w:p w14:paraId="34F0E187" w14:textId="517F02F7" w:rsidR="00BA7221" w:rsidRDefault="00BA7221">
      <w:pPr>
        <w:pStyle w:val="FootnoteText"/>
      </w:pPr>
      <w:r>
        <w:rPr>
          <w:rStyle w:val="FootnoteReference"/>
        </w:rPr>
        <w:footnoteRef/>
      </w:r>
      <w:r>
        <w:t xml:space="preserve"> &lt;</w:t>
      </w:r>
      <w:r w:rsidRPr="00BA7221">
        <w:t>https://anzsbt.org.au/guidelines/guidelines-for-transfusion-and-immunohaematology-laboratory-practice/</w:t>
      </w:r>
      <w:r>
        <w:t>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AB0D" w14:textId="639D2609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A8B5" w14:textId="2EF7188D" w:rsidR="00E261B3" w:rsidRPr="0051568D" w:rsidRDefault="002251C5" w:rsidP="0011701A">
    <w:pPr>
      <w:pStyle w:val="Header"/>
    </w:pPr>
    <w:r>
      <w:t>202</w:t>
    </w:r>
    <w:r w:rsidR="007A4C12">
      <w:t>6</w:t>
    </w:r>
    <w:r>
      <w:t xml:space="preserve"> audit: </w:t>
    </w:r>
    <w:r w:rsidR="00BA7221">
      <w:t>Pretransfusion s</w:t>
    </w:r>
    <w:r w:rsidR="007A4C12">
      <w:t xml:space="preserve">pecimen collection and </w:t>
    </w:r>
    <w:r w:rsidR="007C7E13">
      <w:t>rejection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077DAB"/>
    <w:multiLevelType w:val="hybridMultilevel"/>
    <w:tmpl w:val="826E4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9733FCA"/>
    <w:multiLevelType w:val="hybridMultilevel"/>
    <w:tmpl w:val="B2A6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781D6F"/>
    <w:multiLevelType w:val="hybridMultilevel"/>
    <w:tmpl w:val="BD0A9990"/>
    <w:lvl w:ilvl="0" w:tplc="0126826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D43DB"/>
    <w:multiLevelType w:val="multilevel"/>
    <w:tmpl w:val="1D06E7FE"/>
    <w:numStyleLink w:val="ZZNumbersdigit"/>
  </w:abstractNum>
  <w:abstractNum w:abstractNumId="17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0FA6783"/>
    <w:multiLevelType w:val="hybridMultilevel"/>
    <w:tmpl w:val="BE9CE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DD7270"/>
    <w:multiLevelType w:val="hybridMultilevel"/>
    <w:tmpl w:val="0DC48A76"/>
    <w:lvl w:ilvl="0" w:tplc="0126826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B5C31"/>
    <w:multiLevelType w:val="hybridMultilevel"/>
    <w:tmpl w:val="2702DDD2"/>
    <w:lvl w:ilvl="0" w:tplc="0126826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EDE"/>
    <w:multiLevelType w:val="hybridMultilevel"/>
    <w:tmpl w:val="FE28C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5253879">
    <w:abstractNumId w:val="10"/>
  </w:num>
  <w:num w:numId="2" w16cid:durableId="1415279553">
    <w:abstractNumId w:val="23"/>
  </w:num>
  <w:num w:numId="3" w16cid:durableId="798567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0911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031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897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506324">
    <w:abstractNumId w:val="28"/>
  </w:num>
  <w:num w:numId="8" w16cid:durableId="30228041">
    <w:abstractNumId w:val="22"/>
  </w:num>
  <w:num w:numId="9" w16cid:durableId="1565525127">
    <w:abstractNumId w:val="27"/>
  </w:num>
  <w:num w:numId="10" w16cid:durableId="92023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879954">
    <w:abstractNumId w:val="29"/>
  </w:num>
  <w:num w:numId="12" w16cid:durableId="3271002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858749">
    <w:abstractNumId w:val="24"/>
  </w:num>
  <w:num w:numId="14" w16cid:durableId="774252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830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134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6090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800564">
    <w:abstractNumId w:val="31"/>
  </w:num>
  <w:num w:numId="19" w16cid:durableId="16347548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5744347">
    <w:abstractNumId w:val="17"/>
  </w:num>
  <w:num w:numId="21" w16cid:durableId="797114934">
    <w:abstractNumId w:val="13"/>
  </w:num>
  <w:num w:numId="22" w16cid:durableId="1669674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842464">
    <w:abstractNumId w:val="20"/>
  </w:num>
  <w:num w:numId="24" w16cid:durableId="995037419">
    <w:abstractNumId w:val="32"/>
  </w:num>
  <w:num w:numId="25" w16cid:durableId="1262183983">
    <w:abstractNumId w:val="30"/>
  </w:num>
  <w:num w:numId="26" w16cid:durableId="140077381">
    <w:abstractNumId w:val="25"/>
  </w:num>
  <w:num w:numId="27" w16cid:durableId="1122652623">
    <w:abstractNumId w:val="12"/>
  </w:num>
  <w:num w:numId="28" w16cid:durableId="489061259">
    <w:abstractNumId w:val="33"/>
  </w:num>
  <w:num w:numId="29" w16cid:durableId="2134445455">
    <w:abstractNumId w:val="9"/>
  </w:num>
  <w:num w:numId="30" w16cid:durableId="1927422818">
    <w:abstractNumId w:val="7"/>
  </w:num>
  <w:num w:numId="31" w16cid:durableId="1207140075">
    <w:abstractNumId w:val="6"/>
  </w:num>
  <w:num w:numId="32" w16cid:durableId="655838350">
    <w:abstractNumId w:val="5"/>
  </w:num>
  <w:num w:numId="33" w16cid:durableId="1057897923">
    <w:abstractNumId w:val="4"/>
  </w:num>
  <w:num w:numId="34" w16cid:durableId="973487603">
    <w:abstractNumId w:val="8"/>
  </w:num>
  <w:num w:numId="35" w16cid:durableId="1448041999">
    <w:abstractNumId w:val="3"/>
  </w:num>
  <w:num w:numId="36" w16cid:durableId="971060706">
    <w:abstractNumId w:val="2"/>
  </w:num>
  <w:num w:numId="37" w16cid:durableId="176386104">
    <w:abstractNumId w:val="1"/>
  </w:num>
  <w:num w:numId="38" w16cid:durableId="2041121658">
    <w:abstractNumId w:val="0"/>
  </w:num>
  <w:num w:numId="39" w16cid:durableId="160242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1534790">
    <w:abstractNumId w:val="19"/>
  </w:num>
  <w:num w:numId="41" w16cid:durableId="1260140246">
    <w:abstractNumId w:val="23"/>
  </w:num>
  <w:num w:numId="42" w16cid:durableId="1493182903">
    <w:abstractNumId w:val="15"/>
  </w:num>
  <w:num w:numId="43" w16cid:durableId="1628047861">
    <w:abstractNumId w:val="21"/>
  </w:num>
  <w:num w:numId="44" w16cid:durableId="924386269">
    <w:abstractNumId w:val="23"/>
  </w:num>
  <w:num w:numId="45" w16cid:durableId="1427385152">
    <w:abstractNumId w:val="11"/>
  </w:num>
  <w:num w:numId="46" w16cid:durableId="1713069510">
    <w:abstractNumId w:val="26"/>
  </w:num>
  <w:num w:numId="47" w16cid:durableId="1208833343">
    <w:abstractNumId w:val="18"/>
  </w:num>
  <w:num w:numId="48" w16cid:durableId="130550294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24"/>
    <w:rsid w:val="00000719"/>
    <w:rsid w:val="00003403"/>
    <w:rsid w:val="00005347"/>
    <w:rsid w:val="00005EE1"/>
    <w:rsid w:val="000072B6"/>
    <w:rsid w:val="0001021B"/>
    <w:rsid w:val="00011D89"/>
    <w:rsid w:val="00012946"/>
    <w:rsid w:val="000154FD"/>
    <w:rsid w:val="0001677A"/>
    <w:rsid w:val="00016FBF"/>
    <w:rsid w:val="00017737"/>
    <w:rsid w:val="00022271"/>
    <w:rsid w:val="000235E8"/>
    <w:rsid w:val="00024D89"/>
    <w:rsid w:val="000250B6"/>
    <w:rsid w:val="000278A3"/>
    <w:rsid w:val="00033D81"/>
    <w:rsid w:val="00037366"/>
    <w:rsid w:val="00037D51"/>
    <w:rsid w:val="00041BF0"/>
    <w:rsid w:val="00042C8A"/>
    <w:rsid w:val="0004536B"/>
    <w:rsid w:val="00046B68"/>
    <w:rsid w:val="0005039B"/>
    <w:rsid w:val="000527DD"/>
    <w:rsid w:val="000578B2"/>
    <w:rsid w:val="00060959"/>
    <w:rsid w:val="00060C8F"/>
    <w:rsid w:val="0006298A"/>
    <w:rsid w:val="000663CD"/>
    <w:rsid w:val="000675B7"/>
    <w:rsid w:val="00071309"/>
    <w:rsid w:val="00072597"/>
    <w:rsid w:val="000733FE"/>
    <w:rsid w:val="00074219"/>
    <w:rsid w:val="00074ED5"/>
    <w:rsid w:val="00077CFD"/>
    <w:rsid w:val="000835C6"/>
    <w:rsid w:val="0008508E"/>
    <w:rsid w:val="00087951"/>
    <w:rsid w:val="0009113B"/>
    <w:rsid w:val="00091D59"/>
    <w:rsid w:val="000922B7"/>
    <w:rsid w:val="000922F2"/>
    <w:rsid w:val="00092F53"/>
    <w:rsid w:val="00093402"/>
    <w:rsid w:val="00094DA3"/>
    <w:rsid w:val="00096CD1"/>
    <w:rsid w:val="000A012C"/>
    <w:rsid w:val="000A0EB9"/>
    <w:rsid w:val="000A186C"/>
    <w:rsid w:val="000A1EA4"/>
    <w:rsid w:val="000A2476"/>
    <w:rsid w:val="000A5988"/>
    <w:rsid w:val="000A641A"/>
    <w:rsid w:val="000B3EDB"/>
    <w:rsid w:val="000B543D"/>
    <w:rsid w:val="000B55F9"/>
    <w:rsid w:val="000B5935"/>
    <w:rsid w:val="000B5BF7"/>
    <w:rsid w:val="000B6BC8"/>
    <w:rsid w:val="000C0303"/>
    <w:rsid w:val="000C04D1"/>
    <w:rsid w:val="000C42EA"/>
    <w:rsid w:val="000C4546"/>
    <w:rsid w:val="000D08DB"/>
    <w:rsid w:val="000D1242"/>
    <w:rsid w:val="000E0970"/>
    <w:rsid w:val="000E1910"/>
    <w:rsid w:val="000E3CC7"/>
    <w:rsid w:val="000E6BD4"/>
    <w:rsid w:val="000E6D6D"/>
    <w:rsid w:val="000F19E1"/>
    <w:rsid w:val="000F1F1E"/>
    <w:rsid w:val="000F2259"/>
    <w:rsid w:val="000F2DDA"/>
    <w:rsid w:val="000F334A"/>
    <w:rsid w:val="000F5213"/>
    <w:rsid w:val="00101001"/>
    <w:rsid w:val="00103276"/>
    <w:rsid w:val="0010392D"/>
    <w:rsid w:val="0010447F"/>
    <w:rsid w:val="00104FE3"/>
    <w:rsid w:val="001068A2"/>
    <w:rsid w:val="0010714F"/>
    <w:rsid w:val="001120C5"/>
    <w:rsid w:val="0011701A"/>
    <w:rsid w:val="00120988"/>
    <w:rsid w:val="00120BD3"/>
    <w:rsid w:val="00122FEA"/>
    <w:rsid w:val="001232BD"/>
    <w:rsid w:val="00124ED5"/>
    <w:rsid w:val="001261E5"/>
    <w:rsid w:val="001276FA"/>
    <w:rsid w:val="0014255B"/>
    <w:rsid w:val="001447B3"/>
    <w:rsid w:val="00152073"/>
    <w:rsid w:val="00154E2D"/>
    <w:rsid w:val="001559B5"/>
    <w:rsid w:val="00156598"/>
    <w:rsid w:val="00161939"/>
    <w:rsid w:val="00161AA0"/>
    <w:rsid w:val="00161D2E"/>
    <w:rsid w:val="00161D3D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7D29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346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44C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143A"/>
    <w:rsid w:val="002130CA"/>
    <w:rsid w:val="0021667C"/>
    <w:rsid w:val="00216C03"/>
    <w:rsid w:val="00220C04"/>
    <w:rsid w:val="0022278D"/>
    <w:rsid w:val="00223C57"/>
    <w:rsid w:val="002251C5"/>
    <w:rsid w:val="0022701F"/>
    <w:rsid w:val="00227C68"/>
    <w:rsid w:val="002333F5"/>
    <w:rsid w:val="002335BA"/>
    <w:rsid w:val="00233724"/>
    <w:rsid w:val="002365B4"/>
    <w:rsid w:val="00241486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DEC"/>
    <w:rsid w:val="002709BB"/>
    <w:rsid w:val="00270A85"/>
    <w:rsid w:val="0027113F"/>
    <w:rsid w:val="00271973"/>
    <w:rsid w:val="00273BAC"/>
    <w:rsid w:val="00273E70"/>
    <w:rsid w:val="00274B5C"/>
    <w:rsid w:val="00275C7D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C40"/>
    <w:rsid w:val="002A483C"/>
    <w:rsid w:val="002A4B21"/>
    <w:rsid w:val="002B0C7C"/>
    <w:rsid w:val="002B1729"/>
    <w:rsid w:val="002B36C7"/>
    <w:rsid w:val="002B4DD4"/>
    <w:rsid w:val="002B5277"/>
    <w:rsid w:val="002B5375"/>
    <w:rsid w:val="002B77C1"/>
    <w:rsid w:val="002C055C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39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9C3"/>
    <w:rsid w:val="0032075F"/>
    <w:rsid w:val="003214F1"/>
    <w:rsid w:val="00322E4B"/>
    <w:rsid w:val="00327870"/>
    <w:rsid w:val="003315B8"/>
    <w:rsid w:val="0033259D"/>
    <w:rsid w:val="003333D2"/>
    <w:rsid w:val="00333C91"/>
    <w:rsid w:val="003348DC"/>
    <w:rsid w:val="003406C6"/>
    <w:rsid w:val="003418CC"/>
    <w:rsid w:val="00343044"/>
    <w:rsid w:val="003459BD"/>
    <w:rsid w:val="00350D38"/>
    <w:rsid w:val="00351B36"/>
    <w:rsid w:val="00357B4E"/>
    <w:rsid w:val="003707A7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87484"/>
    <w:rsid w:val="003956CC"/>
    <w:rsid w:val="00395C9A"/>
    <w:rsid w:val="00397015"/>
    <w:rsid w:val="003A0853"/>
    <w:rsid w:val="003A2946"/>
    <w:rsid w:val="003A6B67"/>
    <w:rsid w:val="003B13B6"/>
    <w:rsid w:val="003B15E6"/>
    <w:rsid w:val="003B408A"/>
    <w:rsid w:val="003B5733"/>
    <w:rsid w:val="003B7656"/>
    <w:rsid w:val="003C08A2"/>
    <w:rsid w:val="003C2045"/>
    <w:rsid w:val="003C2417"/>
    <w:rsid w:val="003C43A1"/>
    <w:rsid w:val="003C4FC0"/>
    <w:rsid w:val="003C55F4"/>
    <w:rsid w:val="003C7897"/>
    <w:rsid w:val="003C7A3F"/>
    <w:rsid w:val="003D2766"/>
    <w:rsid w:val="003D2A74"/>
    <w:rsid w:val="003D3E8F"/>
    <w:rsid w:val="003D4B2A"/>
    <w:rsid w:val="003D6475"/>
    <w:rsid w:val="003E1EF8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0E92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577AC"/>
    <w:rsid w:val="004607E3"/>
    <w:rsid w:val="00462E3D"/>
    <w:rsid w:val="00463CE7"/>
    <w:rsid w:val="00466E79"/>
    <w:rsid w:val="00470D7D"/>
    <w:rsid w:val="00472CB2"/>
    <w:rsid w:val="0047372D"/>
    <w:rsid w:val="00473BA3"/>
    <w:rsid w:val="004743DD"/>
    <w:rsid w:val="00474CEA"/>
    <w:rsid w:val="00483968"/>
    <w:rsid w:val="00484F85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6FA1"/>
    <w:rsid w:val="004C702B"/>
    <w:rsid w:val="004C723A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6D3C"/>
    <w:rsid w:val="00503DC6"/>
    <w:rsid w:val="005066D7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7D39"/>
    <w:rsid w:val="005675A1"/>
    <w:rsid w:val="00572031"/>
    <w:rsid w:val="00572282"/>
    <w:rsid w:val="00573CE3"/>
    <w:rsid w:val="00576E84"/>
    <w:rsid w:val="00580394"/>
    <w:rsid w:val="005809CD"/>
    <w:rsid w:val="00582B8C"/>
    <w:rsid w:val="0058757E"/>
    <w:rsid w:val="00595380"/>
    <w:rsid w:val="00596A4B"/>
    <w:rsid w:val="00597507"/>
    <w:rsid w:val="005A479D"/>
    <w:rsid w:val="005B1C6D"/>
    <w:rsid w:val="005B21B6"/>
    <w:rsid w:val="005B3A08"/>
    <w:rsid w:val="005B6095"/>
    <w:rsid w:val="005B7A63"/>
    <w:rsid w:val="005C01BB"/>
    <w:rsid w:val="005C0955"/>
    <w:rsid w:val="005C2D4A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B27"/>
    <w:rsid w:val="00605908"/>
    <w:rsid w:val="00610D7C"/>
    <w:rsid w:val="00613414"/>
    <w:rsid w:val="00616918"/>
    <w:rsid w:val="00620154"/>
    <w:rsid w:val="0062408D"/>
    <w:rsid w:val="006240CC"/>
    <w:rsid w:val="00624940"/>
    <w:rsid w:val="006254F8"/>
    <w:rsid w:val="00627DA7"/>
    <w:rsid w:val="00630DA4"/>
    <w:rsid w:val="00630F03"/>
    <w:rsid w:val="00631E08"/>
    <w:rsid w:val="00632597"/>
    <w:rsid w:val="006358B4"/>
    <w:rsid w:val="006419AA"/>
    <w:rsid w:val="006422A5"/>
    <w:rsid w:val="00644B1F"/>
    <w:rsid w:val="00644B7E"/>
    <w:rsid w:val="006454E6"/>
    <w:rsid w:val="00646235"/>
    <w:rsid w:val="00646A68"/>
    <w:rsid w:val="006505BD"/>
    <w:rsid w:val="006508EA"/>
    <w:rsid w:val="0065092E"/>
    <w:rsid w:val="00652BA8"/>
    <w:rsid w:val="006557A7"/>
    <w:rsid w:val="00656290"/>
    <w:rsid w:val="006608D8"/>
    <w:rsid w:val="006621D7"/>
    <w:rsid w:val="0066302A"/>
    <w:rsid w:val="00667770"/>
    <w:rsid w:val="00670597"/>
    <w:rsid w:val="006706D0"/>
    <w:rsid w:val="00671CB9"/>
    <w:rsid w:val="00677574"/>
    <w:rsid w:val="0068454C"/>
    <w:rsid w:val="00691B62"/>
    <w:rsid w:val="006933B5"/>
    <w:rsid w:val="00693D14"/>
    <w:rsid w:val="00694160"/>
    <w:rsid w:val="00696F27"/>
    <w:rsid w:val="006A18C2"/>
    <w:rsid w:val="006A3383"/>
    <w:rsid w:val="006B077C"/>
    <w:rsid w:val="006B6803"/>
    <w:rsid w:val="006C7197"/>
    <w:rsid w:val="006D0F16"/>
    <w:rsid w:val="006D2A3F"/>
    <w:rsid w:val="006D2FBC"/>
    <w:rsid w:val="006E03E2"/>
    <w:rsid w:val="006E0541"/>
    <w:rsid w:val="006E138B"/>
    <w:rsid w:val="006E3F78"/>
    <w:rsid w:val="006E499F"/>
    <w:rsid w:val="006F0330"/>
    <w:rsid w:val="006F1FDC"/>
    <w:rsid w:val="006F6A1B"/>
    <w:rsid w:val="006F6B8C"/>
    <w:rsid w:val="007013EF"/>
    <w:rsid w:val="00702FDD"/>
    <w:rsid w:val="007055BD"/>
    <w:rsid w:val="007142F5"/>
    <w:rsid w:val="007173CA"/>
    <w:rsid w:val="007216AA"/>
    <w:rsid w:val="00721AB5"/>
    <w:rsid w:val="00721CFB"/>
    <w:rsid w:val="00721DEF"/>
    <w:rsid w:val="0072251A"/>
    <w:rsid w:val="00724A43"/>
    <w:rsid w:val="007273AC"/>
    <w:rsid w:val="00727F24"/>
    <w:rsid w:val="00731AD4"/>
    <w:rsid w:val="00731D3D"/>
    <w:rsid w:val="007346E4"/>
    <w:rsid w:val="00734FCA"/>
    <w:rsid w:val="0073582E"/>
    <w:rsid w:val="00740F22"/>
    <w:rsid w:val="00741CF0"/>
    <w:rsid w:val="00741F1A"/>
    <w:rsid w:val="007447DA"/>
    <w:rsid w:val="007450F8"/>
    <w:rsid w:val="007458CA"/>
    <w:rsid w:val="0074696E"/>
    <w:rsid w:val="00750135"/>
    <w:rsid w:val="00750EC2"/>
    <w:rsid w:val="00752B28"/>
    <w:rsid w:val="007541A9"/>
    <w:rsid w:val="007549CB"/>
    <w:rsid w:val="00754E36"/>
    <w:rsid w:val="00763139"/>
    <w:rsid w:val="00770F37"/>
    <w:rsid w:val="007711A0"/>
    <w:rsid w:val="00771B03"/>
    <w:rsid w:val="00772D5E"/>
    <w:rsid w:val="007743F7"/>
    <w:rsid w:val="0077463E"/>
    <w:rsid w:val="00776928"/>
    <w:rsid w:val="00776E0F"/>
    <w:rsid w:val="007774B1"/>
    <w:rsid w:val="00777BE1"/>
    <w:rsid w:val="00780517"/>
    <w:rsid w:val="007833D8"/>
    <w:rsid w:val="00785677"/>
    <w:rsid w:val="00786F16"/>
    <w:rsid w:val="00791BD7"/>
    <w:rsid w:val="007933F7"/>
    <w:rsid w:val="00796E20"/>
    <w:rsid w:val="00797C32"/>
    <w:rsid w:val="007A11E8"/>
    <w:rsid w:val="007A4C12"/>
    <w:rsid w:val="007B0914"/>
    <w:rsid w:val="007B1374"/>
    <w:rsid w:val="007B32E5"/>
    <w:rsid w:val="007B3DB9"/>
    <w:rsid w:val="007B589F"/>
    <w:rsid w:val="007B6186"/>
    <w:rsid w:val="007B73BC"/>
    <w:rsid w:val="007B799C"/>
    <w:rsid w:val="007C1838"/>
    <w:rsid w:val="007C20B9"/>
    <w:rsid w:val="007C7301"/>
    <w:rsid w:val="007C7859"/>
    <w:rsid w:val="007C7E13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44E1"/>
    <w:rsid w:val="007F31B6"/>
    <w:rsid w:val="007F440F"/>
    <w:rsid w:val="007F546C"/>
    <w:rsid w:val="007F625F"/>
    <w:rsid w:val="007F665E"/>
    <w:rsid w:val="007F6922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55D"/>
    <w:rsid w:val="00835FAF"/>
    <w:rsid w:val="00841AA9"/>
    <w:rsid w:val="00842A0A"/>
    <w:rsid w:val="00843F1E"/>
    <w:rsid w:val="008474FE"/>
    <w:rsid w:val="008535BF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5B3C"/>
    <w:rsid w:val="00877ADD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57F"/>
    <w:rsid w:val="00950E2C"/>
    <w:rsid w:val="0095165C"/>
    <w:rsid w:val="00951D50"/>
    <w:rsid w:val="009525EB"/>
    <w:rsid w:val="0095470B"/>
    <w:rsid w:val="00954874"/>
    <w:rsid w:val="0095615A"/>
    <w:rsid w:val="00960222"/>
    <w:rsid w:val="00961400"/>
    <w:rsid w:val="00963646"/>
    <w:rsid w:val="0096632D"/>
    <w:rsid w:val="00966696"/>
    <w:rsid w:val="009718C7"/>
    <w:rsid w:val="00971BA9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8BF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6F75"/>
    <w:rsid w:val="00A44882"/>
    <w:rsid w:val="00A45125"/>
    <w:rsid w:val="00A54715"/>
    <w:rsid w:val="00A552CB"/>
    <w:rsid w:val="00A6061C"/>
    <w:rsid w:val="00A62D44"/>
    <w:rsid w:val="00A64841"/>
    <w:rsid w:val="00A67263"/>
    <w:rsid w:val="00A7161C"/>
    <w:rsid w:val="00A74987"/>
    <w:rsid w:val="00A77AA3"/>
    <w:rsid w:val="00A80421"/>
    <w:rsid w:val="00A81E15"/>
    <w:rsid w:val="00A8236D"/>
    <w:rsid w:val="00A854EB"/>
    <w:rsid w:val="00A872E5"/>
    <w:rsid w:val="00A91406"/>
    <w:rsid w:val="00A96E65"/>
    <w:rsid w:val="00A97C72"/>
    <w:rsid w:val="00AA23F0"/>
    <w:rsid w:val="00AA268E"/>
    <w:rsid w:val="00AA310B"/>
    <w:rsid w:val="00AA36A4"/>
    <w:rsid w:val="00AA63D4"/>
    <w:rsid w:val="00AB06E8"/>
    <w:rsid w:val="00AB1CD3"/>
    <w:rsid w:val="00AB352F"/>
    <w:rsid w:val="00AB4476"/>
    <w:rsid w:val="00AB606C"/>
    <w:rsid w:val="00AB61E1"/>
    <w:rsid w:val="00AC152C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550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36F"/>
    <w:rsid w:val="00B62B50"/>
    <w:rsid w:val="00B631DE"/>
    <w:rsid w:val="00B635B7"/>
    <w:rsid w:val="00B63AE8"/>
    <w:rsid w:val="00B65950"/>
    <w:rsid w:val="00B65E00"/>
    <w:rsid w:val="00B661F6"/>
    <w:rsid w:val="00B66D83"/>
    <w:rsid w:val="00B66F93"/>
    <w:rsid w:val="00B672C0"/>
    <w:rsid w:val="00B676FD"/>
    <w:rsid w:val="00B75646"/>
    <w:rsid w:val="00B75D6D"/>
    <w:rsid w:val="00B865AC"/>
    <w:rsid w:val="00B8728A"/>
    <w:rsid w:val="00B90729"/>
    <w:rsid w:val="00B907DA"/>
    <w:rsid w:val="00B93F8E"/>
    <w:rsid w:val="00B94CD5"/>
    <w:rsid w:val="00B950BC"/>
    <w:rsid w:val="00B9714C"/>
    <w:rsid w:val="00BA24DE"/>
    <w:rsid w:val="00BA29AD"/>
    <w:rsid w:val="00BA33CF"/>
    <w:rsid w:val="00BA3624"/>
    <w:rsid w:val="00BA3F8D"/>
    <w:rsid w:val="00BA722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0CAC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031"/>
    <w:rsid w:val="00C4173A"/>
    <w:rsid w:val="00C50DED"/>
    <w:rsid w:val="00C602FF"/>
    <w:rsid w:val="00C61174"/>
    <w:rsid w:val="00C6148F"/>
    <w:rsid w:val="00C621B1"/>
    <w:rsid w:val="00C623EB"/>
    <w:rsid w:val="00C62F7A"/>
    <w:rsid w:val="00C63B9C"/>
    <w:rsid w:val="00C6682F"/>
    <w:rsid w:val="00C67BF4"/>
    <w:rsid w:val="00C7082B"/>
    <w:rsid w:val="00C7135A"/>
    <w:rsid w:val="00C7275E"/>
    <w:rsid w:val="00C74C5D"/>
    <w:rsid w:val="00C80DF0"/>
    <w:rsid w:val="00C85740"/>
    <w:rsid w:val="00C863C4"/>
    <w:rsid w:val="00C8746D"/>
    <w:rsid w:val="00C90B4E"/>
    <w:rsid w:val="00C920EA"/>
    <w:rsid w:val="00C93C3E"/>
    <w:rsid w:val="00CA0DDF"/>
    <w:rsid w:val="00CA12E3"/>
    <w:rsid w:val="00CA1476"/>
    <w:rsid w:val="00CA3D24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E07"/>
    <w:rsid w:val="00CD3476"/>
    <w:rsid w:val="00CD64DF"/>
    <w:rsid w:val="00CE225F"/>
    <w:rsid w:val="00CE4D23"/>
    <w:rsid w:val="00CF2F50"/>
    <w:rsid w:val="00CF6198"/>
    <w:rsid w:val="00D0145B"/>
    <w:rsid w:val="00D0259E"/>
    <w:rsid w:val="00D02919"/>
    <w:rsid w:val="00D04C61"/>
    <w:rsid w:val="00D05B8D"/>
    <w:rsid w:val="00D065A2"/>
    <w:rsid w:val="00D079AA"/>
    <w:rsid w:val="00D07F00"/>
    <w:rsid w:val="00D1130F"/>
    <w:rsid w:val="00D17B72"/>
    <w:rsid w:val="00D2666E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3B0"/>
    <w:rsid w:val="00D52D73"/>
    <w:rsid w:val="00D52E58"/>
    <w:rsid w:val="00D5409D"/>
    <w:rsid w:val="00D56145"/>
    <w:rsid w:val="00D56B20"/>
    <w:rsid w:val="00D578B3"/>
    <w:rsid w:val="00D618F4"/>
    <w:rsid w:val="00D6261F"/>
    <w:rsid w:val="00D63F6A"/>
    <w:rsid w:val="00D714CC"/>
    <w:rsid w:val="00D75EA7"/>
    <w:rsid w:val="00D81ADF"/>
    <w:rsid w:val="00D81F21"/>
    <w:rsid w:val="00D864F2"/>
    <w:rsid w:val="00D925A2"/>
    <w:rsid w:val="00D92F95"/>
    <w:rsid w:val="00D9327F"/>
    <w:rsid w:val="00D943F8"/>
    <w:rsid w:val="00D945A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6CE"/>
    <w:rsid w:val="00DC2CF1"/>
    <w:rsid w:val="00DC4FCF"/>
    <w:rsid w:val="00DC50E0"/>
    <w:rsid w:val="00DC6386"/>
    <w:rsid w:val="00DD1130"/>
    <w:rsid w:val="00DD1951"/>
    <w:rsid w:val="00DD3421"/>
    <w:rsid w:val="00DD487D"/>
    <w:rsid w:val="00DD4E83"/>
    <w:rsid w:val="00DD6628"/>
    <w:rsid w:val="00DD6945"/>
    <w:rsid w:val="00DE2D04"/>
    <w:rsid w:val="00DE3250"/>
    <w:rsid w:val="00DE451A"/>
    <w:rsid w:val="00DE4D9F"/>
    <w:rsid w:val="00DE6028"/>
    <w:rsid w:val="00DE78A3"/>
    <w:rsid w:val="00DF01A3"/>
    <w:rsid w:val="00DF06CD"/>
    <w:rsid w:val="00DF1A71"/>
    <w:rsid w:val="00DF50FC"/>
    <w:rsid w:val="00DF68C7"/>
    <w:rsid w:val="00DF6AC0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37E6"/>
    <w:rsid w:val="00ED5B9B"/>
    <w:rsid w:val="00ED6BAD"/>
    <w:rsid w:val="00ED7447"/>
    <w:rsid w:val="00EE00D6"/>
    <w:rsid w:val="00EE11E7"/>
    <w:rsid w:val="00EE122F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EEB"/>
    <w:rsid w:val="00F101B8"/>
    <w:rsid w:val="00F11037"/>
    <w:rsid w:val="00F16F1B"/>
    <w:rsid w:val="00F24A54"/>
    <w:rsid w:val="00F2501D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B1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3BE1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08A0"/>
    <w:rsid w:val="00FD3766"/>
    <w:rsid w:val="00FD47C4"/>
    <w:rsid w:val="00FD722A"/>
    <w:rsid w:val="00FE00BE"/>
    <w:rsid w:val="00FE2DCF"/>
    <w:rsid w:val="00FE3FA7"/>
    <w:rsid w:val="00FF188F"/>
    <w:rsid w:val="00FF2A4E"/>
    <w:rsid w:val="00FF2FCE"/>
    <w:rsid w:val="00FF38CA"/>
    <w:rsid w:val="00FF4DE4"/>
    <w:rsid w:val="00FF4F7D"/>
    <w:rsid w:val="00FF54DF"/>
    <w:rsid w:val="00FF6D9D"/>
    <w:rsid w:val="00FF7DD5"/>
    <w:rsid w:val="0EDA46FB"/>
    <w:rsid w:val="0F79912E"/>
    <w:rsid w:val="733CE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8AF04"/>
  <w15:docId w15:val="{51A1963D-6549-43B5-9ED6-CB5BA11E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72"/>
    <w:semiHidden/>
    <w:qFormat/>
    <w:rsid w:val="0061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safetyandquality.gov.au/standards/nsqhs-standards/blood-management-standard" TargetMode="External"/><Relationship Id="rId26" Type="http://schemas.openxmlformats.org/officeDocument/2006/relationships/hyperlink" Target="https://anzsbt.org.au/wp-content/uploads/2024/02/Guidelines-for-the-Administration-of-Blood-Products-revised-Feb-2024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nzsbt.org.au/guidelines/guidelines-for-transfusion-and-immunohaematology-laboratory-practice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afetyandquality.gov.au/standards/nsqhs-standards" TargetMode="External"/><Relationship Id="rId25" Type="http://schemas.openxmlformats.org/officeDocument/2006/relationships/hyperlink" Target="https://www.safetyandquality.gov.au/standards/nsqhs-standards/communicating-safety-standar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anzsbt.org.au/guidelines/guidelines-for-the-administration-of-blood-products/" TargetMode="External"/><Relationship Id="rId29" Type="http://schemas.openxmlformats.org/officeDocument/2006/relationships/hyperlink" Target="https://www.health.vic.gov.au/patient-care/blood-matters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afetyandquality.gov.au/standards/nsqhs-standards/blood-management-standard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safetyandquality.gov.au/sites/default/files/2021-05/national_safety_and_quality_health_service_nsqhs_standards_second_edition_-_updated_may_2021.pdf" TargetMode="External"/><Relationship Id="rId28" Type="http://schemas.openxmlformats.org/officeDocument/2006/relationships/hyperlink" Target="mailto:bloodmatters@redcrossblood.org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afetyandquality.gov.au/standards/nsqhs-standards/blood-management-standard/prescribing-and-clinical-use-blood-and-blood-products/action-706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bloodmatters@redcrossblood.org.au" TargetMode="External"/><Relationship Id="rId27" Type="http://schemas.openxmlformats.org/officeDocument/2006/relationships/hyperlink" Target="https://anzsbt.org.au/wp-content/uploads/2025/06/Guidelines-for-transfusion-and-immunohaematology-laboratory-practice_June-2025-PUBLISHED-1.pdf" TargetMode="Externa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71bad440-a7e7-46c6-81bd-18ed54663c6a"/>
    <ds:schemaRef ds:uri="f9efe166-4f28-4f85-8235-ea2c89133434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1069</Words>
  <Characters>9003</Characters>
  <Application>Microsoft Office Word</Application>
  <DocSecurity>0</DocSecurity>
  <Lines>214</Lines>
  <Paragraphs>136</Paragraphs>
  <ScaleCrop>false</ScaleCrop>
  <Manager/>
  <Company>Victoria State Government, Department of Health, Blood Matters</Company>
  <LinksUpToDate>false</LinksUpToDate>
  <CharactersWithSpaces>9936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Pretransfusion checking audit</dc:title>
  <dc:subject/>
  <dc:creator>Bloodmatters@redcrossblood.org.au</dc:creator>
  <cp:keywords>blood audit, pretransfusion checks, transfusion, blood</cp:keywords>
  <dc:description/>
  <cp:lastModifiedBy>Kaylene Bastin</cp:lastModifiedBy>
  <cp:revision>3</cp:revision>
  <cp:lastPrinted>2026-02-10T23:06:00Z</cp:lastPrinted>
  <dcterms:created xsi:type="dcterms:W3CDTF">2026-02-10T23:06:00Z</dcterms:created>
  <dcterms:modified xsi:type="dcterms:W3CDTF">2026-02-10T23:06:00Z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