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B232" w14:textId="77777777" w:rsidR="0074696E" w:rsidRPr="004C6EEE" w:rsidRDefault="0001677A" w:rsidP="00EC40D5">
      <w:pPr>
        <w:pStyle w:val="Sectionbreakfirstpage"/>
      </w:pPr>
      <w:r>
        <w:drawing>
          <wp:anchor distT="0" distB="0" distL="114300" distR="114300" simplePos="0" relativeHeight="251658240" behindDoc="1" locked="1" layoutInCell="1" allowOverlap="1" wp14:anchorId="7800DE9A" wp14:editId="5468B25B">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6D0F58"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3B5733" w14:paraId="529A7D32" w14:textId="77777777" w:rsidTr="00A06675">
        <w:trPr>
          <w:trHeight w:val="622"/>
        </w:trPr>
        <w:tc>
          <w:tcPr>
            <w:tcW w:w="10348" w:type="dxa"/>
            <w:tcMar>
              <w:top w:w="1531" w:type="dxa"/>
              <w:left w:w="0" w:type="dxa"/>
              <w:right w:w="0" w:type="dxa"/>
            </w:tcMar>
          </w:tcPr>
          <w:p w14:paraId="0ECAA287" w14:textId="77777777" w:rsidR="00E91E75" w:rsidRDefault="00D00BBF" w:rsidP="003B5733">
            <w:pPr>
              <w:pStyle w:val="Documenttitle"/>
            </w:pPr>
            <w:r w:rsidRPr="00D00BBF">
              <w:t xml:space="preserve">Blood Management and Transfusion Practice Handbook </w:t>
            </w:r>
          </w:p>
          <w:p w14:paraId="1EF25B04" w14:textId="3689D417" w:rsidR="003B5733" w:rsidRPr="00E91E75" w:rsidRDefault="00D00BBF" w:rsidP="003B5733">
            <w:pPr>
              <w:pStyle w:val="Documenttitle"/>
              <w:rPr>
                <w:b w:val="0"/>
                <w:bCs/>
                <w:sz w:val="40"/>
                <w:szCs w:val="40"/>
              </w:rPr>
            </w:pPr>
            <w:r w:rsidRPr="00E91E75">
              <w:rPr>
                <w:b w:val="0"/>
                <w:bCs/>
                <w:sz w:val="40"/>
                <w:szCs w:val="40"/>
              </w:rPr>
              <w:t>202</w:t>
            </w:r>
            <w:r w:rsidR="00366023">
              <w:rPr>
                <w:b w:val="0"/>
                <w:bCs/>
                <w:sz w:val="40"/>
                <w:szCs w:val="40"/>
              </w:rPr>
              <w:t>4</w:t>
            </w:r>
            <w:r w:rsidR="00E91E75" w:rsidRPr="00E91E75">
              <w:rPr>
                <w:b w:val="0"/>
                <w:bCs/>
                <w:sz w:val="40"/>
                <w:szCs w:val="40"/>
              </w:rPr>
              <w:t xml:space="preserve"> edition</w:t>
            </w:r>
          </w:p>
        </w:tc>
      </w:tr>
      <w:tr w:rsidR="003B5733" w14:paraId="6F0BA5D6" w14:textId="77777777" w:rsidTr="00DD4316">
        <w:trPr>
          <w:trHeight w:val="163"/>
        </w:trPr>
        <w:tc>
          <w:tcPr>
            <w:tcW w:w="10348" w:type="dxa"/>
          </w:tcPr>
          <w:p w14:paraId="30881147" w14:textId="77777777" w:rsidR="003B5733" w:rsidRPr="001E5058" w:rsidRDefault="00B9295A" w:rsidP="001E5058">
            <w:pPr>
              <w:pStyle w:val="Bannermarking"/>
            </w:pPr>
            <w:fldSimple w:instr=" FILLIN  &quot;Type the protective marking&quot; \d OFFICIAL \o  \* MERGEFORMAT ">
              <w:r>
                <w:t>OFFICIAL</w:t>
              </w:r>
            </w:fldSimple>
          </w:p>
        </w:tc>
      </w:tr>
    </w:tbl>
    <w:p w14:paraId="2CE5E2CD" w14:textId="662C30F6" w:rsidR="00AD784C" w:rsidRPr="00B57329" w:rsidRDefault="00AD784C" w:rsidP="002365B4">
      <w:pPr>
        <w:pStyle w:val="TOCheadingfactsheet"/>
      </w:pPr>
      <w:r w:rsidRPr="00B57329">
        <w:t>Contents</w:t>
      </w:r>
    </w:p>
    <w:p w14:paraId="009F7F0E" w14:textId="41DE30C8" w:rsidR="009D12B0" w:rsidRDefault="00CD504C">
      <w:pPr>
        <w:pStyle w:val="TOC1"/>
        <w:rPr>
          <w:rFonts w:asciiTheme="minorHAnsi" w:eastAsiaTheme="minorEastAsia" w:hAnsiTheme="minorHAnsi" w:cstheme="minorBidi"/>
          <w:b w:val="0"/>
          <w:kern w:val="2"/>
          <w:sz w:val="24"/>
          <w:szCs w:val="24"/>
          <w:lang w:eastAsia="en-AU"/>
          <w14:ligatures w14:val="standardContextual"/>
        </w:rPr>
      </w:pPr>
      <w:r>
        <w:rPr>
          <w:b w:val="0"/>
        </w:rPr>
        <w:fldChar w:fldCharType="begin"/>
      </w:r>
      <w:r>
        <w:rPr>
          <w:b w:val="0"/>
        </w:rPr>
        <w:instrText xml:space="preserve"> TOC \o "1-3" \h \z \u </w:instrText>
      </w:r>
      <w:r>
        <w:rPr>
          <w:b w:val="0"/>
        </w:rPr>
        <w:fldChar w:fldCharType="separate"/>
      </w:r>
      <w:hyperlink w:anchor="_Toc184376918" w:history="1">
        <w:r w:rsidR="009D12B0" w:rsidRPr="0043737A">
          <w:rPr>
            <w:rStyle w:val="Hyperlink"/>
          </w:rPr>
          <w:t>Introduction</w:t>
        </w:r>
        <w:r w:rsidR="009D12B0">
          <w:rPr>
            <w:webHidden/>
          </w:rPr>
          <w:tab/>
        </w:r>
        <w:r w:rsidR="009D12B0">
          <w:rPr>
            <w:webHidden/>
          </w:rPr>
          <w:fldChar w:fldCharType="begin"/>
        </w:r>
        <w:r w:rsidR="009D12B0">
          <w:rPr>
            <w:webHidden/>
          </w:rPr>
          <w:instrText xml:space="preserve"> PAGEREF _Toc184376918 \h </w:instrText>
        </w:r>
        <w:r w:rsidR="009D12B0">
          <w:rPr>
            <w:webHidden/>
          </w:rPr>
        </w:r>
        <w:r w:rsidR="009D12B0">
          <w:rPr>
            <w:webHidden/>
          </w:rPr>
          <w:fldChar w:fldCharType="separate"/>
        </w:r>
        <w:r w:rsidR="00E46161">
          <w:rPr>
            <w:webHidden/>
          </w:rPr>
          <w:t>1</w:t>
        </w:r>
        <w:r w:rsidR="009D12B0">
          <w:rPr>
            <w:webHidden/>
          </w:rPr>
          <w:fldChar w:fldCharType="end"/>
        </w:r>
      </w:hyperlink>
    </w:p>
    <w:p w14:paraId="01D9DAE3" w14:textId="430F4035" w:rsidR="009D12B0" w:rsidRDefault="009D12B0">
      <w:pPr>
        <w:pStyle w:val="TOC2"/>
        <w:rPr>
          <w:rFonts w:asciiTheme="minorHAnsi" w:eastAsiaTheme="minorEastAsia" w:hAnsiTheme="minorHAnsi" w:cstheme="minorBidi"/>
          <w:kern w:val="2"/>
          <w:sz w:val="24"/>
          <w:szCs w:val="24"/>
          <w:lang w:eastAsia="en-AU"/>
          <w14:ligatures w14:val="standardContextual"/>
        </w:rPr>
      </w:pPr>
      <w:hyperlink w:anchor="_Toc184376919" w:history="1">
        <w:r w:rsidRPr="0043737A">
          <w:rPr>
            <w:rStyle w:val="Hyperlink"/>
            <w:rFonts w:eastAsia="Times"/>
          </w:rPr>
          <w:t>Blood Matters program</w:t>
        </w:r>
        <w:r>
          <w:rPr>
            <w:webHidden/>
          </w:rPr>
          <w:tab/>
        </w:r>
        <w:r>
          <w:rPr>
            <w:webHidden/>
          </w:rPr>
          <w:fldChar w:fldCharType="begin"/>
        </w:r>
        <w:r>
          <w:rPr>
            <w:webHidden/>
          </w:rPr>
          <w:instrText xml:space="preserve"> PAGEREF _Toc184376919 \h </w:instrText>
        </w:r>
        <w:r>
          <w:rPr>
            <w:webHidden/>
          </w:rPr>
        </w:r>
        <w:r>
          <w:rPr>
            <w:webHidden/>
          </w:rPr>
          <w:fldChar w:fldCharType="separate"/>
        </w:r>
        <w:r w:rsidR="00E46161">
          <w:rPr>
            <w:webHidden/>
          </w:rPr>
          <w:t>2</w:t>
        </w:r>
        <w:r>
          <w:rPr>
            <w:webHidden/>
          </w:rPr>
          <w:fldChar w:fldCharType="end"/>
        </w:r>
      </w:hyperlink>
    </w:p>
    <w:p w14:paraId="1DAEDCAF" w14:textId="308C2E4E" w:rsidR="009D12B0" w:rsidRDefault="009D12B0">
      <w:pPr>
        <w:pStyle w:val="TOC2"/>
        <w:rPr>
          <w:rFonts w:asciiTheme="minorHAnsi" w:eastAsiaTheme="minorEastAsia" w:hAnsiTheme="minorHAnsi" w:cstheme="minorBidi"/>
          <w:kern w:val="2"/>
          <w:sz w:val="24"/>
          <w:szCs w:val="24"/>
          <w:lang w:eastAsia="en-AU"/>
          <w14:ligatures w14:val="standardContextual"/>
        </w:rPr>
      </w:pPr>
      <w:hyperlink w:anchor="_Toc184376920" w:history="1">
        <w:r w:rsidRPr="0043737A">
          <w:rPr>
            <w:rStyle w:val="Hyperlink"/>
          </w:rPr>
          <w:t>The role of the Transfusion Practitioner</w:t>
        </w:r>
        <w:r>
          <w:rPr>
            <w:webHidden/>
          </w:rPr>
          <w:tab/>
        </w:r>
        <w:r>
          <w:rPr>
            <w:webHidden/>
          </w:rPr>
          <w:fldChar w:fldCharType="begin"/>
        </w:r>
        <w:r>
          <w:rPr>
            <w:webHidden/>
          </w:rPr>
          <w:instrText xml:space="preserve"> PAGEREF _Toc184376920 \h </w:instrText>
        </w:r>
        <w:r>
          <w:rPr>
            <w:webHidden/>
          </w:rPr>
        </w:r>
        <w:r>
          <w:rPr>
            <w:webHidden/>
          </w:rPr>
          <w:fldChar w:fldCharType="separate"/>
        </w:r>
        <w:r w:rsidR="00E46161">
          <w:rPr>
            <w:webHidden/>
          </w:rPr>
          <w:t>4</w:t>
        </w:r>
        <w:r>
          <w:rPr>
            <w:webHidden/>
          </w:rPr>
          <w:fldChar w:fldCharType="end"/>
        </w:r>
      </w:hyperlink>
    </w:p>
    <w:p w14:paraId="5854D69C" w14:textId="05E74B5E" w:rsidR="009D12B0" w:rsidRDefault="009D12B0">
      <w:pPr>
        <w:pStyle w:val="TOC3"/>
        <w:rPr>
          <w:rFonts w:asciiTheme="minorHAnsi" w:eastAsiaTheme="minorEastAsia" w:hAnsiTheme="minorHAnsi" w:cstheme="minorBidi"/>
          <w:noProof/>
          <w:kern w:val="2"/>
          <w:sz w:val="24"/>
          <w:szCs w:val="24"/>
          <w:lang w:eastAsia="en-AU"/>
          <w14:ligatures w14:val="standardContextual"/>
        </w:rPr>
      </w:pPr>
      <w:hyperlink w:anchor="_Toc184376921" w:history="1">
        <w:r w:rsidRPr="0043737A">
          <w:rPr>
            <w:rStyle w:val="Hyperlink"/>
            <w:noProof/>
          </w:rPr>
          <w:t>Education for Transfusion Practitioners</w:t>
        </w:r>
        <w:r>
          <w:rPr>
            <w:noProof/>
            <w:webHidden/>
          </w:rPr>
          <w:tab/>
        </w:r>
        <w:r>
          <w:rPr>
            <w:noProof/>
            <w:webHidden/>
          </w:rPr>
          <w:fldChar w:fldCharType="begin"/>
        </w:r>
        <w:r>
          <w:rPr>
            <w:noProof/>
            <w:webHidden/>
          </w:rPr>
          <w:instrText xml:space="preserve"> PAGEREF _Toc184376921 \h </w:instrText>
        </w:r>
        <w:r>
          <w:rPr>
            <w:noProof/>
            <w:webHidden/>
          </w:rPr>
        </w:r>
        <w:r>
          <w:rPr>
            <w:noProof/>
            <w:webHidden/>
          </w:rPr>
          <w:fldChar w:fldCharType="separate"/>
        </w:r>
        <w:r w:rsidR="00E46161">
          <w:rPr>
            <w:noProof/>
            <w:webHidden/>
          </w:rPr>
          <w:t>4</w:t>
        </w:r>
        <w:r>
          <w:rPr>
            <w:noProof/>
            <w:webHidden/>
          </w:rPr>
          <w:fldChar w:fldCharType="end"/>
        </w:r>
      </w:hyperlink>
    </w:p>
    <w:p w14:paraId="49BA1698" w14:textId="4860EBC7" w:rsidR="009D12B0" w:rsidRDefault="009D12B0">
      <w:pPr>
        <w:pStyle w:val="TOC2"/>
        <w:rPr>
          <w:rFonts w:asciiTheme="minorHAnsi" w:eastAsiaTheme="minorEastAsia" w:hAnsiTheme="minorHAnsi" w:cstheme="minorBidi"/>
          <w:kern w:val="2"/>
          <w:sz w:val="24"/>
          <w:szCs w:val="24"/>
          <w:lang w:eastAsia="en-AU"/>
          <w14:ligatures w14:val="standardContextual"/>
        </w:rPr>
      </w:pPr>
      <w:hyperlink w:anchor="_Toc184376922" w:history="1">
        <w:r w:rsidRPr="0043737A">
          <w:rPr>
            <w:rStyle w:val="Hyperlink"/>
          </w:rPr>
          <w:t>Blood management committees</w:t>
        </w:r>
        <w:r>
          <w:rPr>
            <w:webHidden/>
          </w:rPr>
          <w:tab/>
        </w:r>
        <w:r>
          <w:rPr>
            <w:webHidden/>
          </w:rPr>
          <w:fldChar w:fldCharType="begin"/>
        </w:r>
        <w:r>
          <w:rPr>
            <w:webHidden/>
          </w:rPr>
          <w:instrText xml:space="preserve"> PAGEREF _Toc184376922 \h </w:instrText>
        </w:r>
        <w:r>
          <w:rPr>
            <w:webHidden/>
          </w:rPr>
        </w:r>
        <w:r>
          <w:rPr>
            <w:webHidden/>
          </w:rPr>
          <w:fldChar w:fldCharType="separate"/>
        </w:r>
        <w:r w:rsidR="00E46161">
          <w:rPr>
            <w:webHidden/>
          </w:rPr>
          <w:t>5</w:t>
        </w:r>
        <w:r>
          <w:rPr>
            <w:webHidden/>
          </w:rPr>
          <w:fldChar w:fldCharType="end"/>
        </w:r>
      </w:hyperlink>
    </w:p>
    <w:p w14:paraId="0301A761" w14:textId="0794D34D" w:rsidR="009D12B0" w:rsidRDefault="009D12B0">
      <w:pPr>
        <w:pStyle w:val="TOC2"/>
        <w:rPr>
          <w:rFonts w:asciiTheme="minorHAnsi" w:eastAsiaTheme="minorEastAsia" w:hAnsiTheme="minorHAnsi" w:cstheme="minorBidi"/>
          <w:kern w:val="2"/>
          <w:sz w:val="24"/>
          <w:szCs w:val="24"/>
          <w:lang w:eastAsia="en-AU"/>
          <w14:ligatures w14:val="standardContextual"/>
        </w:rPr>
      </w:pPr>
      <w:hyperlink w:anchor="_Toc184376923" w:history="1">
        <w:r w:rsidRPr="0043737A">
          <w:rPr>
            <w:rStyle w:val="Hyperlink"/>
            <w:rFonts w:eastAsia="Calibri"/>
          </w:rPr>
          <w:t>The Australian context</w:t>
        </w:r>
        <w:r>
          <w:rPr>
            <w:webHidden/>
          </w:rPr>
          <w:tab/>
        </w:r>
        <w:r>
          <w:rPr>
            <w:webHidden/>
          </w:rPr>
          <w:fldChar w:fldCharType="begin"/>
        </w:r>
        <w:r>
          <w:rPr>
            <w:webHidden/>
          </w:rPr>
          <w:instrText xml:space="preserve"> PAGEREF _Toc184376923 \h </w:instrText>
        </w:r>
        <w:r>
          <w:rPr>
            <w:webHidden/>
          </w:rPr>
        </w:r>
        <w:r>
          <w:rPr>
            <w:webHidden/>
          </w:rPr>
          <w:fldChar w:fldCharType="separate"/>
        </w:r>
        <w:r w:rsidR="00E46161">
          <w:rPr>
            <w:webHidden/>
          </w:rPr>
          <w:t>6</w:t>
        </w:r>
        <w:r>
          <w:rPr>
            <w:webHidden/>
          </w:rPr>
          <w:fldChar w:fldCharType="end"/>
        </w:r>
      </w:hyperlink>
    </w:p>
    <w:p w14:paraId="717EE5C3" w14:textId="4C44A554" w:rsidR="009D12B0" w:rsidRDefault="009D12B0">
      <w:pPr>
        <w:pStyle w:val="TOC3"/>
        <w:rPr>
          <w:rFonts w:asciiTheme="minorHAnsi" w:eastAsiaTheme="minorEastAsia" w:hAnsiTheme="minorHAnsi" w:cstheme="minorBidi"/>
          <w:noProof/>
          <w:kern w:val="2"/>
          <w:sz w:val="24"/>
          <w:szCs w:val="24"/>
          <w:lang w:eastAsia="en-AU"/>
          <w14:ligatures w14:val="standardContextual"/>
        </w:rPr>
      </w:pPr>
      <w:hyperlink w:anchor="_Toc184376924" w:history="1">
        <w:r w:rsidRPr="0043737A">
          <w:rPr>
            <w:rStyle w:val="Hyperlink"/>
            <w:noProof/>
          </w:rPr>
          <w:t xml:space="preserve">National Safety and Quality Health Service Standards </w:t>
        </w:r>
        <w:r>
          <w:rPr>
            <w:noProof/>
            <w:webHidden/>
          </w:rPr>
          <w:tab/>
        </w:r>
        <w:r>
          <w:rPr>
            <w:noProof/>
            <w:webHidden/>
          </w:rPr>
          <w:fldChar w:fldCharType="begin"/>
        </w:r>
        <w:r>
          <w:rPr>
            <w:noProof/>
            <w:webHidden/>
          </w:rPr>
          <w:instrText xml:space="preserve"> PAGEREF _Toc184376924 \h </w:instrText>
        </w:r>
        <w:r>
          <w:rPr>
            <w:noProof/>
            <w:webHidden/>
          </w:rPr>
        </w:r>
        <w:r>
          <w:rPr>
            <w:noProof/>
            <w:webHidden/>
          </w:rPr>
          <w:fldChar w:fldCharType="separate"/>
        </w:r>
        <w:r w:rsidR="00E46161">
          <w:rPr>
            <w:noProof/>
            <w:webHidden/>
          </w:rPr>
          <w:t>6</w:t>
        </w:r>
        <w:r>
          <w:rPr>
            <w:noProof/>
            <w:webHidden/>
          </w:rPr>
          <w:fldChar w:fldCharType="end"/>
        </w:r>
      </w:hyperlink>
    </w:p>
    <w:p w14:paraId="2C416C85" w14:textId="65E523C3" w:rsidR="009D12B0" w:rsidRDefault="009D12B0">
      <w:pPr>
        <w:pStyle w:val="TOC3"/>
        <w:rPr>
          <w:rFonts w:asciiTheme="minorHAnsi" w:eastAsiaTheme="minorEastAsia" w:hAnsiTheme="minorHAnsi" w:cstheme="minorBidi"/>
          <w:noProof/>
          <w:kern w:val="2"/>
          <w:sz w:val="24"/>
          <w:szCs w:val="24"/>
          <w:lang w:eastAsia="en-AU"/>
          <w14:ligatures w14:val="standardContextual"/>
        </w:rPr>
      </w:pPr>
      <w:hyperlink w:anchor="_Toc184376925" w:history="1">
        <w:r w:rsidRPr="0043737A">
          <w:rPr>
            <w:rStyle w:val="Hyperlink"/>
            <w:noProof/>
          </w:rPr>
          <w:t>National Blood Authority</w:t>
        </w:r>
        <w:r>
          <w:rPr>
            <w:noProof/>
            <w:webHidden/>
          </w:rPr>
          <w:tab/>
        </w:r>
        <w:r>
          <w:rPr>
            <w:noProof/>
            <w:webHidden/>
          </w:rPr>
          <w:fldChar w:fldCharType="begin"/>
        </w:r>
        <w:r>
          <w:rPr>
            <w:noProof/>
            <w:webHidden/>
          </w:rPr>
          <w:instrText xml:space="preserve"> PAGEREF _Toc184376925 \h </w:instrText>
        </w:r>
        <w:r>
          <w:rPr>
            <w:noProof/>
            <w:webHidden/>
          </w:rPr>
        </w:r>
        <w:r>
          <w:rPr>
            <w:noProof/>
            <w:webHidden/>
          </w:rPr>
          <w:fldChar w:fldCharType="separate"/>
        </w:r>
        <w:r w:rsidR="00E46161">
          <w:rPr>
            <w:noProof/>
            <w:webHidden/>
          </w:rPr>
          <w:t>7</w:t>
        </w:r>
        <w:r>
          <w:rPr>
            <w:noProof/>
            <w:webHidden/>
          </w:rPr>
          <w:fldChar w:fldCharType="end"/>
        </w:r>
      </w:hyperlink>
    </w:p>
    <w:p w14:paraId="64ECEC7A" w14:textId="03141BBF" w:rsidR="009D12B0" w:rsidRDefault="009D12B0">
      <w:pPr>
        <w:pStyle w:val="TOC3"/>
        <w:rPr>
          <w:rFonts w:asciiTheme="minorHAnsi" w:eastAsiaTheme="minorEastAsia" w:hAnsiTheme="minorHAnsi" w:cstheme="minorBidi"/>
          <w:noProof/>
          <w:kern w:val="2"/>
          <w:sz w:val="24"/>
          <w:szCs w:val="24"/>
          <w:lang w:eastAsia="en-AU"/>
          <w14:ligatures w14:val="standardContextual"/>
        </w:rPr>
      </w:pPr>
      <w:hyperlink w:anchor="_Toc184376926" w:history="1">
        <w:r w:rsidRPr="0043737A">
          <w:rPr>
            <w:rStyle w:val="Hyperlink"/>
            <w:noProof/>
          </w:rPr>
          <w:t>Australian Red Cross Lifeblood (Lifeblood)</w:t>
        </w:r>
        <w:r>
          <w:rPr>
            <w:noProof/>
            <w:webHidden/>
          </w:rPr>
          <w:tab/>
        </w:r>
        <w:r>
          <w:rPr>
            <w:noProof/>
            <w:webHidden/>
          </w:rPr>
          <w:fldChar w:fldCharType="begin"/>
        </w:r>
        <w:r>
          <w:rPr>
            <w:noProof/>
            <w:webHidden/>
          </w:rPr>
          <w:instrText xml:space="preserve"> PAGEREF _Toc184376926 \h </w:instrText>
        </w:r>
        <w:r>
          <w:rPr>
            <w:noProof/>
            <w:webHidden/>
          </w:rPr>
        </w:r>
        <w:r>
          <w:rPr>
            <w:noProof/>
            <w:webHidden/>
          </w:rPr>
          <w:fldChar w:fldCharType="separate"/>
        </w:r>
        <w:r w:rsidR="00E46161">
          <w:rPr>
            <w:noProof/>
            <w:webHidden/>
          </w:rPr>
          <w:t>8</w:t>
        </w:r>
        <w:r>
          <w:rPr>
            <w:noProof/>
            <w:webHidden/>
          </w:rPr>
          <w:fldChar w:fldCharType="end"/>
        </w:r>
      </w:hyperlink>
    </w:p>
    <w:p w14:paraId="7038ED11" w14:textId="00436D6D" w:rsidR="009D12B0" w:rsidRDefault="009D12B0">
      <w:pPr>
        <w:pStyle w:val="TOC3"/>
        <w:rPr>
          <w:rFonts w:asciiTheme="minorHAnsi" w:eastAsiaTheme="minorEastAsia" w:hAnsiTheme="minorHAnsi" w:cstheme="minorBidi"/>
          <w:noProof/>
          <w:kern w:val="2"/>
          <w:sz w:val="24"/>
          <w:szCs w:val="24"/>
          <w:lang w:eastAsia="en-AU"/>
          <w14:ligatures w14:val="standardContextual"/>
        </w:rPr>
      </w:pPr>
      <w:hyperlink w:anchor="_Toc184376927" w:history="1">
        <w:r w:rsidRPr="0043737A">
          <w:rPr>
            <w:rStyle w:val="Hyperlink"/>
            <w:noProof/>
          </w:rPr>
          <w:t>Fractionated plasma products</w:t>
        </w:r>
        <w:r>
          <w:rPr>
            <w:noProof/>
            <w:webHidden/>
          </w:rPr>
          <w:tab/>
        </w:r>
        <w:r>
          <w:rPr>
            <w:noProof/>
            <w:webHidden/>
          </w:rPr>
          <w:fldChar w:fldCharType="begin"/>
        </w:r>
        <w:r>
          <w:rPr>
            <w:noProof/>
            <w:webHidden/>
          </w:rPr>
          <w:instrText xml:space="preserve"> PAGEREF _Toc184376927 \h </w:instrText>
        </w:r>
        <w:r>
          <w:rPr>
            <w:noProof/>
            <w:webHidden/>
          </w:rPr>
        </w:r>
        <w:r>
          <w:rPr>
            <w:noProof/>
            <w:webHidden/>
          </w:rPr>
          <w:fldChar w:fldCharType="separate"/>
        </w:r>
        <w:r w:rsidR="00E46161">
          <w:rPr>
            <w:noProof/>
            <w:webHidden/>
          </w:rPr>
          <w:t>10</w:t>
        </w:r>
        <w:r>
          <w:rPr>
            <w:noProof/>
            <w:webHidden/>
          </w:rPr>
          <w:fldChar w:fldCharType="end"/>
        </w:r>
      </w:hyperlink>
    </w:p>
    <w:p w14:paraId="52EBA2D4" w14:textId="10C66253" w:rsidR="009D12B0" w:rsidRDefault="009D12B0">
      <w:pPr>
        <w:pStyle w:val="TOC3"/>
        <w:rPr>
          <w:rFonts w:asciiTheme="minorHAnsi" w:eastAsiaTheme="minorEastAsia" w:hAnsiTheme="minorHAnsi" w:cstheme="minorBidi"/>
          <w:noProof/>
          <w:kern w:val="2"/>
          <w:sz w:val="24"/>
          <w:szCs w:val="24"/>
          <w:lang w:eastAsia="en-AU"/>
          <w14:ligatures w14:val="standardContextual"/>
        </w:rPr>
      </w:pPr>
      <w:hyperlink w:anchor="_Toc184376928" w:history="1">
        <w:r w:rsidRPr="0043737A">
          <w:rPr>
            <w:rStyle w:val="Hyperlink"/>
            <w:noProof/>
          </w:rPr>
          <w:t>Australian and New Zealand Society of Blood Transfusion (ANZSBT)</w:t>
        </w:r>
        <w:r>
          <w:rPr>
            <w:noProof/>
            <w:webHidden/>
          </w:rPr>
          <w:tab/>
        </w:r>
        <w:r>
          <w:rPr>
            <w:noProof/>
            <w:webHidden/>
          </w:rPr>
          <w:fldChar w:fldCharType="begin"/>
        </w:r>
        <w:r>
          <w:rPr>
            <w:noProof/>
            <w:webHidden/>
          </w:rPr>
          <w:instrText xml:space="preserve"> PAGEREF _Toc184376928 \h </w:instrText>
        </w:r>
        <w:r>
          <w:rPr>
            <w:noProof/>
            <w:webHidden/>
          </w:rPr>
        </w:r>
        <w:r>
          <w:rPr>
            <w:noProof/>
            <w:webHidden/>
          </w:rPr>
          <w:fldChar w:fldCharType="separate"/>
        </w:r>
        <w:r w:rsidR="00E46161">
          <w:rPr>
            <w:noProof/>
            <w:webHidden/>
          </w:rPr>
          <w:t>11</w:t>
        </w:r>
        <w:r>
          <w:rPr>
            <w:noProof/>
            <w:webHidden/>
          </w:rPr>
          <w:fldChar w:fldCharType="end"/>
        </w:r>
      </w:hyperlink>
    </w:p>
    <w:p w14:paraId="34D29062" w14:textId="6EFD1680" w:rsidR="009D12B0" w:rsidRDefault="009D12B0">
      <w:pPr>
        <w:pStyle w:val="TOC3"/>
        <w:rPr>
          <w:rFonts w:asciiTheme="minorHAnsi" w:eastAsiaTheme="minorEastAsia" w:hAnsiTheme="minorHAnsi" w:cstheme="minorBidi"/>
          <w:noProof/>
          <w:kern w:val="2"/>
          <w:sz w:val="24"/>
          <w:szCs w:val="24"/>
          <w:lang w:eastAsia="en-AU"/>
          <w14:ligatures w14:val="standardContextual"/>
        </w:rPr>
      </w:pPr>
      <w:hyperlink w:anchor="_Toc184376929" w:history="1">
        <w:r w:rsidRPr="0043737A">
          <w:rPr>
            <w:rStyle w:val="Hyperlink"/>
            <w:noProof/>
          </w:rPr>
          <w:t>Resources - guidelines and standards</w:t>
        </w:r>
        <w:r>
          <w:rPr>
            <w:noProof/>
            <w:webHidden/>
          </w:rPr>
          <w:tab/>
        </w:r>
        <w:r>
          <w:rPr>
            <w:noProof/>
            <w:webHidden/>
          </w:rPr>
          <w:fldChar w:fldCharType="begin"/>
        </w:r>
        <w:r>
          <w:rPr>
            <w:noProof/>
            <w:webHidden/>
          </w:rPr>
          <w:instrText xml:space="preserve"> PAGEREF _Toc184376929 \h </w:instrText>
        </w:r>
        <w:r>
          <w:rPr>
            <w:noProof/>
            <w:webHidden/>
          </w:rPr>
        </w:r>
        <w:r>
          <w:rPr>
            <w:noProof/>
            <w:webHidden/>
          </w:rPr>
          <w:fldChar w:fldCharType="separate"/>
        </w:r>
        <w:r w:rsidR="00E46161">
          <w:rPr>
            <w:noProof/>
            <w:webHidden/>
          </w:rPr>
          <w:t>12</w:t>
        </w:r>
        <w:r>
          <w:rPr>
            <w:noProof/>
            <w:webHidden/>
          </w:rPr>
          <w:fldChar w:fldCharType="end"/>
        </w:r>
      </w:hyperlink>
    </w:p>
    <w:p w14:paraId="0CF9D2A0" w14:textId="2552FF1F" w:rsidR="009D12B0" w:rsidRDefault="009D12B0">
      <w:pPr>
        <w:pStyle w:val="TOC2"/>
        <w:rPr>
          <w:rFonts w:asciiTheme="minorHAnsi" w:eastAsiaTheme="minorEastAsia" w:hAnsiTheme="minorHAnsi" w:cstheme="minorBidi"/>
          <w:kern w:val="2"/>
          <w:sz w:val="24"/>
          <w:szCs w:val="24"/>
          <w:lang w:eastAsia="en-AU"/>
          <w14:ligatures w14:val="standardContextual"/>
        </w:rPr>
      </w:pPr>
      <w:hyperlink w:anchor="_Toc184376930" w:history="1">
        <w:r w:rsidRPr="0043737A">
          <w:rPr>
            <w:rStyle w:val="Hyperlink"/>
            <w:rFonts w:eastAsia="Times"/>
          </w:rPr>
          <w:t>International organisations</w:t>
        </w:r>
        <w:r>
          <w:rPr>
            <w:webHidden/>
          </w:rPr>
          <w:tab/>
        </w:r>
        <w:r>
          <w:rPr>
            <w:webHidden/>
          </w:rPr>
          <w:fldChar w:fldCharType="begin"/>
        </w:r>
        <w:r>
          <w:rPr>
            <w:webHidden/>
          </w:rPr>
          <w:instrText xml:space="preserve"> PAGEREF _Toc184376930 \h </w:instrText>
        </w:r>
        <w:r>
          <w:rPr>
            <w:webHidden/>
          </w:rPr>
        </w:r>
        <w:r>
          <w:rPr>
            <w:webHidden/>
          </w:rPr>
          <w:fldChar w:fldCharType="separate"/>
        </w:r>
        <w:r w:rsidR="00E46161">
          <w:rPr>
            <w:webHidden/>
          </w:rPr>
          <w:t>12</w:t>
        </w:r>
        <w:r>
          <w:rPr>
            <w:webHidden/>
          </w:rPr>
          <w:fldChar w:fldCharType="end"/>
        </w:r>
      </w:hyperlink>
    </w:p>
    <w:p w14:paraId="6712017D" w14:textId="5BE47172" w:rsidR="009D12B0" w:rsidRDefault="009D12B0">
      <w:pPr>
        <w:pStyle w:val="TOC3"/>
        <w:rPr>
          <w:rFonts w:asciiTheme="minorHAnsi" w:eastAsiaTheme="minorEastAsia" w:hAnsiTheme="minorHAnsi" w:cstheme="minorBidi"/>
          <w:noProof/>
          <w:kern w:val="2"/>
          <w:sz w:val="24"/>
          <w:szCs w:val="24"/>
          <w:lang w:eastAsia="en-AU"/>
          <w14:ligatures w14:val="standardContextual"/>
        </w:rPr>
      </w:pPr>
      <w:hyperlink w:anchor="_Toc184376931" w:history="1">
        <w:r w:rsidRPr="0043737A">
          <w:rPr>
            <w:rStyle w:val="Hyperlink"/>
            <w:noProof/>
          </w:rPr>
          <w:t>International Society of Blood Transfusion and Transfusion Practitioner forum</w:t>
        </w:r>
        <w:r>
          <w:rPr>
            <w:noProof/>
            <w:webHidden/>
          </w:rPr>
          <w:tab/>
        </w:r>
        <w:r>
          <w:rPr>
            <w:noProof/>
            <w:webHidden/>
          </w:rPr>
          <w:fldChar w:fldCharType="begin"/>
        </w:r>
        <w:r>
          <w:rPr>
            <w:noProof/>
            <w:webHidden/>
          </w:rPr>
          <w:instrText xml:space="preserve"> PAGEREF _Toc184376931 \h </w:instrText>
        </w:r>
        <w:r>
          <w:rPr>
            <w:noProof/>
            <w:webHidden/>
          </w:rPr>
        </w:r>
        <w:r>
          <w:rPr>
            <w:noProof/>
            <w:webHidden/>
          </w:rPr>
          <w:fldChar w:fldCharType="separate"/>
        </w:r>
        <w:r w:rsidR="00E46161">
          <w:rPr>
            <w:noProof/>
            <w:webHidden/>
          </w:rPr>
          <w:t>12</w:t>
        </w:r>
        <w:r>
          <w:rPr>
            <w:noProof/>
            <w:webHidden/>
          </w:rPr>
          <w:fldChar w:fldCharType="end"/>
        </w:r>
      </w:hyperlink>
    </w:p>
    <w:p w14:paraId="38D00F8C" w14:textId="0813E36C" w:rsidR="009D12B0" w:rsidRDefault="009D12B0">
      <w:pPr>
        <w:pStyle w:val="TOC2"/>
        <w:rPr>
          <w:rFonts w:asciiTheme="minorHAnsi" w:eastAsiaTheme="minorEastAsia" w:hAnsiTheme="minorHAnsi" w:cstheme="minorBidi"/>
          <w:kern w:val="2"/>
          <w:sz w:val="24"/>
          <w:szCs w:val="24"/>
          <w:lang w:eastAsia="en-AU"/>
          <w14:ligatures w14:val="standardContextual"/>
        </w:rPr>
      </w:pPr>
      <w:hyperlink w:anchor="_Toc184376932" w:history="1">
        <w:r w:rsidRPr="0043737A">
          <w:rPr>
            <w:rStyle w:val="Hyperlink"/>
            <w:rFonts w:eastAsia="Times"/>
          </w:rPr>
          <w:t>Steps in the transfusion process</w:t>
        </w:r>
        <w:r>
          <w:rPr>
            <w:webHidden/>
          </w:rPr>
          <w:tab/>
        </w:r>
        <w:r>
          <w:rPr>
            <w:webHidden/>
          </w:rPr>
          <w:fldChar w:fldCharType="begin"/>
        </w:r>
        <w:r>
          <w:rPr>
            <w:webHidden/>
          </w:rPr>
          <w:instrText xml:space="preserve"> PAGEREF _Toc184376932 \h </w:instrText>
        </w:r>
        <w:r>
          <w:rPr>
            <w:webHidden/>
          </w:rPr>
        </w:r>
        <w:r>
          <w:rPr>
            <w:webHidden/>
          </w:rPr>
          <w:fldChar w:fldCharType="separate"/>
        </w:r>
        <w:r w:rsidR="00E46161">
          <w:rPr>
            <w:webHidden/>
          </w:rPr>
          <w:t>14</w:t>
        </w:r>
        <w:r>
          <w:rPr>
            <w:webHidden/>
          </w:rPr>
          <w:fldChar w:fldCharType="end"/>
        </w:r>
      </w:hyperlink>
    </w:p>
    <w:p w14:paraId="20F1405C" w14:textId="1EFF4878" w:rsidR="009D12B0" w:rsidRDefault="009D12B0">
      <w:pPr>
        <w:pStyle w:val="TOC3"/>
        <w:rPr>
          <w:rFonts w:asciiTheme="minorHAnsi" w:eastAsiaTheme="minorEastAsia" w:hAnsiTheme="minorHAnsi" w:cstheme="minorBidi"/>
          <w:noProof/>
          <w:kern w:val="2"/>
          <w:sz w:val="24"/>
          <w:szCs w:val="24"/>
          <w:lang w:eastAsia="en-AU"/>
          <w14:ligatures w14:val="standardContextual"/>
        </w:rPr>
      </w:pPr>
      <w:hyperlink w:anchor="_Toc184376933" w:history="1">
        <w:r w:rsidRPr="0043737A">
          <w:rPr>
            <w:rStyle w:val="Hyperlink"/>
            <w:noProof/>
          </w:rPr>
          <w:t>Transfusion reactions and incidents</w:t>
        </w:r>
        <w:r>
          <w:rPr>
            <w:noProof/>
            <w:webHidden/>
          </w:rPr>
          <w:tab/>
        </w:r>
        <w:r>
          <w:rPr>
            <w:noProof/>
            <w:webHidden/>
          </w:rPr>
          <w:fldChar w:fldCharType="begin"/>
        </w:r>
        <w:r>
          <w:rPr>
            <w:noProof/>
            <w:webHidden/>
          </w:rPr>
          <w:instrText xml:space="preserve"> PAGEREF _Toc184376933 \h </w:instrText>
        </w:r>
        <w:r>
          <w:rPr>
            <w:noProof/>
            <w:webHidden/>
          </w:rPr>
        </w:r>
        <w:r>
          <w:rPr>
            <w:noProof/>
            <w:webHidden/>
          </w:rPr>
          <w:fldChar w:fldCharType="separate"/>
        </w:r>
        <w:r w:rsidR="00E46161">
          <w:rPr>
            <w:noProof/>
            <w:webHidden/>
          </w:rPr>
          <w:t>20</w:t>
        </w:r>
        <w:r>
          <w:rPr>
            <w:noProof/>
            <w:webHidden/>
          </w:rPr>
          <w:fldChar w:fldCharType="end"/>
        </w:r>
      </w:hyperlink>
    </w:p>
    <w:p w14:paraId="04D5F6EC" w14:textId="2AD9AE96" w:rsidR="007173CA" w:rsidRDefault="00CD504C" w:rsidP="00D079AA">
      <w:pPr>
        <w:pStyle w:val="Body"/>
      </w:pPr>
      <w:r>
        <w:rPr>
          <w:rFonts w:eastAsia="Times New Roman"/>
          <w:b/>
          <w:noProof/>
        </w:rPr>
        <w:fldChar w:fldCharType="end"/>
      </w:r>
    </w:p>
    <w:p w14:paraId="1F6E756E"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75F9B28A" w14:textId="3A73034E" w:rsidR="00EE29AD" w:rsidRDefault="00D00BBF" w:rsidP="00E261B3">
      <w:pPr>
        <w:pStyle w:val="Heading1"/>
      </w:pPr>
      <w:bookmarkStart w:id="0" w:name="_Toc184376918"/>
      <w:r w:rsidRPr="00D00BBF">
        <w:t>Introduction</w:t>
      </w:r>
      <w:bookmarkEnd w:id="0"/>
    </w:p>
    <w:p w14:paraId="6338A842" w14:textId="09D6CA84" w:rsidR="00D00BBF" w:rsidRPr="00EF1AF1" w:rsidRDefault="00D00BBF" w:rsidP="00D00BBF">
      <w:pPr>
        <w:pStyle w:val="Body"/>
        <w:rPr>
          <w:szCs w:val="21"/>
        </w:rPr>
      </w:pPr>
      <w:bookmarkStart w:id="1" w:name="_Toc438041276"/>
      <w:bookmarkStart w:id="2" w:name="_Toc60825647"/>
      <w:r w:rsidRPr="00EF1AF1">
        <w:rPr>
          <w:szCs w:val="21"/>
        </w:rPr>
        <w:t xml:space="preserve">The following is designed to provide some </w:t>
      </w:r>
      <w:r w:rsidR="003F3A21">
        <w:rPr>
          <w:szCs w:val="21"/>
        </w:rPr>
        <w:t>foundation</w:t>
      </w:r>
      <w:r w:rsidR="005E571E">
        <w:rPr>
          <w:szCs w:val="21"/>
        </w:rPr>
        <w:t>al</w:t>
      </w:r>
      <w:r w:rsidR="003F3A21">
        <w:rPr>
          <w:szCs w:val="21"/>
        </w:rPr>
        <w:t xml:space="preserve"> </w:t>
      </w:r>
      <w:r w:rsidR="00A72934">
        <w:rPr>
          <w:szCs w:val="21"/>
        </w:rPr>
        <w:t>knowledge for</w:t>
      </w:r>
      <w:r w:rsidRPr="00EF1AF1">
        <w:rPr>
          <w:szCs w:val="21"/>
        </w:rPr>
        <w:t xml:space="preserve"> the Transfusion </w:t>
      </w:r>
      <w:r w:rsidR="00210FA2">
        <w:rPr>
          <w:szCs w:val="21"/>
        </w:rPr>
        <w:t>Practitioner</w:t>
      </w:r>
      <w:r w:rsidR="00B027D5">
        <w:rPr>
          <w:szCs w:val="21"/>
        </w:rPr>
        <w:t xml:space="preserve"> role. </w:t>
      </w:r>
    </w:p>
    <w:p w14:paraId="678ABACF" w14:textId="7AF480C9" w:rsidR="00D00BBF" w:rsidRDefault="00D00BBF" w:rsidP="00D00BBF">
      <w:pPr>
        <w:pStyle w:val="Body"/>
        <w:rPr>
          <w:szCs w:val="21"/>
        </w:rPr>
      </w:pPr>
      <w:r w:rsidRPr="00EF1AF1">
        <w:rPr>
          <w:szCs w:val="21"/>
        </w:rPr>
        <w:t xml:space="preserve">If you need further </w:t>
      </w:r>
      <w:r w:rsidR="00442DD7" w:rsidRPr="00EF1AF1">
        <w:rPr>
          <w:szCs w:val="21"/>
        </w:rPr>
        <w:t>assistance,</w:t>
      </w:r>
      <w:r w:rsidRPr="00EF1AF1">
        <w:rPr>
          <w:szCs w:val="21"/>
        </w:rPr>
        <w:t xml:space="preserve"> contact the Blood Matters team </w:t>
      </w:r>
      <w:r w:rsidR="003F3A21">
        <w:rPr>
          <w:szCs w:val="21"/>
        </w:rPr>
        <w:t xml:space="preserve">via </w:t>
      </w:r>
      <w:r w:rsidRPr="00EF1AF1">
        <w:rPr>
          <w:szCs w:val="21"/>
        </w:rPr>
        <w:t xml:space="preserve">email </w:t>
      </w:r>
      <w:hyperlink r:id="rId16" w:history="1">
        <w:r w:rsidRPr="00EF1AF1">
          <w:rPr>
            <w:rStyle w:val="Hyperlink"/>
            <w:szCs w:val="21"/>
          </w:rPr>
          <w:t>bloodmatters@redcrossblood.org.au</w:t>
        </w:r>
      </w:hyperlink>
      <w:r w:rsidRPr="00EF1AF1">
        <w:rPr>
          <w:szCs w:val="21"/>
        </w:rPr>
        <w:t xml:space="preserve"> </w:t>
      </w:r>
    </w:p>
    <w:p w14:paraId="4B0623A3" w14:textId="77777777" w:rsidR="00E32F27" w:rsidRDefault="00E32F27" w:rsidP="00D00BBF">
      <w:pPr>
        <w:pStyle w:val="Body"/>
        <w:rPr>
          <w:szCs w:val="21"/>
        </w:rPr>
      </w:pPr>
    </w:p>
    <w:p w14:paraId="2F9FB25A" w14:textId="77777777" w:rsidR="00E32F27" w:rsidRDefault="00E32F27" w:rsidP="00D00BBF">
      <w:pPr>
        <w:pStyle w:val="Body"/>
        <w:rPr>
          <w:szCs w:val="21"/>
        </w:rPr>
      </w:pPr>
    </w:p>
    <w:p w14:paraId="476F07B7" w14:textId="77777777" w:rsidR="00C873FA" w:rsidRDefault="00C873FA" w:rsidP="00D00BBF">
      <w:pPr>
        <w:pStyle w:val="Body"/>
        <w:rPr>
          <w:szCs w:val="21"/>
        </w:rPr>
      </w:pPr>
    </w:p>
    <w:p w14:paraId="46F2A579" w14:textId="77777777" w:rsidR="00B55E79" w:rsidRPr="00B55E79" w:rsidRDefault="00B55E79" w:rsidP="00920F4C">
      <w:pPr>
        <w:pStyle w:val="Heading2"/>
      </w:pPr>
      <w:bookmarkStart w:id="3" w:name="_Toc184376919"/>
      <w:r w:rsidRPr="00B55E79">
        <w:rPr>
          <w:rFonts w:eastAsia="Times"/>
        </w:rPr>
        <w:lastRenderedPageBreak/>
        <w:t>Blood Matters program</w:t>
      </w:r>
      <w:bookmarkEnd w:id="3"/>
    </w:p>
    <w:p w14:paraId="0F81ADFE" w14:textId="35E20B5A" w:rsidR="00AE3C9C" w:rsidRDefault="00AE3C9C" w:rsidP="00210FA2">
      <w:pPr>
        <w:pStyle w:val="Body"/>
        <w:rPr>
          <w:szCs w:val="21"/>
        </w:rPr>
      </w:pPr>
      <w:r w:rsidRPr="00AE3C9C">
        <w:rPr>
          <w:szCs w:val="21"/>
        </w:rPr>
        <w:t>Blood Matters, guided by the values, vision, and priorities of the Victorian Department of Health, fosters collaboration to enhance best practices in managing blood and blood products. This includes sustainable, responsible, safe, and appropriate use of blood</w:t>
      </w:r>
      <w:r w:rsidR="004B68ED">
        <w:rPr>
          <w:szCs w:val="21"/>
        </w:rPr>
        <w:t xml:space="preserve"> and blood products</w:t>
      </w:r>
      <w:r w:rsidRPr="00AE3C9C">
        <w:rPr>
          <w:szCs w:val="21"/>
        </w:rPr>
        <w:t>, aimed at improving patient outcomes in Victoria.</w:t>
      </w:r>
    </w:p>
    <w:p w14:paraId="6E7DC139" w14:textId="2770B59F" w:rsidR="00B55E79" w:rsidRPr="00B55E79" w:rsidRDefault="00B55E79" w:rsidP="00210FA2">
      <w:pPr>
        <w:pStyle w:val="Body"/>
        <w:rPr>
          <w:szCs w:val="21"/>
        </w:rPr>
      </w:pPr>
      <w:bookmarkStart w:id="4" w:name="_Hlk176529743"/>
      <w:r w:rsidRPr="00B55E79">
        <w:rPr>
          <w:szCs w:val="21"/>
        </w:rPr>
        <w:t xml:space="preserve">Health services using blood and blood products </w:t>
      </w:r>
      <w:r w:rsidR="00B73006">
        <w:rPr>
          <w:szCs w:val="21"/>
        </w:rPr>
        <w:t xml:space="preserve">are </w:t>
      </w:r>
      <w:r w:rsidRPr="00B55E79">
        <w:rPr>
          <w:szCs w:val="21"/>
        </w:rPr>
        <w:t xml:space="preserve">accredited against the National Quality and Safety Health Service Standards, specifically the Blood Management </w:t>
      </w:r>
      <w:r w:rsidR="00C14EAF" w:rsidRPr="00B55E79">
        <w:rPr>
          <w:szCs w:val="21"/>
        </w:rPr>
        <w:t>Standard</w:t>
      </w:r>
      <w:r w:rsidR="005E571E">
        <w:rPr>
          <w:szCs w:val="21"/>
        </w:rPr>
        <w:t>. The</w:t>
      </w:r>
      <w:r w:rsidRPr="00B55E79">
        <w:rPr>
          <w:szCs w:val="21"/>
        </w:rPr>
        <w:t xml:space="preserve"> </w:t>
      </w:r>
      <w:r w:rsidR="00B73006">
        <w:rPr>
          <w:szCs w:val="21"/>
        </w:rPr>
        <w:t xml:space="preserve">Blood Matters </w:t>
      </w:r>
      <w:r w:rsidRPr="00B55E79">
        <w:rPr>
          <w:szCs w:val="21"/>
        </w:rPr>
        <w:t>program provides tools and resources to assist health services</w:t>
      </w:r>
      <w:r w:rsidR="00E44A13">
        <w:rPr>
          <w:szCs w:val="21"/>
        </w:rPr>
        <w:t xml:space="preserve"> to</w:t>
      </w:r>
      <w:r w:rsidRPr="00B55E79">
        <w:rPr>
          <w:szCs w:val="21"/>
        </w:rPr>
        <w:t xml:space="preserve"> meet the requirements of this standard. </w:t>
      </w:r>
      <w:bookmarkEnd w:id="4"/>
    </w:p>
    <w:p w14:paraId="696AACA1" w14:textId="77777777" w:rsidR="00B55E79" w:rsidRPr="00B55E79" w:rsidRDefault="00B55E79" w:rsidP="00B55E79">
      <w:pPr>
        <w:pStyle w:val="Body"/>
        <w:rPr>
          <w:szCs w:val="21"/>
        </w:rPr>
      </w:pPr>
      <w:r w:rsidRPr="00B55E79">
        <w:rPr>
          <w:szCs w:val="21"/>
        </w:rPr>
        <w:t xml:space="preserve">Tasmania, the Australian Capital Territory, and the Northern Territory collaborate with Blood Matters regularly through memorandums of understanding (MoU). </w:t>
      </w:r>
    </w:p>
    <w:p w14:paraId="1587CAA4" w14:textId="145B712C" w:rsidR="00AD4D03" w:rsidRDefault="00B55E79" w:rsidP="00920F4C">
      <w:pPr>
        <w:pStyle w:val="Body"/>
        <w:rPr>
          <w:szCs w:val="21"/>
        </w:rPr>
      </w:pPr>
      <w:r w:rsidRPr="00B55E79">
        <w:rPr>
          <w:szCs w:val="21"/>
        </w:rPr>
        <w:t xml:space="preserve">The Blood Matters </w:t>
      </w:r>
      <w:r w:rsidR="004A1090">
        <w:rPr>
          <w:szCs w:val="21"/>
        </w:rPr>
        <w:t>team consists of</w:t>
      </w:r>
      <w:r w:rsidRPr="00B55E79">
        <w:rPr>
          <w:szCs w:val="21"/>
        </w:rPr>
        <w:t xml:space="preserve"> a program manager, data and information managers, a transfusion nurse, a </w:t>
      </w:r>
      <w:r w:rsidR="004B68ED">
        <w:rPr>
          <w:szCs w:val="21"/>
        </w:rPr>
        <w:t>Patient Blood Management (</w:t>
      </w:r>
      <w:r w:rsidRPr="00B55E79">
        <w:rPr>
          <w:szCs w:val="21"/>
        </w:rPr>
        <w:t>PBM</w:t>
      </w:r>
      <w:r w:rsidR="004B68ED">
        <w:rPr>
          <w:szCs w:val="21"/>
        </w:rPr>
        <w:t>)</w:t>
      </w:r>
      <w:r w:rsidRPr="00B55E79">
        <w:rPr>
          <w:szCs w:val="21"/>
        </w:rPr>
        <w:t xml:space="preserve"> education coordinator</w:t>
      </w:r>
      <w:r w:rsidR="00E44A13">
        <w:rPr>
          <w:szCs w:val="21"/>
        </w:rPr>
        <w:t>, a nurse consultant</w:t>
      </w:r>
      <w:r w:rsidR="004A1090">
        <w:rPr>
          <w:szCs w:val="21"/>
        </w:rPr>
        <w:t>,</w:t>
      </w:r>
      <w:r w:rsidR="00E44A13">
        <w:rPr>
          <w:szCs w:val="21"/>
        </w:rPr>
        <w:t xml:space="preserve"> and a scientist</w:t>
      </w:r>
      <w:r w:rsidRPr="00B55E79">
        <w:rPr>
          <w:szCs w:val="21"/>
        </w:rPr>
        <w:t xml:space="preserve">. </w:t>
      </w:r>
      <w:bookmarkStart w:id="5" w:name="_Hlk176530102"/>
      <w:r w:rsidR="004A1090">
        <w:rPr>
          <w:szCs w:val="21"/>
        </w:rPr>
        <w:t xml:space="preserve">The </w:t>
      </w:r>
      <w:r w:rsidR="004A1090" w:rsidRPr="00B55E79">
        <w:rPr>
          <w:szCs w:val="21"/>
        </w:rPr>
        <w:t>Blood Matters Advisory Committee</w:t>
      </w:r>
      <w:r w:rsidR="004A1090">
        <w:rPr>
          <w:szCs w:val="21"/>
        </w:rPr>
        <w:t xml:space="preserve"> (</w:t>
      </w:r>
      <w:r w:rsidR="00C14EAF" w:rsidRPr="00B55E79">
        <w:rPr>
          <w:szCs w:val="21"/>
        </w:rPr>
        <w:t>BMAC)</w:t>
      </w:r>
      <w:r w:rsidR="00C14EAF">
        <w:rPr>
          <w:szCs w:val="21"/>
        </w:rPr>
        <w:t xml:space="preserve"> </w:t>
      </w:r>
      <w:r w:rsidR="00C14EAF" w:rsidRPr="00B55E79">
        <w:rPr>
          <w:szCs w:val="21"/>
        </w:rPr>
        <w:t>is</w:t>
      </w:r>
      <w:r w:rsidRPr="00B55E79">
        <w:rPr>
          <w:szCs w:val="21"/>
        </w:rPr>
        <w:t xml:space="preserve"> a multidisciplinary advisory</w:t>
      </w:r>
      <w:r w:rsidR="004A1090">
        <w:rPr>
          <w:szCs w:val="21"/>
        </w:rPr>
        <w:t xml:space="preserve"> and governance</w:t>
      </w:r>
      <w:r w:rsidRPr="00B55E79">
        <w:rPr>
          <w:szCs w:val="21"/>
        </w:rPr>
        <w:t xml:space="preserve"> committee</w:t>
      </w:r>
      <w:r w:rsidR="00001BF5">
        <w:rPr>
          <w:szCs w:val="21"/>
        </w:rPr>
        <w:t xml:space="preserve"> supporting the Blood Matters program.</w:t>
      </w:r>
      <w:r w:rsidR="004B68ED">
        <w:rPr>
          <w:szCs w:val="21"/>
        </w:rPr>
        <w:t xml:space="preserve"> For more information go to:</w:t>
      </w:r>
      <w:r w:rsidR="009D12B0">
        <w:rPr>
          <w:szCs w:val="21"/>
        </w:rPr>
        <w:t xml:space="preserve"> </w:t>
      </w:r>
      <w:hyperlink r:id="rId17" w:history="1">
        <w:r w:rsidR="009D12B0" w:rsidRPr="00E46161">
          <w:rPr>
            <w:rStyle w:val="Hyperlink"/>
            <w:szCs w:val="21"/>
          </w:rPr>
          <w:t>About the Blood Matters Program</w:t>
        </w:r>
      </w:hyperlink>
      <w:r w:rsidR="009D12B0" w:rsidRPr="00F635CB">
        <w:rPr>
          <w:rStyle w:val="Hyperlink"/>
          <w:szCs w:val="21"/>
        </w:rPr>
        <w:t xml:space="preserve"> </w:t>
      </w:r>
      <w:r w:rsidR="00AD4D03">
        <w:rPr>
          <w:szCs w:val="21"/>
        </w:rPr>
        <w:t>&lt;</w:t>
      </w:r>
      <w:r w:rsidR="00AD4D03" w:rsidRPr="00AD4D03">
        <w:t xml:space="preserve"> </w:t>
      </w:r>
      <w:r w:rsidR="009D12B0" w:rsidRPr="009D12B0">
        <w:rPr>
          <w:szCs w:val="21"/>
        </w:rPr>
        <w:t>https://www.health.vic.gov.au/patient-care/about-the-blood-matters-program</w:t>
      </w:r>
      <w:r w:rsidR="00AD4D03">
        <w:rPr>
          <w:szCs w:val="21"/>
        </w:rPr>
        <w:t>&gt;</w:t>
      </w:r>
    </w:p>
    <w:bookmarkEnd w:id="5"/>
    <w:p w14:paraId="3B3AD3F4" w14:textId="63EA6A5B" w:rsidR="00AD4D03" w:rsidRDefault="00880209" w:rsidP="000509C5">
      <w:pPr>
        <w:pStyle w:val="Heading3"/>
      </w:pPr>
      <w:r w:rsidRPr="00E922FA">
        <w:t>Audits</w:t>
      </w:r>
    </w:p>
    <w:p w14:paraId="59560591" w14:textId="0C66EC73" w:rsidR="00AD4D03" w:rsidRPr="00AD4D03" w:rsidRDefault="00AD4D03" w:rsidP="00AD4D03">
      <w:pPr>
        <w:pStyle w:val="Body"/>
        <w:rPr>
          <w:lang w:eastAsia="en-AU"/>
        </w:rPr>
      </w:pPr>
      <w:r>
        <w:rPr>
          <w:lang w:eastAsia="en-AU"/>
        </w:rPr>
        <w:t xml:space="preserve">Blood Matters conducts an annual audit focusing on </w:t>
      </w:r>
      <w:r w:rsidRPr="00AD4D03">
        <w:rPr>
          <w:lang w:eastAsia="en-AU"/>
        </w:rPr>
        <w:t>topical issues</w:t>
      </w:r>
      <w:r>
        <w:rPr>
          <w:lang w:eastAsia="en-AU"/>
        </w:rPr>
        <w:t xml:space="preserve"> in transfusion</w:t>
      </w:r>
      <w:r w:rsidRPr="00AD4D03">
        <w:rPr>
          <w:lang w:eastAsia="en-AU"/>
        </w:rPr>
        <w:t>, including blood use, policy, procedure and administrative practices, and anaemia assessment.</w:t>
      </w:r>
    </w:p>
    <w:p w14:paraId="4131B076" w14:textId="7E8F777A" w:rsidR="00AD4D03" w:rsidRPr="000F42F4" w:rsidRDefault="00AD4D03" w:rsidP="00AD4D03">
      <w:pPr>
        <w:spacing w:after="0" w:line="240" w:lineRule="auto"/>
      </w:pPr>
      <w:r w:rsidRPr="00DD4316">
        <w:rPr>
          <w:rFonts w:cs="Arial"/>
          <w:szCs w:val="21"/>
          <w:lang w:eastAsia="en-AU"/>
        </w:rPr>
        <w:t xml:space="preserve">On completion of these audits, Blood Matters </w:t>
      </w:r>
      <w:proofErr w:type="spellStart"/>
      <w:r w:rsidRPr="00DD4316">
        <w:rPr>
          <w:rFonts w:cs="Arial"/>
          <w:szCs w:val="21"/>
          <w:lang w:eastAsia="en-AU"/>
        </w:rPr>
        <w:t>anal</w:t>
      </w:r>
      <w:r w:rsidR="00861546">
        <w:rPr>
          <w:rFonts w:cs="Arial"/>
          <w:szCs w:val="21"/>
          <w:lang w:eastAsia="en-AU"/>
        </w:rPr>
        <w:t>i</w:t>
      </w:r>
      <w:r w:rsidRPr="00DD4316">
        <w:rPr>
          <w:rFonts w:cs="Arial"/>
          <w:szCs w:val="21"/>
          <w:lang w:eastAsia="en-AU"/>
        </w:rPr>
        <w:t>ses</w:t>
      </w:r>
      <w:proofErr w:type="spellEnd"/>
      <w:r w:rsidRPr="00DD4316">
        <w:rPr>
          <w:rFonts w:cs="Arial"/>
          <w:szCs w:val="21"/>
          <w:lang w:eastAsia="en-AU"/>
        </w:rPr>
        <w:t xml:space="preserve"> the data and disseminates the findings across the sector to raise awareness, influence practice, promote efficiencies, and provide value. Completed audits can assist health services to update and improve their own policies and procedures to ensure best practice.</w:t>
      </w:r>
    </w:p>
    <w:p w14:paraId="2EF9283C" w14:textId="77777777" w:rsidR="00AD4D03" w:rsidRDefault="00AD4D03" w:rsidP="00AD4D03">
      <w:pPr>
        <w:spacing w:after="0" w:line="240" w:lineRule="auto"/>
        <w:rPr>
          <w:rFonts w:cs="Arial"/>
          <w:color w:val="2A2736"/>
          <w:szCs w:val="21"/>
          <w:lang w:eastAsia="en-AU"/>
        </w:rPr>
      </w:pPr>
    </w:p>
    <w:p w14:paraId="12C7368D" w14:textId="491948D4" w:rsidR="00AD4D03" w:rsidRPr="00AD4D03" w:rsidRDefault="00AD4D03" w:rsidP="00AD4D03">
      <w:pPr>
        <w:spacing w:after="0" w:line="240" w:lineRule="auto"/>
        <w:rPr>
          <w:rFonts w:cs="Arial"/>
          <w:color w:val="2A2736"/>
          <w:szCs w:val="21"/>
          <w:lang w:eastAsia="en-AU"/>
        </w:rPr>
      </w:pPr>
      <w:hyperlink r:id="rId18" w:history="1">
        <w:r w:rsidRPr="00F635CB">
          <w:rPr>
            <w:rStyle w:val="Hyperlink"/>
            <w:rFonts w:eastAsia="Times"/>
            <w:szCs w:val="21"/>
          </w:rPr>
          <w:t>Blood Matters audits | health.vic.gov.au</w:t>
        </w:r>
      </w:hyperlink>
      <w:r w:rsidRPr="00F635CB">
        <w:rPr>
          <w:rStyle w:val="Hyperlink"/>
          <w:rFonts w:eastAsia="Times"/>
          <w:szCs w:val="21"/>
        </w:rPr>
        <w:t xml:space="preserve"> </w:t>
      </w:r>
      <w:r>
        <w:t>&lt;</w:t>
      </w:r>
      <w:r w:rsidRPr="00AD4D03">
        <w:rPr>
          <w:rFonts w:cs="Arial"/>
          <w:color w:val="2A2736"/>
          <w:szCs w:val="21"/>
          <w:lang w:eastAsia="en-AU"/>
        </w:rPr>
        <w:t>https://www.health.vic.gov.au/patient-care/blood-matters-audits</w:t>
      </w:r>
      <w:r>
        <w:rPr>
          <w:rFonts w:cs="Arial"/>
          <w:color w:val="2A2736"/>
          <w:szCs w:val="21"/>
          <w:lang w:eastAsia="en-AU"/>
        </w:rPr>
        <w:t>&gt;</w:t>
      </w:r>
    </w:p>
    <w:p w14:paraId="0CDF79E8" w14:textId="6D2202FE" w:rsidR="00AD4D03" w:rsidRPr="00DD4316" w:rsidRDefault="00AD4D03" w:rsidP="00AD4D03">
      <w:pPr>
        <w:spacing w:before="100" w:beforeAutospacing="1" w:after="100" w:afterAutospacing="1" w:line="240" w:lineRule="auto"/>
        <w:rPr>
          <w:rFonts w:cs="Arial"/>
          <w:szCs w:val="21"/>
          <w:lang w:eastAsia="en-AU"/>
        </w:rPr>
      </w:pPr>
      <w:r w:rsidRPr="00DD4316">
        <w:rPr>
          <w:rFonts w:cs="Arial"/>
          <w:szCs w:val="21"/>
          <w:lang w:eastAsia="en-AU"/>
        </w:rPr>
        <w:t>Blood Matters has developed audit tools and data collection templates to assist health services when collecting data on transfusion practice.</w:t>
      </w:r>
    </w:p>
    <w:p w14:paraId="748A014C" w14:textId="5026F118" w:rsidR="00AD4D03" w:rsidRPr="00DD4316" w:rsidRDefault="00AD4D03" w:rsidP="00AD4D03">
      <w:pPr>
        <w:spacing w:before="100" w:beforeAutospacing="1" w:after="100" w:afterAutospacing="1" w:line="240" w:lineRule="auto"/>
        <w:rPr>
          <w:rFonts w:cs="Arial"/>
          <w:szCs w:val="21"/>
          <w:lang w:eastAsia="en-AU"/>
        </w:rPr>
      </w:pPr>
      <w:r w:rsidRPr="00F635CB">
        <w:rPr>
          <w:rStyle w:val="Hyperlink"/>
          <w:rFonts w:eastAsia="Times"/>
          <w:szCs w:val="21"/>
        </w:rPr>
        <w:t xml:space="preserve">Audit and </w:t>
      </w:r>
      <w:hyperlink r:id="rId19" w:history="1">
        <w:r w:rsidRPr="00E46161">
          <w:rPr>
            <w:rStyle w:val="Hyperlink"/>
            <w:rFonts w:eastAsia="Times"/>
            <w:szCs w:val="21"/>
          </w:rPr>
          <w:t>data</w:t>
        </w:r>
      </w:hyperlink>
      <w:r w:rsidRPr="00F635CB">
        <w:rPr>
          <w:rStyle w:val="Hyperlink"/>
          <w:rFonts w:eastAsia="Times"/>
          <w:szCs w:val="21"/>
        </w:rPr>
        <w:t xml:space="preserve"> collection </w:t>
      </w:r>
      <w:r w:rsidR="00F635CB" w:rsidRPr="00F635CB">
        <w:rPr>
          <w:rStyle w:val="Hyperlink"/>
          <w:rFonts w:eastAsia="Times"/>
          <w:szCs w:val="21"/>
        </w:rPr>
        <w:t xml:space="preserve">| </w:t>
      </w:r>
      <w:r w:rsidRPr="00F635CB">
        <w:rPr>
          <w:rStyle w:val="Hyperlink"/>
          <w:rFonts w:eastAsia="Times"/>
          <w:szCs w:val="21"/>
        </w:rPr>
        <w:t xml:space="preserve">health.vic.gov.au </w:t>
      </w:r>
      <w:r>
        <w:t>&lt;</w:t>
      </w:r>
      <w:r w:rsidR="00417CFD" w:rsidRPr="00DD4316">
        <w:t>https://www.health.vic.gov.au/patient-care/audit-and-data-collection</w:t>
      </w:r>
      <w:r w:rsidRPr="00DD4316">
        <w:rPr>
          <w:rFonts w:cs="Arial"/>
          <w:szCs w:val="21"/>
          <w:lang w:eastAsia="en-AU"/>
        </w:rPr>
        <w:t>&gt;</w:t>
      </w:r>
    </w:p>
    <w:p w14:paraId="56707AFD" w14:textId="0E813B6C" w:rsidR="00B55E79" w:rsidRPr="00920F4C" w:rsidRDefault="00B55E79" w:rsidP="000509C5">
      <w:pPr>
        <w:pStyle w:val="Heading3"/>
      </w:pPr>
      <w:r w:rsidRPr="00920F4C">
        <w:t>Education</w:t>
      </w:r>
    </w:p>
    <w:p w14:paraId="342B1D3F" w14:textId="60E78B17" w:rsidR="00B55E79" w:rsidRPr="00B027D5" w:rsidRDefault="00B55E79" w:rsidP="00B55E79">
      <w:pPr>
        <w:pStyle w:val="Body"/>
        <w:rPr>
          <w:szCs w:val="21"/>
        </w:rPr>
      </w:pPr>
      <w:r w:rsidRPr="00B027D5">
        <w:rPr>
          <w:szCs w:val="21"/>
        </w:rPr>
        <w:t>Blood Matters provide</w:t>
      </w:r>
      <w:r w:rsidR="00E922FA" w:rsidRPr="00B027D5">
        <w:rPr>
          <w:szCs w:val="21"/>
        </w:rPr>
        <w:t>s</w:t>
      </w:r>
      <w:r w:rsidRPr="00B027D5">
        <w:rPr>
          <w:szCs w:val="21"/>
        </w:rPr>
        <w:t xml:space="preserve"> education </w:t>
      </w:r>
      <w:r w:rsidR="006050AD" w:rsidRPr="00B027D5">
        <w:rPr>
          <w:szCs w:val="21"/>
        </w:rPr>
        <w:t xml:space="preserve">for </w:t>
      </w:r>
      <w:r w:rsidRPr="00B027D5">
        <w:rPr>
          <w:szCs w:val="21"/>
        </w:rPr>
        <w:t>clinical staff (nursing and medical) virtually and face-to-face</w:t>
      </w:r>
      <w:r w:rsidR="00994221" w:rsidRPr="00B027D5">
        <w:rPr>
          <w:szCs w:val="21"/>
        </w:rPr>
        <w:t>.</w:t>
      </w:r>
      <w:r w:rsidR="00880209" w:rsidRPr="00B027D5">
        <w:rPr>
          <w:szCs w:val="21"/>
        </w:rPr>
        <w:t xml:space="preserve"> </w:t>
      </w:r>
      <w:r w:rsidR="00001BF5" w:rsidRPr="00B027D5">
        <w:rPr>
          <w:szCs w:val="21"/>
        </w:rPr>
        <w:t xml:space="preserve">Twice yearly </w:t>
      </w:r>
      <w:r w:rsidR="00324C52" w:rsidRPr="00B027D5">
        <w:rPr>
          <w:szCs w:val="21"/>
        </w:rPr>
        <w:t>the Blood Matters team conduct</w:t>
      </w:r>
      <w:r w:rsidR="00E922FA" w:rsidRPr="00B027D5">
        <w:rPr>
          <w:szCs w:val="21"/>
        </w:rPr>
        <w:t>s</w:t>
      </w:r>
      <w:r w:rsidR="00324C52" w:rsidRPr="00B027D5">
        <w:rPr>
          <w:szCs w:val="21"/>
        </w:rPr>
        <w:t xml:space="preserve"> </w:t>
      </w:r>
      <w:r w:rsidR="00001BF5" w:rsidRPr="00B027D5">
        <w:rPr>
          <w:szCs w:val="21"/>
        </w:rPr>
        <w:t>a</w:t>
      </w:r>
      <w:r w:rsidR="00A72934" w:rsidRPr="00B027D5">
        <w:rPr>
          <w:szCs w:val="21"/>
        </w:rPr>
        <w:t xml:space="preserve"> </w:t>
      </w:r>
      <w:r w:rsidR="00324C52" w:rsidRPr="00B027D5">
        <w:rPr>
          <w:szCs w:val="21"/>
        </w:rPr>
        <w:t xml:space="preserve">virtual education </w:t>
      </w:r>
      <w:r w:rsidR="00A72934" w:rsidRPr="00B027D5">
        <w:rPr>
          <w:szCs w:val="21"/>
        </w:rPr>
        <w:t>s</w:t>
      </w:r>
      <w:r w:rsidR="002A5C50" w:rsidRPr="00B027D5">
        <w:rPr>
          <w:szCs w:val="21"/>
        </w:rPr>
        <w:t xml:space="preserve">eries </w:t>
      </w:r>
      <w:r w:rsidR="00324C52" w:rsidRPr="00B027D5">
        <w:rPr>
          <w:szCs w:val="21"/>
        </w:rPr>
        <w:t xml:space="preserve">covering the basics of </w:t>
      </w:r>
      <w:r w:rsidR="00001BF5" w:rsidRPr="00B027D5">
        <w:rPr>
          <w:szCs w:val="21"/>
        </w:rPr>
        <w:t xml:space="preserve">blood management and </w:t>
      </w:r>
      <w:r w:rsidR="00324C52" w:rsidRPr="00B027D5">
        <w:rPr>
          <w:szCs w:val="21"/>
        </w:rPr>
        <w:t xml:space="preserve">safe </w:t>
      </w:r>
      <w:r w:rsidR="00001BF5" w:rsidRPr="00B027D5">
        <w:rPr>
          <w:szCs w:val="21"/>
        </w:rPr>
        <w:t xml:space="preserve">transfusion </w:t>
      </w:r>
      <w:r w:rsidR="00324C52" w:rsidRPr="00B027D5">
        <w:rPr>
          <w:szCs w:val="21"/>
        </w:rPr>
        <w:t>practice. This education</w:t>
      </w:r>
      <w:r w:rsidR="00001BF5" w:rsidRPr="00B027D5">
        <w:rPr>
          <w:szCs w:val="21"/>
        </w:rPr>
        <w:t xml:space="preserve"> is open </w:t>
      </w:r>
      <w:r w:rsidRPr="00B027D5">
        <w:rPr>
          <w:szCs w:val="21"/>
        </w:rPr>
        <w:t xml:space="preserve">to </w:t>
      </w:r>
      <w:r w:rsidR="00001BF5" w:rsidRPr="00B027D5">
        <w:rPr>
          <w:szCs w:val="21"/>
        </w:rPr>
        <w:t xml:space="preserve">all </w:t>
      </w:r>
      <w:r w:rsidR="006A37E9" w:rsidRPr="00B027D5">
        <w:rPr>
          <w:szCs w:val="21"/>
        </w:rPr>
        <w:t>clinicians but</w:t>
      </w:r>
      <w:r w:rsidR="00324C52" w:rsidRPr="00B027D5">
        <w:rPr>
          <w:szCs w:val="21"/>
        </w:rPr>
        <w:t xml:space="preserve"> is aimed at clinical nursing staff</w:t>
      </w:r>
      <w:r w:rsidRPr="00B027D5">
        <w:rPr>
          <w:szCs w:val="21"/>
        </w:rPr>
        <w:t xml:space="preserve">. A </w:t>
      </w:r>
      <w:r w:rsidR="00A72934" w:rsidRPr="00B027D5">
        <w:rPr>
          <w:szCs w:val="21"/>
        </w:rPr>
        <w:t xml:space="preserve">focused </w:t>
      </w:r>
      <w:r w:rsidRPr="00B027D5">
        <w:rPr>
          <w:szCs w:val="21"/>
        </w:rPr>
        <w:t xml:space="preserve">series for maternity care and an </w:t>
      </w:r>
      <w:r w:rsidR="00AE3C9C" w:rsidRPr="00B027D5">
        <w:rPr>
          <w:szCs w:val="21"/>
        </w:rPr>
        <w:t>e</w:t>
      </w:r>
      <w:r w:rsidRPr="00B027D5">
        <w:rPr>
          <w:szCs w:val="21"/>
        </w:rPr>
        <w:t xml:space="preserve">nrolled nurse study day is </w:t>
      </w:r>
      <w:r w:rsidR="00A72934" w:rsidRPr="00B027D5">
        <w:rPr>
          <w:szCs w:val="21"/>
        </w:rPr>
        <w:t xml:space="preserve">also </w:t>
      </w:r>
      <w:r w:rsidRPr="00B027D5">
        <w:rPr>
          <w:szCs w:val="21"/>
        </w:rPr>
        <w:t>available annually</w:t>
      </w:r>
      <w:r w:rsidR="00A72934" w:rsidRPr="00B027D5">
        <w:rPr>
          <w:szCs w:val="21"/>
        </w:rPr>
        <w:t>.</w:t>
      </w:r>
    </w:p>
    <w:p w14:paraId="750DC27D" w14:textId="154B7BB5" w:rsidR="00B55E79" w:rsidRPr="00B027D5" w:rsidRDefault="00B55E79" w:rsidP="00B55E79">
      <w:pPr>
        <w:pStyle w:val="Body"/>
        <w:rPr>
          <w:szCs w:val="21"/>
        </w:rPr>
      </w:pPr>
      <w:r w:rsidRPr="00B027D5">
        <w:rPr>
          <w:szCs w:val="21"/>
        </w:rPr>
        <w:t xml:space="preserve">If you have any questions about when sessions are </w:t>
      </w:r>
      <w:r w:rsidR="00A72934" w:rsidRPr="00B027D5">
        <w:rPr>
          <w:szCs w:val="21"/>
        </w:rPr>
        <w:t>scheduled</w:t>
      </w:r>
      <w:r w:rsidRPr="00B027D5">
        <w:rPr>
          <w:szCs w:val="21"/>
        </w:rPr>
        <w:t xml:space="preserve"> or wish Blood Matters to attend a study day at your health service, please contact the team. Contact details at </w:t>
      </w:r>
      <w:hyperlink r:id="rId20" w:history="1">
        <w:r w:rsidR="000F42F4" w:rsidRPr="00B027D5">
          <w:rPr>
            <w:rStyle w:val="Hyperlink"/>
            <w:szCs w:val="21"/>
          </w:rPr>
          <w:t>Blood Matters Program contacts</w:t>
        </w:r>
      </w:hyperlink>
      <w:r w:rsidR="000F42F4" w:rsidRPr="00B027D5">
        <w:rPr>
          <w:rStyle w:val="Hyperlink"/>
          <w:szCs w:val="21"/>
        </w:rPr>
        <w:t xml:space="preserve">  </w:t>
      </w:r>
      <w:r w:rsidR="000F42F4" w:rsidRPr="000509C5">
        <w:t>&lt;https://www.health.vic.gov.au/patient-care/blood-matters-program-contacts&gt;</w:t>
      </w:r>
    </w:p>
    <w:p w14:paraId="2BEB35FD" w14:textId="33FABDB9" w:rsidR="00B55E79" w:rsidRPr="003F3A21" w:rsidRDefault="00B55E79" w:rsidP="000509C5">
      <w:pPr>
        <w:pStyle w:val="Heading3"/>
      </w:pPr>
      <w:r w:rsidRPr="003F3A21">
        <w:t xml:space="preserve">Serious Transfusion Incident Reporting </w:t>
      </w:r>
    </w:p>
    <w:p w14:paraId="1F6F3D2B" w14:textId="0BD57E7D" w:rsidR="00880209" w:rsidRPr="00880209" w:rsidRDefault="00880209" w:rsidP="00880209">
      <w:pPr>
        <w:pStyle w:val="Body"/>
        <w:rPr>
          <w:szCs w:val="21"/>
        </w:rPr>
      </w:pPr>
      <w:r w:rsidRPr="00880209">
        <w:rPr>
          <w:szCs w:val="21"/>
        </w:rPr>
        <w:t>The Blood Matters Serious Transfusion Incidents Reporting system (STIR) is a central reporting system for Victorian health services to report serious adverse transfusion events,</w:t>
      </w:r>
      <w:r>
        <w:rPr>
          <w:szCs w:val="21"/>
        </w:rPr>
        <w:t xml:space="preserve"> including near miss events</w:t>
      </w:r>
      <w:r w:rsidR="006050AD">
        <w:rPr>
          <w:szCs w:val="21"/>
        </w:rPr>
        <w:t xml:space="preserve">. All reported incidents </w:t>
      </w:r>
      <w:r w:rsidRPr="00880209">
        <w:rPr>
          <w:szCs w:val="21"/>
        </w:rPr>
        <w:t>are assessed by an expert group.</w:t>
      </w:r>
      <w:r w:rsidR="00E922FA">
        <w:rPr>
          <w:szCs w:val="21"/>
        </w:rPr>
        <w:t xml:space="preserve"> Under a memorandum of understanding, health services in </w:t>
      </w:r>
      <w:r w:rsidR="00E922FA" w:rsidRPr="00B55E79">
        <w:rPr>
          <w:szCs w:val="21"/>
        </w:rPr>
        <w:t>Tasmania, the Australian Capital Territory, and the Northern Territory</w:t>
      </w:r>
      <w:r w:rsidR="00E922FA">
        <w:rPr>
          <w:szCs w:val="21"/>
        </w:rPr>
        <w:t xml:space="preserve"> also report into STIR.</w:t>
      </w:r>
    </w:p>
    <w:p w14:paraId="098A7058" w14:textId="70162848" w:rsidR="00880209" w:rsidRPr="00B027D5" w:rsidRDefault="00880209" w:rsidP="00880209">
      <w:pPr>
        <w:pStyle w:val="Body"/>
        <w:rPr>
          <w:szCs w:val="21"/>
        </w:rPr>
      </w:pPr>
      <w:r w:rsidRPr="00B027D5">
        <w:rPr>
          <w:szCs w:val="21"/>
        </w:rPr>
        <w:lastRenderedPageBreak/>
        <w:t>STIR publishes an annual report on de-identified reported serious events</w:t>
      </w:r>
      <w:r w:rsidR="00567AAF" w:rsidRPr="00B027D5">
        <w:rPr>
          <w:szCs w:val="21"/>
        </w:rPr>
        <w:t>. In addition, the data is used to</w:t>
      </w:r>
      <w:r w:rsidRPr="00B027D5">
        <w:rPr>
          <w:szCs w:val="21"/>
        </w:rPr>
        <w:t xml:space="preserve"> report transfusion incident data to the </w:t>
      </w:r>
      <w:r w:rsidR="006050AD" w:rsidRPr="00B027D5">
        <w:rPr>
          <w:szCs w:val="21"/>
        </w:rPr>
        <w:t>National Blood Authority (</w:t>
      </w:r>
      <w:r w:rsidRPr="00B027D5">
        <w:rPr>
          <w:szCs w:val="21"/>
        </w:rPr>
        <w:t>NBA</w:t>
      </w:r>
      <w:r w:rsidR="006050AD" w:rsidRPr="00B027D5">
        <w:rPr>
          <w:szCs w:val="21"/>
        </w:rPr>
        <w:t>)</w:t>
      </w:r>
      <w:r w:rsidRPr="00B027D5">
        <w:rPr>
          <w:szCs w:val="21"/>
        </w:rPr>
        <w:t xml:space="preserve"> Haemovigilance program. The NBA publish a report of national data, the Australian Haemovigilance Report. </w:t>
      </w:r>
    </w:p>
    <w:p w14:paraId="019A0424" w14:textId="1D144B2B" w:rsidR="00880209" w:rsidRPr="00B027D5" w:rsidRDefault="00880209" w:rsidP="00880209">
      <w:pPr>
        <w:pStyle w:val="Body"/>
        <w:rPr>
          <w:szCs w:val="21"/>
        </w:rPr>
      </w:pPr>
      <w:r w:rsidRPr="00B027D5">
        <w:rPr>
          <w:szCs w:val="21"/>
        </w:rPr>
        <w:t xml:space="preserve">A guide for when to report incidents and reactions can be found at Blood Matters: </w:t>
      </w:r>
      <w:hyperlink r:id="rId21" w:history="1">
        <w:r w:rsidRPr="00B027D5">
          <w:rPr>
            <w:rStyle w:val="Hyperlink"/>
            <w:szCs w:val="21"/>
          </w:rPr>
          <w:t>Serious Transfusion Incident Reporting guide</w:t>
        </w:r>
      </w:hyperlink>
      <w:r w:rsidRPr="00B027D5">
        <w:rPr>
          <w:szCs w:val="21"/>
        </w:rPr>
        <w:t xml:space="preserve"> &lt;https://www.health.vic.gov.au/publications/blood-matters-serious-transfusion-incident-reporting-guide&gt;</w:t>
      </w:r>
    </w:p>
    <w:p w14:paraId="2B1974C9" w14:textId="00FC09AD" w:rsidR="00711AE8" w:rsidRPr="00B027D5" w:rsidRDefault="00711AE8" w:rsidP="00B55E79">
      <w:pPr>
        <w:pStyle w:val="Body"/>
        <w:rPr>
          <w:szCs w:val="21"/>
        </w:rPr>
      </w:pPr>
      <w:r w:rsidRPr="00B027D5">
        <w:rPr>
          <w:szCs w:val="21"/>
        </w:rPr>
        <w:t>H</w:t>
      </w:r>
      <w:r w:rsidR="00B55E79" w:rsidRPr="00B027D5">
        <w:rPr>
          <w:szCs w:val="21"/>
        </w:rPr>
        <w:t>ealth service</w:t>
      </w:r>
      <w:r w:rsidR="00324C52" w:rsidRPr="00B027D5">
        <w:rPr>
          <w:szCs w:val="21"/>
        </w:rPr>
        <w:t>s</w:t>
      </w:r>
      <w:r w:rsidR="00B55E79" w:rsidRPr="00B027D5">
        <w:rPr>
          <w:szCs w:val="21"/>
        </w:rPr>
        <w:t xml:space="preserve"> </w:t>
      </w:r>
      <w:r w:rsidRPr="00B027D5">
        <w:rPr>
          <w:szCs w:val="21"/>
        </w:rPr>
        <w:t xml:space="preserve">reporting to the system require a health service </w:t>
      </w:r>
      <w:r w:rsidR="00B55E79" w:rsidRPr="00B027D5">
        <w:rPr>
          <w:szCs w:val="21"/>
        </w:rPr>
        <w:t>code</w:t>
      </w:r>
      <w:r w:rsidRPr="00B027D5">
        <w:rPr>
          <w:szCs w:val="21"/>
        </w:rPr>
        <w:t>.</w:t>
      </w:r>
      <w:r w:rsidR="00B55E79" w:rsidRPr="00B027D5">
        <w:rPr>
          <w:szCs w:val="21"/>
        </w:rPr>
        <w:t xml:space="preserve"> </w:t>
      </w:r>
      <w:r w:rsidRPr="00B027D5">
        <w:rPr>
          <w:szCs w:val="21"/>
        </w:rPr>
        <w:t>C</w:t>
      </w:r>
      <w:r w:rsidR="00B55E79" w:rsidRPr="00B027D5">
        <w:rPr>
          <w:szCs w:val="21"/>
        </w:rPr>
        <w:t>ontact Blood Matters</w:t>
      </w:r>
      <w:r w:rsidR="0045364F">
        <w:rPr>
          <w:szCs w:val="21"/>
        </w:rPr>
        <w:t xml:space="preserve"> </w:t>
      </w:r>
      <w:r w:rsidR="00861546">
        <w:rPr>
          <w:szCs w:val="21"/>
        </w:rPr>
        <w:t xml:space="preserve">email </w:t>
      </w:r>
      <w:hyperlink r:id="rId22" w:history="1">
        <w:r w:rsidR="00861546" w:rsidRPr="00861546">
          <w:rPr>
            <w:rStyle w:val="Hyperlink"/>
            <w:szCs w:val="21"/>
          </w:rPr>
          <w:t>bloodmatters@redcrossblood.org.au</w:t>
        </w:r>
      </w:hyperlink>
      <w:r w:rsidR="00B55E79" w:rsidRPr="00B027D5">
        <w:rPr>
          <w:szCs w:val="21"/>
        </w:rPr>
        <w:t xml:space="preserve"> to obtain </w:t>
      </w:r>
      <w:r w:rsidR="00953AE9" w:rsidRPr="00B027D5">
        <w:rPr>
          <w:szCs w:val="21"/>
        </w:rPr>
        <w:t>a</w:t>
      </w:r>
      <w:r w:rsidR="00B55E79" w:rsidRPr="00B027D5">
        <w:rPr>
          <w:szCs w:val="21"/>
        </w:rPr>
        <w:t xml:space="preserve"> code if </w:t>
      </w:r>
      <w:r w:rsidRPr="00B027D5">
        <w:rPr>
          <w:szCs w:val="21"/>
        </w:rPr>
        <w:t>your health service does</w:t>
      </w:r>
      <w:r w:rsidR="00B55E79" w:rsidRPr="00B027D5">
        <w:rPr>
          <w:szCs w:val="21"/>
        </w:rPr>
        <w:t xml:space="preserve"> not have one. </w:t>
      </w:r>
    </w:p>
    <w:p w14:paraId="31DDD970" w14:textId="2DCFD04B" w:rsidR="00880209" w:rsidRPr="00B027D5" w:rsidRDefault="009D4591" w:rsidP="00B55E79">
      <w:pPr>
        <w:pStyle w:val="Body"/>
        <w:rPr>
          <w:szCs w:val="21"/>
        </w:rPr>
      </w:pPr>
      <w:r w:rsidRPr="00B027D5">
        <w:rPr>
          <w:szCs w:val="21"/>
        </w:rPr>
        <w:t xml:space="preserve">Health services notify STIR of an event via the </w:t>
      </w:r>
      <w:hyperlink r:id="rId23" w:history="1">
        <w:r w:rsidRPr="00B027D5">
          <w:rPr>
            <w:rStyle w:val="Hyperlink"/>
            <w:szCs w:val="21"/>
          </w:rPr>
          <w:t>notification e-form</w:t>
        </w:r>
      </w:hyperlink>
      <w:r w:rsidRPr="00B027D5">
        <w:rPr>
          <w:szCs w:val="21"/>
        </w:rPr>
        <w:t xml:space="preserve"> linked on the Blood Matters </w:t>
      </w:r>
      <w:hyperlink r:id="rId24" w:history="1">
        <w:r w:rsidR="00841A03" w:rsidRPr="00841A03">
          <w:rPr>
            <w:rStyle w:val="Hyperlink"/>
            <w:szCs w:val="21"/>
          </w:rPr>
          <w:t>STIR</w:t>
        </w:r>
      </w:hyperlink>
      <w:r w:rsidR="00841A03">
        <w:rPr>
          <w:szCs w:val="21"/>
        </w:rPr>
        <w:t xml:space="preserve"> </w:t>
      </w:r>
      <w:r w:rsidRPr="00B027D5">
        <w:rPr>
          <w:szCs w:val="21"/>
        </w:rPr>
        <w:t>web</w:t>
      </w:r>
      <w:r w:rsidR="00CA1C00" w:rsidRPr="00B027D5">
        <w:rPr>
          <w:szCs w:val="21"/>
        </w:rPr>
        <w:t>page</w:t>
      </w:r>
      <w:r w:rsidRPr="00B027D5">
        <w:rPr>
          <w:szCs w:val="21"/>
        </w:rPr>
        <w:t xml:space="preserve"> &lt;https://stir.transfusion.com.au&gt;. </w:t>
      </w:r>
      <w:r w:rsidR="00AE0DCA" w:rsidRPr="00B027D5">
        <w:rPr>
          <w:szCs w:val="21"/>
        </w:rPr>
        <w:t>A</w:t>
      </w:r>
      <w:r w:rsidR="00711AE8" w:rsidRPr="00B027D5">
        <w:rPr>
          <w:szCs w:val="21"/>
        </w:rPr>
        <w:t xml:space="preserve">n investigation form is </w:t>
      </w:r>
      <w:r w:rsidRPr="00B027D5">
        <w:rPr>
          <w:szCs w:val="21"/>
        </w:rPr>
        <w:t xml:space="preserve">then </w:t>
      </w:r>
      <w:r w:rsidR="00324C52" w:rsidRPr="00B027D5">
        <w:rPr>
          <w:szCs w:val="21"/>
        </w:rPr>
        <w:t>emailed</w:t>
      </w:r>
      <w:r w:rsidRPr="00B027D5">
        <w:rPr>
          <w:szCs w:val="21"/>
        </w:rPr>
        <w:t xml:space="preserve"> to the reporter</w:t>
      </w:r>
      <w:r w:rsidR="00711AE8" w:rsidRPr="00B027D5">
        <w:rPr>
          <w:szCs w:val="21"/>
        </w:rPr>
        <w:t xml:space="preserve"> </w:t>
      </w:r>
      <w:r w:rsidR="00324C52" w:rsidRPr="00B027D5">
        <w:rPr>
          <w:szCs w:val="21"/>
        </w:rPr>
        <w:t xml:space="preserve">to </w:t>
      </w:r>
      <w:r w:rsidR="001E6852" w:rsidRPr="00B027D5">
        <w:rPr>
          <w:szCs w:val="21"/>
        </w:rPr>
        <w:t>complete</w:t>
      </w:r>
      <w:r w:rsidRPr="00B027D5">
        <w:rPr>
          <w:szCs w:val="21"/>
        </w:rPr>
        <w:t xml:space="preserve">, providing more </w:t>
      </w:r>
      <w:r w:rsidR="0067053B">
        <w:rPr>
          <w:szCs w:val="21"/>
        </w:rPr>
        <w:t xml:space="preserve">incident specific </w:t>
      </w:r>
      <w:r w:rsidRPr="00B027D5">
        <w:rPr>
          <w:szCs w:val="21"/>
        </w:rPr>
        <w:t>detailed information</w:t>
      </w:r>
      <w:r w:rsidR="00B55E79" w:rsidRPr="00B027D5">
        <w:rPr>
          <w:szCs w:val="21"/>
        </w:rPr>
        <w:t xml:space="preserve">. </w:t>
      </w:r>
    </w:p>
    <w:p w14:paraId="40291E08" w14:textId="45684088" w:rsidR="00C85530" w:rsidRPr="00AD4D03" w:rsidRDefault="00C85530" w:rsidP="000509C5">
      <w:pPr>
        <w:pStyle w:val="Heading3"/>
      </w:pPr>
      <w:r w:rsidRPr="00AD4D03">
        <w:t xml:space="preserve">Subcutaneous Immunoglobulin (SCIg) Access Program </w:t>
      </w:r>
    </w:p>
    <w:p w14:paraId="2E51AF98" w14:textId="3367C2C7" w:rsidR="00B55E79" w:rsidRPr="00B55E79" w:rsidRDefault="00B55E79" w:rsidP="00B55E79">
      <w:pPr>
        <w:pStyle w:val="Body"/>
        <w:rPr>
          <w:szCs w:val="21"/>
        </w:rPr>
      </w:pPr>
      <w:r w:rsidRPr="00B55E79">
        <w:rPr>
          <w:szCs w:val="21"/>
        </w:rPr>
        <w:t xml:space="preserve">Subcutaneous Immunoglobulin (SCIg) is a treatment option for eligible patients otherwise requiring Intravenous Immunoglobulin (IVIg). </w:t>
      </w:r>
      <w:r w:rsidR="00A72934">
        <w:rPr>
          <w:szCs w:val="21"/>
        </w:rPr>
        <w:t>SCIg</w:t>
      </w:r>
      <w:r w:rsidRPr="00B55E79">
        <w:rPr>
          <w:szCs w:val="21"/>
        </w:rPr>
        <w:t xml:space="preserve"> enables patients</w:t>
      </w:r>
      <w:r w:rsidR="0067053B">
        <w:rPr>
          <w:szCs w:val="21"/>
        </w:rPr>
        <w:t xml:space="preserve"> or carer</w:t>
      </w:r>
      <w:r w:rsidR="003964D5">
        <w:rPr>
          <w:szCs w:val="21"/>
        </w:rPr>
        <w:t>s</w:t>
      </w:r>
      <w:r w:rsidRPr="00B55E79">
        <w:rPr>
          <w:szCs w:val="21"/>
        </w:rPr>
        <w:t xml:space="preserve"> to administer SCIg at home at their own convenience, </w:t>
      </w:r>
      <w:r w:rsidR="004F7010">
        <w:rPr>
          <w:szCs w:val="21"/>
        </w:rPr>
        <w:t>rather than</w:t>
      </w:r>
      <w:r w:rsidRPr="00B55E79">
        <w:rPr>
          <w:szCs w:val="21"/>
        </w:rPr>
        <w:t xml:space="preserve"> attending </w:t>
      </w:r>
      <w:r w:rsidR="00A72934">
        <w:rPr>
          <w:szCs w:val="21"/>
        </w:rPr>
        <w:t>a health service for regular IVIg infusions.</w:t>
      </w:r>
    </w:p>
    <w:p w14:paraId="0ECA211B" w14:textId="36017C89" w:rsidR="00B55E79" w:rsidRPr="00B55E79" w:rsidRDefault="00B55E79" w:rsidP="00B55E79">
      <w:pPr>
        <w:pStyle w:val="Body"/>
        <w:rPr>
          <w:szCs w:val="21"/>
        </w:rPr>
      </w:pPr>
      <w:r w:rsidRPr="00B55E79">
        <w:rPr>
          <w:szCs w:val="21"/>
        </w:rPr>
        <w:t xml:space="preserve">The eligibility for patients to access SCIg is set out in the </w:t>
      </w:r>
      <w:hyperlink r:id="rId25" w:history="1">
        <w:r w:rsidRPr="00173DCE">
          <w:rPr>
            <w:rStyle w:val="Hyperlink"/>
            <w:szCs w:val="21"/>
          </w:rPr>
          <w:t>Criteria for the Clinical Use of Immunoglobulin in Australia</w:t>
        </w:r>
      </w:hyperlink>
      <w:r w:rsidR="00623FA6">
        <w:rPr>
          <w:rStyle w:val="Hyperlink"/>
          <w:szCs w:val="21"/>
        </w:rPr>
        <w:t xml:space="preserve"> </w:t>
      </w:r>
      <w:r w:rsidR="00623FA6" w:rsidRPr="00DD4316">
        <w:t>&lt;https://www.criteria.blood.gov.au/&gt;</w:t>
      </w:r>
      <w:r w:rsidR="00173DCE">
        <w:rPr>
          <w:szCs w:val="21"/>
        </w:rPr>
        <w:t>.</w:t>
      </w:r>
    </w:p>
    <w:p w14:paraId="7B64B5D6" w14:textId="7F52C35A" w:rsidR="00B55E79" w:rsidRPr="00B55E79" w:rsidRDefault="00B55E79" w:rsidP="00B55E79">
      <w:pPr>
        <w:pStyle w:val="Body"/>
        <w:rPr>
          <w:szCs w:val="21"/>
        </w:rPr>
      </w:pPr>
      <w:r w:rsidRPr="00B55E79">
        <w:rPr>
          <w:szCs w:val="21"/>
        </w:rPr>
        <w:t xml:space="preserve">The Victorian Department of Health </w:t>
      </w:r>
      <w:r w:rsidR="00CA1C00">
        <w:rPr>
          <w:szCs w:val="21"/>
        </w:rPr>
        <w:t>set up</w:t>
      </w:r>
      <w:r w:rsidRPr="00B55E79">
        <w:rPr>
          <w:szCs w:val="21"/>
        </w:rPr>
        <w:t xml:space="preserve"> a SCIg Access Program</w:t>
      </w:r>
      <w:r w:rsidR="00CA1C00">
        <w:rPr>
          <w:szCs w:val="21"/>
        </w:rPr>
        <w:t>, coordinated by the Blood Matters</w:t>
      </w:r>
      <w:r w:rsidR="00CA1C00" w:rsidRPr="00B55E79">
        <w:rPr>
          <w:szCs w:val="21"/>
        </w:rPr>
        <w:t xml:space="preserve"> </w:t>
      </w:r>
      <w:r w:rsidR="00CA1C00">
        <w:rPr>
          <w:szCs w:val="21"/>
        </w:rPr>
        <w:t>N</w:t>
      </w:r>
      <w:r w:rsidR="00CA1C00" w:rsidRPr="00B55E79">
        <w:rPr>
          <w:szCs w:val="21"/>
        </w:rPr>
        <w:t>urse</w:t>
      </w:r>
      <w:r w:rsidR="00CA1C00">
        <w:rPr>
          <w:szCs w:val="21"/>
        </w:rPr>
        <w:t xml:space="preserve"> Consultant, who </w:t>
      </w:r>
      <w:r w:rsidR="00CA1C00" w:rsidRPr="00B55E79">
        <w:rPr>
          <w:szCs w:val="21"/>
        </w:rPr>
        <w:t>work</w:t>
      </w:r>
      <w:r w:rsidR="00CA1C00">
        <w:rPr>
          <w:szCs w:val="21"/>
        </w:rPr>
        <w:t>s</w:t>
      </w:r>
      <w:r w:rsidR="00CA1C00" w:rsidRPr="00B55E79">
        <w:rPr>
          <w:szCs w:val="21"/>
        </w:rPr>
        <w:t xml:space="preserve"> with health services to </w:t>
      </w:r>
      <w:r w:rsidR="00CA1C00">
        <w:rPr>
          <w:szCs w:val="21"/>
        </w:rPr>
        <w:t>facilitate</w:t>
      </w:r>
      <w:r w:rsidR="00CA1C00" w:rsidRPr="00B55E79">
        <w:rPr>
          <w:szCs w:val="21"/>
        </w:rPr>
        <w:t xml:space="preserve"> </w:t>
      </w:r>
      <w:r w:rsidR="00600EC0">
        <w:rPr>
          <w:szCs w:val="21"/>
        </w:rPr>
        <w:t>SCIg</w:t>
      </w:r>
      <w:r w:rsidR="00600EC0" w:rsidRPr="00B55E79">
        <w:rPr>
          <w:szCs w:val="21"/>
        </w:rPr>
        <w:t xml:space="preserve"> </w:t>
      </w:r>
      <w:r w:rsidR="00CA1C00" w:rsidRPr="00B55E79">
        <w:rPr>
          <w:szCs w:val="21"/>
        </w:rPr>
        <w:t xml:space="preserve">treatment </w:t>
      </w:r>
      <w:r w:rsidR="00CA1C00">
        <w:rPr>
          <w:szCs w:val="21"/>
        </w:rPr>
        <w:t>for</w:t>
      </w:r>
      <w:r w:rsidR="00CA1C00" w:rsidRPr="00B55E79">
        <w:rPr>
          <w:szCs w:val="21"/>
        </w:rPr>
        <w:t xml:space="preserve"> patients. </w:t>
      </w:r>
    </w:p>
    <w:p w14:paraId="61A0D950" w14:textId="4476915D" w:rsidR="00B55E79" w:rsidRPr="00B55E79" w:rsidRDefault="00AB2D61" w:rsidP="00B55E79">
      <w:pPr>
        <w:pStyle w:val="Body"/>
        <w:rPr>
          <w:szCs w:val="21"/>
        </w:rPr>
      </w:pPr>
      <w:r w:rsidRPr="00AB2D61">
        <w:rPr>
          <w:szCs w:val="21"/>
        </w:rPr>
        <w:t xml:space="preserve">The program funding model, contact details of SCIg nurses </w:t>
      </w:r>
      <w:r w:rsidR="00841A03">
        <w:rPr>
          <w:szCs w:val="21"/>
        </w:rPr>
        <w:t>and</w:t>
      </w:r>
      <w:r w:rsidRPr="00AB2D61">
        <w:rPr>
          <w:szCs w:val="21"/>
        </w:rPr>
        <w:t xml:space="preserve"> coordinators across Victoria, and tools to assist with the provision of information and the development of SCIg programs can all be found on the </w:t>
      </w:r>
      <w:hyperlink r:id="rId26" w:history="1">
        <w:r w:rsidRPr="00841A03">
          <w:rPr>
            <w:rStyle w:val="Hyperlink"/>
            <w:szCs w:val="21"/>
          </w:rPr>
          <w:t>SCIg access program webpage</w:t>
        </w:r>
      </w:hyperlink>
      <w:r w:rsidRPr="00AB2D61">
        <w:rPr>
          <w:szCs w:val="21"/>
        </w:rPr>
        <w:t xml:space="preserve"> </w:t>
      </w:r>
      <w:r w:rsidR="00841A03">
        <w:t xml:space="preserve"> </w:t>
      </w:r>
      <w:r w:rsidR="00623FA6">
        <w:t>&lt;</w:t>
      </w:r>
      <w:r w:rsidRPr="00AB2D61">
        <w:rPr>
          <w:szCs w:val="21"/>
        </w:rPr>
        <w:t>https://www.health.vic.gov.au/patient-care/subcutaneous-immunoglobulin-scig-access-program</w:t>
      </w:r>
      <w:r w:rsidR="00623FA6">
        <w:rPr>
          <w:szCs w:val="21"/>
        </w:rPr>
        <w:t>&gt;</w:t>
      </w:r>
      <w:r w:rsidRPr="00AB2D61">
        <w:rPr>
          <w:szCs w:val="21"/>
        </w:rPr>
        <w:t>.</w:t>
      </w:r>
    </w:p>
    <w:p w14:paraId="3BF50C5C" w14:textId="69198FEE" w:rsidR="00B55E79" w:rsidRDefault="006B522A" w:rsidP="00B55E79">
      <w:pPr>
        <w:pStyle w:val="Body"/>
        <w:rPr>
          <w:szCs w:val="21"/>
        </w:rPr>
      </w:pPr>
      <w:r>
        <w:rPr>
          <w:szCs w:val="21"/>
        </w:rPr>
        <w:t>C</w:t>
      </w:r>
      <w:r w:rsidRPr="00B55E79">
        <w:rPr>
          <w:szCs w:val="21"/>
        </w:rPr>
        <w:t>ontact</w:t>
      </w:r>
      <w:r>
        <w:rPr>
          <w:szCs w:val="21"/>
        </w:rPr>
        <w:t xml:space="preserve"> our</w:t>
      </w:r>
      <w:r w:rsidRPr="00B55E79">
        <w:rPr>
          <w:szCs w:val="21"/>
        </w:rPr>
        <w:t xml:space="preserve"> </w:t>
      </w:r>
      <w:r>
        <w:rPr>
          <w:szCs w:val="21"/>
        </w:rPr>
        <w:t>Nurse Consultant</w:t>
      </w:r>
      <w:r w:rsidRPr="00B55E79">
        <w:rPr>
          <w:szCs w:val="21"/>
        </w:rPr>
        <w:t xml:space="preserve"> </w:t>
      </w:r>
      <w:r w:rsidR="00841A03">
        <w:rPr>
          <w:szCs w:val="21"/>
        </w:rPr>
        <w:t xml:space="preserve">email </w:t>
      </w:r>
      <w:hyperlink r:id="rId27" w:history="1">
        <w:r w:rsidRPr="006B522A">
          <w:rPr>
            <w:rStyle w:val="Hyperlink"/>
            <w:szCs w:val="21"/>
          </w:rPr>
          <w:t>angraham@redcrossblood.org.au</w:t>
        </w:r>
      </w:hyperlink>
      <w:r w:rsidR="00841A03">
        <w:rPr>
          <w:rStyle w:val="Hyperlink"/>
          <w:szCs w:val="21"/>
        </w:rPr>
        <w:t>,</w:t>
      </w:r>
      <w:r w:rsidRPr="00B55E79">
        <w:rPr>
          <w:szCs w:val="21"/>
        </w:rPr>
        <w:t xml:space="preserve"> </w:t>
      </w:r>
      <w:r>
        <w:rPr>
          <w:szCs w:val="21"/>
        </w:rPr>
        <w:t>for</w:t>
      </w:r>
      <w:r w:rsidRPr="00B55E79">
        <w:rPr>
          <w:szCs w:val="21"/>
        </w:rPr>
        <w:t xml:space="preserve"> </w:t>
      </w:r>
      <w:r w:rsidR="00B55E79" w:rsidRPr="00B55E79">
        <w:rPr>
          <w:szCs w:val="21"/>
        </w:rPr>
        <w:t>more information on develop</w:t>
      </w:r>
      <w:r>
        <w:rPr>
          <w:szCs w:val="21"/>
        </w:rPr>
        <w:t>ing</w:t>
      </w:r>
      <w:r w:rsidR="0016703A">
        <w:rPr>
          <w:szCs w:val="21"/>
        </w:rPr>
        <w:t xml:space="preserve"> </w:t>
      </w:r>
      <w:r w:rsidR="00B55E79" w:rsidRPr="00B55E79">
        <w:rPr>
          <w:szCs w:val="21"/>
        </w:rPr>
        <w:t>a SCIg program within your health service</w:t>
      </w:r>
      <w:r>
        <w:rPr>
          <w:szCs w:val="21"/>
        </w:rPr>
        <w:t>.</w:t>
      </w:r>
      <w:r w:rsidR="00B55E79" w:rsidRPr="00B55E79">
        <w:rPr>
          <w:szCs w:val="21"/>
        </w:rPr>
        <w:t xml:space="preserve"> </w:t>
      </w:r>
    </w:p>
    <w:p w14:paraId="554897B6" w14:textId="6C2FB56F" w:rsidR="00B55E79" w:rsidRPr="00AD4D03" w:rsidRDefault="00C85530" w:rsidP="000509C5">
      <w:pPr>
        <w:pStyle w:val="Heading3"/>
      </w:pPr>
      <w:r w:rsidRPr="00AD4D03">
        <w:t xml:space="preserve">Transfusion </w:t>
      </w:r>
      <w:r w:rsidR="00B55E79" w:rsidRPr="00AD4D03">
        <w:t>Scien</w:t>
      </w:r>
      <w:r w:rsidRPr="00AD4D03">
        <w:t>ce and Blood Stewardship</w:t>
      </w:r>
    </w:p>
    <w:p w14:paraId="50E56825" w14:textId="245B0D83" w:rsidR="00874990" w:rsidRPr="00B027D5" w:rsidRDefault="00874990" w:rsidP="00B55E79">
      <w:pPr>
        <w:pStyle w:val="Body"/>
        <w:rPr>
          <w:szCs w:val="21"/>
        </w:rPr>
      </w:pPr>
      <w:r w:rsidRPr="00B027D5">
        <w:rPr>
          <w:szCs w:val="21"/>
        </w:rPr>
        <w:t>The Blood Matters Scientist supports the scientific workforce to undertake their vital role in blood stewardship. Our scientist provides education and resources to support scientists with best practice in the areas of blood management to ensure compliance with national guidelines and standards.</w:t>
      </w:r>
    </w:p>
    <w:p w14:paraId="1E18BCD4" w14:textId="7812364F" w:rsidR="00B55E79" w:rsidRPr="00B027D5" w:rsidRDefault="00B55E79" w:rsidP="00B55E79">
      <w:pPr>
        <w:pStyle w:val="Body"/>
        <w:rPr>
          <w:szCs w:val="21"/>
        </w:rPr>
      </w:pPr>
      <w:r w:rsidRPr="00B027D5">
        <w:rPr>
          <w:szCs w:val="21"/>
        </w:rPr>
        <w:t>The Blood Matters red cell wastage reduction project began in August 2014</w:t>
      </w:r>
      <w:r w:rsidR="00F13976" w:rsidRPr="00B027D5">
        <w:rPr>
          <w:szCs w:val="21"/>
        </w:rPr>
        <w:t>.</w:t>
      </w:r>
      <w:r w:rsidR="00567AAF" w:rsidRPr="00B027D5">
        <w:rPr>
          <w:szCs w:val="21"/>
        </w:rPr>
        <w:t xml:space="preserve"> </w:t>
      </w:r>
      <w:r w:rsidRPr="00B027D5">
        <w:rPr>
          <w:szCs w:val="21"/>
        </w:rPr>
        <w:t>RBC wast</w:t>
      </w:r>
      <w:r w:rsidR="00872C2C">
        <w:rPr>
          <w:szCs w:val="21"/>
        </w:rPr>
        <w:t>age</w:t>
      </w:r>
      <w:r w:rsidRPr="00B027D5">
        <w:rPr>
          <w:szCs w:val="21"/>
        </w:rPr>
        <w:t xml:space="preserve"> </w:t>
      </w:r>
      <w:r w:rsidR="00F13976" w:rsidRPr="00B027D5">
        <w:rPr>
          <w:szCs w:val="21"/>
        </w:rPr>
        <w:t xml:space="preserve">has </w:t>
      </w:r>
      <w:r w:rsidRPr="00B027D5">
        <w:rPr>
          <w:szCs w:val="21"/>
        </w:rPr>
        <w:t>reduced from 6.1 per cent</w:t>
      </w:r>
      <w:r w:rsidR="002F3E8B">
        <w:rPr>
          <w:szCs w:val="21"/>
        </w:rPr>
        <w:t>, in 2014</w:t>
      </w:r>
      <w:r w:rsidRPr="00B027D5">
        <w:rPr>
          <w:szCs w:val="21"/>
        </w:rPr>
        <w:t xml:space="preserve"> to 1.</w:t>
      </w:r>
      <w:r w:rsidR="00F6028F" w:rsidRPr="00B027D5">
        <w:rPr>
          <w:szCs w:val="21"/>
        </w:rPr>
        <w:t xml:space="preserve">3 </w:t>
      </w:r>
      <w:r w:rsidRPr="00B027D5">
        <w:rPr>
          <w:szCs w:val="21"/>
        </w:rPr>
        <w:t xml:space="preserve">per cent in September </w:t>
      </w:r>
      <w:r w:rsidR="00F6028F" w:rsidRPr="00B027D5">
        <w:rPr>
          <w:szCs w:val="21"/>
        </w:rPr>
        <w:t xml:space="preserve">2024 </w:t>
      </w:r>
      <w:r w:rsidRPr="00B027D5">
        <w:rPr>
          <w:szCs w:val="21"/>
        </w:rPr>
        <w:t xml:space="preserve">through the efforts of </w:t>
      </w:r>
      <w:r w:rsidR="00230D97" w:rsidRPr="00B027D5">
        <w:rPr>
          <w:szCs w:val="21"/>
        </w:rPr>
        <w:t xml:space="preserve">all </w:t>
      </w:r>
      <w:r w:rsidRPr="00B027D5">
        <w:rPr>
          <w:szCs w:val="21"/>
        </w:rPr>
        <w:t xml:space="preserve">laboratories and health services. In 2019, the focus expanded to include waste reduction of all fresh blood components. </w:t>
      </w:r>
    </w:p>
    <w:p w14:paraId="3610D0EE" w14:textId="5371F02E" w:rsidR="00B55E79" w:rsidRPr="00B027D5" w:rsidRDefault="00B55E79" w:rsidP="00B55E79">
      <w:pPr>
        <w:pStyle w:val="Body"/>
        <w:rPr>
          <w:szCs w:val="21"/>
        </w:rPr>
      </w:pPr>
      <w:r w:rsidRPr="00B027D5">
        <w:rPr>
          <w:szCs w:val="21"/>
        </w:rPr>
        <w:t>The following principles and approaches have been identified as crucial to the continued reduction of blood and blood product wast</w:t>
      </w:r>
      <w:r w:rsidR="00055CD9" w:rsidRPr="00B027D5">
        <w:rPr>
          <w:szCs w:val="21"/>
        </w:rPr>
        <w:t>age</w:t>
      </w:r>
      <w:r w:rsidRPr="00B027D5">
        <w:rPr>
          <w:szCs w:val="21"/>
        </w:rPr>
        <w:t xml:space="preserve"> in Victoria:</w:t>
      </w:r>
    </w:p>
    <w:p w14:paraId="5F543461" w14:textId="54278735" w:rsidR="0045364F" w:rsidRPr="00B027D5" w:rsidRDefault="00B55E79" w:rsidP="0003362E">
      <w:pPr>
        <w:pStyle w:val="Body"/>
        <w:numPr>
          <w:ilvl w:val="0"/>
          <w:numId w:val="12"/>
        </w:numPr>
        <w:rPr>
          <w:szCs w:val="21"/>
        </w:rPr>
      </w:pPr>
      <w:r w:rsidRPr="00B027D5">
        <w:rPr>
          <w:szCs w:val="21"/>
        </w:rPr>
        <w:t>Effective inventory management</w:t>
      </w:r>
      <w:r w:rsidR="00DB7809" w:rsidRPr="00B027D5">
        <w:rPr>
          <w:szCs w:val="21"/>
        </w:rPr>
        <w:t xml:space="preserve"> and regularly reviewing stock levels</w:t>
      </w:r>
      <w:r w:rsidRPr="00B027D5">
        <w:rPr>
          <w:szCs w:val="21"/>
        </w:rPr>
        <w:t xml:space="preserve"> </w:t>
      </w:r>
      <w:r w:rsidR="00F13976" w:rsidRPr="00B027D5">
        <w:rPr>
          <w:szCs w:val="21"/>
        </w:rPr>
        <w:t>to reduce</w:t>
      </w:r>
      <w:r w:rsidRPr="00B027D5">
        <w:rPr>
          <w:szCs w:val="21"/>
        </w:rPr>
        <w:t xml:space="preserve"> expiry related waste</w:t>
      </w:r>
    </w:p>
    <w:p w14:paraId="6E1F12D1" w14:textId="196DDE0C" w:rsidR="00B55E79" w:rsidRPr="00B027D5" w:rsidRDefault="00B55E79" w:rsidP="0003362E">
      <w:pPr>
        <w:pStyle w:val="Body"/>
        <w:numPr>
          <w:ilvl w:val="0"/>
          <w:numId w:val="12"/>
        </w:numPr>
        <w:rPr>
          <w:szCs w:val="21"/>
        </w:rPr>
      </w:pPr>
      <w:r w:rsidRPr="00B027D5">
        <w:rPr>
          <w:szCs w:val="21"/>
        </w:rPr>
        <w:t xml:space="preserve">Timely </w:t>
      </w:r>
      <w:r w:rsidR="00DB7809" w:rsidRPr="00B027D5">
        <w:rPr>
          <w:szCs w:val="21"/>
        </w:rPr>
        <w:t xml:space="preserve">rotation </w:t>
      </w:r>
      <w:r w:rsidRPr="00B027D5">
        <w:rPr>
          <w:szCs w:val="21"/>
        </w:rPr>
        <w:t xml:space="preserve">of blood </w:t>
      </w:r>
      <w:r w:rsidR="00F6028F" w:rsidRPr="00B027D5">
        <w:rPr>
          <w:szCs w:val="21"/>
        </w:rPr>
        <w:t>and blood products</w:t>
      </w:r>
      <w:r w:rsidRPr="00B027D5">
        <w:rPr>
          <w:szCs w:val="21"/>
        </w:rPr>
        <w:t xml:space="preserve"> between health services to ensure </w:t>
      </w:r>
      <w:r w:rsidR="00E734A3">
        <w:rPr>
          <w:szCs w:val="21"/>
        </w:rPr>
        <w:t>components</w:t>
      </w:r>
      <w:r w:rsidR="00E734A3" w:rsidRPr="00B027D5">
        <w:rPr>
          <w:szCs w:val="21"/>
        </w:rPr>
        <w:t xml:space="preserve"> </w:t>
      </w:r>
      <w:r w:rsidRPr="00B027D5">
        <w:rPr>
          <w:szCs w:val="21"/>
        </w:rPr>
        <w:t xml:space="preserve">can be transfused before expiry </w:t>
      </w:r>
    </w:p>
    <w:p w14:paraId="3921C833" w14:textId="74CFA6DE" w:rsidR="00B55E79" w:rsidRPr="00B027D5" w:rsidRDefault="00B55E79" w:rsidP="0003362E">
      <w:pPr>
        <w:pStyle w:val="Body"/>
        <w:numPr>
          <w:ilvl w:val="0"/>
          <w:numId w:val="12"/>
        </w:numPr>
        <w:rPr>
          <w:szCs w:val="21"/>
        </w:rPr>
      </w:pPr>
      <w:r w:rsidRPr="00B027D5">
        <w:rPr>
          <w:szCs w:val="21"/>
        </w:rPr>
        <w:t xml:space="preserve">Reducing the period </w:t>
      </w:r>
      <w:r w:rsidR="00F13976" w:rsidRPr="00B027D5">
        <w:rPr>
          <w:szCs w:val="21"/>
        </w:rPr>
        <w:t xml:space="preserve">RBCs can </w:t>
      </w:r>
      <w:r w:rsidRPr="00B027D5">
        <w:rPr>
          <w:szCs w:val="21"/>
        </w:rPr>
        <w:t>be allocated following a crossmatch (e.g. 24 hrs)</w:t>
      </w:r>
    </w:p>
    <w:p w14:paraId="600A1222" w14:textId="3A1FF6DB" w:rsidR="00B55E79" w:rsidRPr="00B55E79" w:rsidRDefault="00B55E79" w:rsidP="0003362E">
      <w:pPr>
        <w:pStyle w:val="Body"/>
        <w:numPr>
          <w:ilvl w:val="0"/>
          <w:numId w:val="12"/>
        </w:numPr>
        <w:rPr>
          <w:szCs w:val="21"/>
        </w:rPr>
      </w:pPr>
      <w:r w:rsidRPr="00B55E79">
        <w:rPr>
          <w:szCs w:val="21"/>
        </w:rPr>
        <w:t>Compliance with correct transportation methods</w:t>
      </w:r>
      <w:r w:rsidR="00DB7809">
        <w:rPr>
          <w:szCs w:val="21"/>
        </w:rPr>
        <w:t>/conditions</w:t>
      </w:r>
      <w:r w:rsidRPr="00B55E79">
        <w:rPr>
          <w:szCs w:val="21"/>
        </w:rPr>
        <w:t xml:space="preserve"> for blood components</w:t>
      </w:r>
    </w:p>
    <w:p w14:paraId="7D6698BC" w14:textId="7EF9D49D" w:rsidR="00B55E79" w:rsidRPr="00B55E79" w:rsidRDefault="00B55E79" w:rsidP="0003362E">
      <w:pPr>
        <w:pStyle w:val="Body"/>
        <w:numPr>
          <w:ilvl w:val="0"/>
          <w:numId w:val="12"/>
        </w:numPr>
        <w:rPr>
          <w:szCs w:val="21"/>
        </w:rPr>
      </w:pPr>
      <w:r w:rsidRPr="00B55E79">
        <w:rPr>
          <w:szCs w:val="21"/>
        </w:rPr>
        <w:lastRenderedPageBreak/>
        <w:t>Increasing the use of visual prompts</w:t>
      </w:r>
      <w:r w:rsidR="00DB7809">
        <w:rPr>
          <w:szCs w:val="21"/>
        </w:rPr>
        <w:t xml:space="preserve">, such as identifying short expiry </w:t>
      </w:r>
      <w:r w:rsidR="00F6028F">
        <w:rPr>
          <w:szCs w:val="21"/>
        </w:rPr>
        <w:t xml:space="preserve">blood and </w:t>
      </w:r>
      <w:r w:rsidR="00E734A3">
        <w:rPr>
          <w:szCs w:val="21"/>
        </w:rPr>
        <w:t xml:space="preserve">blood </w:t>
      </w:r>
      <w:r w:rsidR="00DB7809">
        <w:rPr>
          <w:szCs w:val="21"/>
        </w:rPr>
        <w:t>products,</w:t>
      </w:r>
      <w:r w:rsidRPr="00B55E79">
        <w:rPr>
          <w:szCs w:val="21"/>
        </w:rPr>
        <w:t xml:space="preserve"> in blood fridges, freezers and platelet agitators </w:t>
      </w:r>
    </w:p>
    <w:p w14:paraId="63FE6433" w14:textId="465CF188" w:rsidR="00B55E79" w:rsidRPr="00B55E79" w:rsidRDefault="00B55E79" w:rsidP="0003362E">
      <w:pPr>
        <w:pStyle w:val="Body"/>
        <w:numPr>
          <w:ilvl w:val="0"/>
          <w:numId w:val="12"/>
        </w:numPr>
        <w:rPr>
          <w:szCs w:val="21"/>
        </w:rPr>
      </w:pPr>
      <w:r w:rsidRPr="00B55E79">
        <w:rPr>
          <w:szCs w:val="21"/>
        </w:rPr>
        <w:t>State-wide implementation of electronic crossmatching methods</w:t>
      </w:r>
    </w:p>
    <w:p w14:paraId="3156D4C4" w14:textId="7843D406" w:rsidR="00B55E79" w:rsidRPr="00B55E79" w:rsidRDefault="00B55E79" w:rsidP="0003362E">
      <w:pPr>
        <w:pStyle w:val="Body"/>
        <w:numPr>
          <w:ilvl w:val="0"/>
          <w:numId w:val="12"/>
        </w:numPr>
        <w:rPr>
          <w:szCs w:val="21"/>
        </w:rPr>
      </w:pPr>
      <w:r w:rsidRPr="00B55E79">
        <w:rPr>
          <w:szCs w:val="21"/>
        </w:rPr>
        <w:t>Simplifying procedures,</w:t>
      </w:r>
      <w:r w:rsidR="00DB7809">
        <w:rPr>
          <w:szCs w:val="21"/>
        </w:rPr>
        <w:t xml:space="preserve"> promote the</w:t>
      </w:r>
      <w:r w:rsidRPr="00B55E79">
        <w:rPr>
          <w:szCs w:val="21"/>
        </w:rPr>
        <w:t xml:space="preserve"> production of and compliance with a maximum blood ordering schedule (MBOS)</w:t>
      </w:r>
    </w:p>
    <w:p w14:paraId="3F3E5B2E" w14:textId="40C03A9D" w:rsidR="00B55E79" w:rsidRPr="00B55E79" w:rsidRDefault="00B55E79" w:rsidP="0003362E">
      <w:pPr>
        <w:pStyle w:val="Body"/>
        <w:numPr>
          <w:ilvl w:val="0"/>
          <w:numId w:val="12"/>
        </w:numPr>
        <w:rPr>
          <w:szCs w:val="21"/>
        </w:rPr>
      </w:pPr>
      <w:r w:rsidRPr="00B55E79">
        <w:rPr>
          <w:szCs w:val="21"/>
        </w:rPr>
        <w:t>Ongoing collaboration between health</w:t>
      </w:r>
      <w:r w:rsidR="00DB7809">
        <w:rPr>
          <w:szCs w:val="21"/>
        </w:rPr>
        <w:t xml:space="preserve"> service and </w:t>
      </w:r>
      <w:r w:rsidRPr="00B55E79">
        <w:rPr>
          <w:szCs w:val="21"/>
        </w:rPr>
        <w:t>pathology services</w:t>
      </w:r>
    </w:p>
    <w:p w14:paraId="563CCE00" w14:textId="62F2293D" w:rsidR="00B55E79" w:rsidRPr="00B55E79" w:rsidRDefault="00B55E79" w:rsidP="00B55E79">
      <w:pPr>
        <w:pStyle w:val="Body"/>
        <w:rPr>
          <w:szCs w:val="21"/>
        </w:rPr>
      </w:pPr>
      <w:r w:rsidRPr="00B55E79">
        <w:rPr>
          <w:szCs w:val="21"/>
        </w:rPr>
        <w:t xml:space="preserve">More information is available at </w:t>
      </w:r>
      <w:r w:rsidR="009214BF">
        <w:rPr>
          <w:szCs w:val="21"/>
        </w:rPr>
        <w:t xml:space="preserve">the </w:t>
      </w:r>
      <w:hyperlink r:id="rId28" w:history="1">
        <w:r w:rsidRPr="00B55E79">
          <w:rPr>
            <w:rStyle w:val="Hyperlink"/>
            <w:szCs w:val="21"/>
          </w:rPr>
          <w:t>Transfusion science and blood stewardship</w:t>
        </w:r>
        <w:r w:rsidR="009214BF">
          <w:rPr>
            <w:rStyle w:val="Hyperlink"/>
            <w:szCs w:val="21"/>
          </w:rPr>
          <w:t xml:space="preserve"> webpage </w:t>
        </w:r>
      </w:hyperlink>
      <w:r w:rsidR="009214BF">
        <w:rPr>
          <w:rStyle w:val="Hyperlink"/>
          <w:szCs w:val="21"/>
        </w:rPr>
        <w:t xml:space="preserve"> </w:t>
      </w:r>
      <w:r w:rsidR="009214BF" w:rsidRPr="00DD4316">
        <w:t xml:space="preserve">&lt;https://www.health.vic.gov.au/patient-care/transfusion-science-and-blood-stewardship&gt; </w:t>
      </w:r>
    </w:p>
    <w:p w14:paraId="0A22C105" w14:textId="744B2C3B" w:rsidR="00935CF5" w:rsidRPr="00935CF5" w:rsidRDefault="00935CF5" w:rsidP="00042650">
      <w:pPr>
        <w:pStyle w:val="Heading2"/>
      </w:pPr>
      <w:bookmarkStart w:id="6" w:name="_Toc184376920"/>
      <w:r w:rsidRPr="00935CF5">
        <w:t xml:space="preserve">The role of the </w:t>
      </w:r>
      <w:r w:rsidR="00A71CFF">
        <w:t>Transfusion Practitioner</w:t>
      </w:r>
      <w:bookmarkEnd w:id="6"/>
      <w:r w:rsidR="00A71CFF">
        <w:t xml:space="preserve"> </w:t>
      </w:r>
    </w:p>
    <w:p w14:paraId="083EDE3F" w14:textId="24378233" w:rsidR="00BB2FB3" w:rsidRDefault="00BB2FB3" w:rsidP="00935CF5">
      <w:pPr>
        <w:pStyle w:val="Body"/>
        <w:rPr>
          <w:bCs/>
          <w:szCs w:val="21"/>
        </w:rPr>
      </w:pPr>
      <w:r w:rsidRPr="00BB2FB3">
        <w:rPr>
          <w:bCs/>
          <w:szCs w:val="21"/>
        </w:rPr>
        <w:t xml:space="preserve">The </w:t>
      </w:r>
      <w:r>
        <w:rPr>
          <w:bCs/>
          <w:szCs w:val="21"/>
        </w:rPr>
        <w:t>Transfusion Practitioner (TP)</w:t>
      </w:r>
      <w:r w:rsidRPr="00BB2FB3">
        <w:rPr>
          <w:bCs/>
          <w:szCs w:val="21"/>
        </w:rPr>
        <w:t xml:space="preserve"> </w:t>
      </w:r>
      <w:r>
        <w:rPr>
          <w:bCs/>
          <w:szCs w:val="21"/>
        </w:rPr>
        <w:t>is a</w:t>
      </w:r>
      <w:r w:rsidRPr="00BB2FB3">
        <w:rPr>
          <w:bCs/>
          <w:szCs w:val="21"/>
        </w:rPr>
        <w:t xml:space="preserve"> multifaceted role </w:t>
      </w:r>
      <w:r w:rsidR="009F1B08">
        <w:rPr>
          <w:bCs/>
          <w:szCs w:val="21"/>
        </w:rPr>
        <w:t>that</w:t>
      </w:r>
      <w:r w:rsidRPr="00BB2FB3">
        <w:rPr>
          <w:bCs/>
          <w:szCs w:val="21"/>
        </w:rPr>
        <w:t xml:space="preserve"> promotes best practice in blood management</w:t>
      </w:r>
      <w:r>
        <w:rPr>
          <w:bCs/>
          <w:szCs w:val="21"/>
        </w:rPr>
        <w:t>,</w:t>
      </w:r>
      <w:r w:rsidRPr="00BB2FB3">
        <w:rPr>
          <w:bCs/>
          <w:szCs w:val="21"/>
        </w:rPr>
        <w:t xml:space="preserve"> transfusion safety</w:t>
      </w:r>
      <w:r>
        <w:rPr>
          <w:bCs/>
          <w:szCs w:val="21"/>
        </w:rPr>
        <w:t xml:space="preserve"> and blood and blood product stewardship</w:t>
      </w:r>
      <w:r w:rsidRPr="00BB2FB3">
        <w:rPr>
          <w:bCs/>
          <w:szCs w:val="21"/>
        </w:rPr>
        <w:t xml:space="preserve">. </w:t>
      </w:r>
    </w:p>
    <w:p w14:paraId="72539336" w14:textId="1EA7EC36" w:rsidR="00935CF5" w:rsidRPr="00935CF5" w:rsidRDefault="009F1B08" w:rsidP="00935CF5">
      <w:pPr>
        <w:pStyle w:val="Body"/>
        <w:rPr>
          <w:bCs/>
          <w:szCs w:val="21"/>
        </w:rPr>
      </w:pPr>
      <w:r>
        <w:rPr>
          <w:bCs/>
          <w:szCs w:val="21"/>
        </w:rPr>
        <w:t>TPs</w:t>
      </w:r>
      <w:r w:rsidR="006A37E9">
        <w:rPr>
          <w:bCs/>
          <w:szCs w:val="21"/>
        </w:rPr>
        <w:t xml:space="preserve"> can</w:t>
      </w:r>
      <w:r>
        <w:rPr>
          <w:bCs/>
          <w:szCs w:val="21"/>
        </w:rPr>
        <w:t xml:space="preserve"> </w:t>
      </w:r>
      <w:r w:rsidR="00935CF5" w:rsidRPr="00935CF5">
        <w:rPr>
          <w:bCs/>
          <w:szCs w:val="21"/>
        </w:rPr>
        <w:t xml:space="preserve">have a variety of </w:t>
      </w:r>
      <w:r>
        <w:rPr>
          <w:bCs/>
          <w:szCs w:val="21"/>
        </w:rPr>
        <w:t>title</w:t>
      </w:r>
      <w:r w:rsidRPr="00935CF5">
        <w:rPr>
          <w:bCs/>
          <w:szCs w:val="21"/>
        </w:rPr>
        <w:t>s</w:t>
      </w:r>
      <w:r w:rsidR="00B027D5">
        <w:rPr>
          <w:bCs/>
          <w:szCs w:val="21"/>
        </w:rPr>
        <w:t xml:space="preserve"> such as patient blood management coordinator, transfusion nurse or transfusion safety officer</w:t>
      </w:r>
      <w:r w:rsidR="00C92E50">
        <w:rPr>
          <w:bCs/>
          <w:szCs w:val="21"/>
        </w:rPr>
        <w:t>. T</w:t>
      </w:r>
      <w:r w:rsidR="00623FA6">
        <w:rPr>
          <w:bCs/>
          <w:szCs w:val="21"/>
        </w:rPr>
        <w:t>hey</w:t>
      </w:r>
      <w:r w:rsidR="00230D97">
        <w:rPr>
          <w:bCs/>
          <w:szCs w:val="21"/>
        </w:rPr>
        <w:t xml:space="preserve"> </w:t>
      </w:r>
      <w:r>
        <w:rPr>
          <w:bCs/>
          <w:szCs w:val="21"/>
        </w:rPr>
        <w:t>are commonly</w:t>
      </w:r>
      <w:r w:rsidR="00230D97">
        <w:rPr>
          <w:bCs/>
          <w:szCs w:val="21"/>
        </w:rPr>
        <w:t xml:space="preserve"> senior </w:t>
      </w:r>
      <w:r w:rsidR="0093701A">
        <w:rPr>
          <w:bCs/>
          <w:szCs w:val="21"/>
        </w:rPr>
        <w:t>nurses and</w:t>
      </w:r>
      <w:r w:rsidR="00935CF5" w:rsidRPr="00935CF5">
        <w:rPr>
          <w:bCs/>
          <w:szCs w:val="21"/>
        </w:rPr>
        <w:t xml:space="preserve"> are often supported by jurisdictional programs. </w:t>
      </w:r>
      <w:r w:rsidR="006A76AE">
        <w:rPr>
          <w:bCs/>
          <w:szCs w:val="21"/>
        </w:rPr>
        <w:t>The</w:t>
      </w:r>
      <w:r w:rsidR="00935CF5" w:rsidRPr="00935CF5">
        <w:rPr>
          <w:bCs/>
          <w:szCs w:val="21"/>
        </w:rPr>
        <w:t xml:space="preserve"> Blood Matters Program</w:t>
      </w:r>
      <w:r w:rsidR="006A76AE">
        <w:rPr>
          <w:bCs/>
          <w:szCs w:val="21"/>
        </w:rPr>
        <w:t xml:space="preserve"> supports </w:t>
      </w:r>
      <w:r w:rsidR="00A71CFF">
        <w:rPr>
          <w:bCs/>
          <w:szCs w:val="21"/>
        </w:rPr>
        <w:t xml:space="preserve">TPs </w:t>
      </w:r>
      <w:r w:rsidR="006A76AE">
        <w:rPr>
          <w:bCs/>
          <w:szCs w:val="21"/>
        </w:rPr>
        <w:t>in Victoria</w:t>
      </w:r>
      <w:r w:rsidR="00230D97">
        <w:rPr>
          <w:bCs/>
          <w:szCs w:val="21"/>
        </w:rPr>
        <w:t>,</w:t>
      </w:r>
      <w:r w:rsidR="006A76AE">
        <w:rPr>
          <w:bCs/>
          <w:szCs w:val="21"/>
        </w:rPr>
        <w:t xml:space="preserve"> and</w:t>
      </w:r>
      <w:r w:rsidR="00935CF5" w:rsidRPr="00935CF5">
        <w:rPr>
          <w:bCs/>
          <w:szCs w:val="21"/>
        </w:rPr>
        <w:t xml:space="preserve"> in Tasmania, Australian Capital Territory (ACT) and Northern Territory (NT), through </w:t>
      </w:r>
      <w:r w:rsidR="00061982">
        <w:rPr>
          <w:bCs/>
          <w:szCs w:val="21"/>
        </w:rPr>
        <w:t>memoranda of understanding</w:t>
      </w:r>
      <w:r w:rsidR="00935CF5" w:rsidRPr="00935CF5">
        <w:rPr>
          <w:bCs/>
          <w:szCs w:val="21"/>
        </w:rPr>
        <w:t xml:space="preserve">. In New South Wales, support is provided by Blood Watch (Clinical Excellence Commission) and </w:t>
      </w:r>
      <w:r w:rsidR="006A76AE">
        <w:rPr>
          <w:bCs/>
          <w:szCs w:val="21"/>
        </w:rPr>
        <w:t xml:space="preserve">in </w:t>
      </w:r>
      <w:r w:rsidR="00935CF5" w:rsidRPr="00935CF5">
        <w:rPr>
          <w:bCs/>
          <w:szCs w:val="21"/>
        </w:rPr>
        <w:t xml:space="preserve">South Australia it is </w:t>
      </w:r>
      <w:proofErr w:type="spellStart"/>
      <w:r w:rsidR="00935CF5" w:rsidRPr="00935CF5">
        <w:rPr>
          <w:bCs/>
          <w:szCs w:val="21"/>
        </w:rPr>
        <w:t>BloodSafe</w:t>
      </w:r>
      <w:proofErr w:type="spellEnd"/>
      <w:r w:rsidR="00935CF5" w:rsidRPr="00935CF5">
        <w:rPr>
          <w:bCs/>
          <w:szCs w:val="21"/>
        </w:rPr>
        <w:t>. Western Australia and Queensland programs are no longer centrally coordinated; however, there are many</w:t>
      </w:r>
      <w:r w:rsidR="009214BF">
        <w:rPr>
          <w:bCs/>
          <w:szCs w:val="21"/>
        </w:rPr>
        <w:t xml:space="preserve"> </w:t>
      </w:r>
      <w:r w:rsidR="00A71CFF">
        <w:rPr>
          <w:bCs/>
          <w:szCs w:val="21"/>
        </w:rPr>
        <w:t>TPs</w:t>
      </w:r>
      <w:r w:rsidR="009214BF">
        <w:rPr>
          <w:bCs/>
          <w:szCs w:val="21"/>
        </w:rPr>
        <w:t xml:space="preserve"> working </w:t>
      </w:r>
      <w:r w:rsidR="00935CF5" w:rsidRPr="00935CF5">
        <w:rPr>
          <w:bCs/>
          <w:szCs w:val="21"/>
        </w:rPr>
        <w:t xml:space="preserve">in each of these states. </w:t>
      </w:r>
    </w:p>
    <w:p w14:paraId="0B4379E1" w14:textId="40310562" w:rsidR="00935CF5" w:rsidRPr="00935CF5" w:rsidRDefault="00512E0C" w:rsidP="00935CF5">
      <w:pPr>
        <w:pStyle w:val="Body"/>
        <w:rPr>
          <w:bCs/>
          <w:szCs w:val="21"/>
        </w:rPr>
      </w:pPr>
      <w:r>
        <w:rPr>
          <w:bCs/>
          <w:szCs w:val="21"/>
        </w:rPr>
        <w:t xml:space="preserve">The </w:t>
      </w:r>
      <w:r w:rsidR="00935CF5" w:rsidRPr="00935CF5">
        <w:rPr>
          <w:bCs/>
          <w:szCs w:val="21"/>
        </w:rPr>
        <w:t xml:space="preserve">Blood Matters Transfusion Nurse and Patient Blood Management Education Coordinator provide support for these professional roles </w:t>
      </w:r>
      <w:r w:rsidR="00CA1C00">
        <w:rPr>
          <w:bCs/>
          <w:szCs w:val="21"/>
        </w:rPr>
        <w:t xml:space="preserve">in Victoria, Tasmania, ACT and </w:t>
      </w:r>
      <w:proofErr w:type="gramStart"/>
      <w:r w:rsidR="00CA1C00">
        <w:rPr>
          <w:bCs/>
          <w:szCs w:val="21"/>
        </w:rPr>
        <w:t>NT</w:t>
      </w:r>
      <w:r w:rsidR="00CA1C00" w:rsidRPr="00935CF5">
        <w:rPr>
          <w:bCs/>
          <w:szCs w:val="21"/>
        </w:rPr>
        <w:t xml:space="preserve"> </w:t>
      </w:r>
      <w:r w:rsidR="00935CF5" w:rsidRPr="00935CF5">
        <w:rPr>
          <w:bCs/>
          <w:szCs w:val="21"/>
        </w:rPr>
        <w:t>.</w:t>
      </w:r>
      <w:proofErr w:type="gramEnd"/>
      <w:r w:rsidR="00935CF5" w:rsidRPr="00935CF5">
        <w:rPr>
          <w:bCs/>
          <w:szCs w:val="21"/>
        </w:rPr>
        <w:t xml:space="preserve"> </w:t>
      </w:r>
    </w:p>
    <w:p w14:paraId="36A75892" w14:textId="4D48AA3F" w:rsidR="00935CF5" w:rsidRPr="00935CF5" w:rsidRDefault="00935CF5" w:rsidP="00935CF5">
      <w:pPr>
        <w:pStyle w:val="Body"/>
        <w:rPr>
          <w:bCs/>
          <w:szCs w:val="21"/>
        </w:rPr>
      </w:pPr>
      <w:r w:rsidRPr="00935CF5">
        <w:rPr>
          <w:bCs/>
          <w:szCs w:val="21"/>
        </w:rPr>
        <w:t xml:space="preserve">Lifeblood also has </w:t>
      </w:r>
      <w:r w:rsidR="00953AE9">
        <w:rPr>
          <w:bCs/>
          <w:szCs w:val="21"/>
        </w:rPr>
        <w:t>transfusion nurses</w:t>
      </w:r>
      <w:r w:rsidRPr="00935CF5">
        <w:rPr>
          <w:bCs/>
          <w:szCs w:val="21"/>
        </w:rPr>
        <w:t xml:space="preserve"> covering all states and territories</w:t>
      </w:r>
      <w:r w:rsidR="00372050">
        <w:rPr>
          <w:bCs/>
          <w:szCs w:val="21"/>
        </w:rPr>
        <w:t xml:space="preserve"> who approve</w:t>
      </w:r>
      <w:r w:rsidRPr="00935CF5">
        <w:rPr>
          <w:bCs/>
          <w:szCs w:val="21"/>
        </w:rPr>
        <w:t xml:space="preserve"> </w:t>
      </w:r>
      <w:r w:rsidR="00E32363">
        <w:rPr>
          <w:bCs/>
          <w:szCs w:val="21"/>
        </w:rPr>
        <w:t xml:space="preserve">IVIg </w:t>
      </w:r>
      <w:proofErr w:type="spellStart"/>
      <w:r w:rsidR="00E32363">
        <w:rPr>
          <w:bCs/>
          <w:szCs w:val="21"/>
        </w:rPr>
        <w:t>BloodStar</w:t>
      </w:r>
      <w:proofErr w:type="spellEnd"/>
      <w:r w:rsidR="00E32363">
        <w:rPr>
          <w:bCs/>
          <w:szCs w:val="21"/>
        </w:rPr>
        <w:t xml:space="preserve"> </w:t>
      </w:r>
      <w:r w:rsidR="00372050">
        <w:rPr>
          <w:bCs/>
          <w:szCs w:val="21"/>
        </w:rPr>
        <w:t xml:space="preserve">requests </w:t>
      </w:r>
      <w:r w:rsidR="00E32363">
        <w:rPr>
          <w:bCs/>
          <w:szCs w:val="21"/>
        </w:rPr>
        <w:t xml:space="preserve">and </w:t>
      </w:r>
      <w:r w:rsidRPr="00935CF5">
        <w:rPr>
          <w:bCs/>
          <w:szCs w:val="21"/>
        </w:rPr>
        <w:t>facilitat</w:t>
      </w:r>
      <w:r w:rsidR="00372050">
        <w:rPr>
          <w:bCs/>
          <w:szCs w:val="21"/>
        </w:rPr>
        <w:t>e</w:t>
      </w:r>
      <w:r w:rsidRPr="00935CF5">
        <w:rPr>
          <w:bCs/>
          <w:szCs w:val="21"/>
        </w:rPr>
        <w:t xml:space="preserve"> specialist blood </w:t>
      </w:r>
      <w:r w:rsidR="00BF1466">
        <w:rPr>
          <w:bCs/>
          <w:szCs w:val="21"/>
        </w:rPr>
        <w:t>component</w:t>
      </w:r>
      <w:r w:rsidR="00BF1466" w:rsidRPr="00935CF5">
        <w:rPr>
          <w:bCs/>
          <w:szCs w:val="21"/>
        </w:rPr>
        <w:t xml:space="preserve"> </w:t>
      </w:r>
      <w:r w:rsidRPr="00935CF5">
        <w:rPr>
          <w:bCs/>
          <w:szCs w:val="21"/>
        </w:rPr>
        <w:t>support</w:t>
      </w:r>
      <w:r w:rsidR="00E32363">
        <w:rPr>
          <w:bCs/>
          <w:szCs w:val="21"/>
        </w:rPr>
        <w:t xml:space="preserve"> </w:t>
      </w:r>
      <w:r w:rsidR="00372050">
        <w:rPr>
          <w:bCs/>
          <w:szCs w:val="21"/>
        </w:rPr>
        <w:t>once approved by</w:t>
      </w:r>
      <w:r w:rsidR="00E32363">
        <w:rPr>
          <w:bCs/>
          <w:szCs w:val="21"/>
        </w:rPr>
        <w:t xml:space="preserve"> transfusion medicine specialists</w:t>
      </w:r>
      <w:r w:rsidRPr="00935CF5">
        <w:rPr>
          <w:bCs/>
          <w:szCs w:val="21"/>
        </w:rPr>
        <w:t xml:space="preserve">. </w:t>
      </w:r>
    </w:p>
    <w:p w14:paraId="29958B32" w14:textId="202751C3" w:rsidR="00061982" w:rsidRPr="00061982" w:rsidRDefault="00061982" w:rsidP="003F3A21">
      <w:pPr>
        <w:pStyle w:val="Heading3"/>
      </w:pPr>
      <w:bookmarkStart w:id="7" w:name="_Toc184376921"/>
      <w:r w:rsidRPr="00061982">
        <w:t xml:space="preserve">Education for </w:t>
      </w:r>
      <w:r w:rsidR="00A71CFF">
        <w:t>Transfusion Practitioners</w:t>
      </w:r>
      <w:bookmarkEnd w:id="7"/>
    </w:p>
    <w:p w14:paraId="22060EF5" w14:textId="33A85845" w:rsidR="00055CD9" w:rsidRPr="00B027D5" w:rsidRDefault="00061982" w:rsidP="00061982">
      <w:pPr>
        <w:pStyle w:val="Body"/>
        <w:rPr>
          <w:bCs/>
          <w:szCs w:val="21"/>
        </w:rPr>
      </w:pPr>
      <w:r w:rsidRPr="00B027D5">
        <w:rPr>
          <w:bCs/>
          <w:szCs w:val="21"/>
        </w:rPr>
        <w:t>There are a range of education</w:t>
      </w:r>
      <w:r w:rsidR="006D0115" w:rsidRPr="00B027D5">
        <w:rPr>
          <w:bCs/>
          <w:szCs w:val="21"/>
        </w:rPr>
        <w:t>al</w:t>
      </w:r>
      <w:r w:rsidRPr="00B027D5">
        <w:rPr>
          <w:bCs/>
          <w:szCs w:val="21"/>
        </w:rPr>
        <w:t xml:space="preserve"> opportunities </w:t>
      </w:r>
      <w:r w:rsidR="00512E0C" w:rsidRPr="00B027D5">
        <w:rPr>
          <w:bCs/>
          <w:szCs w:val="21"/>
        </w:rPr>
        <w:t xml:space="preserve">the </w:t>
      </w:r>
      <w:r w:rsidR="00A71CFF" w:rsidRPr="00B027D5">
        <w:rPr>
          <w:bCs/>
          <w:szCs w:val="21"/>
        </w:rPr>
        <w:t>TP</w:t>
      </w:r>
      <w:r w:rsidR="00512E0C" w:rsidRPr="00B027D5">
        <w:rPr>
          <w:bCs/>
          <w:szCs w:val="21"/>
        </w:rPr>
        <w:t xml:space="preserve"> can access </w:t>
      </w:r>
      <w:r w:rsidRPr="00B027D5">
        <w:rPr>
          <w:bCs/>
          <w:szCs w:val="21"/>
        </w:rPr>
        <w:t xml:space="preserve">to </w:t>
      </w:r>
      <w:r w:rsidR="00055CD9" w:rsidRPr="00B027D5">
        <w:rPr>
          <w:bCs/>
          <w:szCs w:val="21"/>
        </w:rPr>
        <w:t>develop</w:t>
      </w:r>
      <w:r w:rsidRPr="00B027D5">
        <w:rPr>
          <w:bCs/>
          <w:szCs w:val="21"/>
        </w:rPr>
        <w:t xml:space="preserve"> and improve the knowledge and skills </w:t>
      </w:r>
      <w:r w:rsidR="006D0115" w:rsidRPr="00B027D5">
        <w:rPr>
          <w:bCs/>
          <w:szCs w:val="21"/>
        </w:rPr>
        <w:t>needed in</w:t>
      </w:r>
      <w:r w:rsidRPr="00B027D5">
        <w:rPr>
          <w:bCs/>
          <w:szCs w:val="21"/>
        </w:rPr>
        <w:t xml:space="preserve"> their role as subject matter experts and change agents. </w:t>
      </w:r>
    </w:p>
    <w:p w14:paraId="0B080269" w14:textId="611DFDC4" w:rsidR="00061982" w:rsidRPr="00B027D5" w:rsidRDefault="006D0115" w:rsidP="00061982">
      <w:pPr>
        <w:pStyle w:val="Body"/>
        <w:rPr>
          <w:bCs/>
          <w:szCs w:val="21"/>
        </w:rPr>
      </w:pPr>
      <w:r w:rsidRPr="00B027D5">
        <w:rPr>
          <w:bCs/>
          <w:szCs w:val="21"/>
        </w:rPr>
        <w:t>Local</w:t>
      </w:r>
      <w:r w:rsidR="000D1AF5" w:rsidRPr="00B027D5">
        <w:rPr>
          <w:bCs/>
          <w:szCs w:val="21"/>
        </w:rPr>
        <w:t xml:space="preserve"> transfusion </w:t>
      </w:r>
      <w:r w:rsidR="00055CD9" w:rsidRPr="00B027D5">
        <w:rPr>
          <w:bCs/>
          <w:szCs w:val="21"/>
        </w:rPr>
        <w:t>medicine specialist</w:t>
      </w:r>
      <w:r w:rsidR="000D1AF5" w:rsidRPr="00B027D5">
        <w:rPr>
          <w:bCs/>
          <w:szCs w:val="21"/>
        </w:rPr>
        <w:t>s</w:t>
      </w:r>
      <w:r w:rsidR="00055CD9" w:rsidRPr="00B027D5">
        <w:rPr>
          <w:bCs/>
          <w:szCs w:val="21"/>
        </w:rPr>
        <w:t>, transfusion laboratory staff and</w:t>
      </w:r>
      <w:r w:rsidR="000D1AF5" w:rsidRPr="00B027D5">
        <w:rPr>
          <w:bCs/>
          <w:szCs w:val="21"/>
        </w:rPr>
        <w:t xml:space="preserve"> </w:t>
      </w:r>
      <w:r w:rsidR="00055CD9" w:rsidRPr="00B027D5">
        <w:rPr>
          <w:bCs/>
          <w:szCs w:val="21"/>
        </w:rPr>
        <w:t>blood management committee</w:t>
      </w:r>
      <w:r w:rsidR="000D1AF5" w:rsidRPr="00B027D5">
        <w:rPr>
          <w:bCs/>
          <w:szCs w:val="21"/>
        </w:rPr>
        <w:t>s</w:t>
      </w:r>
      <w:r w:rsidR="00055CD9" w:rsidRPr="00B027D5">
        <w:rPr>
          <w:bCs/>
          <w:szCs w:val="21"/>
        </w:rPr>
        <w:t xml:space="preserve"> are all great resources to support </w:t>
      </w:r>
      <w:r w:rsidR="000D1AF5" w:rsidRPr="00B027D5">
        <w:rPr>
          <w:bCs/>
          <w:szCs w:val="21"/>
        </w:rPr>
        <w:t>the TP</w:t>
      </w:r>
      <w:r w:rsidR="00055CD9" w:rsidRPr="00B027D5">
        <w:rPr>
          <w:bCs/>
          <w:szCs w:val="21"/>
        </w:rPr>
        <w:t xml:space="preserve">. </w:t>
      </w:r>
    </w:p>
    <w:p w14:paraId="12B6A461" w14:textId="706DC831" w:rsidR="001C2473" w:rsidRPr="00B027D5" w:rsidRDefault="008E3B82" w:rsidP="008E3B82">
      <w:pPr>
        <w:pStyle w:val="Body"/>
        <w:rPr>
          <w:bCs/>
          <w:szCs w:val="21"/>
        </w:rPr>
      </w:pPr>
      <w:r w:rsidRPr="00B027D5">
        <w:rPr>
          <w:bCs/>
          <w:szCs w:val="21"/>
        </w:rPr>
        <w:t xml:space="preserve">Blood Matters holds a series of forums for </w:t>
      </w:r>
      <w:r w:rsidR="00DF7898" w:rsidRPr="00B027D5">
        <w:rPr>
          <w:bCs/>
          <w:szCs w:val="21"/>
        </w:rPr>
        <w:t>TPs</w:t>
      </w:r>
      <w:r w:rsidR="00A71CFF" w:rsidRPr="00B027D5">
        <w:rPr>
          <w:bCs/>
          <w:szCs w:val="21"/>
        </w:rPr>
        <w:t>:</w:t>
      </w:r>
    </w:p>
    <w:p w14:paraId="341114B2" w14:textId="48DB1755" w:rsidR="001C2473" w:rsidRPr="00B027D5" w:rsidRDefault="001C2473" w:rsidP="0003362E">
      <w:pPr>
        <w:pStyle w:val="Body"/>
        <w:numPr>
          <w:ilvl w:val="0"/>
          <w:numId w:val="22"/>
        </w:numPr>
        <w:rPr>
          <w:bCs/>
          <w:szCs w:val="21"/>
        </w:rPr>
      </w:pPr>
      <w:r w:rsidRPr="00B027D5">
        <w:rPr>
          <w:bCs/>
          <w:szCs w:val="21"/>
        </w:rPr>
        <w:t xml:space="preserve">A one hour virtual catch up second monthly with content covering discussion of common clinical questions, </w:t>
      </w:r>
      <w:r w:rsidR="00994221" w:rsidRPr="00B027D5">
        <w:rPr>
          <w:bCs/>
          <w:szCs w:val="21"/>
        </w:rPr>
        <w:t>specialist,</w:t>
      </w:r>
      <w:r w:rsidRPr="00B027D5">
        <w:rPr>
          <w:bCs/>
          <w:szCs w:val="21"/>
        </w:rPr>
        <w:t xml:space="preserve"> or specific education topics</w:t>
      </w:r>
      <w:r w:rsidR="00286C2E" w:rsidRPr="00B027D5">
        <w:rPr>
          <w:bCs/>
          <w:szCs w:val="21"/>
        </w:rPr>
        <w:t xml:space="preserve"> and blood sector updates</w:t>
      </w:r>
      <w:r w:rsidRPr="00B027D5">
        <w:rPr>
          <w:bCs/>
          <w:szCs w:val="21"/>
        </w:rPr>
        <w:t>.</w:t>
      </w:r>
    </w:p>
    <w:p w14:paraId="3E967786" w14:textId="13A4614F" w:rsidR="008E3B82" w:rsidRPr="00B027D5" w:rsidRDefault="001C2473" w:rsidP="0003362E">
      <w:pPr>
        <w:pStyle w:val="Body"/>
        <w:numPr>
          <w:ilvl w:val="0"/>
          <w:numId w:val="22"/>
        </w:numPr>
        <w:rPr>
          <w:bCs/>
          <w:szCs w:val="21"/>
        </w:rPr>
      </w:pPr>
      <w:r w:rsidRPr="00B027D5">
        <w:rPr>
          <w:bCs/>
          <w:szCs w:val="21"/>
        </w:rPr>
        <w:t>An in</w:t>
      </w:r>
      <w:r w:rsidR="00CD51F4">
        <w:rPr>
          <w:bCs/>
          <w:szCs w:val="21"/>
        </w:rPr>
        <w:t>-</w:t>
      </w:r>
      <w:r w:rsidRPr="00B027D5">
        <w:rPr>
          <w:bCs/>
          <w:szCs w:val="21"/>
        </w:rPr>
        <w:t xml:space="preserve"> person forum </w:t>
      </w:r>
      <w:r w:rsidR="00286C2E" w:rsidRPr="00B027D5">
        <w:rPr>
          <w:bCs/>
          <w:szCs w:val="21"/>
        </w:rPr>
        <w:t xml:space="preserve">is </w:t>
      </w:r>
      <w:r w:rsidRPr="00B027D5">
        <w:rPr>
          <w:bCs/>
          <w:szCs w:val="21"/>
        </w:rPr>
        <w:t>held at the Lifeblood Melbourne Processing Centre</w:t>
      </w:r>
      <w:r w:rsidR="00286C2E" w:rsidRPr="00B027D5">
        <w:rPr>
          <w:bCs/>
          <w:szCs w:val="21"/>
        </w:rPr>
        <w:t xml:space="preserve"> annually</w:t>
      </w:r>
      <w:r w:rsidRPr="00B027D5">
        <w:rPr>
          <w:bCs/>
          <w:szCs w:val="21"/>
        </w:rPr>
        <w:t xml:space="preserve">. This provides an opportunity to get up to date on the Blood Matters activities, learn from and </w:t>
      </w:r>
      <w:r w:rsidR="00567AAF" w:rsidRPr="00B027D5">
        <w:rPr>
          <w:bCs/>
          <w:szCs w:val="21"/>
        </w:rPr>
        <w:t>network with</w:t>
      </w:r>
      <w:r w:rsidRPr="00B027D5">
        <w:rPr>
          <w:bCs/>
          <w:szCs w:val="21"/>
        </w:rPr>
        <w:t xml:space="preserve"> fellow </w:t>
      </w:r>
      <w:r w:rsidR="00286C2E" w:rsidRPr="00B027D5">
        <w:rPr>
          <w:bCs/>
          <w:szCs w:val="21"/>
        </w:rPr>
        <w:t>TPs</w:t>
      </w:r>
      <w:r w:rsidRPr="00B027D5">
        <w:rPr>
          <w:bCs/>
          <w:szCs w:val="21"/>
        </w:rPr>
        <w:t xml:space="preserve">. </w:t>
      </w:r>
    </w:p>
    <w:p w14:paraId="7D4690F1" w14:textId="4D3F3718" w:rsidR="008E3B82" w:rsidRPr="00B027D5" w:rsidRDefault="00286C2E" w:rsidP="0003362E">
      <w:pPr>
        <w:pStyle w:val="Body"/>
        <w:numPr>
          <w:ilvl w:val="0"/>
          <w:numId w:val="22"/>
        </w:numPr>
        <w:rPr>
          <w:bCs/>
          <w:szCs w:val="21"/>
        </w:rPr>
      </w:pPr>
      <w:r w:rsidRPr="00B027D5">
        <w:rPr>
          <w:bCs/>
          <w:szCs w:val="21"/>
        </w:rPr>
        <w:t>The t</w:t>
      </w:r>
      <w:r w:rsidR="001C2473" w:rsidRPr="00B027D5">
        <w:rPr>
          <w:bCs/>
          <w:szCs w:val="21"/>
        </w:rPr>
        <w:t>wice</w:t>
      </w:r>
      <w:r w:rsidR="00CD51F4">
        <w:rPr>
          <w:bCs/>
          <w:szCs w:val="21"/>
        </w:rPr>
        <w:t>-</w:t>
      </w:r>
      <w:r w:rsidR="001C2473" w:rsidRPr="00B027D5">
        <w:rPr>
          <w:bCs/>
          <w:szCs w:val="21"/>
        </w:rPr>
        <w:t xml:space="preserve"> yearly</w:t>
      </w:r>
      <w:r w:rsidR="008E3B82" w:rsidRPr="00B027D5">
        <w:rPr>
          <w:bCs/>
          <w:szCs w:val="21"/>
        </w:rPr>
        <w:t xml:space="preserve"> virtual blood management education series for clinical staff are also recommended for those new to the </w:t>
      </w:r>
      <w:r w:rsidR="00A71CFF" w:rsidRPr="00B027D5">
        <w:rPr>
          <w:bCs/>
          <w:szCs w:val="21"/>
        </w:rPr>
        <w:t>T</w:t>
      </w:r>
      <w:r w:rsidR="008E3B82" w:rsidRPr="00B027D5">
        <w:rPr>
          <w:bCs/>
          <w:szCs w:val="21"/>
        </w:rPr>
        <w:t>P role.</w:t>
      </w:r>
    </w:p>
    <w:p w14:paraId="07289FA3" w14:textId="589A0448" w:rsidR="00C8441F" w:rsidRDefault="00825106" w:rsidP="00DB67D6">
      <w:pPr>
        <w:pStyle w:val="Heading4"/>
      </w:pPr>
      <w:proofErr w:type="spellStart"/>
      <w:r>
        <w:t>Microcredentials</w:t>
      </w:r>
      <w:proofErr w:type="spellEnd"/>
      <w:r>
        <w:t xml:space="preserve"> for TPs</w:t>
      </w:r>
    </w:p>
    <w:p w14:paraId="4D512666" w14:textId="44545FBE" w:rsidR="00061982" w:rsidRPr="00B027D5" w:rsidRDefault="008E3B82" w:rsidP="00061982">
      <w:pPr>
        <w:pStyle w:val="Body"/>
        <w:rPr>
          <w:bCs/>
          <w:szCs w:val="21"/>
        </w:rPr>
      </w:pPr>
      <w:r w:rsidRPr="00B027D5">
        <w:rPr>
          <w:bCs/>
          <w:szCs w:val="21"/>
        </w:rPr>
        <w:t xml:space="preserve">The </w:t>
      </w:r>
      <w:r w:rsidR="00061982" w:rsidRPr="00B027D5">
        <w:rPr>
          <w:bCs/>
          <w:szCs w:val="21"/>
        </w:rPr>
        <w:t xml:space="preserve">Lifeblood Clinical Education Team </w:t>
      </w:r>
      <w:r w:rsidR="00825106" w:rsidRPr="00B027D5">
        <w:rPr>
          <w:bCs/>
          <w:szCs w:val="21"/>
        </w:rPr>
        <w:t>has developed</w:t>
      </w:r>
      <w:r w:rsidR="00061982" w:rsidRPr="00B027D5">
        <w:rPr>
          <w:bCs/>
          <w:szCs w:val="21"/>
        </w:rPr>
        <w:t xml:space="preserve"> a </w:t>
      </w:r>
      <w:r w:rsidR="00CD51F4">
        <w:rPr>
          <w:bCs/>
          <w:szCs w:val="21"/>
        </w:rPr>
        <w:t xml:space="preserve">free </w:t>
      </w:r>
      <w:r w:rsidR="00061982" w:rsidRPr="00B027D5">
        <w:rPr>
          <w:bCs/>
          <w:szCs w:val="21"/>
        </w:rPr>
        <w:t xml:space="preserve">series of </w:t>
      </w:r>
      <w:r w:rsidR="00891A5D" w:rsidRPr="00B027D5">
        <w:rPr>
          <w:bCs/>
          <w:szCs w:val="21"/>
        </w:rPr>
        <w:t xml:space="preserve">seven </w:t>
      </w:r>
      <w:proofErr w:type="spellStart"/>
      <w:r w:rsidR="00061982" w:rsidRPr="00B027D5">
        <w:rPr>
          <w:bCs/>
          <w:szCs w:val="21"/>
        </w:rPr>
        <w:t>microcredentials</w:t>
      </w:r>
      <w:proofErr w:type="spellEnd"/>
      <w:r w:rsidR="00061982" w:rsidRPr="00B027D5">
        <w:rPr>
          <w:bCs/>
          <w:szCs w:val="21"/>
        </w:rPr>
        <w:t xml:space="preserve"> for </w:t>
      </w:r>
      <w:r w:rsidR="00A71CFF" w:rsidRPr="00B027D5">
        <w:rPr>
          <w:bCs/>
          <w:szCs w:val="21"/>
        </w:rPr>
        <w:t>T</w:t>
      </w:r>
      <w:r w:rsidR="00061982" w:rsidRPr="00B027D5">
        <w:rPr>
          <w:bCs/>
          <w:szCs w:val="21"/>
        </w:rPr>
        <w:t xml:space="preserve">Ps. </w:t>
      </w:r>
      <w:proofErr w:type="spellStart"/>
      <w:r w:rsidR="00061982" w:rsidRPr="00B027D5">
        <w:rPr>
          <w:bCs/>
          <w:szCs w:val="21"/>
        </w:rPr>
        <w:t>Microcredentials</w:t>
      </w:r>
      <w:proofErr w:type="spellEnd"/>
      <w:r w:rsidR="00061982" w:rsidRPr="00B027D5">
        <w:rPr>
          <w:bCs/>
          <w:szCs w:val="21"/>
        </w:rPr>
        <w:t xml:space="preserve"> are short, bite-sized curriculums, allow</w:t>
      </w:r>
      <w:r w:rsidRPr="00B027D5">
        <w:rPr>
          <w:bCs/>
          <w:szCs w:val="21"/>
        </w:rPr>
        <w:t>ing</w:t>
      </w:r>
      <w:r w:rsidR="00061982" w:rsidRPr="00B027D5">
        <w:rPr>
          <w:bCs/>
          <w:szCs w:val="21"/>
        </w:rPr>
        <w:t xml:space="preserve"> learners to </w:t>
      </w:r>
      <w:r w:rsidR="000B41DF" w:rsidRPr="00B027D5">
        <w:rPr>
          <w:bCs/>
          <w:szCs w:val="21"/>
        </w:rPr>
        <w:t>upskill in</w:t>
      </w:r>
      <w:r w:rsidR="00061982" w:rsidRPr="00B027D5">
        <w:rPr>
          <w:bCs/>
          <w:szCs w:val="21"/>
        </w:rPr>
        <w:t xml:space="preserve"> specific areas</w:t>
      </w:r>
      <w:r w:rsidR="000B41DF" w:rsidRPr="00B027D5">
        <w:rPr>
          <w:bCs/>
          <w:szCs w:val="21"/>
        </w:rPr>
        <w:t xml:space="preserve"> </w:t>
      </w:r>
      <w:r w:rsidR="00061982" w:rsidRPr="00B027D5">
        <w:rPr>
          <w:bCs/>
          <w:szCs w:val="21"/>
        </w:rPr>
        <w:t>of</w:t>
      </w:r>
      <w:r w:rsidRPr="00B027D5">
        <w:rPr>
          <w:bCs/>
          <w:szCs w:val="21"/>
        </w:rPr>
        <w:t xml:space="preserve"> blood management and transfusion practice</w:t>
      </w:r>
      <w:r w:rsidR="00061982" w:rsidRPr="00B027D5">
        <w:rPr>
          <w:bCs/>
          <w:szCs w:val="21"/>
        </w:rPr>
        <w:t>. Courses can be accessed via</w:t>
      </w:r>
      <w:r w:rsidR="00286C2E" w:rsidRPr="00B027D5">
        <w:rPr>
          <w:bCs/>
          <w:szCs w:val="21"/>
        </w:rPr>
        <w:t xml:space="preserve"> </w:t>
      </w:r>
      <w:hyperlink r:id="rId29" w:history="1">
        <w:r w:rsidR="00E8396D" w:rsidRPr="00F635CB">
          <w:rPr>
            <w:rStyle w:val="Hyperlink"/>
            <w:szCs w:val="21"/>
          </w:rPr>
          <w:t>Transfusion courses | Lifeblood</w:t>
        </w:r>
      </w:hyperlink>
      <w:r w:rsidR="00286C2E" w:rsidRPr="00B027D5">
        <w:rPr>
          <w:bCs/>
          <w:szCs w:val="21"/>
        </w:rPr>
        <w:t xml:space="preserve"> &lt;</w:t>
      </w:r>
      <w:r w:rsidR="00E8396D" w:rsidRPr="00E8396D">
        <w:rPr>
          <w:szCs w:val="21"/>
        </w:rPr>
        <w:t>https://www.lifeblood.com.au/health-professionals/learn/transfusion-courses</w:t>
      </w:r>
      <w:r w:rsidR="00286C2E" w:rsidRPr="00B027D5">
        <w:rPr>
          <w:bCs/>
          <w:szCs w:val="21"/>
        </w:rPr>
        <w:t>&gt;</w:t>
      </w:r>
      <w:r w:rsidR="00F6028F" w:rsidRPr="00B027D5">
        <w:rPr>
          <w:szCs w:val="21"/>
        </w:rPr>
        <w:t>.</w:t>
      </w:r>
      <w:r w:rsidR="001C2473" w:rsidRPr="00B027D5">
        <w:rPr>
          <w:rStyle w:val="Hyperlink"/>
          <w:bCs/>
          <w:szCs w:val="21"/>
        </w:rPr>
        <w:t xml:space="preserve"> </w:t>
      </w:r>
      <w:r w:rsidR="001C2473" w:rsidRPr="00DD4316">
        <w:rPr>
          <w:szCs w:val="21"/>
        </w:rPr>
        <w:t>You will need to register and log in to access this resource.</w:t>
      </w:r>
    </w:p>
    <w:p w14:paraId="25D47BF3" w14:textId="53B896D1" w:rsidR="00173DCE" w:rsidRPr="00B027D5" w:rsidRDefault="00173DCE" w:rsidP="00061982">
      <w:pPr>
        <w:pStyle w:val="Body"/>
        <w:rPr>
          <w:bCs/>
          <w:szCs w:val="21"/>
        </w:rPr>
      </w:pPr>
      <w:r w:rsidRPr="00B027D5">
        <w:rPr>
          <w:bCs/>
          <w:szCs w:val="21"/>
        </w:rPr>
        <w:lastRenderedPageBreak/>
        <w:t xml:space="preserve">Accessing these courses also provides the opportunity to attend </w:t>
      </w:r>
      <w:r w:rsidR="00262260" w:rsidRPr="00B027D5">
        <w:rPr>
          <w:bCs/>
          <w:szCs w:val="21"/>
        </w:rPr>
        <w:t>the</w:t>
      </w:r>
      <w:r w:rsidR="008E3B82" w:rsidRPr="00B027D5">
        <w:rPr>
          <w:bCs/>
          <w:szCs w:val="21"/>
        </w:rPr>
        <w:t xml:space="preserve"> monthly</w:t>
      </w:r>
      <w:r w:rsidR="00262260" w:rsidRPr="00B027D5">
        <w:rPr>
          <w:bCs/>
          <w:szCs w:val="21"/>
        </w:rPr>
        <w:t xml:space="preserve"> Transfusion </w:t>
      </w:r>
      <w:r w:rsidR="00A71CFF" w:rsidRPr="00B027D5">
        <w:rPr>
          <w:bCs/>
          <w:szCs w:val="21"/>
        </w:rPr>
        <w:t xml:space="preserve">Practitioner </w:t>
      </w:r>
      <w:proofErr w:type="spellStart"/>
      <w:r w:rsidR="00262260" w:rsidRPr="00B027D5">
        <w:rPr>
          <w:bCs/>
          <w:szCs w:val="21"/>
        </w:rPr>
        <w:t>Microcredential</w:t>
      </w:r>
      <w:proofErr w:type="spellEnd"/>
      <w:r w:rsidR="00262260" w:rsidRPr="00B027D5">
        <w:rPr>
          <w:bCs/>
          <w:szCs w:val="21"/>
        </w:rPr>
        <w:t xml:space="preserve"> </w:t>
      </w:r>
      <w:r w:rsidR="00286C2E" w:rsidRPr="00B027D5">
        <w:rPr>
          <w:bCs/>
          <w:szCs w:val="21"/>
        </w:rPr>
        <w:t xml:space="preserve">Virtual </w:t>
      </w:r>
      <w:r w:rsidR="00262260" w:rsidRPr="00B027D5">
        <w:rPr>
          <w:bCs/>
          <w:szCs w:val="21"/>
        </w:rPr>
        <w:t>Community</w:t>
      </w:r>
      <w:r w:rsidR="00CD51F4">
        <w:rPr>
          <w:bCs/>
          <w:szCs w:val="21"/>
        </w:rPr>
        <w:t xml:space="preserve"> meeting</w:t>
      </w:r>
      <w:r w:rsidR="008E3B82" w:rsidRPr="00B027D5">
        <w:rPr>
          <w:bCs/>
          <w:szCs w:val="21"/>
        </w:rPr>
        <w:t xml:space="preserve"> which</w:t>
      </w:r>
      <w:r w:rsidRPr="00B027D5">
        <w:rPr>
          <w:bCs/>
          <w:szCs w:val="21"/>
        </w:rPr>
        <w:t xml:space="preserve"> </w:t>
      </w:r>
      <w:r w:rsidR="00262260" w:rsidRPr="00B027D5">
        <w:rPr>
          <w:bCs/>
          <w:szCs w:val="21"/>
        </w:rPr>
        <w:t>cover aspects of the role by experts in the area</w:t>
      </w:r>
      <w:r w:rsidR="008E3B82" w:rsidRPr="00B027D5">
        <w:rPr>
          <w:bCs/>
          <w:szCs w:val="21"/>
        </w:rPr>
        <w:t xml:space="preserve"> and a Q &amp; A with </w:t>
      </w:r>
      <w:r w:rsidR="00825106" w:rsidRPr="00B027D5">
        <w:rPr>
          <w:bCs/>
          <w:szCs w:val="21"/>
        </w:rPr>
        <w:t>TPs</w:t>
      </w:r>
      <w:r w:rsidR="00262260" w:rsidRPr="00B027D5">
        <w:rPr>
          <w:bCs/>
          <w:szCs w:val="21"/>
        </w:rPr>
        <w:t>.</w:t>
      </w:r>
    </w:p>
    <w:p w14:paraId="0BF5043B" w14:textId="4595D9BD" w:rsidR="00061982" w:rsidRPr="00B027D5" w:rsidRDefault="00061982" w:rsidP="00061982">
      <w:pPr>
        <w:pStyle w:val="Body"/>
        <w:rPr>
          <w:bCs/>
          <w:szCs w:val="21"/>
        </w:rPr>
      </w:pPr>
      <w:r w:rsidRPr="00B027D5">
        <w:rPr>
          <w:bCs/>
          <w:szCs w:val="21"/>
        </w:rPr>
        <w:t>Lifeblood provides</w:t>
      </w:r>
      <w:r w:rsidR="00DB67D6" w:rsidRPr="00B027D5">
        <w:rPr>
          <w:bCs/>
          <w:szCs w:val="21"/>
        </w:rPr>
        <w:t xml:space="preserve"> other</w:t>
      </w:r>
      <w:r w:rsidRPr="00B027D5">
        <w:rPr>
          <w:bCs/>
          <w:szCs w:val="21"/>
        </w:rPr>
        <w:t xml:space="preserve"> educational </w:t>
      </w:r>
      <w:r w:rsidR="00DB67D6" w:rsidRPr="00B027D5">
        <w:rPr>
          <w:bCs/>
          <w:szCs w:val="21"/>
        </w:rPr>
        <w:t>resources including</w:t>
      </w:r>
      <w:r w:rsidRPr="00B027D5">
        <w:rPr>
          <w:bCs/>
          <w:szCs w:val="21"/>
        </w:rPr>
        <w:t xml:space="preserve"> eLearning and webinars.</w:t>
      </w:r>
      <w:r w:rsidR="00E8396D" w:rsidRPr="00E8396D">
        <w:rPr>
          <w:rFonts w:eastAsia="Times New Roman"/>
        </w:rPr>
        <w:t xml:space="preserve"> </w:t>
      </w:r>
      <w:hyperlink r:id="rId30" w:history="1">
        <w:r w:rsidR="00E8396D" w:rsidRPr="00F635CB">
          <w:rPr>
            <w:rStyle w:val="Hyperlink"/>
            <w:szCs w:val="21"/>
          </w:rPr>
          <w:t>Blood information for health professionals | Lifeblood</w:t>
        </w:r>
      </w:hyperlink>
      <w:r w:rsidR="00E8396D">
        <w:rPr>
          <w:rFonts w:eastAsia="Times New Roman"/>
        </w:rPr>
        <w:t xml:space="preserve"> &lt;</w:t>
      </w:r>
      <w:r w:rsidR="00E8396D" w:rsidRPr="00E8396D">
        <w:rPr>
          <w:rFonts w:eastAsia="Times New Roman"/>
        </w:rPr>
        <w:t>https://www.lifeblood.com.au/health-professionals</w:t>
      </w:r>
      <w:r w:rsidR="00E8396D">
        <w:rPr>
          <w:rFonts w:eastAsia="Times New Roman"/>
        </w:rPr>
        <w:t>&gt;</w:t>
      </w:r>
      <w:r w:rsidRPr="00B027D5">
        <w:rPr>
          <w:bCs/>
          <w:szCs w:val="21"/>
        </w:rPr>
        <w:t xml:space="preserve"> </w:t>
      </w:r>
    </w:p>
    <w:p w14:paraId="7F849DCB" w14:textId="2BEB04DB" w:rsidR="00C8441F" w:rsidRPr="00DD4316" w:rsidRDefault="00C8441F" w:rsidP="00DB67D6">
      <w:pPr>
        <w:pStyle w:val="Heading4"/>
        <w:rPr>
          <w:sz w:val="21"/>
          <w:szCs w:val="21"/>
        </w:rPr>
      </w:pPr>
      <w:proofErr w:type="spellStart"/>
      <w:r w:rsidRPr="00DD4316">
        <w:rPr>
          <w:sz w:val="21"/>
          <w:szCs w:val="21"/>
        </w:rPr>
        <w:t>BloodSafe</w:t>
      </w:r>
      <w:proofErr w:type="spellEnd"/>
      <w:r w:rsidRPr="00DD4316">
        <w:rPr>
          <w:sz w:val="21"/>
          <w:szCs w:val="21"/>
        </w:rPr>
        <w:t xml:space="preserve"> eLearning </w:t>
      </w:r>
    </w:p>
    <w:p w14:paraId="51B00221" w14:textId="36B1D8D6" w:rsidR="00061982" w:rsidRPr="00B027D5" w:rsidRDefault="00061982" w:rsidP="00061982">
      <w:pPr>
        <w:pStyle w:val="Body"/>
        <w:rPr>
          <w:bCs/>
          <w:szCs w:val="21"/>
        </w:rPr>
      </w:pPr>
      <w:proofErr w:type="spellStart"/>
      <w:r w:rsidRPr="00B027D5">
        <w:rPr>
          <w:bCs/>
          <w:szCs w:val="21"/>
        </w:rPr>
        <w:t>BloodSafe</w:t>
      </w:r>
      <w:proofErr w:type="spellEnd"/>
      <w:r w:rsidRPr="00B027D5">
        <w:rPr>
          <w:bCs/>
          <w:szCs w:val="21"/>
        </w:rPr>
        <w:t xml:space="preserve"> eLearning Australia </w:t>
      </w:r>
      <w:r w:rsidR="007D52EF" w:rsidRPr="00B027D5">
        <w:rPr>
          <w:bCs/>
          <w:szCs w:val="21"/>
        </w:rPr>
        <w:t xml:space="preserve">has </w:t>
      </w:r>
      <w:r w:rsidRPr="00B027D5">
        <w:rPr>
          <w:bCs/>
          <w:szCs w:val="21"/>
        </w:rPr>
        <w:t>many education</w:t>
      </w:r>
      <w:r w:rsidR="00EA4ABA">
        <w:rPr>
          <w:bCs/>
          <w:szCs w:val="21"/>
        </w:rPr>
        <w:t>al</w:t>
      </w:r>
      <w:r w:rsidRPr="00B027D5">
        <w:rPr>
          <w:bCs/>
          <w:szCs w:val="21"/>
        </w:rPr>
        <w:t xml:space="preserve"> courses</w:t>
      </w:r>
      <w:r w:rsidR="007D52EF" w:rsidRPr="00B027D5">
        <w:rPr>
          <w:bCs/>
          <w:szCs w:val="21"/>
        </w:rPr>
        <w:t xml:space="preserve">. This is a great resource for the </w:t>
      </w:r>
      <w:r w:rsidR="00825106" w:rsidRPr="00B027D5">
        <w:rPr>
          <w:bCs/>
          <w:szCs w:val="21"/>
        </w:rPr>
        <w:t>TP</w:t>
      </w:r>
      <w:r w:rsidR="007D52EF" w:rsidRPr="00B027D5">
        <w:rPr>
          <w:bCs/>
          <w:szCs w:val="21"/>
        </w:rPr>
        <w:t xml:space="preserve"> and clinical staff.</w:t>
      </w:r>
      <w:r w:rsidRPr="00B027D5">
        <w:rPr>
          <w:bCs/>
          <w:szCs w:val="21"/>
        </w:rPr>
        <w:t xml:space="preserve"> For further information go to</w:t>
      </w:r>
      <w:r w:rsidR="00E160EA" w:rsidRPr="00B027D5">
        <w:rPr>
          <w:bCs/>
          <w:szCs w:val="21"/>
        </w:rPr>
        <w:t xml:space="preserve"> </w:t>
      </w:r>
      <w:hyperlink r:id="rId31" w:history="1">
        <w:r w:rsidR="00E160EA" w:rsidRPr="00B027D5">
          <w:rPr>
            <w:rStyle w:val="Hyperlink"/>
            <w:bCs/>
            <w:szCs w:val="21"/>
          </w:rPr>
          <w:t>BloodSafe eLearning Australia</w:t>
        </w:r>
      </w:hyperlink>
      <w:r w:rsidR="00E160EA" w:rsidRPr="00B027D5">
        <w:rPr>
          <w:bCs/>
          <w:szCs w:val="21"/>
        </w:rPr>
        <w:t xml:space="preserve"> </w:t>
      </w:r>
      <w:proofErr w:type="gramStart"/>
      <w:r w:rsidR="00E160EA" w:rsidRPr="00B027D5">
        <w:rPr>
          <w:bCs/>
          <w:szCs w:val="21"/>
        </w:rPr>
        <w:t>web</w:t>
      </w:r>
      <w:r w:rsidR="00286C2E" w:rsidRPr="00B027D5">
        <w:rPr>
          <w:bCs/>
          <w:szCs w:val="21"/>
        </w:rPr>
        <w:t xml:space="preserve">pages </w:t>
      </w:r>
      <w:r w:rsidRPr="00B027D5">
        <w:rPr>
          <w:bCs/>
          <w:szCs w:val="21"/>
        </w:rPr>
        <w:t xml:space="preserve"> </w:t>
      </w:r>
      <w:r w:rsidR="007D52EF" w:rsidRPr="00B027D5">
        <w:rPr>
          <w:bCs/>
          <w:szCs w:val="21"/>
        </w:rPr>
        <w:t>&lt;</w:t>
      </w:r>
      <w:proofErr w:type="gramEnd"/>
      <w:r w:rsidR="00E160EA" w:rsidRPr="00DD4316">
        <w:rPr>
          <w:szCs w:val="21"/>
        </w:rPr>
        <w:t>https://bloodsafelearning.org.au</w:t>
      </w:r>
      <w:r w:rsidR="007D52EF" w:rsidRPr="00B027D5">
        <w:rPr>
          <w:bCs/>
          <w:szCs w:val="21"/>
        </w:rPr>
        <w:t>&gt;</w:t>
      </w:r>
      <w:r w:rsidRPr="00B027D5">
        <w:rPr>
          <w:bCs/>
          <w:szCs w:val="21"/>
        </w:rPr>
        <w:t xml:space="preserve"> </w:t>
      </w:r>
    </w:p>
    <w:p w14:paraId="1DFCC972" w14:textId="77777777" w:rsidR="00935CF5" w:rsidRPr="00B027D5" w:rsidRDefault="00935CF5" w:rsidP="00D00BBF">
      <w:pPr>
        <w:pStyle w:val="Body"/>
        <w:rPr>
          <w:szCs w:val="21"/>
        </w:rPr>
      </w:pPr>
    </w:p>
    <w:p w14:paraId="5E29F15F" w14:textId="02E9500F" w:rsidR="00986A84" w:rsidRPr="00986A84" w:rsidRDefault="00986A84" w:rsidP="00042650">
      <w:pPr>
        <w:pStyle w:val="Heading2"/>
      </w:pPr>
      <w:bookmarkStart w:id="8" w:name="_Toc184376922"/>
      <w:bookmarkStart w:id="9" w:name="_Hlk171435768"/>
      <w:r w:rsidRPr="00986A84">
        <w:t xml:space="preserve">Blood </w:t>
      </w:r>
      <w:r w:rsidR="00DF34BE" w:rsidRPr="00986A84">
        <w:t>management committees</w:t>
      </w:r>
      <w:bookmarkEnd w:id="8"/>
    </w:p>
    <w:bookmarkEnd w:id="9"/>
    <w:p w14:paraId="0A1DB4F6" w14:textId="10264326" w:rsidR="00986A84" w:rsidRPr="00B027D5" w:rsidRDefault="00986A84" w:rsidP="00986A84">
      <w:pPr>
        <w:pStyle w:val="Body"/>
        <w:rPr>
          <w:bCs/>
          <w:szCs w:val="21"/>
        </w:rPr>
      </w:pPr>
      <w:r w:rsidRPr="00B027D5">
        <w:rPr>
          <w:bCs/>
          <w:szCs w:val="21"/>
        </w:rPr>
        <w:t xml:space="preserve">A </w:t>
      </w:r>
      <w:r w:rsidR="00E332F6" w:rsidRPr="00B027D5">
        <w:rPr>
          <w:bCs/>
          <w:szCs w:val="21"/>
        </w:rPr>
        <w:t>blood management committee</w:t>
      </w:r>
      <w:r w:rsidRPr="00B027D5">
        <w:rPr>
          <w:bCs/>
          <w:szCs w:val="21"/>
        </w:rPr>
        <w:t xml:space="preserve"> is essential </w:t>
      </w:r>
      <w:r w:rsidR="00E332F6" w:rsidRPr="00B027D5">
        <w:rPr>
          <w:bCs/>
          <w:szCs w:val="21"/>
        </w:rPr>
        <w:t>to oversee</w:t>
      </w:r>
      <w:r w:rsidRPr="00B027D5">
        <w:rPr>
          <w:bCs/>
          <w:szCs w:val="21"/>
        </w:rPr>
        <w:t xml:space="preserve"> blood management and transfusion services within an institution to </w:t>
      </w:r>
      <w:r w:rsidR="007D52EF" w:rsidRPr="00B027D5">
        <w:rPr>
          <w:bCs/>
          <w:szCs w:val="21"/>
        </w:rPr>
        <w:t>ensure safe</w:t>
      </w:r>
      <w:r w:rsidR="000D1AF5" w:rsidRPr="00B027D5">
        <w:rPr>
          <w:bCs/>
          <w:szCs w:val="21"/>
        </w:rPr>
        <w:t>,</w:t>
      </w:r>
      <w:r w:rsidR="007D52EF" w:rsidRPr="00B027D5">
        <w:rPr>
          <w:bCs/>
          <w:szCs w:val="21"/>
        </w:rPr>
        <w:t xml:space="preserve"> appropriate</w:t>
      </w:r>
      <w:r w:rsidR="0019586A">
        <w:rPr>
          <w:bCs/>
          <w:szCs w:val="21"/>
        </w:rPr>
        <w:t>,</w:t>
      </w:r>
      <w:r w:rsidR="007D52EF" w:rsidRPr="00B027D5">
        <w:rPr>
          <w:bCs/>
          <w:szCs w:val="21"/>
        </w:rPr>
        <w:t xml:space="preserve"> person-centred care and stewardship of blood and blood products. </w:t>
      </w:r>
    </w:p>
    <w:p w14:paraId="5FF33E5E" w14:textId="41A52A02" w:rsidR="001644ED" w:rsidRPr="00B027D5" w:rsidRDefault="001644ED" w:rsidP="00986A84">
      <w:pPr>
        <w:pStyle w:val="Body"/>
        <w:rPr>
          <w:bCs/>
          <w:szCs w:val="21"/>
        </w:rPr>
      </w:pPr>
      <w:r w:rsidRPr="00B027D5">
        <w:rPr>
          <w:bCs/>
          <w:szCs w:val="21"/>
        </w:rPr>
        <w:t>In some health services this may be a separate committee,</w:t>
      </w:r>
      <w:r w:rsidR="00C53592" w:rsidRPr="00B027D5">
        <w:rPr>
          <w:bCs/>
          <w:szCs w:val="21"/>
        </w:rPr>
        <w:t xml:space="preserve"> while in others it may be incorporated as an agenda item in another</w:t>
      </w:r>
      <w:r w:rsidRPr="00B027D5">
        <w:rPr>
          <w:bCs/>
          <w:szCs w:val="21"/>
        </w:rPr>
        <w:t xml:space="preserve"> </w:t>
      </w:r>
      <w:r w:rsidR="00C53592" w:rsidRPr="00B027D5">
        <w:rPr>
          <w:bCs/>
          <w:szCs w:val="21"/>
        </w:rPr>
        <w:t>c</w:t>
      </w:r>
      <w:r w:rsidRPr="00B027D5">
        <w:rPr>
          <w:bCs/>
          <w:szCs w:val="21"/>
        </w:rPr>
        <w:t xml:space="preserve">linical </w:t>
      </w:r>
      <w:r w:rsidR="00C53592" w:rsidRPr="00B027D5">
        <w:rPr>
          <w:bCs/>
          <w:szCs w:val="21"/>
        </w:rPr>
        <w:t>g</w:t>
      </w:r>
      <w:r w:rsidRPr="00B027D5">
        <w:rPr>
          <w:bCs/>
          <w:szCs w:val="21"/>
        </w:rPr>
        <w:t>overnance committee.</w:t>
      </w:r>
    </w:p>
    <w:p w14:paraId="30B406FA" w14:textId="78495442" w:rsidR="00986A84" w:rsidRPr="00B027D5" w:rsidRDefault="00C53592" w:rsidP="00986A84">
      <w:pPr>
        <w:pStyle w:val="Body"/>
        <w:rPr>
          <w:bCs/>
          <w:szCs w:val="21"/>
        </w:rPr>
      </w:pPr>
      <w:r w:rsidRPr="00B027D5">
        <w:rPr>
          <w:bCs/>
          <w:szCs w:val="21"/>
        </w:rPr>
        <w:t>The p</w:t>
      </w:r>
      <w:r w:rsidR="00986A84" w:rsidRPr="00B027D5">
        <w:rPr>
          <w:bCs/>
          <w:szCs w:val="21"/>
        </w:rPr>
        <w:t>rimary roles of the hospital blood management committee (BMC) or equivalent is to e</w:t>
      </w:r>
      <w:r w:rsidR="00DB67D6" w:rsidRPr="00B027D5">
        <w:rPr>
          <w:bCs/>
          <w:szCs w:val="21"/>
        </w:rPr>
        <w:t>nsure:</w:t>
      </w:r>
    </w:p>
    <w:p w14:paraId="057C74D9" w14:textId="4105FD66" w:rsidR="00986A84" w:rsidRPr="00B027D5" w:rsidRDefault="00994221" w:rsidP="0003362E">
      <w:pPr>
        <w:pStyle w:val="Body"/>
        <w:numPr>
          <w:ilvl w:val="0"/>
          <w:numId w:val="13"/>
        </w:numPr>
        <w:rPr>
          <w:bCs/>
          <w:szCs w:val="21"/>
        </w:rPr>
      </w:pPr>
      <w:r w:rsidRPr="00B027D5">
        <w:rPr>
          <w:bCs/>
          <w:szCs w:val="21"/>
        </w:rPr>
        <w:t>b</w:t>
      </w:r>
      <w:r w:rsidR="00E332F6" w:rsidRPr="00B027D5">
        <w:rPr>
          <w:bCs/>
          <w:szCs w:val="21"/>
        </w:rPr>
        <w:t xml:space="preserve">lood </w:t>
      </w:r>
      <w:r w:rsidR="00E160EA" w:rsidRPr="00B027D5">
        <w:rPr>
          <w:bCs/>
          <w:szCs w:val="21"/>
        </w:rPr>
        <w:t xml:space="preserve">management and transfusion practice </w:t>
      </w:r>
      <w:r w:rsidR="00986A84" w:rsidRPr="00B027D5">
        <w:rPr>
          <w:bCs/>
          <w:szCs w:val="21"/>
        </w:rPr>
        <w:t>policies and procedures are in place</w:t>
      </w:r>
      <w:r w:rsidR="00C53592" w:rsidRPr="00B027D5">
        <w:rPr>
          <w:bCs/>
          <w:szCs w:val="21"/>
        </w:rPr>
        <w:t>,</w:t>
      </w:r>
      <w:r w:rsidR="00986A84" w:rsidRPr="00B027D5">
        <w:rPr>
          <w:bCs/>
          <w:szCs w:val="21"/>
        </w:rPr>
        <w:t xml:space="preserve"> and </w:t>
      </w:r>
      <w:r w:rsidRPr="00B027D5">
        <w:rPr>
          <w:bCs/>
          <w:szCs w:val="21"/>
        </w:rPr>
        <w:t>align</w:t>
      </w:r>
      <w:r w:rsidR="00DB67D6" w:rsidRPr="00B027D5">
        <w:rPr>
          <w:bCs/>
          <w:szCs w:val="21"/>
        </w:rPr>
        <w:t xml:space="preserve"> with current</w:t>
      </w:r>
      <w:r w:rsidR="00986A84" w:rsidRPr="00B027D5">
        <w:rPr>
          <w:bCs/>
          <w:szCs w:val="21"/>
        </w:rPr>
        <w:t xml:space="preserve"> best practice guidelines </w:t>
      </w:r>
    </w:p>
    <w:p w14:paraId="78991B42" w14:textId="278AB91D" w:rsidR="00986A84" w:rsidRPr="00B027D5" w:rsidRDefault="006A76AE" w:rsidP="0003362E">
      <w:pPr>
        <w:pStyle w:val="Body"/>
        <w:numPr>
          <w:ilvl w:val="0"/>
          <w:numId w:val="13"/>
        </w:numPr>
        <w:rPr>
          <w:bCs/>
          <w:szCs w:val="21"/>
        </w:rPr>
      </w:pPr>
      <w:r w:rsidRPr="00B027D5">
        <w:rPr>
          <w:bCs/>
          <w:szCs w:val="21"/>
        </w:rPr>
        <w:t>blood</w:t>
      </w:r>
      <w:r w:rsidR="00986A84" w:rsidRPr="00B027D5">
        <w:rPr>
          <w:bCs/>
          <w:szCs w:val="21"/>
        </w:rPr>
        <w:t xml:space="preserve"> management and transfusion practices are</w:t>
      </w:r>
      <w:r w:rsidRPr="00B027D5">
        <w:rPr>
          <w:bCs/>
          <w:szCs w:val="21"/>
        </w:rPr>
        <w:t xml:space="preserve"> monitored</w:t>
      </w:r>
      <w:r w:rsidR="00986A84" w:rsidRPr="00B027D5">
        <w:rPr>
          <w:bCs/>
          <w:szCs w:val="21"/>
        </w:rPr>
        <w:t xml:space="preserve"> </w:t>
      </w:r>
      <w:r w:rsidR="00DB67D6" w:rsidRPr="00B027D5">
        <w:rPr>
          <w:bCs/>
          <w:szCs w:val="21"/>
        </w:rPr>
        <w:t>and adhere to</w:t>
      </w:r>
      <w:r w:rsidR="00986A84" w:rsidRPr="00B027D5">
        <w:rPr>
          <w:bCs/>
          <w:szCs w:val="21"/>
        </w:rPr>
        <w:t xml:space="preserve"> institutional policies and procedures</w:t>
      </w:r>
      <w:r w:rsidR="00DB67D6" w:rsidRPr="00B027D5">
        <w:rPr>
          <w:bCs/>
          <w:szCs w:val="21"/>
        </w:rPr>
        <w:t xml:space="preserve">. </w:t>
      </w:r>
      <w:r w:rsidR="00986A84" w:rsidRPr="00B027D5">
        <w:rPr>
          <w:bCs/>
          <w:szCs w:val="21"/>
        </w:rPr>
        <w:t xml:space="preserve">Feedback, </w:t>
      </w:r>
      <w:r w:rsidR="00994221" w:rsidRPr="00B027D5">
        <w:rPr>
          <w:bCs/>
          <w:szCs w:val="21"/>
        </w:rPr>
        <w:t>reporting,</w:t>
      </w:r>
      <w:r w:rsidR="00986A84" w:rsidRPr="00B027D5">
        <w:rPr>
          <w:bCs/>
          <w:szCs w:val="21"/>
        </w:rPr>
        <w:t xml:space="preserve"> and improvement</w:t>
      </w:r>
      <w:r w:rsidR="00DB67D6" w:rsidRPr="00B027D5">
        <w:rPr>
          <w:bCs/>
          <w:szCs w:val="21"/>
        </w:rPr>
        <w:t xml:space="preserve"> activities are</w:t>
      </w:r>
      <w:r w:rsidR="00986A84" w:rsidRPr="00B027D5">
        <w:rPr>
          <w:bCs/>
          <w:szCs w:val="21"/>
        </w:rPr>
        <w:t xml:space="preserve"> undertaken </w:t>
      </w:r>
      <w:r w:rsidR="00DB67D6" w:rsidRPr="00B027D5">
        <w:rPr>
          <w:bCs/>
          <w:szCs w:val="21"/>
        </w:rPr>
        <w:t>when gaps in practice are identified.</w:t>
      </w:r>
    </w:p>
    <w:p w14:paraId="24B7A82B" w14:textId="07BDCFD4" w:rsidR="00986A84" w:rsidRPr="00B027D5" w:rsidRDefault="00986A84" w:rsidP="0003362E">
      <w:pPr>
        <w:pStyle w:val="Body"/>
        <w:numPr>
          <w:ilvl w:val="0"/>
          <w:numId w:val="13"/>
        </w:numPr>
        <w:rPr>
          <w:bCs/>
          <w:szCs w:val="21"/>
        </w:rPr>
      </w:pPr>
      <w:r w:rsidRPr="00B027D5">
        <w:rPr>
          <w:bCs/>
          <w:szCs w:val="21"/>
        </w:rPr>
        <w:t>education is provided to staff regarding</w:t>
      </w:r>
      <w:r w:rsidR="00DB67D6" w:rsidRPr="00B027D5">
        <w:rPr>
          <w:bCs/>
          <w:szCs w:val="21"/>
        </w:rPr>
        <w:t xml:space="preserve"> patient</w:t>
      </w:r>
      <w:r w:rsidRPr="00B027D5">
        <w:rPr>
          <w:bCs/>
          <w:szCs w:val="21"/>
        </w:rPr>
        <w:t xml:space="preserve"> blood management, </w:t>
      </w:r>
      <w:r w:rsidR="00DB67D6" w:rsidRPr="00B027D5">
        <w:rPr>
          <w:bCs/>
          <w:szCs w:val="21"/>
        </w:rPr>
        <w:t>safe</w:t>
      </w:r>
      <w:r w:rsidRPr="00B027D5">
        <w:rPr>
          <w:bCs/>
          <w:szCs w:val="21"/>
        </w:rPr>
        <w:t xml:space="preserve"> transfusion</w:t>
      </w:r>
      <w:r w:rsidR="00DB67D6" w:rsidRPr="00B027D5">
        <w:rPr>
          <w:bCs/>
          <w:szCs w:val="21"/>
        </w:rPr>
        <w:t xml:space="preserve"> practice</w:t>
      </w:r>
      <w:r w:rsidRPr="00B027D5">
        <w:rPr>
          <w:bCs/>
          <w:szCs w:val="21"/>
        </w:rPr>
        <w:t xml:space="preserve"> and blood stewardship</w:t>
      </w:r>
    </w:p>
    <w:p w14:paraId="34BB3065" w14:textId="19AFE93F" w:rsidR="00986A84" w:rsidRPr="00B027D5" w:rsidRDefault="006A76AE" w:rsidP="0003362E">
      <w:pPr>
        <w:pStyle w:val="Body"/>
        <w:numPr>
          <w:ilvl w:val="0"/>
          <w:numId w:val="13"/>
        </w:numPr>
        <w:rPr>
          <w:bCs/>
          <w:szCs w:val="21"/>
        </w:rPr>
      </w:pPr>
      <w:r w:rsidRPr="00B027D5">
        <w:rPr>
          <w:bCs/>
          <w:szCs w:val="21"/>
        </w:rPr>
        <w:t>provision of</w:t>
      </w:r>
      <w:r w:rsidR="00986A84" w:rsidRPr="00B027D5">
        <w:rPr>
          <w:bCs/>
          <w:szCs w:val="21"/>
        </w:rPr>
        <w:t xml:space="preserve"> an active forum to facilitate communication on blood management and transfusion practices.</w:t>
      </w:r>
    </w:p>
    <w:p w14:paraId="13F56EA9" w14:textId="2B0CEAA6" w:rsidR="00986A84" w:rsidRPr="00B027D5" w:rsidRDefault="001B1994" w:rsidP="001B1994">
      <w:pPr>
        <w:pStyle w:val="Body"/>
        <w:rPr>
          <w:bCs/>
          <w:szCs w:val="21"/>
        </w:rPr>
      </w:pPr>
      <w:r w:rsidRPr="00B027D5">
        <w:rPr>
          <w:bCs/>
          <w:szCs w:val="21"/>
        </w:rPr>
        <w:t>M</w:t>
      </w:r>
      <w:r w:rsidR="00986A84" w:rsidRPr="00B027D5">
        <w:rPr>
          <w:bCs/>
          <w:szCs w:val="21"/>
        </w:rPr>
        <w:t>embership</w:t>
      </w:r>
      <w:r w:rsidR="004F268F">
        <w:rPr>
          <w:bCs/>
          <w:szCs w:val="21"/>
        </w:rPr>
        <w:t xml:space="preserve"> of the BMC will depend on local factors but where possible</w:t>
      </w:r>
      <w:r w:rsidR="00986A84" w:rsidRPr="00B027D5">
        <w:rPr>
          <w:bCs/>
          <w:szCs w:val="21"/>
        </w:rPr>
        <w:t xml:space="preserve"> </w:t>
      </w:r>
      <w:r w:rsidR="004F268F">
        <w:rPr>
          <w:bCs/>
          <w:szCs w:val="21"/>
        </w:rPr>
        <w:t>should</w:t>
      </w:r>
      <w:r w:rsidR="004F268F" w:rsidRPr="00B027D5">
        <w:rPr>
          <w:bCs/>
          <w:szCs w:val="21"/>
        </w:rPr>
        <w:t xml:space="preserve"> </w:t>
      </w:r>
      <w:r w:rsidR="00986A84" w:rsidRPr="00B027D5">
        <w:rPr>
          <w:bCs/>
          <w:szCs w:val="21"/>
        </w:rPr>
        <w:t>include those with relevant expertise and authority</w:t>
      </w:r>
      <w:r w:rsidRPr="00B027D5">
        <w:rPr>
          <w:bCs/>
          <w:szCs w:val="21"/>
        </w:rPr>
        <w:t xml:space="preserve"> such as </w:t>
      </w:r>
      <w:r w:rsidR="00986A84" w:rsidRPr="00B027D5">
        <w:rPr>
          <w:bCs/>
          <w:szCs w:val="21"/>
        </w:rPr>
        <w:t>a</w:t>
      </w:r>
      <w:r w:rsidR="004F268F">
        <w:rPr>
          <w:bCs/>
          <w:szCs w:val="21"/>
        </w:rPr>
        <w:t xml:space="preserve">n executive sponsor, </w:t>
      </w:r>
      <w:r w:rsidR="000D1AF5" w:rsidRPr="00B027D5">
        <w:rPr>
          <w:bCs/>
          <w:szCs w:val="21"/>
        </w:rPr>
        <w:t>T</w:t>
      </w:r>
      <w:r w:rsidR="00986A84" w:rsidRPr="00B027D5">
        <w:rPr>
          <w:bCs/>
          <w:szCs w:val="21"/>
        </w:rPr>
        <w:t>P, transfusion scientist, laboratory haematolog</w:t>
      </w:r>
      <w:r w:rsidR="00C53592" w:rsidRPr="00B027D5">
        <w:rPr>
          <w:bCs/>
          <w:szCs w:val="21"/>
        </w:rPr>
        <w:t xml:space="preserve">ist </w:t>
      </w:r>
      <w:r w:rsidR="00AB0BAE">
        <w:rPr>
          <w:bCs/>
          <w:szCs w:val="21"/>
        </w:rPr>
        <w:t>and/</w:t>
      </w:r>
      <w:r w:rsidR="00C53592" w:rsidRPr="00B027D5">
        <w:rPr>
          <w:bCs/>
          <w:szCs w:val="21"/>
        </w:rPr>
        <w:t>or</w:t>
      </w:r>
      <w:r w:rsidR="00986A84" w:rsidRPr="00B027D5">
        <w:rPr>
          <w:bCs/>
          <w:szCs w:val="21"/>
        </w:rPr>
        <w:t xml:space="preserve"> </w:t>
      </w:r>
      <w:r w:rsidR="004F268F" w:rsidRPr="00B027D5">
        <w:rPr>
          <w:bCs/>
          <w:szCs w:val="21"/>
        </w:rPr>
        <w:t>registrar,</w:t>
      </w:r>
      <w:r w:rsidR="004F268F">
        <w:rPr>
          <w:bCs/>
          <w:szCs w:val="21"/>
        </w:rPr>
        <w:t xml:space="preserve"> medical and nursing</w:t>
      </w:r>
      <w:r w:rsidR="00986A84" w:rsidRPr="00B027D5">
        <w:rPr>
          <w:bCs/>
          <w:szCs w:val="21"/>
        </w:rPr>
        <w:t xml:space="preserve"> </w:t>
      </w:r>
      <w:r w:rsidR="004F268F">
        <w:rPr>
          <w:bCs/>
          <w:szCs w:val="21"/>
        </w:rPr>
        <w:t>representation from relevant clinical areas</w:t>
      </w:r>
      <w:r w:rsidR="00986A84" w:rsidRPr="00B027D5">
        <w:rPr>
          <w:bCs/>
          <w:szCs w:val="21"/>
        </w:rPr>
        <w:t>,</w:t>
      </w:r>
      <w:r w:rsidR="004F268F">
        <w:rPr>
          <w:bCs/>
          <w:szCs w:val="21"/>
        </w:rPr>
        <w:t xml:space="preserve"> </w:t>
      </w:r>
      <w:r w:rsidR="009D12B0">
        <w:rPr>
          <w:bCs/>
          <w:szCs w:val="21"/>
        </w:rPr>
        <w:t>education,</w:t>
      </w:r>
      <w:r w:rsidR="00986A84" w:rsidRPr="00B027D5">
        <w:rPr>
          <w:bCs/>
          <w:szCs w:val="21"/>
        </w:rPr>
        <w:t xml:space="preserve"> and </w:t>
      </w:r>
      <w:r w:rsidR="004F268F">
        <w:rPr>
          <w:bCs/>
          <w:szCs w:val="21"/>
        </w:rPr>
        <w:t xml:space="preserve">a </w:t>
      </w:r>
      <w:r w:rsidR="00986A84" w:rsidRPr="00B027D5">
        <w:rPr>
          <w:bCs/>
          <w:szCs w:val="21"/>
        </w:rPr>
        <w:t>quality/risk representative.</w:t>
      </w:r>
    </w:p>
    <w:p w14:paraId="49A2F680" w14:textId="41E24015" w:rsidR="00986A84" w:rsidRPr="00B027D5" w:rsidRDefault="000D1AF5" w:rsidP="00986A84">
      <w:pPr>
        <w:pStyle w:val="Body"/>
        <w:rPr>
          <w:bCs/>
          <w:szCs w:val="21"/>
        </w:rPr>
      </w:pPr>
      <w:r w:rsidRPr="00B027D5">
        <w:rPr>
          <w:bCs/>
          <w:szCs w:val="21"/>
        </w:rPr>
        <w:t>The TP</w:t>
      </w:r>
      <w:r w:rsidR="00C53592" w:rsidRPr="00B027D5">
        <w:rPr>
          <w:bCs/>
          <w:szCs w:val="21"/>
        </w:rPr>
        <w:t xml:space="preserve"> is usually the key coordinator</w:t>
      </w:r>
      <w:r w:rsidR="00F84E36" w:rsidRPr="00B027D5">
        <w:rPr>
          <w:bCs/>
          <w:szCs w:val="21"/>
        </w:rPr>
        <w:t xml:space="preserve"> facilitating regular </w:t>
      </w:r>
      <w:r w:rsidR="003C663B" w:rsidRPr="00B027D5">
        <w:rPr>
          <w:bCs/>
          <w:szCs w:val="21"/>
        </w:rPr>
        <w:t xml:space="preserve">BMC </w:t>
      </w:r>
      <w:r w:rsidR="00F84E36" w:rsidRPr="00B027D5">
        <w:rPr>
          <w:bCs/>
          <w:szCs w:val="21"/>
        </w:rPr>
        <w:t>meetings</w:t>
      </w:r>
      <w:r w:rsidR="003C663B" w:rsidRPr="00B027D5">
        <w:rPr>
          <w:bCs/>
          <w:szCs w:val="21"/>
        </w:rPr>
        <w:t>.</w:t>
      </w:r>
    </w:p>
    <w:p w14:paraId="2EC2048E" w14:textId="14B38AA2" w:rsidR="00A407F7" w:rsidRPr="00B027D5" w:rsidRDefault="000611C5" w:rsidP="00986A84">
      <w:pPr>
        <w:pStyle w:val="Body"/>
        <w:rPr>
          <w:bCs/>
          <w:szCs w:val="21"/>
        </w:rPr>
      </w:pPr>
      <w:r w:rsidRPr="00B027D5">
        <w:rPr>
          <w:bCs/>
          <w:szCs w:val="21"/>
        </w:rPr>
        <w:t xml:space="preserve">Additional information about the BMC can be found at </w:t>
      </w:r>
      <w:hyperlink r:id="rId32" w:history="1">
        <w:r w:rsidRPr="00B027D5">
          <w:rPr>
            <w:rStyle w:val="Hyperlink"/>
            <w:bCs/>
            <w:szCs w:val="21"/>
          </w:rPr>
          <w:t>Lifeblood, Transfusion Committee</w:t>
        </w:r>
      </w:hyperlink>
      <w:r w:rsidRPr="00B027D5">
        <w:rPr>
          <w:bCs/>
          <w:szCs w:val="21"/>
        </w:rPr>
        <w:t xml:space="preserve"> </w:t>
      </w:r>
      <w:r w:rsidR="004F268F">
        <w:rPr>
          <w:bCs/>
          <w:szCs w:val="21"/>
        </w:rPr>
        <w:t>&lt;</w:t>
      </w:r>
      <w:r w:rsidR="00EB5949" w:rsidRPr="00542E73">
        <w:t>https://www.lifeblood.com.au/health-professionals/clinical-practice/patient-blood-management/transfusion-committees</w:t>
      </w:r>
      <w:r w:rsidR="004F268F">
        <w:rPr>
          <w:szCs w:val="21"/>
        </w:rPr>
        <w:t>&gt;</w:t>
      </w:r>
      <w:r w:rsidR="004F268F">
        <w:rPr>
          <w:bCs/>
          <w:szCs w:val="21"/>
        </w:rPr>
        <w:t xml:space="preserve">, </w:t>
      </w:r>
      <w:hyperlink r:id="rId33" w:history="1">
        <w:r w:rsidR="004F268F" w:rsidRPr="00E8396D">
          <w:rPr>
            <w:rStyle w:val="Hyperlink"/>
            <w:bCs/>
            <w:szCs w:val="21"/>
          </w:rPr>
          <w:t>ANZSBT Guidelines for the Administration of Blood Products, 3</w:t>
        </w:r>
        <w:r w:rsidR="004F268F" w:rsidRPr="00E8396D">
          <w:rPr>
            <w:rStyle w:val="Hyperlink"/>
            <w:bCs/>
            <w:szCs w:val="21"/>
            <w:vertAlign w:val="superscript"/>
          </w:rPr>
          <w:t>rd</w:t>
        </w:r>
        <w:r w:rsidR="004F268F" w:rsidRPr="00E8396D">
          <w:rPr>
            <w:rStyle w:val="Hyperlink"/>
            <w:bCs/>
            <w:szCs w:val="21"/>
          </w:rPr>
          <w:t xml:space="preserve"> edition (2024</w:t>
        </w:r>
      </w:hyperlink>
      <w:r w:rsidR="004F268F">
        <w:rPr>
          <w:bCs/>
          <w:szCs w:val="21"/>
        </w:rPr>
        <w:t>) &lt;</w:t>
      </w:r>
      <w:r w:rsidR="004F268F" w:rsidRPr="004F268F">
        <w:rPr>
          <w:bCs/>
          <w:szCs w:val="21"/>
        </w:rPr>
        <w:t>https://anzsbt.org.au/wp-content/uploads/2024/02/Guidelines-for-the-Administration-of-Blood-Products-revised-Feb-2024.pdf</w:t>
      </w:r>
      <w:r w:rsidR="004F268F">
        <w:rPr>
          <w:bCs/>
          <w:szCs w:val="21"/>
        </w:rPr>
        <w:t xml:space="preserve">&gt; and </w:t>
      </w:r>
      <w:r w:rsidRPr="00B027D5">
        <w:rPr>
          <w:bCs/>
          <w:szCs w:val="21"/>
        </w:rPr>
        <w:t xml:space="preserve">the </w:t>
      </w:r>
      <w:hyperlink r:id="rId34" w:history="1">
        <w:r w:rsidRPr="00B027D5">
          <w:rPr>
            <w:rStyle w:val="Hyperlink"/>
            <w:bCs/>
            <w:szCs w:val="21"/>
          </w:rPr>
          <w:t>Australian Commission on Safety and Quality in Health Care</w:t>
        </w:r>
      </w:hyperlink>
      <w:r w:rsidRPr="00B027D5">
        <w:rPr>
          <w:bCs/>
          <w:szCs w:val="21"/>
        </w:rPr>
        <w:t xml:space="preserve"> &lt;</w:t>
      </w:r>
      <w:r w:rsidRPr="00DD4316">
        <w:rPr>
          <w:szCs w:val="21"/>
        </w:rPr>
        <w:t>https://www.safetyandquality.gov.au/standards/nsqhs-standards/blood-management-standard/clinical-governance-and-quality-improvement-support-blood-management/action-701</w:t>
      </w:r>
      <w:r w:rsidRPr="00B027D5">
        <w:rPr>
          <w:bCs/>
          <w:szCs w:val="21"/>
        </w:rPr>
        <w:t>&gt;.</w:t>
      </w:r>
    </w:p>
    <w:p w14:paraId="0BB305A1" w14:textId="77777777" w:rsidR="00262260" w:rsidRPr="00B027D5" w:rsidRDefault="00262260" w:rsidP="00D00BBF">
      <w:pPr>
        <w:pStyle w:val="Body"/>
        <w:rPr>
          <w:szCs w:val="21"/>
        </w:rPr>
      </w:pPr>
    </w:p>
    <w:p w14:paraId="247744DE" w14:textId="7B5E142B" w:rsidR="00D00BBF" w:rsidRPr="00D00BBF" w:rsidRDefault="00D00BBF" w:rsidP="00B55E79">
      <w:pPr>
        <w:pStyle w:val="Heading2"/>
        <w:rPr>
          <w:rFonts w:eastAsia="Calibri"/>
        </w:rPr>
      </w:pPr>
      <w:bookmarkStart w:id="10" w:name="_Toc184376923"/>
      <w:r w:rsidRPr="00D00BBF">
        <w:rPr>
          <w:rFonts w:eastAsia="Calibri"/>
        </w:rPr>
        <w:lastRenderedPageBreak/>
        <w:t xml:space="preserve">The </w:t>
      </w:r>
      <w:r w:rsidRPr="00B55E79">
        <w:rPr>
          <w:rFonts w:eastAsia="Calibri"/>
        </w:rPr>
        <w:t>Australian</w:t>
      </w:r>
      <w:r w:rsidRPr="00D00BBF">
        <w:rPr>
          <w:rFonts w:eastAsia="Calibri"/>
        </w:rPr>
        <w:t xml:space="preserve"> context</w:t>
      </w:r>
      <w:bookmarkEnd w:id="1"/>
      <w:bookmarkEnd w:id="2"/>
      <w:bookmarkEnd w:id="10"/>
    </w:p>
    <w:p w14:paraId="3C46ABC7" w14:textId="70766AAE" w:rsidR="00EF795A" w:rsidRPr="00B027D5" w:rsidRDefault="00EF795A" w:rsidP="00EF795A">
      <w:pPr>
        <w:spacing w:after="160" w:line="259" w:lineRule="auto"/>
        <w:rPr>
          <w:rFonts w:eastAsia="Calibri" w:cs="Arial"/>
          <w:szCs w:val="21"/>
        </w:rPr>
      </w:pPr>
      <w:r w:rsidRPr="00B027D5">
        <w:rPr>
          <w:rFonts w:eastAsia="Calibri" w:cs="Arial"/>
          <w:szCs w:val="21"/>
        </w:rPr>
        <w:t xml:space="preserve">The National Blood Authority (NBA) is </w:t>
      </w:r>
      <w:r w:rsidR="001B1994" w:rsidRPr="00B027D5">
        <w:rPr>
          <w:rFonts w:eastAsia="Calibri" w:cs="Arial"/>
          <w:szCs w:val="21"/>
        </w:rPr>
        <w:t xml:space="preserve">an Australian government agency that manages the arrangements for the supply of blood, blood </w:t>
      </w:r>
      <w:r w:rsidR="00E16F76" w:rsidRPr="00B027D5">
        <w:rPr>
          <w:rFonts w:eastAsia="Calibri" w:cs="Arial"/>
          <w:szCs w:val="21"/>
        </w:rPr>
        <w:t>products and</w:t>
      </w:r>
      <w:r w:rsidR="001B1994" w:rsidRPr="00B027D5">
        <w:rPr>
          <w:rFonts w:eastAsia="Calibri" w:cs="Arial"/>
          <w:szCs w:val="21"/>
        </w:rPr>
        <w:t xml:space="preserve"> blood related services in Australia. </w:t>
      </w:r>
      <w:r w:rsidRPr="00B027D5">
        <w:rPr>
          <w:rFonts w:eastAsia="Calibri" w:cs="Arial"/>
          <w:szCs w:val="21"/>
        </w:rPr>
        <w:t xml:space="preserve">Funding for the </w:t>
      </w:r>
      <w:r w:rsidR="001B1994" w:rsidRPr="00B027D5">
        <w:rPr>
          <w:rFonts w:eastAsia="Calibri" w:cs="Arial"/>
          <w:szCs w:val="21"/>
        </w:rPr>
        <w:t>NBA is provided by the</w:t>
      </w:r>
      <w:r w:rsidRPr="00B027D5">
        <w:rPr>
          <w:rFonts w:eastAsia="Calibri" w:cs="Arial"/>
          <w:szCs w:val="21"/>
        </w:rPr>
        <w:t xml:space="preserve"> </w:t>
      </w:r>
      <w:r w:rsidR="0040539A" w:rsidRPr="00B027D5">
        <w:rPr>
          <w:rFonts w:eastAsia="Calibri" w:cs="Arial"/>
          <w:szCs w:val="21"/>
        </w:rPr>
        <w:t xml:space="preserve">Australian </w:t>
      </w:r>
      <w:r w:rsidR="00DA2F81" w:rsidRPr="00B027D5">
        <w:rPr>
          <w:rFonts w:eastAsia="Calibri" w:cs="Arial"/>
          <w:szCs w:val="21"/>
        </w:rPr>
        <w:t>federal g</w:t>
      </w:r>
      <w:r w:rsidRPr="00B027D5">
        <w:rPr>
          <w:rFonts w:eastAsia="Calibri" w:cs="Arial"/>
          <w:szCs w:val="21"/>
        </w:rPr>
        <w:t xml:space="preserve">overnment </w:t>
      </w:r>
      <w:r w:rsidR="001B1994" w:rsidRPr="00B027D5">
        <w:rPr>
          <w:rFonts w:eastAsia="Calibri" w:cs="Arial"/>
          <w:szCs w:val="21"/>
        </w:rPr>
        <w:t>(</w:t>
      </w:r>
      <w:r w:rsidRPr="00B027D5">
        <w:rPr>
          <w:rFonts w:eastAsia="Calibri" w:cs="Arial"/>
          <w:szCs w:val="21"/>
        </w:rPr>
        <w:t>63 per cent</w:t>
      </w:r>
      <w:r w:rsidR="001B1994" w:rsidRPr="00B027D5">
        <w:rPr>
          <w:rFonts w:eastAsia="Calibri" w:cs="Arial"/>
          <w:szCs w:val="21"/>
        </w:rPr>
        <w:t>)</w:t>
      </w:r>
      <w:r w:rsidRPr="00B027D5">
        <w:rPr>
          <w:rFonts w:eastAsia="Calibri" w:cs="Arial"/>
          <w:szCs w:val="21"/>
        </w:rPr>
        <w:t xml:space="preserve"> and </w:t>
      </w:r>
      <w:r w:rsidR="001B1994" w:rsidRPr="00B027D5">
        <w:rPr>
          <w:rFonts w:eastAsia="Calibri" w:cs="Arial"/>
          <w:szCs w:val="21"/>
        </w:rPr>
        <w:t xml:space="preserve">Australia’s </w:t>
      </w:r>
      <w:r w:rsidRPr="00B027D5">
        <w:rPr>
          <w:rFonts w:eastAsia="Calibri" w:cs="Arial"/>
          <w:szCs w:val="21"/>
        </w:rPr>
        <w:t>state and territor</w:t>
      </w:r>
      <w:r w:rsidR="00E16F76" w:rsidRPr="00B027D5">
        <w:rPr>
          <w:rFonts w:eastAsia="Calibri" w:cs="Arial"/>
          <w:szCs w:val="21"/>
        </w:rPr>
        <w:t>y</w:t>
      </w:r>
      <w:r w:rsidR="001B1994" w:rsidRPr="00B027D5">
        <w:rPr>
          <w:rFonts w:eastAsia="Calibri" w:cs="Arial"/>
          <w:szCs w:val="21"/>
        </w:rPr>
        <w:t xml:space="preserve"> governments</w:t>
      </w:r>
      <w:r w:rsidRPr="00B027D5">
        <w:rPr>
          <w:rFonts w:eastAsia="Calibri" w:cs="Arial"/>
          <w:szCs w:val="21"/>
        </w:rPr>
        <w:t xml:space="preserve"> </w:t>
      </w:r>
      <w:r w:rsidR="001B1994" w:rsidRPr="00B027D5">
        <w:rPr>
          <w:rFonts w:eastAsia="Calibri" w:cs="Arial"/>
          <w:szCs w:val="21"/>
        </w:rPr>
        <w:t>(</w:t>
      </w:r>
      <w:r w:rsidRPr="00B027D5">
        <w:rPr>
          <w:rFonts w:eastAsia="Calibri" w:cs="Arial"/>
          <w:szCs w:val="21"/>
        </w:rPr>
        <w:t>37 per cent</w:t>
      </w:r>
      <w:r w:rsidR="001B1994" w:rsidRPr="00B027D5">
        <w:rPr>
          <w:rFonts w:eastAsia="Calibri" w:cs="Arial"/>
          <w:szCs w:val="21"/>
        </w:rPr>
        <w:t>)</w:t>
      </w:r>
      <w:r w:rsidRPr="00B027D5">
        <w:rPr>
          <w:rFonts w:eastAsia="Calibri" w:cs="Arial"/>
          <w:szCs w:val="21"/>
        </w:rPr>
        <w:t>.</w:t>
      </w:r>
    </w:p>
    <w:p w14:paraId="7E486FAB" w14:textId="77777777" w:rsidR="00403E98" w:rsidRPr="00DD4316" w:rsidRDefault="00EF795A" w:rsidP="00403E98">
      <w:pPr>
        <w:spacing w:after="160" w:line="259" w:lineRule="auto"/>
        <w:rPr>
          <w:rFonts w:cs="Arial"/>
          <w:color w:val="161616"/>
          <w:spacing w:val="4"/>
          <w:szCs w:val="21"/>
          <w:lang w:eastAsia="en-AU"/>
        </w:rPr>
      </w:pPr>
      <w:r w:rsidRPr="00B027D5">
        <w:rPr>
          <w:rFonts w:eastAsia="Calibri" w:cs="Arial"/>
          <w:szCs w:val="21"/>
        </w:rPr>
        <w:t>The National Blood Agreement signed by all Australian governments in 2002 outlines the policy framework for the national blood arrangements.</w:t>
      </w:r>
      <w:r w:rsidR="00403E98" w:rsidRPr="00DD4316">
        <w:rPr>
          <w:rFonts w:cs="Arial"/>
          <w:color w:val="161616"/>
          <w:spacing w:val="4"/>
          <w:szCs w:val="21"/>
          <w:lang w:eastAsia="en-AU"/>
        </w:rPr>
        <w:t xml:space="preserve"> </w:t>
      </w:r>
    </w:p>
    <w:p w14:paraId="47565CD8" w14:textId="050D2D97" w:rsidR="00403E98" w:rsidRPr="00B027D5" w:rsidRDefault="00403E98" w:rsidP="00403E98">
      <w:pPr>
        <w:spacing w:after="160" w:line="259" w:lineRule="auto"/>
        <w:rPr>
          <w:rFonts w:eastAsia="Calibri" w:cs="Arial"/>
          <w:szCs w:val="21"/>
        </w:rPr>
      </w:pPr>
      <w:r w:rsidRPr="00DD4316">
        <w:rPr>
          <w:rFonts w:cs="Arial"/>
          <w:color w:val="161616"/>
          <w:spacing w:val="4"/>
          <w:szCs w:val="21"/>
          <w:lang w:eastAsia="en-AU"/>
        </w:rPr>
        <w:t>T</w:t>
      </w:r>
      <w:r w:rsidRPr="00B027D5">
        <w:rPr>
          <w:rFonts w:eastAsia="Calibri" w:cs="Arial"/>
          <w:szCs w:val="21"/>
        </w:rPr>
        <w:t>he primary policy objectives of the National Blood Agreement are:</w:t>
      </w:r>
    </w:p>
    <w:p w14:paraId="5734AA00" w14:textId="2B79182C" w:rsidR="00403E98" w:rsidRPr="00B027D5" w:rsidRDefault="00403E98" w:rsidP="0003362E">
      <w:pPr>
        <w:numPr>
          <w:ilvl w:val="0"/>
          <w:numId w:val="18"/>
        </w:numPr>
        <w:spacing w:after="160" w:line="259" w:lineRule="auto"/>
        <w:rPr>
          <w:rFonts w:eastAsia="Calibri" w:cs="Arial"/>
          <w:szCs w:val="21"/>
        </w:rPr>
      </w:pPr>
      <w:r w:rsidRPr="00B027D5">
        <w:rPr>
          <w:rFonts w:eastAsia="Calibri" w:cs="Arial"/>
          <w:szCs w:val="21"/>
        </w:rPr>
        <w:t xml:space="preserve">To provide an adequate, safe, </w:t>
      </w:r>
      <w:r w:rsidR="00994221" w:rsidRPr="00B027D5">
        <w:rPr>
          <w:rFonts w:eastAsia="Calibri" w:cs="Arial"/>
          <w:szCs w:val="21"/>
        </w:rPr>
        <w:t>secure,</w:t>
      </w:r>
      <w:r w:rsidRPr="00B027D5">
        <w:rPr>
          <w:rFonts w:eastAsia="Calibri" w:cs="Arial"/>
          <w:szCs w:val="21"/>
        </w:rPr>
        <w:t xml:space="preserve"> and affordable supply of blood </w:t>
      </w:r>
      <w:r w:rsidR="00AB42E3">
        <w:rPr>
          <w:rFonts w:eastAsia="Calibri" w:cs="Arial"/>
          <w:szCs w:val="21"/>
        </w:rPr>
        <w:t>components</w:t>
      </w:r>
      <w:r w:rsidRPr="00B027D5">
        <w:rPr>
          <w:rFonts w:eastAsia="Calibri" w:cs="Arial"/>
          <w:szCs w:val="21"/>
        </w:rPr>
        <w:t>, bloo</w:t>
      </w:r>
      <w:r w:rsidR="007D339A">
        <w:rPr>
          <w:rFonts w:eastAsia="Calibri" w:cs="Arial"/>
          <w:szCs w:val="21"/>
        </w:rPr>
        <w:t>d p</w:t>
      </w:r>
      <w:r w:rsidR="00994221" w:rsidRPr="00B027D5">
        <w:rPr>
          <w:rFonts w:eastAsia="Calibri" w:cs="Arial"/>
          <w:szCs w:val="21"/>
        </w:rPr>
        <w:t>roducts,</w:t>
      </w:r>
      <w:r w:rsidRPr="00B027D5">
        <w:rPr>
          <w:rFonts w:eastAsia="Calibri" w:cs="Arial"/>
          <w:szCs w:val="21"/>
        </w:rPr>
        <w:t xml:space="preserve"> and blood related services in Australia; and</w:t>
      </w:r>
    </w:p>
    <w:p w14:paraId="1A6AB28B" w14:textId="6D836126" w:rsidR="00403E98" w:rsidRPr="00B027D5" w:rsidRDefault="00403E98" w:rsidP="0003362E">
      <w:pPr>
        <w:numPr>
          <w:ilvl w:val="0"/>
          <w:numId w:val="18"/>
        </w:numPr>
        <w:spacing w:after="160" w:line="259" w:lineRule="auto"/>
        <w:rPr>
          <w:rFonts w:eastAsia="Calibri" w:cs="Arial"/>
          <w:szCs w:val="21"/>
        </w:rPr>
      </w:pPr>
      <w:r w:rsidRPr="00B027D5">
        <w:rPr>
          <w:rFonts w:eastAsia="Calibri" w:cs="Arial"/>
          <w:szCs w:val="21"/>
        </w:rPr>
        <w:t>To promote the safe, high</w:t>
      </w:r>
      <w:r w:rsidR="00AB42E3">
        <w:rPr>
          <w:rFonts w:eastAsia="Calibri" w:cs="Arial"/>
          <w:szCs w:val="21"/>
        </w:rPr>
        <w:t>-</w:t>
      </w:r>
      <w:r w:rsidRPr="00B027D5">
        <w:rPr>
          <w:rFonts w:eastAsia="Calibri" w:cs="Arial"/>
          <w:szCs w:val="21"/>
        </w:rPr>
        <w:t xml:space="preserve">quality management and use of blood </w:t>
      </w:r>
      <w:r w:rsidR="00AB42E3">
        <w:rPr>
          <w:rFonts w:eastAsia="Calibri" w:cs="Arial"/>
          <w:szCs w:val="21"/>
        </w:rPr>
        <w:t>components</w:t>
      </w:r>
      <w:r w:rsidRPr="00B027D5">
        <w:rPr>
          <w:rFonts w:eastAsia="Calibri" w:cs="Arial"/>
          <w:szCs w:val="21"/>
        </w:rPr>
        <w:t>, blood products and blood related services in Australia.</w:t>
      </w:r>
    </w:p>
    <w:p w14:paraId="7C625C74" w14:textId="3596A460" w:rsidR="00E04F8F" w:rsidRPr="00B027D5" w:rsidRDefault="00D00BBF" w:rsidP="00D00BBF">
      <w:pPr>
        <w:spacing w:after="160" w:line="259" w:lineRule="auto"/>
        <w:rPr>
          <w:rFonts w:eastAsia="Calibri" w:cs="Arial"/>
          <w:szCs w:val="21"/>
          <w:lang w:val="en"/>
        </w:rPr>
      </w:pPr>
      <w:r w:rsidRPr="00B027D5">
        <w:rPr>
          <w:rFonts w:eastAsia="Calibri" w:cs="Arial"/>
          <w:szCs w:val="21"/>
          <w:lang w:val="en"/>
        </w:rPr>
        <w:t xml:space="preserve">The NBA Stewardship Program is aimed at supporting jurisdictions and health providers to implement the requirements of the </w:t>
      </w:r>
      <w:hyperlink r:id="rId35" w:history="1">
        <w:r w:rsidRPr="00B027D5">
          <w:rPr>
            <w:rStyle w:val="Hyperlink"/>
            <w:rFonts w:eastAsia="Calibri" w:cs="Arial"/>
            <w:i/>
            <w:iCs/>
            <w:szCs w:val="21"/>
            <w:lang w:val="en"/>
          </w:rPr>
          <w:t>Australian Health Ministers’ Statement on National Stewardship Expectations on the Supply of Blood and Blood Products</w:t>
        </w:r>
      </w:hyperlink>
      <w:r w:rsidRPr="00B027D5">
        <w:rPr>
          <w:rFonts w:eastAsia="Calibri" w:cs="Arial"/>
          <w:szCs w:val="21"/>
          <w:lang w:val="en"/>
        </w:rPr>
        <w:t xml:space="preserve"> </w:t>
      </w:r>
      <w:r w:rsidR="00DA2F81" w:rsidRPr="00B027D5">
        <w:rPr>
          <w:rFonts w:eastAsia="Calibri" w:cs="Arial"/>
          <w:szCs w:val="21"/>
          <w:lang w:val="en"/>
        </w:rPr>
        <w:t xml:space="preserve">&lt;https://www.blood.gov.au/australian-health-ministers-conference-statement-national-stewardship-expectations-supply-blood-and-blood-products&gt; </w:t>
      </w:r>
      <w:r w:rsidRPr="00B027D5">
        <w:rPr>
          <w:rFonts w:eastAsia="Calibri" w:cs="Arial"/>
          <w:szCs w:val="21"/>
          <w:lang w:val="en"/>
        </w:rPr>
        <w:t xml:space="preserve">(the Stewardship Statement), issued on 12 November 2010. </w:t>
      </w:r>
    </w:p>
    <w:p w14:paraId="3E9D4DA9" w14:textId="27D3966C" w:rsidR="00403E98" w:rsidRPr="00B027D5" w:rsidRDefault="00403E98" w:rsidP="00403E98">
      <w:pPr>
        <w:spacing w:after="160" w:line="259" w:lineRule="auto"/>
        <w:rPr>
          <w:rFonts w:eastAsia="Calibri" w:cs="Arial"/>
          <w:szCs w:val="21"/>
        </w:rPr>
      </w:pPr>
      <w:r w:rsidRPr="00B027D5">
        <w:rPr>
          <w:rFonts w:eastAsia="Calibri" w:cs="Arial"/>
          <w:szCs w:val="21"/>
        </w:rPr>
        <w:t>The </w:t>
      </w:r>
      <w:hyperlink r:id="rId36" w:tgtFrame="_blank" w:history="1">
        <w:r w:rsidRPr="00B027D5">
          <w:rPr>
            <w:rStyle w:val="Hyperlink"/>
            <w:rFonts w:eastAsia="Calibri" w:cs="Arial"/>
            <w:szCs w:val="21"/>
          </w:rPr>
          <w:t>Jurisdictional Blood Committee (JBC)</w:t>
        </w:r>
      </w:hyperlink>
      <w:r w:rsidR="00DA2F81" w:rsidRPr="00B027D5">
        <w:rPr>
          <w:rStyle w:val="Hyperlink"/>
          <w:rFonts w:eastAsia="Calibri" w:cs="Arial"/>
          <w:szCs w:val="21"/>
        </w:rPr>
        <w:t xml:space="preserve"> </w:t>
      </w:r>
      <w:r w:rsidR="00DA2F81" w:rsidRPr="00DD4316">
        <w:rPr>
          <w:rFonts w:eastAsia="Calibri" w:cs="Arial"/>
          <w:szCs w:val="21"/>
        </w:rPr>
        <w:t>&lt;https://www.directory.gov.au/portfolios/health-and-aged-care/jurisdictional-blood-committee&gt;</w:t>
      </w:r>
      <w:r w:rsidRPr="00B027D5">
        <w:rPr>
          <w:rFonts w:eastAsia="Calibri" w:cs="Arial"/>
          <w:szCs w:val="21"/>
        </w:rPr>
        <w:t xml:space="preserve"> was created under the National Blood Agreement in 2003.</w:t>
      </w:r>
    </w:p>
    <w:p w14:paraId="33B92DBA" w14:textId="77777777" w:rsidR="00403E98" w:rsidRPr="00B027D5" w:rsidRDefault="00403E98" w:rsidP="00403E98">
      <w:pPr>
        <w:spacing w:after="160" w:line="259" w:lineRule="auto"/>
        <w:rPr>
          <w:rFonts w:eastAsia="Calibri" w:cs="Arial"/>
          <w:szCs w:val="21"/>
        </w:rPr>
      </w:pPr>
      <w:r w:rsidRPr="00B027D5">
        <w:rPr>
          <w:rFonts w:eastAsia="Calibri" w:cs="Arial"/>
          <w:szCs w:val="21"/>
        </w:rPr>
        <w:t>The JBC members are senior representatives of the Australian, state and territory governments. They represent the governments' positions on issues related to the national blood supply.</w:t>
      </w:r>
    </w:p>
    <w:p w14:paraId="621C1089" w14:textId="77777777" w:rsidR="00403E98" w:rsidRPr="00B027D5" w:rsidRDefault="00403E98" w:rsidP="00403E98">
      <w:pPr>
        <w:spacing w:after="160" w:line="259" w:lineRule="auto"/>
        <w:rPr>
          <w:rFonts w:eastAsia="Calibri" w:cs="Arial"/>
          <w:szCs w:val="21"/>
        </w:rPr>
      </w:pPr>
      <w:r w:rsidRPr="00B027D5">
        <w:rPr>
          <w:rFonts w:eastAsia="Calibri" w:cs="Arial"/>
          <w:szCs w:val="21"/>
        </w:rPr>
        <w:t>The JBC is also responsible for:</w:t>
      </w:r>
    </w:p>
    <w:p w14:paraId="69B33B0C" w14:textId="77777777" w:rsidR="00403E98" w:rsidRPr="00B027D5" w:rsidRDefault="00403E98" w:rsidP="0003362E">
      <w:pPr>
        <w:numPr>
          <w:ilvl w:val="0"/>
          <w:numId w:val="19"/>
        </w:numPr>
        <w:spacing w:after="160" w:line="259" w:lineRule="auto"/>
        <w:rPr>
          <w:rFonts w:eastAsia="Calibri" w:cs="Arial"/>
          <w:szCs w:val="21"/>
        </w:rPr>
      </w:pPr>
      <w:r w:rsidRPr="00B027D5">
        <w:rPr>
          <w:rFonts w:eastAsia="Calibri" w:cs="Arial"/>
          <w:szCs w:val="21"/>
        </w:rPr>
        <w:t>advising the NBA on matters related to the national blood supply, policy, and contracts</w:t>
      </w:r>
    </w:p>
    <w:p w14:paraId="1BED2F0D" w14:textId="77777777" w:rsidR="00403E98" w:rsidRPr="00B027D5" w:rsidRDefault="00403E98" w:rsidP="0003362E">
      <w:pPr>
        <w:numPr>
          <w:ilvl w:val="0"/>
          <w:numId w:val="19"/>
        </w:numPr>
        <w:spacing w:after="160" w:line="259" w:lineRule="auto"/>
        <w:rPr>
          <w:rFonts w:eastAsia="Calibri" w:cs="Arial"/>
          <w:szCs w:val="21"/>
        </w:rPr>
      </w:pPr>
      <w:r w:rsidRPr="00B027D5">
        <w:rPr>
          <w:rFonts w:eastAsia="Calibri" w:cs="Arial"/>
          <w:szCs w:val="21"/>
        </w:rPr>
        <w:t>referring proposed changes to the national blood supply for evidence-based evaluation.</w:t>
      </w:r>
    </w:p>
    <w:p w14:paraId="4630133D" w14:textId="5099DCD1" w:rsidR="00D00BBF" w:rsidRPr="00B027D5" w:rsidRDefault="00D00BBF" w:rsidP="00D00BBF">
      <w:pPr>
        <w:spacing w:after="160" w:line="259" w:lineRule="auto"/>
        <w:rPr>
          <w:rFonts w:eastAsia="Calibri" w:cs="Arial"/>
          <w:szCs w:val="21"/>
        </w:rPr>
      </w:pPr>
      <w:r w:rsidRPr="00B027D5">
        <w:rPr>
          <w:rFonts w:eastAsia="Calibri" w:cs="Arial"/>
          <w:szCs w:val="21"/>
        </w:rPr>
        <w:t xml:space="preserve">Australia has only one fresh </w:t>
      </w:r>
      <w:r w:rsidR="00DB59BF" w:rsidRPr="00B027D5">
        <w:rPr>
          <w:rFonts w:eastAsia="Calibri" w:cs="Arial"/>
          <w:szCs w:val="21"/>
        </w:rPr>
        <w:t xml:space="preserve">blood </w:t>
      </w:r>
      <w:r w:rsidR="00531585" w:rsidRPr="00B027D5">
        <w:rPr>
          <w:rFonts w:eastAsia="Calibri" w:cs="Arial"/>
          <w:szCs w:val="21"/>
        </w:rPr>
        <w:t xml:space="preserve">component </w:t>
      </w:r>
      <w:r w:rsidRPr="00B027D5">
        <w:rPr>
          <w:rFonts w:eastAsia="Calibri" w:cs="Arial"/>
          <w:szCs w:val="21"/>
        </w:rPr>
        <w:t>supplier, Australian Red Cross Lifeblood (Lifeblood)</w:t>
      </w:r>
      <w:r w:rsidR="009E4AD7" w:rsidRPr="00B027D5">
        <w:rPr>
          <w:rFonts w:eastAsia="Calibri" w:cs="Arial"/>
          <w:szCs w:val="21"/>
        </w:rPr>
        <w:t>.</w:t>
      </w:r>
      <w:r w:rsidRPr="00B027D5">
        <w:rPr>
          <w:rFonts w:eastAsia="Calibri" w:cs="Arial"/>
          <w:szCs w:val="21"/>
        </w:rPr>
        <w:t xml:space="preserve"> </w:t>
      </w:r>
      <w:r w:rsidR="009E4AD7" w:rsidRPr="00B027D5">
        <w:rPr>
          <w:rFonts w:eastAsia="Calibri" w:cs="Arial"/>
          <w:szCs w:val="21"/>
        </w:rPr>
        <w:t>F</w:t>
      </w:r>
      <w:r w:rsidRPr="00B027D5">
        <w:rPr>
          <w:rFonts w:eastAsia="Calibri" w:cs="Arial"/>
          <w:szCs w:val="21"/>
        </w:rPr>
        <w:t xml:space="preserve">ractionated products are managed through contracts with the successful tenders and include Australian and international suppliers e.g. intravenous immunoglobulin, haemophilia products. </w:t>
      </w:r>
      <w:r w:rsidR="00DA2F81" w:rsidRPr="00B027D5">
        <w:rPr>
          <w:rFonts w:eastAsia="Calibri" w:cs="Arial"/>
          <w:szCs w:val="21"/>
        </w:rPr>
        <w:t>Health services order</w:t>
      </w:r>
      <w:r w:rsidR="007A2921">
        <w:rPr>
          <w:rFonts w:eastAsia="Calibri" w:cs="Arial"/>
          <w:szCs w:val="21"/>
        </w:rPr>
        <w:t xml:space="preserve"> </w:t>
      </w:r>
      <w:r w:rsidR="00542E73">
        <w:rPr>
          <w:rFonts w:eastAsia="Calibri" w:cs="Arial"/>
          <w:szCs w:val="21"/>
        </w:rPr>
        <w:t>most o</w:t>
      </w:r>
      <w:r w:rsidR="007A2921">
        <w:rPr>
          <w:rFonts w:eastAsia="Calibri" w:cs="Arial"/>
          <w:szCs w:val="21"/>
        </w:rPr>
        <w:t>f</w:t>
      </w:r>
      <w:r w:rsidR="00DA2F81" w:rsidRPr="00B027D5">
        <w:rPr>
          <w:rFonts w:eastAsia="Calibri" w:cs="Arial"/>
          <w:szCs w:val="21"/>
        </w:rPr>
        <w:t xml:space="preserve"> these products from </w:t>
      </w:r>
      <w:r w:rsidRPr="00B027D5">
        <w:rPr>
          <w:rFonts w:eastAsia="Calibri" w:cs="Arial"/>
          <w:szCs w:val="21"/>
        </w:rPr>
        <w:t>Lifeblood</w:t>
      </w:r>
      <w:r w:rsidR="00DA2F81" w:rsidRPr="00B027D5">
        <w:rPr>
          <w:rFonts w:eastAsia="Calibri" w:cs="Arial"/>
          <w:szCs w:val="21"/>
        </w:rPr>
        <w:t>, who</w:t>
      </w:r>
      <w:r w:rsidRPr="00B027D5">
        <w:rPr>
          <w:rFonts w:eastAsia="Calibri" w:cs="Arial"/>
          <w:szCs w:val="21"/>
        </w:rPr>
        <w:t xml:space="preserve"> </w:t>
      </w:r>
      <w:r w:rsidR="003C663B" w:rsidRPr="00B027D5">
        <w:rPr>
          <w:rFonts w:eastAsia="Calibri" w:cs="Arial"/>
          <w:szCs w:val="21"/>
        </w:rPr>
        <w:t>distributes</w:t>
      </w:r>
      <w:r w:rsidRPr="00B027D5">
        <w:rPr>
          <w:rFonts w:eastAsia="Calibri" w:cs="Arial"/>
          <w:szCs w:val="21"/>
        </w:rPr>
        <w:t xml:space="preserve"> these products.</w:t>
      </w:r>
    </w:p>
    <w:p w14:paraId="55F438F0" w14:textId="52FFEA07" w:rsidR="00D00BBF" w:rsidRPr="00D00BBF" w:rsidRDefault="00D00BBF" w:rsidP="00D00BBF">
      <w:pPr>
        <w:pStyle w:val="Heading3"/>
      </w:pPr>
      <w:bookmarkStart w:id="11" w:name="_Toc184376924"/>
      <w:r w:rsidRPr="00D00BBF">
        <w:t xml:space="preserve">National Safety and Quality Health Service Standards </w:t>
      </w:r>
      <w:r>
        <w:rPr>
          <w:noProof/>
        </w:rPr>
        <w:drawing>
          <wp:inline distT="0" distB="0" distL="0" distR="0" wp14:anchorId="3DA87864" wp14:editId="77F3361D">
            <wp:extent cx="365760" cy="365760"/>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pic:spPr>
                </pic:pic>
              </a:graphicData>
            </a:graphic>
          </wp:inline>
        </w:drawing>
      </w:r>
      <w:bookmarkEnd w:id="11"/>
      <w:r w:rsidRPr="00D00BBF">
        <w:t xml:space="preserve">          </w:t>
      </w:r>
    </w:p>
    <w:p w14:paraId="33E9C69E" w14:textId="5C6A9F89" w:rsidR="00D00BBF" w:rsidRPr="00EF1AF1" w:rsidRDefault="00C7376D" w:rsidP="00D00BBF">
      <w:pPr>
        <w:spacing w:after="160" w:line="259" w:lineRule="auto"/>
        <w:rPr>
          <w:rFonts w:eastAsia="Calibri" w:cs="Arial"/>
          <w:szCs w:val="21"/>
        </w:rPr>
      </w:pPr>
      <w:r>
        <w:rPr>
          <w:rFonts w:eastAsia="Calibri" w:cs="Arial"/>
          <w:szCs w:val="21"/>
        </w:rPr>
        <w:t>The second edition</w:t>
      </w:r>
      <w:r w:rsidR="00D00BBF" w:rsidRPr="00EF1AF1">
        <w:rPr>
          <w:rFonts w:eastAsia="Calibri" w:cs="Arial"/>
          <w:szCs w:val="21"/>
        </w:rPr>
        <w:t xml:space="preserve"> of the Australian Commission on Safety and Quality in Healthcare National Safety and Quality Health Service (NSQHS) Standards</w:t>
      </w:r>
      <w:r w:rsidR="00A57C3F" w:rsidRPr="00EF1AF1">
        <w:rPr>
          <w:rFonts w:eastAsia="Calibri" w:cs="Arial"/>
          <w:szCs w:val="21"/>
        </w:rPr>
        <w:t xml:space="preserve"> (the Standards)</w:t>
      </w:r>
      <w:r w:rsidR="00D00BBF" w:rsidRPr="00EF1AF1">
        <w:rPr>
          <w:rFonts w:eastAsia="Calibri" w:cs="Arial"/>
          <w:szCs w:val="21"/>
        </w:rPr>
        <w:t xml:space="preserve"> w</w:t>
      </w:r>
      <w:r w:rsidR="00E16F76">
        <w:rPr>
          <w:rFonts w:eastAsia="Calibri" w:cs="Arial"/>
          <w:szCs w:val="21"/>
        </w:rPr>
        <w:t>as</w:t>
      </w:r>
      <w:r w:rsidR="00D00BBF" w:rsidRPr="00EF1AF1">
        <w:rPr>
          <w:rFonts w:eastAsia="Calibri" w:cs="Arial"/>
          <w:szCs w:val="21"/>
        </w:rPr>
        <w:t xml:space="preserve"> </w:t>
      </w:r>
      <w:r w:rsidR="00A03080">
        <w:rPr>
          <w:rFonts w:eastAsia="Calibri" w:cs="Arial"/>
          <w:szCs w:val="21"/>
        </w:rPr>
        <w:t>updated in May 2021</w:t>
      </w:r>
      <w:r w:rsidR="00FC3FB5">
        <w:rPr>
          <w:rFonts w:eastAsia="Calibri" w:cs="Arial"/>
          <w:szCs w:val="21"/>
        </w:rPr>
        <w:t>.</w:t>
      </w:r>
      <w:r w:rsidR="00FC3FB5" w:rsidRPr="00EF1AF1">
        <w:rPr>
          <w:rFonts w:eastAsia="Calibri" w:cs="Arial"/>
          <w:szCs w:val="21"/>
        </w:rPr>
        <w:t xml:space="preserve"> </w:t>
      </w:r>
      <w:r w:rsidR="00DA2F81">
        <w:rPr>
          <w:rFonts w:eastAsia="Calibri" w:cs="Arial"/>
          <w:szCs w:val="21"/>
        </w:rPr>
        <w:t xml:space="preserve">They </w:t>
      </w:r>
      <w:r w:rsidR="00994221">
        <w:rPr>
          <w:rFonts w:eastAsia="Calibri" w:cs="Arial"/>
          <w:szCs w:val="21"/>
        </w:rPr>
        <w:t>aim</w:t>
      </w:r>
      <w:r w:rsidR="00DA2F81">
        <w:rPr>
          <w:rFonts w:eastAsia="Calibri" w:cs="Arial"/>
          <w:szCs w:val="21"/>
        </w:rPr>
        <w:t xml:space="preserve"> t</w:t>
      </w:r>
      <w:r w:rsidR="00994221">
        <w:rPr>
          <w:rFonts w:eastAsia="Calibri" w:cs="Arial"/>
          <w:szCs w:val="21"/>
        </w:rPr>
        <w:t>o</w:t>
      </w:r>
      <w:r w:rsidR="00D00BBF" w:rsidRPr="00EF1AF1">
        <w:rPr>
          <w:rFonts w:eastAsia="Calibri" w:cs="Arial"/>
          <w:szCs w:val="21"/>
        </w:rPr>
        <w:t xml:space="preserve"> driv</w:t>
      </w:r>
      <w:r w:rsidR="00994221">
        <w:rPr>
          <w:rFonts w:eastAsia="Calibri" w:cs="Arial"/>
          <w:szCs w:val="21"/>
        </w:rPr>
        <w:t>e</w:t>
      </w:r>
      <w:r w:rsidR="00D00BBF" w:rsidRPr="00EF1AF1">
        <w:rPr>
          <w:rFonts w:eastAsia="Calibri" w:cs="Arial"/>
          <w:szCs w:val="21"/>
        </w:rPr>
        <w:t xml:space="preserve"> the implementation of safety and quality systems and improv</w:t>
      </w:r>
      <w:r w:rsidR="00DA2F81">
        <w:rPr>
          <w:rFonts w:eastAsia="Calibri" w:cs="Arial"/>
          <w:szCs w:val="21"/>
        </w:rPr>
        <w:t>ing</w:t>
      </w:r>
      <w:r w:rsidR="00D00BBF" w:rsidRPr="00EF1AF1">
        <w:rPr>
          <w:rFonts w:eastAsia="Calibri" w:cs="Arial"/>
          <w:szCs w:val="21"/>
        </w:rPr>
        <w:t xml:space="preserve"> the quality of health care in Australia. The Standards provide a nationally consistent statement about the level of care consumers can expect from health services. </w:t>
      </w:r>
    </w:p>
    <w:p w14:paraId="7300864B" w14:textId="6432E69D" w:rsidR="00D00BBF" w:rsidRPr="00EF1AF1" w:rsidRDefault="00FC3FB5" w:rsidP="00D00BBF">
      <w:pPr>
        <w:spacing w:after="160" w:line="259" w:lineRule="auto"/>
        <w:rPr>
          <w:rFonts w:eastAsia="Calibri" w:cs="Arial"/>
          <w:szCs w:val="21"/>
        </w:rPr>
      </w:pPr>
      <w:r>
        <w:rPr>
          <w:rFonts w:eastAsia="Calibri" w:cs="Arial"/>
          <w:szCs w:val="21"/>
        </w:rPr>
        <w:t>T</w:t>
      </w:r>
      <w:r w:rsidR="00D00BBF" w:rsidRPr="00EF1AF1">
        <w:rPr>
          <w:rFonts w:eastAsia="Calibri" w:cs="Arial"/>
          <w:szCs w:val="21"/>
        </w:rPr>
        <w:t xml:space="preserve">he Blood Management </w:t>
      </w:r>
      <w:r w:rsidR="006F6FF7">
        <w:rPr>
          <w:rFonts w:eastAsia="Calibri" w:cs="Arial"/>
          <w:szCs w:val="21"/>
        </w:rPr>
        <w:t>S</w:t>
      </w:r>
      <w:r w:rsidR="006F6FF7" w:rsidRPr="00EF1AF1">
        <w:rPr>
          <w:rFonts w:eastAsia="Calibri" w:cs="Arial"/>
          <w:szCs w:val="21"/>
        </w:rPr>
        <w:t>tandard</w:t>
      </w:r>
      <w:r w:rsidR="006F6FF7">
        <w:rPr>
          <w:rFonts w:eastAsia="Calibri" w:cs="Arial"/>
          <w:szCs w:val="21"/>
        </w:rPr>
        <w:t xml:space="preserve"> </w:t>
      </w:r>
      <w:r w:rsidR="00D00BBF" w:rsidRPr="00EF1AF1">
        <w:rPr>
          <w:rFonts w:eastAsia="Calibri" w:cs="Arial"/>
          <w:szCs w:val="21"/>
        </w:rPr>
        <w:t>is patient focused</w:t>
      </w:r>
      <w:r w:rsidR="00DD4316">
        <w:rPr>
          <w:rFonts w:eastAsia="Calibri" w:cs="Arial"/>
          <w:szCs w:val="21"/>
        </w:rPr>
        <w:t xml:space="preserve">, </w:t>
      </w:r>
      <w:r w:rsidR="006F6FF7">
        <w:rPr>
          <w:rFonts w:eastAsia="Calibri" w:cs="Arial"/>
          <w:szCs w:val="21"/>
        </w:rPr>
        <w:t>includ</w:t>
      </w:r>
      <w:r w:rsidR="00DD4316">
        <w:rPr>
          <w:rFonts w:eastAsia="Calibri" w:cs="Arial"/>
          <w:szCs w:val="21"/>
        </w:rPr>
        <w:t xml:space="preserve">es </w:t>
      </w:r>
      <w:r w:rsidR="00D00BBF" w:rsidRPr="00EF1AF1">
        <w:rPr>
          <w:rFonts w:eastAsia="Calibri" w:cs="Arial"/>
          <w:szCs w:val="21"/>
        </w:rPr>
        <w:t xml:space="preserve">important aspects of patient blood management, </w:t>
      </w:r>
      <w:r w:rsidR="00A453C4">
        <w:rPr>
          <w:rFonts w:eastAsia="Calibri" w:cs="Arial"/>
          <w:szCs w:val="21"/>
        </w:rPr>
        <w:t xml:space="preserve">and </w:t>
      </w:r>
      <w:r w:rsidR="00D00BBF" w:rsidRPr="00EF1AF1">
        <w:rPr>
          <w:rFonts w:eastAsia="Calibri" w:cs="Arial"/>
          <w:szCs w:val="21"/>
        </w:rPr>
        <w:t>acknowledg</w:t>
      </w:r>
      <w:r w:rsidR="00A453C4">
        <w:rPr>
          <w:rFonts w:eastAsia="Calibri" w:cs="Arial"/>
          <w:szCs w:val="21"/>
        </w:rPr>
        <w:t>es</w:t>
      </w:r>
      <w:r w:rsidR="00D00BBF" w:rsidRPr="00EF1AF1">
        <w:rPr>
          <w:rFonts w:eastAsia="Calibri" w:cs="Arial"/>
          <w:szCs w:val="21"/>
        </w:rPr>
        <w:t xml:space="preserve"> patients’ blood is a valuable and unique resource that should be conserved and managed well. This standard aims to ensure safe, appropriate, effective, and efficient blood </w:t>
      </w:r>
      <w:r w:rsidR="009C2BAB">
        <w:rPr>
          <w:rFonts w:eastAsia="Calibri" w:cs="Arial"/>
          <w:szCs w:val="21"/>
        </w:rPr>
        <w:t xml:space="preserve">management </w:t>
      </w:r>
      <w:r w:rsidR="00D00BBF" w:rsidRPr="00EF1AF1">
        <w:rPr>
          <w:rFonts w:eastAsia="Calibri" w:cs="Arial"/>
          <w:szCs w:val="21"/>
        </w:rPr>
        <w:t>systems are in place to minimise risk</w:t>
      </w:r>
      <w:r w:rsidR="0001635A">
        <w:rPr>
          <w:rFonts w:eastAsia="Calibri" w:cs="Arial"/>
          <w:szCs w:val="21"/>
        </w:rPr>
        <w:t>s</w:t>
      </w:r>
      <w:r w:rsidR="00D00BBF" w:rsidRPr="00EF1AF1">
        <w:rPr>
          <w:rFonts w:eastAsia="Calibri" w:cs="Arial"/>
          <w:szCs w:val="21"/>
        </w:rPr>
        <w:t xml:space="preserve"> associated with the use of blood</w:t>
      </w:r>
      <w:r w:rsidR="006F6FF7">
        <w:rPr>
          <w:rFonts w:eastAsia="Calibri" w:cs="Arial"/>
          <w:szCs w:val="21"/>
        </w:rPr>
        <w:t xml:space="preserve"> and blood</w:t>
      </w:r>
      <w:r w:rsidR="00D00BBF" w:rsidRPr="00EF1AF1">
        <w:rPr>
          <w:rFonts w:eastAsia="Calibri" w:cs="Arial"/>
          <w:szCs w:val="21"/>
        </w:rPr>
        <w:t xml:space="preserve"> products. </w:t>
      </w:r>
    </w:p>
    <w:p w14:paraId="30F03387" w14:textId="7A7D4C42" w:rsidR="00D00BBF" w:rsidRPr="00EF1AF1" w:rsidRDefault="00D00BBF" w:rsidP="00D00BBF">
      <w:pPr>
        <w:spacing w:after="160" w:line="259" w:lineRule="auto"/>
        <w:rPr>
          <w:rFonts w:eastAsia="Calibri" w:cs="Arial"/>
          <w:szCs w:val="21"/>
        </w:rPr>
      </w:pPr>
      <w:r w:rsidRPr="00EF1AF1">
        <w:rPr>
          <w:rFonts w:eastAsia="Calibri" w:cs="Arial"/>
          <w:szCs w:val="21"/>
        </w:rPr>
        <w:t>All</w:t>
      </w:r>
      <w:r w:rsidR="0001635A">
        <w:rPr>
          <w:rFonts w:eastAsia="Calibri" w:cs="Arial"/>
          <w:szCs w:val="21"/>
        </w:rPr>
        <w:t xml:space="preserve"> accredited</w:t>
      </w:r>
      <w:r w:rsidRPr="00EF1AF1">
        <w:rPr>
          <w:rFonts w:eastAsia="Calibri" w:cs="Arial"/>
          <w:szCs w:val="21"/>
        </w:rPr>
        <w:t xml:space="preserve"> health services administer</w:t>
      </w:r>
      <w:r w:rsidR="009C2BAB">
        <w:rPr>
          <w:rFonts w:eastAsia="Calibri" w:cs="Arial"/>
          <w:szCs w:val="21"/>
        </w:rPr>
        <w:t>ing</w:t>
      </w:r>
      <w:r w:rsidRPr="00EF1AF1">
        <w:rPr>
          <w:rFonts w:eastAsia="Calibri" w:cs="Arial"/>
          <w:szCs w:val="21"/>
        </w:rPr>
        <w:t xml:space="preserve"> blood or blood product</w:t>
      </w:r>
      <w:r w:rsidR="00C7376D">
        <w:rPr>
          <w:rFonts w:eastAsia="Calibri" w:cs="Arial"/>
          <w:szCs w:val="21"/>
        </w:rPr>
        <w:t>s</w:t>
      </w:r>
      <w:r w:rsidRPr="00EF1AF1">
        <w:rPr>
          <w:rFonts w:eastAsia="Calibri" w:cs="Arial"/>
          <w:szCs w:val="21"/>
        </w:rPr>
        <w:t xml:space="preserve"> </w:t>
      </w:r>
      <w:r w:rsidR="00994221">
        <w:rPr>
          <w:rFonts w:eastAsia="Calibri" w:cs="Arial"/>
          <w:szCs w:val="21"/>
        </w:rPr>
        <w:t>need to</w:t>
      </w:r>
      <w:r w:rsidR="00C7376D">
        <w:rPr>
          <w:rFonts w:eastAsia="Calibri" w:cs="Arial"/>
          <w:szCs w:val="21"/>
        </w:rPr>
        <w:t xml:space="preserve"> meet </w:t>
      </w:r>
      <w:r w:rsidRPr="00EF1AF1">
        <w:rPr>
          <w:rFonts w:eastAsia="Calibri" w:cs="Arial"/>
          <w:szCs w:val="21"/>
        </w:rPr>
        <w:t>the Blood Management Standard.</w:t>
      </w:r>
    </w:p>
    <w:p w14:paraId="09F58FE6" w14:textId="5A1CB0EB" w:rsidR="00D00BBF" w:rsidRPr="00EF1AF1" w:rsidRDefault="00FC3FB5" w:rsidP="00D00BBF">
      <w:pPr>
        <w:spacing w:after="160" w:line="259" w:lineRule="auto"/>
        <w:rPr>
          <w:rFonts w:eastAsia="Calibri" w:cs="Arial"/>
          <w:szCs w:val="21"/>
        </w:rPr>
      </w:pPr>
      <w:r>
        <w:rPr>
          <w:rFonts w:eastAsia="Calibri" w:cs="Arial"/>
          <w:szCs w:val="21"/>
        </w:rPr>
        <w:lastRenderedPageBreak/>
        <w:t>T</w:t>
      </w:r>
      <w:r w:rsidR="00D00BBF" w:rsidRPr="00EF1AF1">
        <w:rPr>
          <w:rFonts w:eastAsia="Calibri" w:cs="Arial"/>
          <w:szCs w:val="21"/>
        </w:rPr>
        <w:t xml:space="preserve">he </w:t>
      </w:r>
      <w:r w:rsidR="00DB59BF">
        <w:rPr>
          <w:rFonts w:eastAsia="Calibri" w:cs="Arial"/>
          <w:bCs/>
          <w:szCs w:val="21"/>
        </w:rPr>
        <w:t>BMC</w:t>
      </w:r>
      <w:r w:rsidR="00262260" w:rsidRPr="00262260">
        <w:rPr>
          <w:rFonts w:eastAsia="Calibri" w:cs="Arial"/>
          <w:bCs/>
          <w:szCs w:val="21"/>
        </w:rPr>
        <w:t xml:space="preserve"> </w:t>
      </w:r>
      <w:r w:rsidR="00D00BBF" w:rsidRPr="00EF1AF1">
        <w:rPr>
          <w:rFonts w:eastAsia="Calibri" w:cs="Arial"/>
          <w:szCs w:val="21"/>
        </w:rPr>
        <w:t>plays a key role</w:t>
      </w:r>
      <w:r w:rsidR="00DB59BF">
        <w:rPr>
          <w:rFonts w:eastAsia="Calibri" w:cs="Arial"/>
          <w:szCs w:val="21"/>
        </w:rPr>
        <w:t>; it</w:t>
      </w:r>
      <w:r w:rsidR="00D00BBF" w:rsidRPr="00EF1AF1">
        <w:rPr>
          <w:rFonts w:eastAsia="Calibri" w:cs="Arial"/>
          <w:szCs w:val="21"/>
        </w:rPr>
        <w:t xml:space="preserve"> </w:t>
      </w:r>
      <w:r w:rsidRPr="00EF1AF1">
        <w:rPr>
          <w:rFonts w:eastAsia="Calibri" w:cs="Arial"/>
          <w:szCs w:val="21"/>
        </w:rPr>
        <w:t xml:space="preserve">is responsible for overseeing systems to improve the quality and safety of </w:t>
      </w:r>
      <w:r>
        <w:rPr>
          <w:rFonts w:eastAsia="Calibri" w:cs="Arial"/>
          <w:szCs w:val="21"/>
        </w:rPr>
        <w:t>patient</w:t>
      </w:r>
      <w:r w:rsidRPr="00EF1AF1">
        <w:rPr>
          <w:rFonts w:eastAsia="Calibri" w:cs="Arial"/>
          <w:szCs w:val="21"/>
        </w:rPr>
        <w:t xml:space="preserve"> blood management, </w:t>
      </w:r>
      <w:r>
        <w:rPr>
          <w:rFonts w:eastAsia="Calibri" w:cs="Arial"/>
          <w:szCs w:val="21"/>
        </w:rPr>
        <w:t>and transfusion practice</w:t>
      </w:r>
      <w:r w:rsidRPr="00EF1AF1" w:rsidDel="009C2BAB">
        <w:rPr>
          <w:rFonts w:eastAsia="Calibri" w:cs="Arial"/>
          <w:szCs w:val="21"/>
        </w:rPr>
        <w:t xml:space="preserve"> </w:t>
      </w:r>
      <w:r>
        <w:rPr>
          <w:rFonts w:eastAsia="Calibri" w:cs="Arial"/>
          <w:szCs w:val="21"/>
        </w:rPr>
        <w:t>a</w:t>
      </w:r>
      <w:r w:rsidR="00F63DED">
        <w:rPr>
          <w:rFonts w:eastAsia="Calibri" w:cs="Arial"/>
          <w:szCs w:val="21"/>
        </w:rPr>
        <w:t>n</w:t>
      </w:r>
      <w:r>
        <w:rPr>
          <w:rFonts w:eastAsia="Calibri" w:cs="Arial"/>
          <w:szCs w:val="21"/>
        </w:rPr>
        <w:t xml:space="preserve">d </w:t>
      </w:r>
      <w:r w:rsidR="009C2BAB">
        <w:rPr>
          <w:rFonts w:eastAsia="Calibri" w:cs="Arial"/>
          <w:szCs w:val="21"/>
        </w:rPr>
        <w:t>in meeting</w:t>
      </w:r>
      <w:r w:rsidR="00D00BBF" w:rsidRPr="00EF1AF1">
        <w:rPr>
          <w:rFonts w:eastAsia="Calibri" w:cs="Arial"/>
          <w:szCs w:val="21"/>
        </w:rPr>
        <w:t xml:space="preserve"> all actions </w:t>
      </w:r>
      <w:r w:rsidR="00F63DED">
        <w:rPr>
          <w:rFonts w:eastAsia="Calibri" w:cs="Arial"/>
          <w:szCs w:val="21"/>
        </w:rPr>
        <w:t>of</w:t>
      </w:r>
      <w:r w:rsidR="00D00BBF" w:rsidRPr="00EF1AF1">
        <w:rPr>
          <w:rFonts w:eastAsia="Calibri" w:cs="Arial"/>
          <w:szCs w:val="21"/>
        </w:rPr>
        <w:t xml:space="preserve"> the </w:t>
      </w:r>
      <w:r>
        <w:rPr>
          <w:rFonts w:eastAsia="Calibri" w:cs="Arial"/>
          <w:szCs w:val="21"/>
        </w:rPr>
        <w:t xml:space="preserve">Blood Management </w:t>
      </w:r>
      <w:r w:rsidR="00C35538" w:rsidRPr="00EF1AF1">
        <w:rPr>
          <w:rFonts w:eastAsia="Calibri" w:cs="Arial"/>
          <w:szCs w:val="21"/>
        </w:rPr>
        <w:t>S</w:t>
      </w:r>
      <w:r w:rsidR="00D00BBF" w:rsidRPr="00EF1AF1">
        <w:rPr>
          <w:rFonts w:eastAsia="Calibri" w:cs="Arial"/>
          <w:szCs w:val="21"/>
        </w:rPr>
        <w:t>tandard</w:t>
      </w:r>
      <w:r>
        <w:rPr>
          <w:rFonts w:eastAsia="Calibri" w:cs="Arial"/>
          <w:szCs w:val="21"/>
        </w:rPr>
        <w:t>.</w:t>
      </w:r>
    </w:p>
    <w:p w14:paraId="2C9E1378" w14:textId="45F2C93A" w:rsidR="00D00BBF" w:rsidRPr="00EF1AF1" w:rsidRDefault="00D00BBF" w:rsidP="00D00BBF">
      <w:pPr>
        <w:spacing w:after="160" w:line="259" w:lineRule="auto"/>
        <w:rPr>
          <w:rFonts w:eastAsia="Calibri" w:cs="Arial"/>
          <w:szCs w:val="21"/>
        </w:rPr>
      </w:pPr>
      <w:r w:rsidRPr="00EF1AF1">
        <w:rPr>
          <w:rFonts w:eastAsia="Calibri" w:cs="Arial"/>
          <w:szCs w:val="21"/>
        </w:rPr>
        <w:t xml:space="preserve">Rural or small metropolitan health services may not have access to the expertise available in larger, metropolitan sites; therefore, the governance model may vary, however the requirements of the </w:t>
      </w:r>
      <w:r w:rsidR="006F6FF7">
        <w:rPr>
          <w:rFonts w:eastAsia="Calibri" w:cs="Arial"/>
          <w:szCs w:val="21"/>
        </w:rPr>
        <w:t>Blood Management S</w:t>
      </w:r>
      <w:r w:rsidR="006F6FF7" w:rsidRPr="00EF1AF1">
        <w:rPr>
          <w:rFonts w:eastAsia="Calibri" w:cs="Arial"/>
          <w:szCs w:val="21"/>
        </w:rPr>
        <w:t xml:space="preserve">tandard </w:t>
      </w:r>
      <w:r w:rsidRPr="00EF1AF1">
        <w:rPr>
          <w:rFonts w:eastAsia="Calibri" w:cs="Arial"/>
          <w:szCs w:val="21"/>
        </w:rPr>
        <w:t xml:space="preserve">must still </w:t>
      </w:r>
      <w:r w:rsidR="00E16F76">
        <w:rPr>
          <w:rFonts w:eastAsia="Calibri" w:cs="Arial"/>
          <w:szCs w:val="21"/>
        </w:rPr>
        <w:t>be met</w:t>
      </w:r>
      <w:r w:rsidRPr="00EF1AF1">
        <w:rPr>
          <w:rFonts w:eastAsia="Calibri" w:cs="Arial"/>
          <w:szCs w:val="21"/>
        </w:rPr>
        <w:t xml:space="preserve">. </w:t>
      </w:r>
    </w:p>
    <w:p w14:paraId="475D9CD0" w14:textId="43E8A1CF" w:rsidR="00D00BBF" w:rsidRPr="00EF1AF1" w:rsidRDefault="00D00BBF" w:rsidP="00D00BBF">
      <w:pPr>
        <w:spacing w:after="160" w:line="259" w:lineRule="auto"/>
        <w:rPr>
          <w:rStyle w:val="Hyperlink"/>
          <w:rFonts w:eastAsia="Calibri" w:cs="Arial"/>
          <w:szCs w:val="21"/>
        </w:rPr>
      </w:pPr>
      <w:r w:rsidRPr="00EF1AF1">
        <w:rPr>
          <w:rFonts w:eastAsia="Calibri" w:cs="Arial"/>
          <w:szCs w:val="21"/>
        </w:rPr>
        <w:t xml:space="preserve">Information on the </w:t>
      </w:r>
      <w:r w:rsidR="006F6FF7">
        <w:rPr>
          <w:rFonts w:eastAsia="Calibri" w:cs="Arial"/>
          <w:szCs w:val="21"/>
        </w:rPr>
        <w:t>Standards</w:t>
      </w:r>
      <w:r w:rsidRPr="00EF1AF1">
        <w:rPr>
          <w:rFonts w:eastAsia="Calibri" w:cs="Arial"/>
          <w:szCs w:val="21"/>
        </w:rPr>
        <w:t xml:space="preserve"> and the accreditation process is available at</w:t>
      </w:r>
      <w:r w:rsidR="00FF1762">
        <w:rPr>
          <w:rFonts w:eastAsia="Calibri" w:cs="Arial"/>
          <w:szCs w:val="21"/>
        </w:rPr>
        <w:t xml:space="preserve"> the </w:t>
      </w:r>
      <w:hyperlink r:id="rId38" w:history="1">
        <w:r w:rsidR="00FF1762" w:rsidRPr="00DB59BF">
          <w:rPr>
            <w:rStyle w:val="Hyperlink"/>
            <w:rFonts w:eastAsia="Calibri" w:cs="Arial"/>
            <w:szCs w:val="21"/>
          </w:rPr>
          <w:t>Australian Commission on Quality and Safety</w:t>
        </w:r>
      </w:hyperlink>
      <w:r w:rsidR="00FF1762">
        <w:rPr>
          <w:rFonts w:eastAsia="Calibri" w:cs="Arial"/>
          <w:szCs w:val="21"/>
        </w:rPr>
        <w:t xml:space="preserve"> webpage</w:t>
      </w:r>
      <w:r w:rsidRPr="00EF1AF1">
        <w:rPr>
          <w:rFonts w:eastAsia="Calibri" w:cs="Arial"/>
          <w:szCs w:val="21"/>
        </w:rPr>
        <w:t>:</w:t>
      </w:r>
      <w:r w:rsidRPr="00EF1AF1">
        <w:rPr>
          <w:rFonts w:eastAsia="Calibri" w:cs="Arial"/>
          <w:b/>
          <w:szCs w:val="21"/>
        </w:rPr>
        <w:t xml:space="preserve"> </w:t>
      </w:r>
      <w:r w:rsidR="00FF1762" w:rsidRPr="00DD4316">
        <w:rPr>
          <w:rFonts w:eastAsia="Calibri" w:cs="Arial"/>
          <w:szCs w:val="21"/>
        </w:rPr>
        <w:t>&lt;</w:t>
      </w:r>
      <w:r w:rsidR="00DB59BF" w:rsidRPr="00DD4316">
        <w:rPr>
          <w:rFonts w:eastAsia="Calibri"/>
        </w:rPr>
        <w:t>https://www.safetyandquality.gov.au/our-work/assessment-to-the-nsqhs-standards/nsqhs-standards-second-edition</w:t>
      </w:r>
      <w:r w:rsidR="00FF1762" w:rsidRPr="00DD4316">
        <w:rPr>
          <w:rFonts w:eastAsia="Calibri"/>
        </w:rPr>
        <w:t>&gt;</w:t>
      </w:r>
      <w:r w:rsidR="00DB59BF">
        <w:rPr>
          <w:rFonts w:eastAsia="Calibri"/>
        </w:rPr>
        <w:t>.</w:t>
      </w:r>
    </w:p>
    <w:p w14:paraId="0DA93DAF" w14:textId="35D7F41F" w:rsidR="00EF1AF1" w:rsidRDefault="00B97371" w:rsidP="003F3A21">
      <w:pPr>
        <w:spacing w:after="160" w:line="259" w:lineRule="auto"/>
        <w:rPr>
          <w:rFonts w:eastAsia="MS Gothic"/>
          <w:bCs/>
          <w:color w:val="53565A"/>
          <w:sz w:val="27"/>
          <w:szCs w:val="26"/>
        </w:rPr>
      </w:pPr>
      <w:r>
        <w:rPr>
          <w:rFonts w:eastAsia="Calibri" w:cs="Arial"/>
          <w:szCs w:val="21"/>
        </w:rPr>
        <w:t>Short</w:t>
      </w:r>
      <w:r w:rsidR="00DA7DFF" w:rsidRPr="003F3A21">
        <w:rPr>
          <w:rFonts w:eastAsia="Calibri" w:cs="Arial"/>
          <w:szCs w:val="21"/>
        </w:rPr>
        <w:t xml:space="preserve"> notice assessments</w:t>
      </w:r>
      <w:r>
        <w:rPr>
          <w:rFonts w:eastAsia="Calibri" w:cs="Arial"/>
          <w:szCs w:val="21"/>
        </w:rPr>
        <w:t xml:space="preserve"> were introduced in 2023 to ensure</w:t>
      </w:r>
      <w:r w:rsidR="00DA7DFF" w:rsidRPr="003F3A21">
        <w:rPr>
          <w:rFonts w:eastAsia="Calibri" w:cs="Arial"/>
          <w:szCs w:val="21"/>
        </w:rPr>
        <w:t xml:space="preserve"> the assessment outcome reflects </w:t>
      </w:r>
      <w:r w:rsidR="00FF1762">
        <w:rPr>
          <w:rFonts w:eastAsia="Calibri" w:cs="Arial"/>
          <w:szCs w:val="21"/>
        </w:rPr>
        <w:t>everyday</w:t>
      </w:r>
      <w:r w:rsidR="00DA7DFF" w:rsidRPr="003F3A21">
        <w:rPr>
          <w:rFonts w:eastAsia="Calibri" w:cs="Arial"/>
          <w:szCs w:val="21"/>
        </w:rPr>
        <w:t xml:space="preserve"> practice, identifies </w:t>
      </w:r>
      <w:r w:rsidR="00994221" w:rsidRPr="003F3A21">
        <w:rPr>
          <w:rFonts w:eastAsia="Calibri" w:cs="Arial"/>
          <w:szCs w:val="21"/>
        </w:rPr>
        <w:t>gaps,</w:t>
      </w:r>
      <w:r w:rsidR="00DA7DFF" w:rsidRPr="003F3A21">
        <w:rPr>
          <w:rFonts w:eastAsia="Calibri" w:cs="Arial"/>
          <w:szCs w:val="21"/>
        </w:rPr>
        <w:t xml:space="preserve"> and supports </w:t>
      </w:r>
      <w:r w:rsidR="00255500" w:rsidRPr="003F3A21">
        <w:rPr>
          <w:rFonts w:eastAsia="Calibri" w:cs="Arial"/>
          <w:szCs w:val="21"/>
        </w:rPr>
        <w:t>health services</w:t>
      </w:r>
      <w:r w:rsidR="00DA7DFF" w:rsidRPr="003F3A21">
        <w:rPr>
          <w:rFonts w:eastAsia="Calibri" w:cs="Arial"/>
          <w:szCs w:val="21"/>
        </w:rPr>
        <w:t xml:space="preserve"> to improve safety and quality systems and process</w:t>
      </w:r>
      <w:r w:rsidR="0001635A">
        <w:rPr>
          <w:rFonts w:eastAsia="Calibri" w:cs="Arial"/>
          <w:szCs w:val="21"/>
        </w:rPr>
        <w:t>es</w:t>
      </w:r>
      <w:r w:rsidR="00DA7DFF" w:rsidRPr="003F3A21">
        <w:rPr>
          <w:rFonts w:eastAsia="Calibri" w:cs="Arial"/>
          <w:szCs w:val="21"/>
        </w:rPr>
        <w:t>.</w:t>
      </w:r>
      <w:r>
        <w:t xml:space="preserve"> </w:t>
      </w:r>
      <w:r w:rsidRPr="00B97371">
        <w:t xml:space="preserve">The health service will be contacted 24 - 48 hours prior to the accreditation team attending. </w:t>
      </w:r>
    </w:p>
    <w:p w14:paraId="4B332050" w14:textId="5EF5902F" w:rsidR="00D00BBF" w:rsidRDefault="00D00BBF" w:rsidP="00D00BBF">
      <w:pPr>
        <w:pStyle w:val="Heading3"/>
      </w:pPr>
      <w:bookmarkStart w:id="12" w:name="_Toc184376925"/>
      <w:r w:rsidRPr="00D00BBF">
        <w:t>National Blood Authority</w:t>
      </w:r>
      <w:bookmarkEnd w:id="12"/>
      <w:r w:rsidRPr="00D00BBF">
        <w:t xml:space="preserve"> </w:t>
      </w:r>
    </w:p>
    <w:p w14:paraId="1023B254" w14:textId="601ACA26" w:rsidR="00D00BBF" w:rsidRDefault="00D00BBF" w:rsidP="00D00BBF">
      <w:pPr>
        <w:pStyle w:val="Heading4"/>
      </w:pPr>
      <w:r w:rsidRPr="00D00BBF">
        <w:t>Patient Blood Management Guidelines</w:t>
      </w:r>
    </w:p>
    <w:p w14:paraId="7ECA06D1" w14:textId="3DB6F310" w:rsidR="00D00BBF" w:rsidRDefault="00D00BBF" w:rsidP="00D00BBF">
      <w:pPr>
        <w:pStyle w:val="Body"/>
      </w:pPr>
      <w:r w:rsidRPr="00D00BBF">
        <w:t xml:space="preserve">The National Blood Authority (NBA) has funded and managed the development </w:t>
      </w:r>
      <w:r w:rsidR="002B7989">
        <w:t xml:space="preserve">of </w:t>
      </w:r>
      <w:r w:rsidR="002140A3">
        <w:t>six</w:t>
      </w:r>
      <w:r w:rsidRPr="00D00BBF">
        <w:t xml:space="preserve"> evidence-based </w:t>
      </w:r>
      <w:hyperlink r:id="rId39" w:history="1">
        <w:r w:rsidRPr="00E04F8F">
          <w:rPr>
            <w:rStyle w:val="Hyperlink"/>
          </w:rPr>
          <w:t>Patient Blood Management (PBM) Guidelines</w:t>
        </w:r>
      </w:hyperlink>
      <w:r w:rsidRPr="00D00BBF">
        <w:t xml:space="preserve">, </w:t>
      </w:r>
      <w:r w:rsidR="002140A3">
        <w:t>&lt;</w:t>
      </w:r>
      <w:r w:rsidR="002140A3" w:rsidRPr="002140A3">
        <w:t>https://www.blood.gov.au/patient-blood-management-guidelines</w:t>
      </w:r>
      <w:r w:rsidR="002140A3">
        <w:t>&gt;</w:t>
      </w:r>
      <w:r w:rsidRPr="00D00BBF">
        <w:t xml:space="preserve">. </w:t>
      </w:r>
    </w:p>
    <w:p w14:paraId="1248D727" w14:textId="010D86F5" w:rsidR="00D00BBF" w:rsidRDefault="00D00BBF" w:rsidP="00D00BBF">
      <w:pPr>
        <w:pStyle w:val="Body"/>
      </w:pPr>
    </w:p>
    <w:p w14:paraId="46D8FDA3" w14:textId="1ACDA63F" w:rsidR="005B247B" w:rsidRPr="00D00BBF" w:rsidRDefault="005B247B" w:rsidP="00D00BBF">
      <w:pPr>
        <w:pStyle w:val="Body"/>
      </w:pPr>
      <w:r>
        <w:rPr>
          <w:noProof/>
        </w:rPr>
        <w:drawing>
          <wp:inline distT="0" distB="0" distL="0" distR="0" wp14:anchorId="5E6F7519" wp14:editId="39AEA322">
            <wp:extent cx="3933825" cy="3571875"/>
            <wp:effectExtent l="0" t="0" r="9525"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40"/>
                    <a:stretch>
                      <a:fillRect/>
                    </a:stretch>
                  </pic:blipFill>
                  <pic:spPr>
                    <a:xfrm>
                      <a:off x="0" y="0"/>
                      <a:ext cx="3933825" cy="3571875"/>
                    </a:xfrm>
                    <a:prstGeom prst="rect">
                      <a:avLst/>
                    </a:prstGeom>
                  </pic:spPr>
                </pic:pic>
              </a:graphicData>
            </a:graphic>
          </wp:inline>
        </w:drawing>
      </w:r>
    </w:p>
    <w:p w14:paraId="286C7279" w14:textId="2F906E79" w:rsidR="00B84915" w:rsidRPr="00B84915" w:rsidRDefault="00042650" w:rsidP="00F63DED">
      <w:pPr>
        <w:pStyle w:val="Body"/>
      </w:pPr>
      <w:r>
        <w:t>The PBM</w:t>
      </w:r>
      <w:r w:rsidR="00B84915" w:rsidRPr="00B84915">
        <w:t xml:space="preserve"> modules are intended to assist and guide health-care professionals in making</w:t>
      </w:r>
      <w:r w:rsidR="0019062E">
        <w:t xml:space="preserve"> appropriate</w:t>
      </w:r>
      <w:r w:rsidR="00B84915" w:rsidRPr="00B84915">
        <w:t xml:space="preserve"> </w:t>
      </w:r>
      <w:r w:rsidR="002140A3">
        <w:t xml:space="preserve">blood management and transfusion </w:t>
      </w:r>
      <w:r w:rsidR="00B84915" w:rsidRPr="00B84915">
        <w:t xml:space="preserve">decisions </w:t>
      </w:r>
      <w:r w:rsidR="00F63DED">
        <w:t>for</w:t>
      </w:r>
      <w:r w:rsidR="00B84915" w:rsidRPr="00B84915">
        <w:t xml:space="preserve"> patients in </w:t>
      </w:r>
      <w:r w:rsidR="00C35538">
        <w:t xml:space="preserve">a variety of clinical areas. The guidelines include recommendations and practice points with the aim of reducing the need </w:t>
      </w:r>
      <w:r w:rsidR="002140A3">
        <w:t xml:space="preserve">for </w:t>
      </w:r>
      <w:r w:rsidR="00C35538">
        <w:t xml:space="preserve">blood transfusion where possible and identifying when transfusion is likely to be appropriate. </w:t>
      </w:r>
    </w:p>
    <w:p w14:paraId="63CE739D" w14:textId="5F4BAB57" w:rsidR="00B84915" w:rsidRDefault="00B84915" w:rsidP="00B84915">
      <w:pPr>
        <w:pStyle w:val="Heading4"/>
      </w:pPr>
      <w:r w:rsidRPr="00B84915">
        <w:t xml:space="preserve">National </w:t>
      </w:r>
      <w:r w:rsidR="004F7482" w:rsidRPr="00B84915">
        <w:t xml:space="preserve">Product </w:t>
      </w:r>
      <w:r w:rsidR="004F7482">
        <w:t xml:space="preserve">and </w:t>
      </w:r>
      <w:r w:rsidRPr="00B84915">
        <w:t>Price List</w:t>
      </w:r>
    </w:p>
    <w:p w14:paraId="5CAA99E4" w14:textId="03F6F4AE" w:rsidR="00B84915" w:rsidRPr="00B84915" w:rsidRDefault="00F63DED" w:rsidP="00B84915">
      <w:pPr>
        <w:pStyle w:val="Body"/>
      </w:pPr>
      <w:r>
        <w:t>B</w:t>
      </w:r>
      <w:r w:rsidR="00A0620D">
        <w:t>lood and blood products are provided free</w:t>
      </w:r>
      <w:r>
        <w:t xml:space="preserve"> of charge</w:t>
      </w:r>
      <w:r w:rsidR="00A0620D">
        <w:t xml:space="preserve"> to Australian </w:t>
      </w:r>
      <w:r w:rsidR="006A37E9">
        <w:t>patients. The</w:t>
      </w:r>
      <w:r w:rsidR="00B84915">
        <w:t xml:space="preserve"> NBA provide</w:t>
      </w:r>
      <w:r w:rsidR="0030336C">
        <w:t>s</w:t>
      </w:r>
      <w:r w:rsidR="00B84915">
        <w:t xml:space="preserve"> a list of products currently available in Australia</w:t>
      </w:r>
      <w:r w:rsidR="00A0620D">
        <w:t xml:space="preserve"> and the cost of manufacture</w:t>
      </w:r>
      <w:r w:rsidR="00B84915">
        <w:t>.</w:t>
      </w:r>
      <w:r w:rsidR="00A0620D">
        <w:t xml:space="preserve"> This information is available at:</w:t>
      </w:r>
      <w:r w:rsidR="00B84915">
        <w:t xml:space="preserve"> </w:t>
      </w:r>
      <w:hyperlink r:id="rId41" w:history="1">
        <w:r w:rsidR="00B84915" w:rsidRPr="00B84915">
          <w:rPr>
            <w:rStyle w:val="Hyperlink"/>
          </w:rPr>
          <w:t xml:space="preserve">What </w:t>
        </w:r>
        <w:r w:rsidR="00B84915" w:rsidRPr="00B84915">
          <w:rPr>
            <w:rStyle w:val="Hyperlink"/>
          </w:rPr>
          <w:lastRenderedPageBreak/>
          <w:t xml:space="preserve">Blood Products are Supplied - National Product Price List </w:t>
        </w:r>
      </w:hyperlink>
      <w:r w:rsidR="002140A3">
        <w:rPr>
          <w:rStyle w:val="Hyperlink"/>
        </w:rPr>
        <w:t xml:space="preserve"> </w:t>
      </w:r>
      <w:r w:rsidR="002140A3" w:rsidRPr="00DD4316">
        <w:t>&lt;https://www.blood.gov.au/blood-products/national-product-price-list&gt;</w:t>
      </w:r>
      <w:r w:rsidR="00DB59BF">
        <w:t>.</w:t>
      </w:r>
    </w:p>
    <w:p w14:paraId="3249F19A" w14:textId="3223B33A" w:rsidR="00B84915" w:rsidRPr="00B84915" w:rsidRDefault="00B84915" w:rsidP="00B84915">
      <w:pPr>
        <w:pStyle w:val="Heading4"/>
      </w:pPr>
      <w:proofErr w:type="spellStart"/>
      <w:r w:rsidRPr="00B84915">
        <w:t>BloodNet</w:t>
      </w:r>
      <w:proofErr w:type="spellEnd"/>
      <w:r w:rsidRPr="00B84915">
        <w:t xml:space="preserve"> and </w:t>
      </w:r>
      <w:proofErr w:type="spellStart"/>
      <w:r w:rsidRPr="00B84915">
        <w:t>BloodS</w:t>
      </w:r>
      <w:r w:rsidR="00A86855">
        <w:t>TAR</w:t>
      </w:r>
      <w:proofErr w:type="spellEnd"/>
    </w:p>
    <w:p w14:paraId="69B83ECE" w14:textId="2E9E4628" w:rsidR="00B84915" w:rsidRPr="00B84915" w:rsidRDefault="00B84915" w:rsidP="00B84915">
      <w:pPr>
        <w:pStyle w:val="Body"/>
      </w:pPr>
      <w:proofErr w:type="spellStart"/>
      <w:r w:rsidRPr="00B84915">
        <w:rPr>
          <w:b/>
          <w:bCs/>
        </w:rPr>
        <w:t>BloodNet</w:t>
      </w:r>
      <w:proofErr w:type="spellEnd"/>
      <w:r w:rsidRPr="00B84915">
        <w:t xml:space="preserve"> is an online blood ordering and inventory management system that allows staff (most often pathology providers/blood banks) in health facilities across Australia to order blood and blood products </w:t>
      </w:r>
      <w:r w:rsidR="00B61DF4" w:rsidRPr="00B84915">
        <w:t xml:space="preserve">from Lifeblood </w:t>
      </w:r>
      <w:r w:rsidRPr="00B84915">
        <w:t xml:space="preserve">quickly, easily, and securely. </w:t>
      </w:r>
      <w:r w:rsidR="00300023">
        <w:t>R</w:t>
      </w:r>
      <w:r w:rsidRPr="00B84915">
        <w:t xml:space="preserve">eports </w:t>
      </w:r>
      <w:r w:rsidR="00300023">
        <w:t xml:space="preserve">can be generated </w:t>
      </w:r>
      <w:r w:rsidRPr="00B84915">
        <w:t xml:space="preserve">within </w:t>
      </w:r>
      <w:proofErr w:type="spellStart"/>
      <w:r w:rsidRPr="00B84915">
        <w:t>BloodNet</w:t>
      </w:r>
      <w:proofErr w:type="spellEnd"/>
      <w:r w:rsidRPr="00B84915">
        <w:t xml:space="preserve"> </w:t>
      </w:r>
      <w:r w:rsidR="00300023">
        <w:t xml:space="preserve">to </w:t>
      </w:r>
      <w:r w:rsidRPr="00B84915">
        <w:t xml:space="preserve">provide information on </w:t>
      </w:r>
      <w:r w:rsidR="00CA6EEB">
        <w:t xml:space="preserve">usage and </w:t>
      </w:r>
      <w:r w:rsidRPr="00B84915">
        <w:t>wastage for health service</w:t>
      </w:r>
      <w:r w:rsidR="00300023">
        <w:t>s</w:t>
      </w:r>
      <w:r w:rsidRPr="00B84915">
        <w:t>, including reasons for the waste.</w:t>
      </w:r>
      <w:r w:rsidR="00B61DF4">
        <w:t xml:space="preserve"> </w:t>
      </w:r>
    </w:p>
    <w:p w14:paraId="5C4E52AE" w14:textId="11320FEA" w:rsidR="00B84915" w:rsidRPr="00B84915" w:rsidRDefault="00B84915" w:rsidP="00B84915">
      <w:pPr>
        <w:pStyle w:val="Body"/>
      </w:pPr>
      <w:proofErr w:type="spellStart"/>
      <w:r w:rsidRPr="00B84915">
        <w:rPr>
          <w:b/>
          <w:bCs/>
        </w:rPr>
        <w:t>BloodSTAR</w:t>
      </w:r>
      <w:proofErr w:type="spellEnd"/>
      <w:r w:rsidRPr="00B84915">
        <w:t xml:space="preserve"> is an online system used across Australia to manage access to government funded immunoglobulin products (intravenous and subcutaneous). The system manages the authorisation request and review process for the treatment of conditions identified in the </w:t>
      </w:r>
      <w:hyperlink r:id="rId42" w:history="1">
        <w:r w:rsidR="00B61DF4" w:rsidRPr="00B61DF4">
          <w:rPr>
            <w:rStyle w:val="Hyperlink"/>
          </w:rPr>
          <w:t>Criteria for the clinical use of intravenous immunoglobulin in Austalia</w:t>
        </w:r>
      </w:hyperlink>
      <w:r w:rsidR="00B61DF4" w:rsidRPr="00DD4316">
        <w:t xml:space="preserve"> </w:t>
      </w:r>
      <w:r w:rsidR="006F6FF7">
        <w:t xml:space="preserve"> </w:t>
      </w:r>
      <w:r w:rsidR="006F6FF7" w:rsidRPr="003F5A46">
        <w:t>&lt;https://www.criteria.blood.gov.au/&gt;.</w:t>
      </w:r>
    </w:p>
    <w:p w14:paraId="0B1CDE26" w14:textId="16FEE63B" w:rsidR="00B84915" w:rsidRDefault="00300023" w:rsidP="00B84915">
      <w:pPr>
        <w:pStyle w:val="Body"/>
        <w:rPr>
          <w:bCs/>
        </w:rPr>
      </w:pPr>
      <w:r>
        <w:rPr>
          <w:bCs/>
        </w:rPr>
        <w:t>You can request a</w:t>
      </w:r>
      <w:r w:rsidR="00B84915" w:rsidRPr="00B84915">
        <w:rPr>
          <w:bCs/>
        </w:rPr>
        <w:t xml:space="preserve">ccess to </w:t>
      </w:r>
      <w:proofErr w:type="spellStart"/>
      <w:r w:rsidR="00B84915" w:rsidRPr="00B84915">
        <w:rPr>
          <w:bCs/>
        </w:rPr>
        <w:t>BloodNet</w:t>
      </w:r>
      <w:proofErr w:type="spellEnd"/>
      <w:r w:rsidR="00B84915" w:rsidRPr="00B84915">
        <w:rPr>
          <w:bCs/>
        </w:rPr>
        <w:t xml:space="preserve"> and </w:t>
      </w:r>
      <w:proofErr w:type="spellStart"/>
      <w:r w:rsidR="00A86855" w:rsidRPr="00B84915">
        <w:rPr>
          <w:bCs/>
        </w:rPr>
        <w:t>BloodSTAR</w:t>
      </w:r>
      <w:proofErr w:type="spellEnd"/>
      <w:r w:rsidR="00B84915" w:rsidRPr="00B84915">
        <w:rPr>
          <w:bCs/>
        </w:rPr>
        <w:t xml:space="preserve">  via the </w:t>
      </w:r>
      <w:bookmarkStart w:id="13" w:name="_Hlk180402070"/>
      <w:r w:rsidR="00AF09A3">
        <w:fldChar w:fldCharType="begin"/>
      </w:r>
      <w:r w:rsidR="00AF09A3">
        <w:instrText>HYPERLINK "https://auth.blood.gov.au/adfs/ls?wa=wsignin1.0&amp;wtrealm=https%3a%2f%2fportal.blood.gov.au%2fPortal%2f&amp;wctx=rm%3d0%26id%3dpassive%26ru%3d%252fPortal%252f&amp;wct=2023-02-13T22%3a32%3a10Z"</w:instrText>
      </w:r>
      <w:r w:rsidR="00AF09A3">
        <w:fldChar w:fldCharType="separate"/>
      </w:r>
      <w:r w:rsidR="00B84915" w:rsidRPr="00F83618">
        <w:rPr>
          <w:rStyle w:val="Hyperlink"/>
          <w:bCs/>
        </w:rPr>
        <w:t>Blood Portal</w:t>
      </w:r>
      <w:r w:rsidR="00AF09A3">
        <w:rPr>
          <w:rStyle w:val="Hyperlink"/>
          <w:bCs/>
        </w:rPr>
        <w:fldChar w:fldCharType="end"/>
      </w:r>
      <w:bookmarkEnd w:id="13"/>
      <w:r w:rsidR="00B84915" w:rsidRPr="00B84915">
        <w:rPr>
          <w:bCs/>
        </w:rPr>
        <w:t xml:space="preserve"> </w:t>
      </w:r>
      <w:r w:rsidR="00B61DF4">
        <w:rPr>
          <w:bCs/>
        </w:rPr>
        <w:t>&lt;</w:t>
      </w:r>
      <w:r w:rsidR="00B61DF4" w:rsidRPr="00B61DF4">
        <w:rPr>
          <w:bCs/>
        </w:rPr>
        <w:t>https://auth.blood.gov.au/adfs/ls?wa=wsignin1.0&amp;wtrealm=https%3a%2f%2fportal.blood.gov.au%2fPortal%2f&amp;wctx=rm%3d0%26id%3dpassive%26ru%3d%252fPortal%252f&amp;wct=2023-02-13T22%3a32%3a10Z</w:t>
      </w:r>
      <w:r w:rsidR="00B61DF4">
        <w:rPr>
          <w:bCs/>
        </w:rPr>
        <w:t xml:space="preserve">&gt; </w:t>
      </w:r>
      <w:r w:rsidR="00B84915" w:rsidRPr="00B84915">
        <w:rPr>
          <w:bCs/>
        </w:rPr>
        <w:t>on the NBA webpage.</w:t>
      </w:r>
      <w:r w:rsidR="00BE7DFA">
        <w:rPr>
          <w:bCs/>
        </w:rPr>
        <w:t xml:space="preserve"> </w:t>
      </w:r>
      <w:r w:rsidR="000E2B07">
        <w:rPr>
          <w:bCs/>
        </w:rPr>
        <w:t>For security reasons these applications require multifactor authentication.</w:t>
      </w:r>
    </w:p>
    <w:p w14:paraId="1D107C49" w14:textId="4F8CF59D" w:rsidR="003D205B" w:rsidRDefault="003D205B" w:rsidP="003D205B">
      <w:pPr>
        <w:pStyle w:val="Heading4"/>
      </w:pPr>
      <w:r w:rsidRPr="003D205B">
        <w:t xml:space="preserve">Bleeding </w:t>
      </w:r>
      <w:r w:rsidR="00A86855">
        <w:t>d</w:t>
      </w:r>
      <w:r w:rsidRPr="003D205B">
        <w:t>isorders</w:t>
      </w:r>
    </w:p>
    <w:p w14:paraId="46F31864" w14:textId="57A685D3" w:rsidR="003D205B" w:rsidRPr="003D205B" w:rsidRDefault="003D205B" w:rsidP="003D205B">
      <w:pPr>
        <w:pStyle w:val="Body"/>
      </w:pPr>
      <w:r w:rsidRPr="003D205B">
        <w:rPr>
          <w:bCs/>
        </w:rPr>
        <w:t xml:space="preserve">Information on bleeding disorders and where to find an Australian Haemophilia Treatment Centre are on the </w:t>
      </w:r>
      <w:r w:rsidR="001B772C">
        <w:rPr>
          <w:bCs/>
        </w:rPr>
        <w:t xml:space="preserve">NBA </w:t>
      </w:r>
      <w:r w:rsidRPr="003D205B">
        <w:rPr>
          <w:bCs/>
        </w:rPr>
        <w:t>web</w:t>
      </w:r>
      <w:r w:rsidR="00CA6EEB">
        <w:rPr>
          <w:bCs/>
        </w:rPr>
        <w:t>page</w:t>
      </w:r>
      <w:r w:rsidRPr="003D205B">
        <w:rPr>
          <w:bCs/>
        </w:rPr>
        <w:t xml:space="preserve">, as well as information on the </w:t>
      </w:r>
      <w:r w:rsidRPr="003D205B">
        <w:t>Australian Bleeding Disorders Registry (ABDR).</w:t>
      </w:r>
    </w:p>
    <w:p w14:paraId="76FB95E2" w14:textId="2A68CC31" w:rsidR="003D205B" w:rsidRDefault="003D205B" w:rsidP="003D205B">
      <w:pPr>
        <w:pStyle w:val="Body"/>
        <w:rPr>
          <w:rStyle w:val="Hyperlink"/>
        </w:rPr>
      </w:pPr>
      <w:r w:rsidRPr="003D205B">
        <w:t xml:space="preserve">Guidelines for the management of haemophilia in Australia </w:t>
      </w:r>
      <w:r w:rsidR="00E04F8F" w:rsidRPr="00E04F8F">
        <w:rPr>
          <w:rFonts w:eastAsia="Times New Roman"/>
        </w:rPr>
        <w:t xml:space="preserve"> </w:t>
      </w:r>
      <w:hyperlink r:id="rId43" w:history="1">
        <w:r w:rsidR="00E04F8F" w:rsidRPr="00E04F8F">
          <w:rPr>
            <w:rStyle w:val="Hyperlink"/>
          </w:rPr>
          <w:t xml:space="preserve">Guidelines for the management of haemophilia in Australia </w:t>
        </w:r>
      </w:hyperlink>
      <w:r w:rsidR="00CA6EEB">
        <w:rPr>
          <w:rStyle w:val="Hyperlink"/>
        </w:rPr>
        <w:t xml:space="preserve"> </w:t>
      </w:r>
      <w:r w:rsidR="00CA6EEB" w:rsidRPr="00DD4316">
        <w:t>&lt;https://www.blood.gov.au/guidelines-management-haemophilia-australia&gt;</w:t>
      </w:r>
    </w:p>
    <w:p w14:paraId="776740DB" w14:textId="77777777" w:rsidR="003D205B" w:rsidRPr="003D205B" w:rsidRDefault="003D205B" w:rsidP="003D205B">
      <w:pPr>
        <w:pStyle w:val="Heading4"/>
      </w:pPr>
      <w:r w:rsidRPr="003D205B">
        <w:t>Haemovigilance reporting</w:t>
      </w:r>
    </w:p>
    <w:p w14:paraId="130B8153" w14:textId="01E0DA97" w:rsidR="00300023" w:rsidRPr="00DD4316" w:rsidRDefault="00F63DED" w:rsidP="003D205B">
      <w:pPr>
        <w:pStyle w:val="Body"/>
        <w:rPr>
          <w:szCs w:val="21"/>
        </w:rPr>
      </w:pPr>
      <w:r w:rsidRPr="00B027D5">
        <w:rPr>
          <w:szCs w:val="21"/>
        </w:rPr>
        <w:t xml:space="preserve">The NBA </w:t>
      </w:r>
      <w:r w:rsidR="00FD0657" w:rsidRPr="00B027D5">
        <w:rPr>
          <w:szCs w:val="21"/>
        </w:rPr>
        <w:t xml:space="preserve">collates </w:t>
      </w:r>
      <w:r w:rsidRPr="00B027D5">
        <w:rPr>
          <w:szCs w:val="21"/>
        </w:rPr>
        <w:t xml:space="preserve">data from state and territory health departments on reported </w:t>
      </w:r>
      <w:r w:rsidR="00B61DF4" w:rsidRPr="00B027D5">
        <w:rPr>
          <w:szCs w:val="21"/>
        </w:rPr>
        <w:t xml:space="preserve">transfusion related </w:t>
      </w:r>
      <w:r w:rsidRPr="00B027D5">
        <w:rPr>
          <w:szCs w:val="21"/>
        </w:rPr>
        <w:t>adverse events and publishes an annual report</w:t>
      </w:r>
      <w:r w:rsidR="00B61DF4" w:rsidRPr="00B027D5">
        <w:rPr>
          <w:szCs w:val="21"/>
        </w:rPr>
        <w:t xml:space="preserve"> -</w:t>
      </w:r>
      <w:r w:rsidRPr="00B027D5">
        <w:rPr>
          <w:szCs w:val="21"/>
        </w:rPr>
        <w:t xml:space="preserve"> </w:t>
      </w:r>
      <w:hyperlink r:id="rId44" w:history="1">
        <w:r w:rsidRPr="00B027D5">
          <w:rPr>
            <w:rStyle w:val="Hyperlink"/>
            <w:szCs w:val="21"/>
          </w:rPr>
          <w:t>Haemovigilance Reporting</w:t>
        </w:r>
      </w:hyperlink>
      <w:r w:rsidR="00B61DF4" w:rsidRPr="00B027D5">
        <w:rPr>
          <w:szCs w:val="21"/>
        </w:rPr>
        <w:t xml:space="preserve"> </w:t>
      </w:r>
      <w:r w:rsidR="00CA6EEB" w:rsidRPr="00DD4316">
        <w:rPr>
          <w:szCs w:val="21"/>
        </w:rPr>
        <w:t>&lt;https://www.blood.gov.au/haemovigilance-reporting&gt;</w:t>
      </w:r>
      <w:r w:rsidR="00300023" w:rsidRPr="00DD4316">
        <w:rPr>
          <w:szCs w:val="21"/>
        </w:rPr>
        <w:t>.</w:t>
      </w:r>
    </w:p>
    <w:p w14:paraId="0BB96F78" w14:textId="274541F0" w:rsidR="005A397F" w:rsidRPr="00B027D5" w:rsidRDefault="005A397F" w:rsidP="003D205B">
      <w:pPr>
        <w:pStyle w:val="Body"/>
        <w:rPr>
          <w:szCs w:val="21"/>
        </w:rPr>
      </w:pPr>
      <w:r w:rsidRPr="00B027D5">
        <w:rPr>
          <w:rStyle w:val="Hyperlink"/>
          <w:szCs w:val="21"/>
        </w:rPr>
        <w:t xml:space="preserve">The </w:t>
      </w:r>
      <w:hyperlink r:id="rId45" w:history="1">
        <w:r w:rsidRPr="00E8396D">
          <w:rPr>
            <w:rStyle w:val="Hyperlink"/>
            <w:szCs w:val="21"/>
          </w:rPr>
          <w:t>Serious Transfusion Incident Reporting (STIR)</w:t>
        </w:r>
      </w:hyperlink>
      <w:r w:rsidRPr="00B027D5">
        <w:rPr>
          <w:rStyle w:val="Hyperlink"/>
          <w:szCs w:val="21"/>
        </w:rPr>
        <w:t xml:space="preserve"> </w:t>
      </w:r>
      <w:r w:rsidR="0081228B" w:rsidRPr="00B027D5">
        <w:rPr>
          <w:rStyle w:val="Hyperlink"/>
          <w:szCs w:val="21"/>
        </w:rPr>
        <w:t>&lt;</w:t>
      </w:r>
      <w:r w:rsidR="0081228B" w:rsidRPr="00DD4316">
        <w:rPr>
          <w:szCs w:val="21"/>
        </w:rPr>
        <w:t xml:space="preserve">https://www.health.vic.gov.au/patient-care/serious-transfusion-incident-reporting-system-stir&gt; </w:t>
      </w:r>
      <w:r w:rsidRPr="00B027D5">
        <w:rPr>
          <w:szCs w:val="21"/>
        </w:rPr>
        <w:t xml:space="preserve">system is the Victorian haemovigilance reporting system. </w:t>
      </w:r>
    </w:p>
    <w:p w14:paraId="0EB3C990" w14:textId="783CAB30" w:rsidR="003D205B" w:rsidRPr="00A453C4" w:rsidRDefault="003D205B" w:rsidP="003D205B">
      <w:pPr>
        <w:pStyle w:val="Heading3"/>
        <w:rPr>
          <w:szCs w:val="27"/>
        </w:rPr>
      </w:pPr>
      <w:bookmarkStart w:id="14" w:name="_Toc60825670"/>
      <w:bookmarkStart w:id="15" w:name="_Toc184376926"/>
      <w:r w:rsidRPr="00A453C4">
        <w:rPr>
          <w:szCs w:val="27"/>
        </w:rPr>
        <w:t>Australian Red Cross Lifeblood (Lifeblood)</w:t>
      </w:r>
      <w:bookmarkEnd w:id="14"/>
      <w:bookmarkEnd w:id="15"/>
    </w:p>
    <w:p w14:paraId="5BA5399E" w14:textId="19EF364C" w:rsidR="003D205B" w:rsidRPr="00B027D5" w:rsidRDefault="003D205B" w:rsidP="003D205B">
      <w:pPr>
        <w:pStyle w:val="Body"/>
        <w:rPr>
          <w:szCs w:val="21"/>
        </w:rPr>
      </w:pPr>
      <w:r w:rsidRPr="00B027D5">
        <w:rPr>
          <w:szCs w:val="21"/>
        </w:rPr>
        <w:t xml:space="preserve">Lifeblood provides all fresh </w:t>
      </w:r>
      <w:r w:rsidR="006F6FF7" w:rsidRPr="00B027D5">
        <w:rPr>
          <w:szCs w:val="21"/>
        </w:rPr>
        <w:t xml:space="preserve">blood </w:t>
      </w:r>
      <w:r w:rsidRPr="00B027D5">
        <w:rPr>
          <w:szCs w:val="21"/>
        </w:rPr>
        <w:t xml:space="preserve">components for health services </w:t>
      </w:r>
      <w:r w:rsidR="00300023" w:rsidRPr="00B027D5">
        <w:rPr>
          <w:szCs w:val="21"/>
        </w:rPr>
        <w:t>as well as</w:t>
      </w:r>
      <w:r w:rsidRPr="00B027D5">
        <w:rPr>
          <w:szCs w:val="21"/>
        </w:rPr>
        <w:t xml:space="preserve"> </w:t>
      </w:r>
      <w:r w:rsidR="009D59FF" w:rsidRPr="00B027D5">
        <w:rPr>
          <w:szCs w:val="21"/>
        </w:rPr>
        <w:t>distributing</w:t>
      </w:r>
      <w:r w:rsidRPr="00B027D5">
        <w:rPr>
          <w:szCs w:val="21"/>
        </w:rPr>
        <w:t xml:space="preserve"> fractionated products produced from Australian plasma by </w:t>
      </w:r>
      <w:hyperlink r:id="rId46" w:history="1">
        <w:r w:rsidR="00144326" w:rsidRPr="00B027D5">
          <w:rPr>
            <w:rStyle w:val="Hyperlink"/>
            <w:szCs w:val="21"/>
          </w:rPr>
          <w:t xml:space="preserve">CSL Behring Australia </w:t>
        </w:r>
      </w:hyperlink>
      <w:r w:rsidR="00144326" w:rsidRPr="00B027D5">
        <w:rPr>
          <w:rStyle w:val="Hyperlink"/>
          <w:szCs w:val="21"/>
        </w:rPr>
        <w:t xml:space="preserve"> </w:t>
      </w:r>
      <w:r w:rsidR="00144326" w:rsidRPr="00DD4316">
        <w:rPr>
          <w:szCs w:val="21"/>
        </w:rPr>
        <w:t>&lt;https://www.cslbehring.com.au/&gt;</w:t>
      </w:r>
      <w:r w:rsidRPr="00B027D5">
        <w:rPr>
          <w:szCs w:val="21"/>
        </w:rPr>
        <w:t xml:space="preserve"> the Australian fractionator, and imported products supplied under NBA contracts. </w:t>
      </w:r>
    </w:p>
    <w:p w14:paraId="6CA05C01" w14:textId="27C5774B" w:rsidR="003D205B" w:rsidRPr="00B027D5" w:rsidRDefault="003D205B" w:rsidP="003D205B">
      <w:pPr>
        <w:pStyle w:val="Body"/>
        <w:rPr>
          <w:szCs w:val="21"/>
        </w:rPr>
      </w:pPr>
      <w:r w:rsidRPr="00B027D5">
        <w:rPr>
          <w:szCs w:val="21"/>
        </w:rPr>
        <w:t xml:space="preserve">Lifeblood (previously the Blood Service) was founded in 1929 in Victoria before expanding to other states. It is a division of the Australian Red Cross. </w:t>
      </w:r>
      <w:r w:rsidR="00144326" w:rsidRPr="00B027D5">
        <w:rPr>
          <w:szCs w:val="21"/>
        </w:rPr>
        <w:t>In</w:t>
      </w:r>
      <w:r w:rsidRPr="00B027D5">
        <w:rPr>
          <w:szCs w:val="21"/>
        </w:rPr>
        <w:t xml:space="preserve"> 1996 </w:t>
      </w:r>
      <w:r w:rsidR="00144326" w:rsidRPr="00B027D5">
        <w:rPr>
          <w:szCs w:val="21"/>
        </w:rPr>
        <w:t>the individual state blood services</w:t>
      </w:r>
      <w:r w:rsidRPr="00B027D5">
        <w:rPr>
          <w:szCs w:val="21"/>
        </w:rPr>
        <w:t xml:space="preserve"> amalgamated to form a national Blood Service. In 2019 the Blood Service changed its name to Lifeblood, to reflect the diversity in services provide</w:t>
      </w:r>
      <w:r w:rsidR="00144326" w:rsidRPr="00B027D5">
        <w:rPr>
          <w:szCs w:val="21"/>
        </w:rPr>
        <w:t>d, which now include human</w:t>
      </w:r>
      <w:r w:rsidRPr="00B027D5">
        <w:rPr>
          <w:szCs w:val="21"/>
        </w:rPr>
        <w:t xml:space="preserve"> milk</w:t>
      </w:r>
      <w:r w:rsidR="00144326" w:rsidRPr="00B027D5">
        <w:rPr>
          <w:szCs w:val="21"/>
        </w:rPr>
        <w:t xml:space="preserve"> for premature babies</w:t>
      </w:r>
      <w:r w:rsidRPr="00B027D5">
        <w:rPr>
          <w:szCs w:val="21"/>
        </w:rPr>
        <w:t xml:space="preserve">, </w:t>
      </w:r>
      <w:r w:rsidR="00A86855" w:rsidRPr="00B027D5">
        <w:rPr>
          <w:szCs w:val="21"/>
        </w:rPr>
        <w:t xml:space="preserve">microbiome, </w:t>
      </w:r>
      <w:r w:rsidR="00994221" w:rsidRPr="00B027D5">
        <w:rPr>
          <w:szCs w:val="21"/>
        </w:rPr>
        <w:t>tissue,</w:t>
      </w:r>
      <w:r w:rsidRPr="00B027D5">
        <w:rPr>
          <w:szCs w:val="21"/>
        </w:rPr>
        <w:t xml:space="preserve"> and organ donation through collecting, </w:t>
      </w:r>
      <w:r w:rsidR="00994221" w:rsidRPr="00B027D5">
        <w:rPr>
          <w:szCs w:val="21"/>
        </w:rPr>
        <w:t>banking,</w:t>
      </w:r>
      <w:r w:rsidRPr="00B027D5">
        <w:rPr>
          <w:szCs w:val="21"/>
        </w:rPr>
        <w:t xml:space="preserve"> and testing</w:t>
      </w:r>
      <w:r w:rsidR="00144326" w:rsidRPr="00B027D5">
        <w:rPr>
          <w:szCs w:val="21"/>
        </w:rPr>
        <w:t xml:space="preserve"> in addition to blood and blood products</w:t>
      </w:r>
      <w:r w:rsidRPr="00B027D5">
        <w:rPr>
          <w:szCs w:val="21"/>
        </w:rPr>
        <w:t>.</w:t>
      </w:r>
    </w:p>
    <w:p w14:paraId="380CC326" w14:textId="77777777" w:rsidR="003D205B" w:rsidRPr="003D205B" w:rsidRDefault="003D205B" w:rsidP="003D205B">
      <w:pPr>
        <w:pStyle w:val="Heading4"/>
      </w:pPr>
      <w:bookmarkStart w:id="16" w:name="_Toc60825671"/>
      <w:r w:rsidRPr="00C67D7A">
        <w:t>Blood donation</w:t>
      </w:r>
      <w:bookmarkEnd w:id="16"/>
    </w:p>
    <w:p w14:paraId="278F31E1" w14:textId="493B9EF5" w:rsidR="00D345A9" w:rsidRPr="00EF1AF1" w:rsidRDefault="00D345A9" w:rsidP="00D345A9">
      <w:pPr>
        <w:pStyle w:val="Body"/>
        <w:rPr>
          <w:szCs w:val="21"/>
        </w:rPr>
      </w:pPr>
      <w:r w:rsidRPr="00EF1AF1">
        <w:rPr>
          <w:szCs w:val="21"/>
        </w:rPr>
        <w:t xml:space="preserve">In Australia, blood </w:t>
      </w:r>
      <w:r>
        <w:rPr>
          <w:szCs w:val="21"/>
        </w:rPr>
        <w:t>donations</w:t>
      </w:r>
      <w:r w:rsidRPr="00EF1AF1">
        <w:rPr>
          <w:szCs w:val="21"/>
        </w:rPr>
        <w:t xml:space="preserve"> are collected at fixed and mobile collection centres</w:t>
      </w:r>
      <w:r>
        <w:rPr>
          <w:szCs w:val="21"/>
        </w:rPr>
        <w:t xml:space="preserve"> </w:t>
      </w:r>
      <w:r w:rsidR="00FD0657">
        <w:rPr>
          <w:szCs w:val="21"/>
        </w:rPr>
        <w:t>from</w:t>
      </w:r>
      <w:r>
        <w:rPr>
          <w:szCs w:val="21"/>
        </w:rPr>
        <w:t xml:space="preserve"> </w:t>
      </w:r>
      <w:r w:rsidRPr="00EF1AF1">
        <w:rPr>
          <w:szCs w:val="21"/>
        </w:rPr>
        <w:t>voluntary</w:t>
      </w:r>
      <w:r>
        <w:rPr>
          <w:szCs w:val="21"/>
        </w:rPr>
        <w:t>,</w:t>
      </w:r>
      <w:r w:rsidRPr="00EF1AF1">
        <w:rPr>
          <w:szCs w:val="21"/>
        </w:rPr>
        <w:t xml:space="preserve"> non-remunerated</w:t>
      </w:r>
      <w:r>
        <w:rPr>
          <w:szCs w:val="21"/>
        </w:rPr>
        <w:t xml:space="preserve"> donors.</w:t>
      </w:r>
      <w:r w:rsidRPr="00D345A9">
        <w:rPr>
          <w:szCs w:val="21"/>
        </w:rPr>
        <w:t xml:space="preserve"> </w:t>
      </w:r>
      <w:r w:rsidRPr="00EF1AF1">
        <w:rPr>
          <w:szCs w:val="21"/>
        </w:rPr>
        <w:t xml:space="preserve">Lifeblood attracts and retains donors through regular advertising and marketing campaigns. </w:t>
      </w:r>
    </w:p>
    <w:p w14:paraId="64DC7155" w14:textId="296EC9D2" w:rsidR="003D205B" w:rsidRPr="00EF1AF1" w:rsidRDefault="003D205B" w:rsidP="003D205B">
      <w:pPr>
        <w:pStyle w:val="Body"/>
        <w:rPr>
          <w:szCs w:val="21"/>
        </w:rPr>
      </w:pPr>
      <w:r w:rsidRPr="00EF1AF1">
        <w:rPr>
          <w:szCs w:val="21"/>
        </w:rPr>
        <w:lastRenderedPageBreak/>
        <w:t>Lifeblood collected over 1.</w:t>
      </w:r>
      <w:r w:rsidR="00C67D7A" w:rsidRPr="00EF1AF1">
        <w:rPr>
          <w:szCs w:val="21"/>
        </w:rPr>
        <w:t>6</w:t>
      </w:r>
      <w:r w:rsidRPr="00EF1AF1">
        <w:rPr>
          <w:szCs w:val="21"/>
        </w:rPr>
        <w:t xml:space="preserve"> million individual donations in 202</w:t>
      </w:r>
      <w:r w:rsidR="00C67D7A" w:rsidRPr="00EF1AF1">
        <w:rPr>
          <w:szCs w:val="21"/>
        </w:rPr>
        <w:t>2</w:t>
      </w:r>
      <w:r w:rsidRPr="00EF1AF1">
        <w:rPr>
          <w:szCs w:val="21"/>
        </w:rPr>
        <w:t>-2</w:t>
      </w:r>
      <w:r w:rsidR="00C67D7A" w:rsidRPr="00EF1AF1">
        <w:rPr>
          <w:szCs w:val="21"/>
        </w:rPr>
        <w:t>3</w:t>
      </w:r>
      <w:r w:rsidRPr="00EF1AF1">
        <w:rPr>
          <w:szCs w:val="21"/>
        </w:rPr>
        <w:t xml:space="preserve"> [Lifeblood Annual report 202</w:t>
      </w:r>
      <w:r w:rsidR="00C67D7A" w:rsidRPr="00EF1AF1">
        <w:rPr>
          <w:szCs w:val="21"/>
        </w:rPr>
        <w:t>2</w:t>
      </w:r>
      <w:r w:rsidRPr="00EF1AF1">
        <w:rPr>
          <w:szCs w:val="21"/>
        </w:rPr>
        <w:t>-2</w:t>
      </w:r>
      <w:r w:rsidR="00C67D7A" w:rsidRPr="00EF1AF1">
        <w:rPr>
          <w:szCs w:val="21"/>
        </w:rPr>
        <w:t>3</w:t>
      </w:r>
      <w:r w:rsidRPr="00EF1AF1">
        <w:rPr>
          <w:szCs w:val="21"/>
        </w:rPr>
        <w:t>] from over 5</w:t>
      </w:r>
      <w:r w:rsidR="00C67D7A" w:rsidRPr="00EF1AF1">
        <w:rPr>
          <w:szCs w:val="21"/>
        </w:rPr>
        <w:t>36</w:t>
      </w:r>
      <w:r w:rsidRPr="00EF1AF1">
        <w:rPr>
          <w:szCs w:val="21"/>
        </w:rPr>
        <w:t xml:space="preserve">,000 donors with </w:t>
      </w:r>
      <w:r w:rsidR="00C67D7A" w:rsidRPr="00EF1AF1">
        <w:rPr>
          <w:szCs w:val="21"/>
        </w:rPr>
        <w:t>nearly</w:t>
      </w:r>
      <w:r w:rsidRPr="00EF1AF1">
        <w:rPr>
          <w:szCs w:val="21"/>
        </w:rPr>
        <w:t xml:space="preserve"> </w:t>
      </w:r>
      <w:r w:rsidR="00C67D7A" w:rsidRPr="00EF1AF1">
        <w:rPr>
          <w:szCs w:val="21"/>
        </w:rPr>
        <w:t>117</w:t>
      </w:r>
      <w:r w:rsidRPr="00EF1AF1">
        <w:rPr>
          <w:szCs w:val="21"/>
        </w:rPr>
        <w:t>,000 being new blood donors.</w:t>
      </w:r>
      <w:r w:rsidR="00144326">
        <w:rPr>
          <w:szCs w:val="21"/>
        </w:rPr>
        <w:t xml:space="preserve"> </w:t>
      </w:r>
      <w:r w:rsidR="006A37E9">
        <w:rPr>
          <w:szCs w:val="21"/>
        </w:rPr>
        <w:t>Please refer to the current</w:t>
      </w:r>
      <w:r w:rsidR="00144326">
        <w:rPr>
          <w:szCs w:val="21"/>
        </w:rPr>
        <w:t xml:space="preserve"> </w:t>
      </w:r>
      <w:hyperlink r:id="rId47" w:history="1">
        <w:r w:rsidR="00144326" w:rsidRPr="00D345A9">
          <w:rPr>
            <w:rStyle w:val="Hyperlink"/>
            <w:szCs w:val="21"/>
          </w:rPr>
          <w:t>Lifeblood annual report</w:t>
        </w:r>
      </w:hyperlink>
      <w:r w:rsidR="006A37E9">
        <w:rPr>
          <w:szCs w:val="21"/>
        </w:rPr>
        <w:t xml:space="preserve"> </w:t>
      </w:r>
      <w:r w:rsidR="00144326">
        <w:rPr>
          <w:szCs w:val="21"/>
        </w:rPr>
        <w:t>&lt;</w:t>
      </w:r>
      <w:r w:rsidR="00D345A9" w:rsidRPr="00DD4316">
        <w:t>https://www.lifeblood.com.au/about/our-strategy/annual-reports</w:t>
      </w:r>
      <w:r w:rsidR="00144326" w:rsidRPr="00DD4316">
        <w:t>&gt;</w:t>
      </w:r>
      <w:r w:rsidR="00D515C4" w:rsidRPr="00D515C4">
        <w:rPr>
          <w:szCs w:val="21"/>
        </w:rPr>
        <w:t xml:space="preserve"> </w:t>
      </w:r>
      <w:r w:rsidR="00D515C4">
        <w:rPr>
          <w:szCs w:val="21"/>
        </w:rPr>
        <w:t>for more information.</w:t>
      </w:r>
    </w:p>
    <w:p w14:paraId="70C4C284" w14:textId="1A415435" w:rsidR="00D345A9" w:rsidRPr="00EF1AF1" w:rsidRDefault="00D345A9" w:rsidP="00D345A9">
      <w:pPr>
        <w:pStyle w:val="Body"/>
        <w:rPr>
          <w:szCs w:val="21"/>
        </w:rPr>
      </w:pPr>
      <w:r w:rsidRPr="00EF1AF1">
        <w:rPr>
          <w:szCs w:val="21"/>
        </w:rPr>
        <w:t>Lifeblood works alongside Australian regulators, government departments</w:t>
      </w:r>
      <w:r>
        <w:rPr>
          <w:szCs w:val="21"/>
        </w:rPr>
        <w:t xml:space="preserve">, </w:t>
      </w:r>
      <w:r w:rsidRPr="00EF1AF1">
        <w:rPr>
          <w:szCs w:val="21"/>
        </w:rPr>
        <w:t xml:space="preserve">commercial and professional organisations, as well as international bodies, to constantly review and improve the safety and provision of blood and blood </w:t>
      </w:r>
      <w:r w:rsidR="00D515C4">
        <w:rPr>
          <w:szCs w:val="21"/>
        </w:rPr>
        <w:t>products</w:t>
      </w:r>
      <w:r w:rsidR="00D515C4" w:rsidRPr="00EF1AF1">
        <w:rPr>
          <w:szCs w:val="21"/>
        </w:rPr>
        <w:t xml:space="preserve"> </w:t>
      </w:r>
      <w:r w:rsidRPr="00EF1AF1">
        <w:rPr>
          <w:szCs w:val="21"/>
        </w:rPr>
        <w:t xml:space="preserve">in Australia. </w:t>
      </w:r>
    </w:p>
    <w:p w14:paraId="77F4BA91" w14:textId="574843B4" w:rsidR="003D205B" w:rsidRPr="00EF1AF1" w:rsidRDefault="003D205B" w:rsidP="003D205B">
      <w:pPr>
        <w:pStyle w:val="Body"/>
        <w:rPr>
          <w:szCs w:val="21"/>
        </w:rPr>
      </w:pPr>
      <w:r w:rsidRPr="00EF1AF1">
        <w:rPr>
          <w:szCs w:val="21"/>
        </w:rPr>
        <w:t xml:space="preserve">Lifeblood </w:t>
      </w:r>
      <w:r w:rsidR="00DD03BF">
        <w:rPr>
          <w:szCs w:val="21"/>
        </w:rPr>
        <w:t xml:space="preserve">Medical Services </w:t>
      </w:r>
      <w:r w:rsidRPr="00EF1AF1">
        <w:rPr>
          <w:szCs w:val="21"/>
        </w:rPr>
        <w:t xml:space="preserve">also provides advice, information and education about blood </w:t>
      </w:r>
      <w:r w:rsidR="00DD03BF">
        <w:rPr>
          <w:szCs w:val="21"/>
        </w:rPr>
        <w:t xml:space="preserve">and blood </w:t>
      </w:r>
      <w:r w:rsidRPr="00EF1AF1">
        <w:rPr>
          <w:szCs w:val="21"/>
        </w:rPr>
        <w:t>products</w:t>
      </w:r>
      <w:r w:rsidR="00DD03BF">
        <w:rPr>
          <w:szCs w:val="21"/>
        </w:rPr>
        <w:t xml:space="preserve"> and transfusion </w:t>
      </w:r>
      <w:r w:rsidRPr="00EF1AF1">
        <w:rPr>
          <w:szCs w:val="21"/>
        </w:rPr>
        <w:t>practices to health professionals. Further information is available at</w:t>
      </w:r>
      <w:r w:rsidR="00D345A9">
        <w:rPr>
          <w:szCs w:val="21"/>
        </w:rPr>
        <w:t xml:space="preserve"> Lifeblood, </w:t>
      </w:r>
      <w:hyperlink r:id="rId48" w:history="1">
        <w:r w:rsidR="00D345A9" w:rsidRPr="00D345A9">
          <w:rPr>
            <w:rStyle w:val="Hyperlink"/>
            <w:szCs w:val="21"/>
          </w:rPr>
          <w:t>Health Professionals webpage</w:t>
        </w:r>
      </w:hyperlink>
      <w:r w:rsidR="00D345A9">
        <w:rPr>
          <w:szCs w:val="21"/>
        </w:rPr>
        <w:t xml:space="preserve"> &lt;</w:t>
      </w:r>
      <w:r w:rsidR="00D345A9" w:rsidRPr="00D345A9">
        <w:rPr>
          <w:szCs w:val="21"/>
        </w:rPr>
        <w:t>https://www.lifeblood.com.au/health-professionals</w:t>
      </w:r>
      <w:r w:rsidR="00D345A9">
        <w:rPr>
          <w:szCs w:val="21"/>
        </w:rPr>
        <w:t>&gt;.</w:t>
      </w:r>
    </w:p>
    <w:p w14:paraId="4A8047DF" w14:textId="67E3772F" w:rsidR="003D205B" w:rsidRDefault="003D205B" w:rsidP="003D205B">
      <w:pPr>
        <w:pStyle w:val="Heading4"/>
      </w:pPr>
      <w:r>
        <w:t>Blood donor</w:t>
      </w:r>
      <w:r w:rsidR="00BB119B">
        <w:t xml:space="preserve"> eligibility</w:t>
      </w:r>
    </w:p>
    <w:p w14:paraId="2EC79469" w14:textId="63C29257" w:rsidR="00BB119B" w:rsidRDefault="00BB119B" w:rsidP="003D205B">
      <w:pPr>
        <w:pStyle w:val="Body"/>
        <w:rPr>
          <w:szCs w:val="21"/>
        </w:rPr>
      </w:pPr>
      <w:r>
        <w:rPr>
          <w:szCs w:val="21"/>
        </w:rPr>
        <w:t xml:space="preserve">The blood donor eligibility criteria can be checked on the </w:t>
      </w:r>
      <w:hyperlink r:id="rId49" w:history="1">
        <w:r w:rsidRPr="00D345A9">
          <w:rPr>
            <w:rStyle w:val="Hyperlink"/>
            <w:szCs w:val="21"/>
          </w:rPr>
          <w:t>Lifeblood webpage</w:t>
        </w:r>
      </w:hyperlink>
      <w:r w:rsidR="00D345A9">
        <w:rPr>
          <w:szCs w:val="21"/>
        </w:rPr>
        <w:t xml:space="preserve"> </w:t>
      </w:r>
      <w:r>
        <w:rPr>
          <w:szCs w:val="21"/>
        </w:rPr>
        <w:t>&lt;</w:t>
      </w:r>
      <w:r w:rsidRPr="00BB119B">
        <w:rPr>
          <w:szCs w:val="21"/>
        </w:rPr>
        <w:t>https://www.lifeblood.com.au/blood/eligibility</w:t>
      </w:r>
      <w:r>
        <w:rPr>
          <w:szCs w:val="21"/>
        </w:rPr>
        <w:t>&gt;</w:t>
      </w:r>
      <w:r w:rsidR="00D345A9">
        <w:rPr>
          <w:szCs w:val="21"/>
        </w:rPr>
        <w:t>.</w:t>
      </w:r>
    </w:p>
    <w:p w14:paraId="699A7E39" w14:textId="4E6BA419" w:rsidR="003D205B" w:rsidRPr="00EF1AF1" w:rsidRDefault="003D205B" w:rsidP="0083677B">
      <w:pPr>
        <w:pStyle w:val="Body"/>
        <w:rPr>
          <w:szCs w:val="21"/>
        </w:rPr>
      </w:pPr>
      <w:r w:rsidRPr="00EF1AF1">
        <w:rPr>
          <w:szCs w:val="21"/>
        </w:rPr>
        <w:t>Donors are asked to complete a donor questionnaire prior to donating</w:t>
      </w:r>
      <w:r w:rsidR="00B778A1">
        <w:rPr>
          <w:szCs w:val="21"/>
        </w:rPr>
        <w:t xml:space="preserve">. </w:t>
      </w:r>
      <w:r w:rsidRPr="00EF1AF1">
        <w:rPr>
          <w:szCs w:val="21"/>
        </w:rPr>
        <w:t xml:space="preserve">This confidential and legally binding form asks about health and lifestyle and whether they are eligible to donate blood on that day. </w:t>
      </w:r>
      <w:r w:rsidR="00D5037C">
        <w:rPr>
          <w:szCs w:val="21"/>
        </w:rPr>
        <w:t>T</w:t>
      </w:r>
      <w:r w:rsidRPr="00EF1AF1">
        <w:rPr>
          <w:szCs w:val="21"/>
        </w:rPr>
        <w:t xml:space="preserve">his </w:t>
      </w:r>
      <w:r w:rsidR="00D5037C">
        <w:rPr>
          <w:szCs w:val="21"/>
        </w:rPr>
        <w:t>became</w:t>
      </w:r>
      <w:r w:rsidRPr="00EF1AF1">
        <w:rPr>
          <w:szCs w:val="21"/>
        </w:rPr>
        <w:t xml:space="preserve"> an electronic form</w:t>
      </w:r>
      <w:r w:rsidR="00D5037C">
        <w:rPr>
          <w:szCs w:val="21"/>
        </w:rPr>
        <w:t xml:space="preserve"> in 2019</w:t>
      </w:r>
      <w:r w:rsidRPr="00EF1AF1">
        <w:rPr>
          <w:szCs w:val="21"/>
        </w:rPr>
        <w:t xml:space="preserve">. </w:t>
      </w:r>
      <w:r w:rsidR="00D5037C">
        <w:rPr>
          <w:szCs w:val="21"/>
        </w:rPr>
        <w:t>At each donation</w:t>
      </w:r>
      <w:r w:rsidR="0083677B">
        <w:rPr>
          <w:szCs w:val="21"/>
        </w:rPr>
        <w:t>, after completing the donor questionnaire,</w:t>
      </w:r>
      <w:r w:rsidR="00D5037C">
        <w:rPr>
          <w:szCs w:val="21"/>
        </w:rPr>
        <w:t xml:space="preserve"> the d</w:t>
      </w:r>
      <w:r w:rsidRPr="00EF1AF1">
        <w:rPr>
          <w:szCs w:val="21"/>
        </w:rPr>
        <w:t>onors are interviewed by a trained</w:t>
      </w:r>
      <w:r w:rsidR="00D5037C">
        <w:rPr>
          <w:szCs w:val="21"/>
        </w:rPr>
        <w:t xml:space="preserve"> staff</w:t>
      </w:r>
      <w:r w:rsidRPr="00EF1AF1">
        <w:rPr>
          <w:szCs w:val="21"/>
        </w:rPr>
        <w:t xml:space="preserve"> member, </w:t>
      </w:r>
      <w:r w:rsidR="00D5037C" w:rsidRPr="00EF1AF1">
        <w:rPr>
          <w:szCs w:val="21"/>
        </w:rPr>
        <w:t xml:space="preserve">to </w:t>
      </w:r>
      <w:r w:rsidR="0083677B">
        <w:rPr>
          <w:szCs w:val="21"/>
        </w:rPr>
        <w:t xml:space="preserve">review the questionnaire and </w:t>
      </w:r>
      <w:r w:rsidR="00D5037C" w:rsidRPr="00EF1AF1">
        <w:rPr>
          <w:szCs w:val="21"/>
        </w:rPr>
        <w:t>assess recent</w:t>
      </w:r>
      <w:r w:rsidR="00D5037C">
        <w:rPr>
          <w:szCs w:val="21"/>
        </w:rPr>
        <w:t>/current</w:t>
      </w:r>
      <w:r w:rsidR="00D5037C" w:rsidRPr="00EF1AF1">
        <w:rPr>
          <w:szCs w:val="21"/>
        </w:rPr>
        <w:t xml:space="preserve"> health and determine that nothing has altered since the last visit</w:t>
      </w:r>
      <w:r w:rsidR="00D5037C">
        <w:rPr>
          <w:szCs w:val="21"/>
        </w:rPr>
        <w:t>. T</w:t>
      </w:r>
      <w:r w:rsidRPr="00EF1AF1">
        <w:rPr>
          <w:szCs w:val="21"/>
        </w:rPr>
        <w:t>he short interview includ</w:t>
      </w:r>
      <w:r w:rsidR="00D5037C">
        <w:rPr>
          <w:szCs w:val="21"/>
        </w:rPr>
        <w:t>es</w:t>
      </w:r>
      <w:r w:rsidRPr="00EF1AF1">
        <w:rPr>
          <w:szCs w:val="21"/>
        </w:rPr>
        <w:t xml:space="preserve"> a haemoglobin and blood pressure</w:t>
      </w:r>
      <w:r w:rsidR="00D5037C">
        <w:rPr>
          <w:szCs w:val="21"/>
        </w:rPr>
        <w:t xml:space="preserve"> check</w:t>
      </w:r>
      <w:r w:rsidRPr="00EF1AF1">
        <w:rPr>
          <w:szCs w:val="21"/>
        </w:rPr>
        <w:t xml:space="preserve">. </w:t>
      </w:r>
    </w:p>
    <w:p w14:paraId="0C57521E" w14:textId="0F88C819" w:rsidR="000E2B07" w:rsidRDefault="003D205B" w:rsidP="003D205B">
      <w:pPr>
        <w:pStyle w:val="Body"/>
        <w:rPr>
          <w:szCs w:val="21"/>
        </w:rPr>
      </w:pPr>
      <w:r w:rsidRPr="00EF1AF1">
        <w:rPr>
          <w:szCs w:val="21"/>
        </w:rPr>
        <w:t>Approximately 470 mL whole blood is donated. For the majority</w:t>
      </w:r>
      <w:r w:rsidR="00300C40">
        <w:rPr>
          <w:szCs w:val="21"/>
        </w:rPr>
        <w:t xml:space="preserve"> of donors</w:t>
      </w:r>
      <w:r w:rsidRPr="00EF1AF1">
        <w:rPr>
          <w:szCs w:val="21"/>
        </w:rPr>
        <w:t xml:space="preserve"> this is around 10 per cent of their total blood volume and can be donated safely every 12 weeks. </w:t>
      </w:r>
      <w:r w:rsidR="003A7515">
        <w:rPr>
          <w:szCs w:val="21"/>
        </w:rPr>
        <w:t>The time taken to donate</w:t>
      </w:r>
      <w:r w:rsidRPr="00EF1AF1">
        <w:rPr>
          <w:szCs w:val="21"/>
        </w:rPr>
        <w:t xml:space="preserve"> whole blood is around 10 minutes</w:t>
      </w:r>
      <w:r w:rsidR="008C0205">
        <w:rPr>
          <w:szCs w:val="21"/>
        </w:rPr>
        <w:t>, total</w:t>
      </w:r>
      <w:r w:rsidR="003A7515">
        <w:rPr>
          <w:szCs w:val="21"/>
        </w:rPr>
        <w:t xml:space="preserve"> appointment</w:t>
      </w:r>
      <w:r w:rsidR="008C0205">
        <w:rPr>
          <w:szCs w:val="21"/>
        </w:rPr>
        <w:t xml:space="preserve"> time </w:t>
      </w:r>
      <w:r w:rsidR="000E2B07">
        <w:rPr>
          <w:szCs w:val="21"/>
        </w:rPr>
        <w:t xml:space="preserve">at the donor centre to complete all processes is </w:t>
      </w:r>
      <w:r w:rsidR="008C0205">
        <w:rPr>
          <w:szCs w:val="21"/>
        </w:rPr>
        <w:t>one hour</w:t>
      </w:r>
      <w:r w:rsidRPr="00EF1AF1">
        <w:rPr>
          <w:szCs w:val="21"/>
        </w:rPr>
        <w:t xml:space="preserve">. </w:t>
      </w:r>
    </w:p>
    <w:p w14:paraId="66E93ED9" w14:textId="4635785D" w:rsidR="003D205B" w:rsidRPr="00EF1AF1" w:rsidRDefault="003D205B" w:rsidP="003D205B">
      <w:pPr>
        <w:pStyle w:val="Body"/>
        <w:rPr>
          <w:szCs w:val="21"/>
        </w:rPr>
      </w:pPr>
      <w:r w:rsidRPr="00EF1AF1">
        <w:rPr>
          <w:szCs w:val="21"/>
        </w:rPr>
        <w:t xml:space="preserve">A whole blood donation is separated into three critical components: red cells, plasma, and platelets. </w:t>
      </w:r>
    </w:p>
    <w:p w14:paraId="6ACA55D1" w14:textId="4DD268DA" w:rsidR="0083677B" w:rsidRPr="003D205B" w:rsidRDefault="003D205B" w:rsidP="003D205B">
      <w:pPr>
        <w:pStyle w:val="Body"/>
        <w:rPr>
          <w:sz w:val="22"/>
          <w:szCs w:val="22"/>
        </w:rPr>
      </w:pPr>
      <w:r w:rsidRPr="00EF1AF1">
        <w:rPr>
          <w:szCs w:val="21"/>
        </w:rPr>
        <w:t xml:space="preserve">Donors can specifically donate plasma and/or platelets through apheresis </w:t>
      </w:r>
      <w:r w:rsidR="0010053D" w:rsidRPr="00EF1AF1">
        <w:rPr>
          <w:szCs w:val="21"/>
        </w:rPr>
        <w:t>donation,</w:t>
      </w:r>
      <w:r w:rsidRPr="00EF1AF1">
        <w:rPr>
          <w:szCs w:val="21"/>
        </w:rPr>
        <w:t xml:space="preserve"> every two weeks. Donating this way takes approximately </w:t>
      </w:r>
      <w:r w:rsidR="008C0205">
        <w:rPr>
          <w:szCs w:val="21"/>
        </w:rPr>
        <w:t>45-60 minutes,</w:t>
      </w:r>
      <w:r w:rsidR="003A7515">
        <w:rPr>
          <w:szCs w:val="21"/>
        </w:rPr>
        <w:t xml:space="preserve"> </w:t>
      </w:r>
      <w:r w:rsidR="008C0205">
        <w:rPr>
          <w:szCs w:val="21"/>
        </w:rPr>
        <w:t>total</w:t>
      </w:r>
      <w:r w:rsidR="003A7515">
        <w:rPr>
          <w:szCs w:val="21"/>
        </w:rPr>
        <w:t xml:space="preserve"> appointment</w:t>
      </w:r>
      <w:r w:rsidR="008C0205">
        <w:rPr>
          <w:szCs w:val="21"/>
        </w:rPr>
        <w:t xml:space="preserve"> time 1.5-2 hours</w:t>
      </w:r>
      <w:r w:rsidRPr="00EF1AF1">
        <w:rPr>
          <w:szCs w:val="21"/>
        </w:rPr>
        <w:t xml:space="preserve">. </w:t>
      </w:r>
    </w:p>
    <w:p w14:paraId="7E4E6929" w14:textId="5FF64597" w:rsidR="003D205B" w:rsidRPr="00EF1AF1" w:rsidRDefault="003A7515" w:rsidP="003D205B">
      <w:pPr>
        <w:pStyle w:val="Body"/>
        <w:rPr>
          <w:szCs w:val="21"/>
        </w:rPr>
      </w:pPr>
      <w:r>
        <w:rPr>
          <w:szCs w:val="21"/>
        </w:rPr>
        <w:t>The demand for red cells</w:t>
      </w:r>
      <w:r w:rsidR="00E820BC">
        <w:rPr>
          <w:szCs w:val="21"/>
        </w:rPr>
        <w:t xml:space="preserve"> in Australia</w:t>
      </w:r>
      <w:r>
        <w:rPr>
          <w:szCs w:val="21"/>
        </w:rPr>
        <w:t xml:space="preserve"> </w:t>
      </w:r>
      <w:r w:rsidR="00E820BC">
        <w:rPr>
          <w:szCs w:val="21"/>
        </w:rPr>
        <w:t>has increased over the past few years</w:t>
      </w:r>
      <w:r w:rsidR="003D205B" w:rsidRPr="00EF1AF1">
        <w:rPr>
          <w:szCs w:val="21"/>
        </w:rPr>
        <w:t xml:space="preserve">, </w:t>
      </w:r>
      <w:r w:rsidR="00DD03BF">
        <w:rPr>
          <w:szCs w:val="21"/>
        </w:rPr>
        <w:t xml:space="preserve">along </w:t>
      </w:r>
      <w:r w:rsidR="00300C40">
        <w:rPr>
          <w:szCs w:val="21"/>
        </w:rPr>
        <w:t>with a</w:t>
      </w:r>
      <w:r w:rsidR="003D205B" w:rsidRPr="00EF1AF1">
        <w:rPr>
          <w:szCs w:val="21"/>
        </w:rPr>
        <w:t xml:space="preserve"> </w:t>
      </w:r>
      <w:r w:rsidR="00300C40">
        <w:rPr>
          <w:szCs w:val="21"/>
        </w:rPr>
        <w:t>marked</w:t>
      </w:r>
      <w:r w:rsidR="00300C40" w:rsidRPr="00EF1AF1">
        <w:rPr>
          <w:szCs w:val="21"/>
        </w:rPr>
        <w:t xml:space="preserve"> </w:t>
      </w:r>
      <w:r w:rsidR="003D205B" w:rsidRPr="00EF1AF1">
        <w:rPr>
          <w:szCs w:val="21"/>
        </w:rPr>
        <w:t xml:space="preserve">growth in the </w:t>
      </w:r>
      <w:r w:rsidR="00300C40">
        <w:rPr>
          <w:szCs w:val="21"/>
        </w:rPr>
        <w:t xml:space="preserve">demand </w:t>
      </w:r>
      <w:r w:rsidR="008C0205">
        <w:rPr>
          <w:szCs w:val="21"/>
        </w:rPr>
        <w:t>for</w:t>
      </w:r>
      <w:r w:rsidR="003D205B" w:rsidRPr="00EF1AF1">
        <w:rPr>
          <w:szCs w:val="21"/>
        </w:rPr>
        <w:t xml:space="preserve"> plasma. </w:t>
      </w:r>
    </w:p>
    <w:p w14:paraId="25FE048F" w14:textId="05D8A28D" w:rsidR="003D205B" w:rsidRPr="003D205B" w:rsidRDefault="003D205B" w:rsidP="003D205B">
      <w:pPr>
        <w:pStyle w:val="Heading4"/>
        <w:rPr>
          <w:rFonts w:eastAsia="Times"/>
        </w:rPr>
      </w:pPr>
      <w:bookmarkStart w:id="17" w:name="_Toc60825673"/>
      <w:r w:rsidRPr="003D205B">
        <w:rPr>
          <w:rFonts w:eastAsia="Times"/>
        </w:rPr>
        <w:t>Testing</w:t>
      </w:r>
      <w:bookmarkEnd w:id="17"/>
      <w:r>
        <w:t xml:space="preserve"> donated blood products</w:t>
      </w:r>
    </w:p>
    <w:p w14:paraId="2B42B43B" w14:textId="20D44615" w:rsidR="003D205B" w:rsidRPr="00EF1AF1" w:rsidRDefault="003D205B" w:rsidP="003D205B">
      <w:pPr>
        <w:pStyle w:val="Body"/>
        <w:rPr>
          <w:szCs w:val="21"/>
        </w:rPr>
      </w:pPr>
      <w:r w:rsidRPr="00EF1AF1">
        <w:rPr>
          <w:szCs w:val="21"/>
        </w:rPr>
        <w:t>Each time blood is donated</w:t>
      </w:r>
      <w:r w:rsidR="008E5AA4">
        <w:rPr>
          <w:szCs w:val="21"/>
        </w:rPr>
        <w:t>,</w:t>
      </w:r>
      <w:r w:rsidRPr="00EF1AF1">
        <w:rPr>
          <w:szCs w:val="21"/>
        </w:rPr>
        <w:t xml:space="preserve"> Lifeblood tests the donation for ABO group, </w:t>
      </w:r>
      <w:proofErr w:type="spellStart"/>
      <w:r w:rsidRPr="00EF1AF1">
        <w:rPr>
          <w:szCs w:val="21"/>
        </w:rPr>
        <w:t>RhD</w:t>
      </w:r>
      <w:proofErr w:type="spellEnd"/>
      <w:r w:rsidRPr="00EF1AF1">
        <w:rPr>
          <w:szCs w:val="21"/>
        </w:rPr>
        <w:t xml:space="preserve"> group and red cell antibodies. It also tests for a number of infectious diseases that may be transmitted by a blood transfusion.</w:t>
      </w:r>
    </w:p>
    <w:p w14:paraId="78A33D86" w14:textId="337ABBC2" w:rsidR="00300C40" w:rsidRPr="00300C40" w:rsidRDefault="003D205B" w:rsidP="003D205B">
      <w:pPr>
        <w:pStyle w:val="Body"/>
      </w:pPr>
      <w:r w:rsidRPr="00EF1AF1">
        <w:rPr>
          <w:szCs w:val="21"/>
        </w:rPr>
        <w:t xml:space="preserve">Find out more about blood donation testing at </w:t>
      </w:r>
      <w:hyperlink r:id="rId50" w:history="1">
        <w:r w:rsidR="00FD0657" w:rsidRPr="00FD0657">
          <w:rPr>
            <w:rStyle w:val="Hyperlink"/>
            <w:szCs w:val="21"/>
          </w:rPr>
          <w:t>Donation testing</w:t>
        </w:r>
      </w:hyperlink>
      <w:r w:rsidR="00300C40" w:rsidRPr="00DD4316">
        <w:t xml:space="preserve"> </w:t>
      </w:r>
      <w:r w:rsidR="00300C40">
        <w:rPr>
          <w:szCs w:val="21"/>
        </w:rPr>
        <w:t>&lt;</w:t>
      </w:r>
      <w:r w:rsidR="00300C40" w:rsidRPr="00300C40">
        <w:rPr>
          <w:szCs w:val="21"/>
        </w:rPr>
        <w:t>https://www.lifeblood.com.au/health-professionals/testing/donation</w:t>
      </w:r>
      <w:r w:rsidR="00300C40">
        <w:rPr>
          <w:szCs w:val="21"/>
        </w:rPr>
        <w:t>&gt;.</w:t>
      </w:r>
    </w:p>
    <w:p w14:paraId="20ADA09A" w14:textId="77777777" w:rsidR="003D205B" w:rsidRPr="003D205B" w:rsidRDefault="003D205B" w:rsidP="003D205B">
      <w:pPr>
        <w:pStyle w:val="Heading4"/>
      </w:pPr>
      <w:bookmarkStart w:id="18" w:name="_Toc60825674"/>
      <w:r w:rsidRPr="003D205B">
        <w:t>Test results</w:t>
      </w:r>
      <w:bookmarkEnd w:id="18"/>
    </w:p>
    <w:p w14:paraId="4C18F885" w14:textId="7ED12293" w:rsidR="003D205B" w:rsidRPr="00EF1AF1" w:rsidRDefault="003D205B" w:rsidP="003D205B">
      <w:pPr>
        <w:pStyle w:val="Body"/>
        <w:rPr>
          <w:szCs w:val="21"/>
        </w:rPr>
      </w:pPr>
      <w:r w:rsidRPr="00EF1AF1">
        <w:rPr>
          <w:szCs w:val="21"/>
        </w:rPr>
        <w:t xml:space="preserve">Lifeblood notifies donors of any abnormal results on infectious disease and red cell antibody screening once testing is completed. The donor is advised about the health implications of the positive tests. </w:t>
      </w:r>
      <w:r w:rsidR="00EE5625">
        <w:rPr>
          <w:szCs w:val="21"/>
        </w:rPr>
        <w:t>A</w:t>
      </w:r>
      <w:r w:rsidRPr="00EF1AF1">
        <w:rPr>
          <w:szCs w:val="21"/>
        </w:rPr>
        <w:t>ll information held by Lifeblood is confidential and released only to the donor and agencies, such as the Department of Health, as required by law.</w:t>
      </w:r>
    </w:p>
    <w:p w14:paraId="03BE63BC" w14:textId="20AAE119" w:rsidR="003239E6" w:rsidRPr="003239E6" w:rsidRDefault="00A86855" w:rsidP="003239E6">
      <w:pPr>
        <w:pStyle w:val="Heading4"/>
      </w:pPr>
      <w:r>
        <w:t xml:space="preserve">Lifeblood </w:t>
      </w:r>
      <w:r w:rsidR="00AB3F60">
        <w:t xml:space="preserve">Clinical </w:t>
      </w:r>
      <w:r w:rsidR="003239E6" w:rsidRPr="003239E6">
        <w:t>Education</w:t>
      </w:r>
      <w:r>
        <w:t xml:space="preserve"> </w:t>
      </w:r>
      <w:r w:rsidR="00A84EAB">
        <w:t>Team</w:t>
      </w:r>
    </w:p>
    <w:p w14:paraId="2B960730" w14:textId="64EF0199" w:rsidR="00DD4316" w:rsidRDefault="003239E6" w:rsidP="003239E6">
      <w:pPr>
        <w:pStyle w:val="Body"/>
        <w:rPr>
          <w:szCs w:val="21"/>
        </w:rPr>
      </w:pPr>
      <w:r w:rsidRPr="00B027D5">
        <w:rPr>
          <w:szCs w:val="21"/>
        </w:rPr>
        <w:t xml:space="preserve">The </w:t>
      </w:r>
      <w:r w:rsidR="00AB3F60" w:rsidRPr="00B027D5">
        <w:rPr>
          <w:szCs w:val="21"/>
        </w:rPr>
        <w:t>Lifeblood Clinical</w:t>
      </w:r>
      <w:r w:rsidRPr="00B027D5">
        <w:rPr>
          <w:szCs w:val="21"/>
        </w:rPr>
        <w:t xml:space="preserve"> Education team provide education</w:t>
      </w:r>
      <w:r w:rsidR="00DD4316">
        <w:rPr>
          <w:szCs w:val="21"/>
        </w:rPr>
        <w:t xml:space="preserve"> and</w:t>
      </w:r>
      <w:r w:rsidR="00803E29">
        <w:rPr>
          <w:szCs w:val="21"/>
        </w:rPr>
        <w:t xml:space="preserve"> resources</w:t>
      </w:r>
      <w:r w:rsidRPr="00B027D5">
        <w:rPr>
          <w:szCs w:val="21"/>
        </w:rPr>
        <w:t xml:space="preserve"> for all groups of health professionals</w:t>
      </w:r>
      <w:r w:rsidR="00DD4316">
        <w:rPr>
          <w:szCs w:val="21"/>
        </w:rPr>
        <w:t>:</w:t>
      </w:r>
    </w:p>
    <w:p w14:paraId="5408C57C" w14:textId="01262651" w:rsidR="003239E6" w:rsidRPr="00B027D5" w:rsidRDefault="00803E29" w:rsidP="0003362E">
      <w:pPr>
        <w:pStyle w:val="Body"/>
        <w:numPr>
          <w:ilvl w:val="0"/>
          <w:numId w:val="28"/>
        </w:numPr>
        <w:rPr>
          <w:szCs w:val="21"/>
        </w:rPr>
      </w:pPr>
      <w:r w:rsidRPr="00803E29">
        <w:rPr>
          <w:szCs w:val="21"/>
        </w:rPr>
        <w:t>Lifeblood</w:t>
      </w:r>
      <w:r w:rsidR="00712D28">
        <w:rPr>
          <w:szCs w:val="21"/>
        </w:rPr>
        <w:t xml:space="preserve"> </w:t>
      </w:r>
      <w:r w:rsidRPr="00803E29">
        <w:rPr>
          <w:szCs w:val="21"/>
        </w:rPr>
        <w:t>Blood Component Information</w:t>
      </w:r>
      <w:r w:rsidR="00712D28">
        <w:rPr>
          <w:szCs w:val="21"/>
        </w:rPr>
        <w:t xml:space="preserve">: </w:t>
      </w:r>
      <w:hyperlink r:id="rId51" w:history="1">
        <w:r w:rsidR="00712D28" w:rsidRPr="00220022">
          <w:rPr>
            <w:rStyle w:val="Hyperlink"/>
            <w:szCs w:val="21"/>
          </w:rPr>
          <w:t>An Extension of Blood Component labels</w:t>
        </w:r>
      </w:hyperlink>
      <w:r w:rsidRPr="00803E29">
        <w:rPr>
          <w:szCs w:val="21"/>
        </w:rPr>
        <w:t xml:space="preserve"> &lt;</w:t>
      </w:r>
      <w:r w:rsidR="00712D28" w:rsidRPr="00712D28">
        <w:rPr>
          <w:szCs w:val="21"/>
        </w:rPr>
        <w:t>https://www.lifeblood.com.au/health-professionals/learn/resource-library</w:t>
      </w:r>
      <w:r w:rsidRPr="00803E29">
        <w:rPr>
          <w:szCs w:val="21"/>
        </w:rPr>
        <w:t>&gt; provides the details about each of the fresh blood components</w:t>
      </w:r>
    </w:p>
    <w:p w14:paraId="7923DB4A" w14:textId="674AD94E" w:rsidR="00DD4316" w:rsidRDefault="0093701A" w:rsidP="0003362E">
      <w:pPr>
        <w:pStyle w:val="Body"/>
        <w:numPr>
          <w:ilvl w:val="0"/>
          <w:numId w:val="28"/>
        </w:numPr>
        <w:rPr>
          <w:szCs w:val="21"/>
        </w:rPr>
      </w:pPr>
      <w:r w:rsidRPr="00B027D5">
        <w:rPr>
          <w:szCs w:val="21"/>
        </w:rPr>
        <w:lastRenderedPageBreak/>
        <w:t xml:space="preserve">The </w:t>
      </w:r>
      <w:hyperlink r:id="rId52" w:history="1">
        <w:r w:rsidR="00712D28" w:rsidRPr="00F635CB">
          <w:rPr>
            <w:rStyle w:val="Hyperlink"/>
            <w:szCs w:val="21"/>
          </w:rPr>
          <w:t>Resource library | Lifeblood</w:t>
        </w:r>
      </w:hyperlink>
      <w:r w:rsidR="00220022" w:rsidRPr="00F635CB">
        <w:rPr>
          <w:rStyle w:val="Hyperlink"/>
          <w:szCs w:val="21"/>
        </w:rPr>
        <w:t xml:space="preserve"> </w:t>
      </w:r>
      <w:r w:rsidRPr="00B027D5">
        <w:rPr>
          <w:szCs w:val="21"/>
        </w:rPr>
        <w:t xml:space="preserve">&lt; </w:t>
      </w:r>
      <w:r w:rsidR="00712D28" w:rsidRPr="00712D28">
        <w:rPr>
          <w:szCs w:val="21"/>
        </w:rPr>
        <w:t>https://www.lifeblood.com.au/health-professionals/learn/resource-library</w:t>
      </w:r>
      <w:r w:rsidRPr="00B027D5">
        <w:rPr>
          <w:szCs w:val="21"/>
        </w:rPr>
        <w:t>&gt; has over 200 resources that can be downloaded for use by health services</w:t>
      </w:r>
      <w:r w:rsidR="00FE6765">
        <w:rPr>
          <w:szCs w:val="21"/>
        </w:rPr>
        <w:t xml:space="preserve">. </w:t>
      </w:r>
      <w:r w:rsidR="00DD4316" w:rsidRPr="00DD4316">
        <w:rPr>
          <w:szCs w:val="21"/>
        </w:rPr>
        <w:t>Some of the most used and referred to are:</w:t>
      </w:r>
    </w:p>
    <w:p w14:paraId="4C0FAC75" w14:textId="1E352D9E" w:rsidR="0093701A" w:rsidRPr="00B027D5" w:rsidRDefault="0093701A" w:rsidP="0003362E">
      <w:pPr>
        <w:pStyle w:val="Body"/>
        <w:numPr>
          <w:ilvl w:val="1"/>
          <w:numId w:val="28"/>
        </w:numPr>
        <w:rPr>
          <w:szCs w:val="21"/>
        </w:rPr>
      </w:pPr>
      <w:r w:rsidRPr="00DD4316">
        <w:rPr>
          <w:szCs w:val="21"/>
        </w:rPr>
        <w:t xml:space="preserve">Blood Component Information: An extension of Blood Component Labels </w:t>
      </w:r>
    </w:p>
    <w:p w14:paraId="7A227AD6" w14:textId="3EE2763B" w:rsidR="0093701A" w:rsidRPr="00B027D5" w:rsidRDefault="0093701A" w:rsidP="0003362E">
      <w:pPr>
        <w:pStyle w:val="Body"/>
        <w:numPr>
          <w:ilvl w:val="1"/>
          <w:numId w:val="25"/>
        </w:numPr>
        <w:rPr>
          <w:szCs w:val="21"/>
        </w:rPr>
      </w:pPr>
      <w:r w:rsidRPr="00B027D5">
        <w:rPr>
          <w:szCs w:val="21"/>
        </w:rPr>
        <w:t xml:space="preserve">Blood component labelling information </w:t>
      </w:r>
    </w:p>
    <w:p w14:paraId="17CF61B3" w14:textId="4CEBD88E" w:rsidR="0093701A" w:rsidRPr="00B027D5" w:rsidRDefault="0093701A" w:rsidP="0003362E">
      <w:pPr>
        <w:pStyle w:val="Body"/>
        <w:numPr>
          <w:ilvl w:val="1"/>
          <w:numId w:val="25"/>
        </w:numPr>
        <w:rPr>
          <w:szCs w:val="21"/>
        </w:rPr>
      </w:pPr>
      <w:r w:rsidRPr="00B027D5">
        <w:rPr>
          <w:szCs w:val="21"/>
        </w:rPr>
        <w:t xml:space="preserve">Blood component labelling modifier text </w:t>
      </w:r>
      <w:r w:rsidR="00803E29">
        <w:rPr>
          <w:szCs w:val="21"/>
        </w:rPr>
        <w:t>- p</w:t>
      </w:r>
      <w:r w:rsidRPr="00B027D5">
        <w:rPr>
          <w:szCs w:val="21"/>
        </w:rPr>
        <w:t>rovides additional information on the modifications and their clinical indications</w:t>
      </w:r>
    </w:p>
    <w:p w14:paraId="03C42709" w14:textId="07468B20" w:rsidR="0093701A" w:rsidRPr="00B027D5" w:rsidRDefault="0093701A" w:rsidP="0003362E">
      <w:pPr>
        <w:pStyle w:val="Body"/>
        <w:numPr>
          <w:ilvl w:val="1"/>
          <w:numId w:val="25"/>
        </w:numPr>
        <w:rPr>
          <w:szCs w:val="21"/>
        </w:rPr>
      </w:pPr>
      <w:r w:rsidRPr="00B027D5">
        <w:rPr>
          <w:szCs w:val="21"/>
        </w:rPr>
        <w:t xml:space="preserve">The Blood Book: Australian Blood Administration Handbook 2020 contains information on blood products and their administration and can be used as a bedside resource to assist with correct transfusion practice. </w:t>
      </w:r>
    </w:p>
    <w:p w14:paraId="69095E2E" w14:textId="55B853AC" w:rsidR="0093701A" w:rsidRPr="00B027D5" w:rsidRDefault="0093701A" w:rsidP="0003362E">
      <w:pPr>
        <w:pStyle w:val="Body"/>
        <w:numPr>
          <w:ilvl w:val="1"/>
          <w:numId w:val="25"/>
        </w:numPr>
        <w:rPr>
          <w:szCs w:val="21"/>
        </w:rPr>
      </w:pPr>
      <w:r w:rsidRPr="00B027D5">
        <w:rPr>
          <w:szCs w:val="21"/>
        </w:rPr>
        <w:t>Transfusion pack check is a learning resource for checking patient identification and a blood component pack before transfusion, with exercises for students</w:t>
      </w:r>
      <w:r w:rsidR="00803E29">
        <w:rPr>
          <w:szCs w:val="21"/>
        </w:rPr>
        <w:t>.</w:t>
      </w:r>
      <w:r w:rsidRPr="00B027D5">
        <w:rPr>
          <w:szCs w:val="21"/>
        </w:rPr>
        <w:t xml:space="preserve"> </w:t>
      </w:r>
    </w:p>
    <w:p w14:paraId="50A7656D" w14:textId="5634B21A" w:rsidR="00403256" w:rsidRPr="0045364F" w:rsidRDefault="00A84EAB" w:rsidP="0003362E">
      <w:pPr>
        <w:pStyle w:val="Body"/>
        <w:numPr>
          <w:ilvl w:val="0"/>
          <w:numId w:val="25"/>
        </w:numPr>
        <w:rPr>
          <w:rFonts w:eastAsia="Times New Roman" w:cs="Arial"/>
          <w:szCs w:val="21"/>
        </w:rPr>
      </w:pPr>
      <w:hyperlink r:id="rId53" w:history="1">
        <w:r w:rsidRPr="00B027D5">
          <w:rPr>
            <w:rStyle w:val="Hyperlink"/>
            <w:szCs w:val="21"/>
          </w:rPr>
          <w:t xml:space="preserve">Transfusion </w:t>
        </w:r>
        <w:r w:rsidR="00B778A1" w:rsidRPr="00B027D5">
          <w:rPr>
            <w:rStyle w:val="Hyperlink"/>
            <w:szCs w:val="21"/>
          </w:rPr>
          <w:t>online</w:t>
        </w:r>
        <w:r w:rsidRPr="00B027D5">
          <w:rPr>
            <w:rStyle w:val="Hyperlink"/>
            <w:szCs w:val="21"/>
          </w:rPr>
          <w:t xml:space="preserve"> learning</w:t>
        </w:r>
      </w:hyperlink>
      <w:r w:rsidRPr="00B027D5">
        <w:rPr>
          <w:szCs w:val="21"/>
        </w:rPr>
        <w:t xml:space="preserve"> including the Transfusion Practitioner </w:t>
      </w:r>
      <w:proofErr w:type="spellStart"/>
      <w:r w:rsidRPr="00B027D5">
        <w:rPr>
          <w:szCs w:val="21"/>
        </w:rPr>
        <w:t>microcredentials</w:t>
      </w:r>
      <w:proofErr w:type="spellEnd"/>
      <w:r w:rsidRPr="00B027D5">
        <w:rPr>
          <w:szCs w:val="21"/>
        </w:rPr>
        <w:t xml:space="preserve"> </w:t>
      </w:r>
      <w:r w:rsidR="00300C40" w:rsidRPr="00B027D5">
        <w:rPr>
          <w:szCs w:val="21"/>
        </w:rPr>
        <w:t>&lt;</w:t>
      </w:r>
      <w:r w:rsidRPr="00B027D5">
        <w:rPr>
          <w:szCs w:val="21"/>
        </w:rPr>
        <w:t>https://www.lifeblood.com.au/health-professionals/learn</w:t>
      </w:r>
      <w:r w:rsidR="00300C40" w:rsidRPr="00B027D5">
        <w:rPr>
          <w:szCs w:val="21"/>
        </w:rPr>
        <w:t>&gt;</w:t>
      </w:r>
    </w:p>
    <w:p w14:paraId="42AC9471" w14:textId="1B6ED45D" w:rsidR="003D205B" w:rsidRPr="00DD4316" w:rsidRDefault="006D0155" w:rsidP="0003362E">
      <w:pPr>
        <w:pStyle w:val="Body"/>
        <w:numPr>
          <w:ilvl w:val="0"/>
          <w:numId w:val="25"/>
        </w:numPr>
        <w:rPr>
          <w:szCs w:val="21"/>
        </w:rPr>
      </w:pPr>
      <w:r w:rsidRPr="00B027D5">
        <w:rPr>
          <w:rFonts w:cs="Arial"/>
          <w:szCs w:val="21"/>
        </w:rPr>
        <w:t xml:space="preserve">Lifeblood </w:t>
      </w:r>
      <w:hyperlink r:id="rId54" w:history="1">
        <w:r w:rsidRPr="00B027D5">
          <w:rPr>
            <w:rStyle w:val="Hyperlink"/>
            <w:rFonts w:cs="Arial"/>
            <w:szCs w:val="21"/>
          </w:rPr>
          <w:t>Online audit tools</w:t>
        </w:r>
      </w:hyperlink>
      <w:r w:rsidRPr="00B027D5">
        <w:rPr>
          <w:rFonts w:cs="Arial"/>
          <w:szCs w:val="21"/>
        </w:rPr>
        <w:t xml:space="preserve"> &lt;https://www.lifeblood.com.au/health-professionals/clinical-practice/patient-blood-management/governance-principles/the-audit-tool&gt; are free easy-to-use online audits </w:t>
      </w:r>
      <w:r w:rsidR="006E7B8D">
        <w:rPr>
          <w:rFonts w:cs="Arial"/>
          <w:szCs w:val="21"/>
        </w:rPr>
        <w:t xml:space="preserve">that can be </w:t>
      </w:r>
      <w:r w:rsidR="003239E6" w:rsidRPr="00B027D5">
        <w:rPr>
          <w:rFonts w:cs="Arial"/>
          <w:szCs w:val="21"/>
        </w:rPr>
        <w:t xml:space="preserve">used by health services for internal audits and comparison with other health services. </w:t>
      </w:r>
      <w:r w:rsidR="00916D5B" w:rsidRPr="00DD4316">
        <w:rPr>
          <w:szCs w:val="21"/>
        </w:rPr>
        <w:t xml:space="preserve">You will need to register and log in to </w:t>
      </w:r>
      <w:r w:rsidR="00047E74" w:rsidRPr="00DD4316">
        <w:rPr>
          <w:szCs w:val="21"/>
        </w:rPr>
        <w:t xml:space="preserve">access </w:t>
      </w:r>
      <w:r w:rsidR="00916D5B" w:rsidRPr="00DD4316">
        <w:rPr>
          <w:szCs w:val="21"/>
        </w:rPr>
        <w:t xml:space="preserve">the Lifeblood </w:t>
      </w:r>
      <w:r w:rsidR="00047E74" w:rsidRPr="00DD4316">
        <w:rPr>
          <w:szCs w:val="21"/>
        </w:rPr>
        <w:t>education</w:t>
      </w:r>
      <w:r w:rsidR="00802DD4">
        <w:rPr>
          <w:szCs w:val="21"/>
        </w:rPr>
        <w:t xml:space="preserve"> portal</w:t>
      </w:r>
      <w:r w:rsidR="00047E74" w:rsidRPr="00DD4316">
        <w:rPr>
          <w:szCs w:val="21"/>
        </w:rPr>
        <w:t xml:space="preserve"> and </w:t>
      </w:r>
      <w:r w:rsidR="00916D5B" w:rsidRPr="00DD4316">
        <w:rPr>
          <w:szCs w:val="21"/>
        </w:rPr>
        <w:t>audit tools.</w:t>
      </w:r>
    </w:p>
    <w:p w14:paraId="5E01BEB3" w14:textId="77777777" w:rsidR="003239E6" w:rsidRPr="003239E6" w:rsidRDefault="003239E6" w:rsidP="00DD4316">
      <w:pPr>
        <w:pStyle w:val="Heading3"/>
      </w:pPr>
      <w:bookmarkStart w:id="19" w:name="_Toc60825684"/>
      <w:bookmarkStart w:id="20" w:name="_Toc184376927"/>
      <w:r w:rsidRPr="003239E6">
        <w:t>Fractionated plasma products</w:t>
      </w:r>
      <w:bookmarkEnd w:id="19"/>
      <w:bookmarkEnd w:id="20"/>
      <w:r w:rsidRPr="003239E6">
        <w:t xml:space="preserve"> </w:t>
      </w:r>
    </w:p>
    <w:p w14:paraId="45C8B7AA" w14:textId="1F606DA5" w:rsidR="003239E6" w:rsidRPr="003239E6" w:rsidRDefault="003239E6" w:rsidP="003239E6">
      <w:pPr>
        <w:pStyle w:val="Body"/>
      </w:pPr>
      <w:r w:rsidRPr="003239E6">
        <w:t>CSL Behring has been Australia’s national fractionator of plasma-derived therapeutics since 1952</w:t>
      </w:r>
      <w:r w:rsidR="00916D5B">
        <w:t>. Plasma fractionation</w:t>
      </w:r>
      <w:r w:rsidRPr="003239E6">
        <w:t xml:space="preserve"> is regulated by the Therapeutic Goods Administration (TGA). Plasma is provided by Lifeblood from voluntary Australian donations to produce high-quality plasma-derived therapeutic</w:t>
      </w:r>
      <w:r w:rsidR="00802DD4">
        <w:t xml:space="preserve"> products</w:t>
      </w:r>
      <w:r w:rsidRPr="003239E6">
        <w:t>. This includes:</w:t>
      </w:r>
    </w:p>
    <w:p w14:paraId="403AC262" w14:textId="77777777" w:rsidR="003239E6" w:rsidRPr="003239E6" w:rsidRDefault="003239E6" w:rsidP="0003362E">
      <w:pPr>
        <w:pStyle w:val="Body"/>
        <w:numPr>
          <w:ilvl w:val="0"/>
          <w:numId w:val="8"/>
        </w:numPr>
      </w:pPr>
      <w:r w:rsidRPr="003239E6">
        <w:t xml:space="preserve">Immunoglobulins: intravenous/subcutaneous immunoglobulin and other immunoglobulins </w:t>
      </w:r>
    </w:p>
    <w:p w14:paraId="29400A56" w14:textId="77777777" w:rsidR="003239E6" w:rsidRPr="003239E6" w:rsidRDefault="003239E6" w:rsidP="0003362E">
      <w:pPr>
        <w:pStyle w:val="Body"/>
        <w:numPr>
          <w:ilvl w:val="0"/>
          <w:numId w:val="8"/>
        </w:numPr>
      </w:pPr>
      <w:r w:rsidRPr="003239E6">
        <w:t>Clotting factors</w:t>
      </w:r>
    </w:p>
    <w:p w14:paraId="18D94BD4" w14:textId="77777777" w:rsidR="003239E6" w:rsidRPr="003239E6" w:rsidRDefault="003239E6" w:rsidP="0003362E">
      <w:pPr>
        <w:pStyle w:val="Body"/>
        <w:numPr>
          <w:ilvl w:val="0"/>
          <w:numId w:val="8"/>
        </w:numPr>
      </w:pPr>
      <w:r w:rsidRPr="003239E6">
        <w:t>Albumin</w:t>
      </w:r>
    </w:p>
    <w:p w14:paraId="633EBB89" w14:textId="113D1CAA" w:rsidR="003239E6" w:rsidRDefault="00AB13DC" w:rsidP="003239E6">
      <w:pPr>
        <w:pStyle w:val="Body"/>
      </w:pPr>
      <w:r w:rsidRPr="00AB13DC">
        <w:t>For further information on products supplied by CSL Behring, and consumer information go to</w:t>
      </w:r>
      <w:r w:rsidR="003239E6">
        <w:t xml:space="preserve"> </w:t>
      </w:r>
      <w:hyperlink r:id="rId55" w:history="1">
        <w:r w:rsidR="003239E6" w:rsidRPr="003239E6">
          <w:rPr>
            <w:rStyle w:val="Hyperlink"/>
          </w:rPr>
          <w:t xml:space="preserve">CSL Behring Australia </w:t>
        </w:r>
      </w:hyperlink>
      <w:r w:rsidR="00916D5B" w:rsidRPr="00DD4316">
        <w:t>&lt;https://www.cslbehring.com.au/&gt;</w:t>
      </w:r>
      <w:r>
        <w:t>.</w:t>
      </w:r>
    </w:p>
    <w:p w14:paraId="1472481C" w14:textId="34DC75B8" w:rsidR="00E96FFB" w:rsidRDefault="00AD3DDA" w:rsidP="00AD3DDA">
      <w:pPr>
        <w:pStyle w:val="Body"/>
      </w:pPr>
      <w:r>
        <w:t>Through 2023-24 CSL Behring changed the manufacturing process for five of Australia’s domestic plasma products to improve capacity and match international manufacturing standards.</w:t>
      </w:r>
      <w:r w:rsidR="00E96FFB">
        <w:t xml:space="preserve"> The NBA page:</w:t>
      </w:r>
      <w:r w:rsidR="00DB7FF3">
        <w:t xml:space="preserve"> </w:t>
      </w:r>
      <w:r>
        <w:t xml:space="preserve"> </w:t>
      </w:r>
      <w:hyperlink r:id="rId56" w:history="1">
        <w:r w:rsidRPr="007A6783">
          <w:rPr>
            <w:rStyle w:val="Hyperlink"/>
          </w:rPr>
          <w:t xml:space="preserve">Transition of Australia's domestic plasma products </w:t>
        </w:r>
      </w:hyperlink>
      <w:r w:rsidR="007A6783" w:rsidRPr="007A6783">
        <w:t xml:space="preserve"> </w:t>
      </w:r>
      <w:r w:rsidR="00E96FFB">
        <w:t>&lt;</w:t>
      </w:r>
      <w:r w:rsidR="00E96FFB" w:rsidRPr="00E96FFB">
        <w:t>https://www.blood.gov.au/transition-australias-domestic-plasma-products-0</w:t>
      </w:r>
      <w:r w:rsidR="00E96FFB">
        <w:t>&gt; explains the changes and why they were needed.</w:t>
      </w:r>
    </w:p>
    <w:p w14:paraId="6B4A61DC" w14:textId="4C7E71D5" w:rsidR="00AD3DDA" w:rsidRDefault="00AD3DDA" w:rsidP="00AD3DDA">
      <w:pPr>
        <w:pStyle w:val="Body"/>
      </w:pPr>
      <w:r w:rsidRPr="00AD3DDA">
        <w:t xml:space="preserve">For information on available blood and blood products </w:t>
      </w:r>
      <w:r w:rsidR="007A6783">
        <w:t>please refer to</w:t>
      </w:r>
      <w:r w:rsidRPr="00AD3DDA">
        <w:t xml:space="preserve"> </w:t>
      </w:r>
      <w:r w:rsidR="007A6783">
        <w:t>–</w:t>
      </w:r>
      <w:r w:rsidRPr="00AD3DDA">
        <w:t xml:space="preserve"> </w:t>
      </w:r>
      <w:hyperlink r:id="rId57" w:history="1">
        <w:r w:rsidR="00712D28" w:rsidRPr="00F635CB">
          <w:rPr>
            <w:rStyle w:val="Hyperlink"/>
          </w:rPr>
          <w:t>National Product Price List | National Blood Authority</w:t>
        </w:r>
      </w:hyperlink>
      <w:r w:rsidR="00B36D5E">
        <w:t>&lt;</w:t>
      </w:r>
      <w:r w:rsidR="00712D28" w:rsidRPr="00712D28">
        <w:t>https://www.blood.gov.au/blood-products/national-product-price-list</w:t>
      </w:r>
      <w:r w:rsidR="00B36D5E" w:rsidRPr="00DD4316">
        <w:t>&gt;</w:t>
      </w:r>
      <w:r w:rsidR="00E96FFB">
        <w:t>.</w:t>
      </w:r>
      <w:r w:rsidR="007A6783">
        <w:t xml:space="preserve"> </w:t>
      </w:r>
    </w:p>
    <w:p w14:paraId="67F7BE1B" w14:textId="30B0178D" w:rsidR="003239E6" w:rsidRPr="003239E6" w:rsidRDefault="003239E6" w:rsidP="003239E6">
      <w:pPr>
        <w:pStyle w:val="Heading4"/>
      </w:pPr>
      <w:r w:rsidRPr="003239E6">
        <w:t>Intravenous and subcutaneous immunoglobulin supply</w:t>
      </w:r>
    </w:p>
    <w:p w14:paraId="474E3345" w14:textId="77777777" w:rsidR="00712D28" w:rsidRDefault="003239E6" w:rsidP="003239E6">
      <w:pPr>
        <w:pStyle w:val="Body"/>
        <w:rPr>
          <w:szCs w:val="21"/>
        </w:rPr>
      </w:pPr>
      <w:r w:rsidRPr="00B027D5">
        <w:rPr>
          <w:szCs w:val="21"/>
        </w:rPr>
        <w:t>The growth in demand for intravenous immunoglobulin (IVIg)</w:t>
      </w:r>
      <w:r w:rsidR="00CB1767" w:rsidRPr="00CB1767">
        <w:rPr>
          <w:szCs w:val="21"/>
        </w:rPr>
        <w:t xml:space="preserve"> </w:t>
      </w:r>
      <w:r w:rsidR="00CB1767" w:rsidRPr="00B027D5">
        <w:rPr>
          <w:szCs w:val="21"/>
        </w:rPr>
        <w:t>funded under the National Blood Agreement</w:t>
      </w:r>
      <w:r w:rsidRPr="00B027D5">
        <w:rPr>
          <w:szCs w:val="21"/>
        </w:rPr>
        <w:t xml:space="preserve"> </w:t>
      </w:r>
      <w:r w:rsidR="00916D5B" w:rsidRPr="00B027D5">
        <w:rPr>
          <w:szCs w:val="21"/>
        </w:rPr>
        <w:t xml:space="preserve">resulted in the development of the </w:t>
      </w:r>
      <w:hyperlink r:id="rId58" w:history="1">
        <w:r w:rsidR="00712D28" w:rsidRPr="00F635CB">
          <w:rPr>
            <w:rStyle w:val="Hyperlink"/>
          </w:rPr>
          <w:t>Ig Governance - Decision Support Home Page</w:t>
        </w:r>
      </w:hyperlink>
      <w:r w:rsidR="00712D28" w:rsidRPr="00F635CB">
        <w:rPr>
          <w:rStyle w:val="Hyperlink"/>
        </w:rPr>
        <w:t xml:space="preserve"> </w:t>
      </w:r>
      <w:r w:rsidR="00712D28">
        <w:rPr>
          <w:rFonts w:eastAsia="Times New Roman"/>
        </w:rPr>
        <w:t>&lt;</w:t>
      </w:r>
      <w:r w:rsidR="00712D28" w:rsidRPr="00712D28">
        <w:rPr>
          <w:rFonts w:eastAsia="Times New Roman"/>
        </w:rPr>
        <w:t>https://www.criteria.blood.gov.au/</w:t>
      </w:r>
      <w:r w:rsidR="00712D28">
        <w:rPr>
          <w:rFonts w:eastAsia="Times New Roman"/>
        </w:rPr>
        <w:t>&gt;</w:t>
      </w:r>
      <w:r w:rsidR="001701A5" w:rsidRPr="00B027D5">
        <w:rPr>
          <w:szCs w:val="21"/>
        </w:rPr>
        <w:t>. The criteria</w:t>
      </w:r>
      <w:r w:rsidR="00712D28">
        <w:rPr>
          <w:szCs w:val="21"/>
        </w:rPr>
        <w:t xml:space="preserve"> were</w:t>
      </w:r>
      <w:r w:rsidR="001701A5" w:rsidRPr="00B027D5">
        <w:rPr>
          <w:szCs w:val="21"/>
        </w:rPr>
        <w:t xml:space="preserve"> developed and endorsed by the Australian Health Ministers Advisory Council for use by clinicians</w:t>
      </w:r>
      <w:r w:rsidR="00712D28">
        <w:rPr>
          <w:szCs w:val="21"/>
        </w:rPr>
        <w:t xml:space="preserve"> and are</w:t>
      </w:r>
      <w:r w:rsidR="001701A5" w:rsidRPr="00B027D5">
        <w:rPr>
          <w:szCs w:val="21"/>
        </w:rPr>
        <w:t xml:space="preserve"> regularly updated</w:t>
      </w:r>
      <w:r w:rsidR="009B1F1B" w:rsidRPr="00B027D5">
        <w:rPr>
          <w:szCs w:val="21"/>
        </w:rPr>
        <w:t>.</w:t>
      </w:r>
      <w:r w:rsidR="00712D28">
        <w:rPr>
          <w:szCs w:val="21"/>
        </w:rPr>
        <w:t xml:space="preserve"> </w:t>
      </w:r>
    </w:p>
    <w:p w14:paraId="20852659" w14:textId="0A5A310D" w:rsidR="003239E6" w:rsidRPr="00B027D5" w:rsidRDefault="003239E6" w:rsidP="003239E6">
      <w:pPr>
        <w:pStyle w:val="Body"/>
        <w:rPr>
          <w:szCs w:val="21"/>
        </w:rPr>
      </w:pPr>
      <w:r w:rsidRPr="00B027D5">
        <w:rPr>
          <w:szCs w:val="21"/>
        </w:rPr>
        <w:lastRenderedPageBreak/>
        <w:t xml:space="preserve">Australia </w:t>
      </w:r>
      <w:r w:rsidR="001F69BD">
        <w:rPr>
          <w:szCs w:val="21"/>
        </w:rPr>
        <w:t>is not</w:t>
      </w:r>
      <w:r w:rsidRPr="00B027D5">
        <w:rPr>
          <w:szCs w:val="21"/>
        </w:rPr>
        <w:t xml:space="preserve"> able to supply all the </w:t>
      </w:r>
      <w:r w:rsidR="00E96FFB" w:rsidRPr="00B027D5">
        <w:rPr>
          <w:szCs w:val="21"/>
        </w:rPr>
        <w:t xml:space="preserve">IVIg </w:t>
      </w:r>
      <w:r w:rsidRPr="00B027D5">
        <w:rPr>
          <w:szCs w:val="21"/>
        </w:rPr>
        <w:t>require</w:t>
      </w:r>
      <w:r w:rsidR="00E96FFB" w:rsidRPr="00B027D5">
        <w:rPr>
          <w:szCs w:val="21"/>
        </w:rPr>
        <w:t>d</w:t>
      </w:r>
      <w:r w:rsidR="00712D28">
        <w:rPr>
          <w:szCs w:val="21"/>
        </w:rPr>
        <w:t xml:space="preserve"> for patients</w:t>
      </w:r>
      <w:r w:rsidRPr="00B027D5">
        <w:rPr>
          <w:szCs w:val="21"/>
        </w:rPr>
        <w:t xml:space="preserve"> </w:t>
      </w:r>
      <w:r w:rsidR="008233A5">
        <w:rPr>
          <w:szCs w:val="21"/>
        </w:rPr>
        <w:t xml:space="preserve">from </w:t>
      </w:r>
      <w:r w:rsidR="000028C1">
        <w:rPr>
          <w:szCs w:val="21"/>
        </w:rPr>
        <w:t xml:space="preserve">products manufactured with </w:t>
      </w:r>
      <w:r w:rsidR="008233A5">
        <w:rPr>
          <w:szCs w:val="21"/>
        </w:rPr>
        <w:t>domestic plasma</w:t>
      </w:r>
      <w:r w:rsidRPr="00B027D5">
        <w:rPr>
          <w:szCs w:val="21"/>
        </w:rPr>
        <w:t xml:space="preserve">, </w:t>
      </w:r>
      <w:r w:rsidR="00B2035F" w:rsidRPr="00B027D5">
        <w:rPr>
          <w:szCs w:val="21"/>
        </w:rPr>
        <w:t>so imported products</w:t>
      </w:r>
      <w:r w:rsidR="00E96FFB" w:rsidRPr="00B027D5">
        <w:rPr>
          <w:szCs w:val="21"/>
        </w:rPr>
        <w:t>,</w:t>
      </w:r>
      <w:r w:rsidR="00B2035F" w:rsidRPr="00B027D5">
        <w:rPr>
          <w:szCs w:val="21"/>
        </w:rPr>
        <w:t xml:space="preserve"> made to the same high specifications and standards of Australian products are used</w:t>
      </w:r>
      <w:r w:rsidR="00E96FFB" w:rsidRPr="00B027D5">
        <w:rPr>
          <w:szCs w:val="21"/>
        </w:rPr>
        <w:t xml:space="preserve"> to meet the shortfall</w:t>
      </w:r>
      <w:r w:rsidR="00B2035F" w:rsidRPr="00B027D5">
        <w:rPr>
          <w:szCs w:val="21"/>
        </w:rPr>
        <w:t>.</w:t>
      </w:r>
    </w:p>
    <w:p w14:paraId="5AD32433" w14:textId="532800DF" w:rsidR="009B1F1B" w:rsidRPr="00B027D5" w:rsidRDefault="009B1F1B" w:rsidP="003239E6">
      <w:pPr>
        <w:pStyle w:val="Body"/>
        <w:rPr>
          <w:szCs w:val="21"/>
        </w:rPr>
      </w:pPr>
      <w:r w:rsidRPr="00B027D5">
        <w:rPr>
          <w:szCs w:val="21"/>
        </w:rPr>
        <w:t>Lifeblood distributes IVIg to health services for patient</w:t>
      </w:r>
      <w:r w:rsidR="00C834FD">
        <w:rPr>
          <w:szCs w:val="21"/>
        </w:rPr>
        <w:t xml:space="preserve"> use</w:t>
      </w:r>
      <w:r w:rsidRPr="00B027D5">
        <w:rPr>
          <w:szCs w:val="21"/>
        </w:rPr>
        <w:t xml:space="preserve">. </w:t>
      </w:r>
      <w:r w:rsidR="003239E6" w:rsidRPr="00B027D5">
        <w:rPr>
          <w:szCs w:val="21"/>
        </w:rPr>
        <w:t xml:space="preserve">Nationally there are </w:t>
      </w:r>
      <w:r w:rsidR="00D17E0F" w:rsidRPr="00B027D5">
        <w:rPr>
          <w:szCs w:val="21"/>
        </w:rPr>
        <w:t>six</w:t>
      </w:r>
      <w:r w:rsidR="003239E6" w:rsidRPr="00B027D5">
        <w:rPr>
          <w:szCs w:val="21"/>
        </w:rPr>
        <w:t xml:space="preserve"> funded IVIg products available. </w:t>
      </w:r>
      <w:r w:rsidRPr="00B027D5">
        <w:rPr>
          <w:szCs w:val="21"/>
        </w:rPr>
        <w:t>All products are approved by the TGA for therapeutic use</w:t>
      </w:r>
      <w:r w:rsidR="00CA74F6">
        <w:rPr>
          <w:szCs w:val="21"/>
        </w:rPr>
        <w:t xml:space="preserve"> and each request</w:t>
      </w:r>
      <w:r w:rsidR="00394A68">
        <w:rPr>
          <w:szCs w:val="21"/>
        </w:rPr>
        <w:t xml:space="preserve"> for IVIg and SCIg</w:t>
      </w:r>
      <w:r w:rsidR="00CA74F6">
        <w:rPr>
          <w:szCs w:val="21"/>
        </w:rPr>
        <w:t xml:space="preserve"> needs to </w:t>
      </w:r>
      <w:r w:rsidR="00394A68">
        <w:rPr>
          <w:szCs w:val="21"/>
        </w:rPr>
        <w:t xml:space="preserve">be submitted through </w:t>
      </w:r>
      <w:proofErr w:type="spellStart"/>
      <w:r w:rsidR="00394A68">
        <w:rPr>
          <w:szCs w:val="21"/>
        </w:rPr>
        <w:t>BloodSTAR</w:t>
      </w:r>
      <w:proofErr w:type="spellEnd"/>
      <w:r w:rsidR="00394A68">
        <w:rPr>
          <w:szCs w:val="21"/>
        </w:rPr>
        <w:t xml:space="preserve"> </w:t>
      </w:r>
      <w:r w:rsidR="00D23FC1">
        <w:rPr>
          <w:szCs w:val="21"/>
        </w:rPr>
        <w:t>to be approved or declined according to the Criteria</w:t>
      </w:r>
      <w:r w:rsidRPr="00B027D5">
        <w:rPr>
          <w:szCs w:val="21"/>
        </w:rPr>
        <w:t>.</w:t>
      </w:r>
    </w:p>
    <w:p w14:paraId="2F1CE419" w14:textId="2DCF232E" w:rsidR="003239E6" w:rsidRPr="00B027D5" w:rsidRDefault="003239E6" w:rsidP="003239E6">
      <w:pPr>
        <w:pStyle w:val="Body"/>
        <w:rPr>
          <w:szCs w:val="21"/>
        </w:rPr>
      </w:pPr>
      <w:r w:rsidRPr="00B027D5">
        <w:rPr>
          <w:szCs w:val="21"/>
        </w:rPr>
        <w:t xml:space="preserve">A presentation about the current products is available on the Blood Matters </w:t>
      </w:r>
      <w:r w:rsidR="00800D26" w:rsidRPr="00B027D5">
        <w:rPr>
          <w:szCs w:val="21"/>
        </w:rPr>
        <w:t xml:space="preserve">webpage </w:t>
      </w:r>
      <w:hyperlink r:id="rId59" w:history="1">
        <w:r w:rsidR="00B36D5E" w:rsidRPr="00F635CB">
          <w:rPr>
            <w:rStyle w:val="Hyperlink"/>
          </w:rPr>
          <w:t xml:space="preserve">Intravenous Immunoglobulin (IVIg) - changes to supply and governance </w:t>
        </w:r>
      </w:hyperlink>
      <w:r w:rsidR="00B36D5E" w:rsidRPr="00B027D5">
        <w:rPr>
          <w:szCs w:val="21"/>
        </w:rPr>
        <w:t>&lt;https://www.health.vic.gov.au/patient-care/intravenous-immunoglobulin-ivig-changes-to-supply-and-governance</w:t>
      </w:r>
      <w:r w:rsidR="00B36D5E" w:rsidRPr="00B027D5" w:rsidDel="00B36D5E">
        <w:rPr>
          <w:szCs w:val="21"/>
        </w:rPr>
        <w:t xml:space="preserve"> </w:t>
      </w:r>
      <w:r w:rsidR="00B36D5E" w:rsidRPr="00B027D5">
        <w:rPr>
          <w:szCs w:val="21"/>
        </w:rPr>
        <w:t>&gt;</w:t>
      </w:r>
    </w:p>
    <w:p w14:paraId="3D7623C0" w14:textId="7F91948E" w:rsidR="00336660" w:rsidRPr="00B027D5" w:rsidRDefault="00B2035F" w:rsidP="003239E6">
      <w:pPr>
        <w:pStyle w:val="Body"/>
        <w:rPr>
          <w:szCs w:val="21"/>
        </w:rPr>
      </w:pPr>
      <w:r w:rsidRPr="00B027D5">
        <w:rPr>
          <w:szCs w:val="21"/>
        </w:rPr>
        <w:t>F</w:t>
      </w:r>
      <w:r w:rsidR="00106897" w:rsidRPr="00B027D5">
        <w:rPr>
          <w:szCs w:val="21"/>
        </w:rPr>
        <w:t>or a list of imported</w:t>
      </w:r>
      <w:r w:rsidR="00DA5D77" w:rsidRPr="00B027D5">
        <w:rPr>
          <w:szCs w:val="21"/>
        </w:rPr>
        <w:t xml:space="preserve"> IVIg</w:t>
      </w:r>
      <w:r w:rsidR="00106897" w:rsidRPr="00B027D5">
        <w:rPr>
          <w:szCs w:val="21"/>
        </w:rPr>
        <w:t xml:space="preserve"> and SCIg products</w:t>
      </w:r>
      <w:r w:rsidR="00800D26" w:rsidRPr="00B027D5">
        <w:rPr>
          <w:szCs w:val="21"/>
        </w:rPr>
        <w:t xml:space="preserve"> visit:</w:t>
      </w:r>
      <w:r w:rsidR="00800D26" w:rsidRPr="00B027D5">
        <w:rPr>
          <w:rFonts w:eastAsia="Times New Roman"/>
          <w:szCs w:val="21"/>
        </w:rPr>
        <w:t xml:space="preserve"> </w:t>
      </w:r>
      <w:hyperlink r:id="rId60" w:history="1">
        <w:r w:rsidR="00712D28" w:rsidRPr="00F635CB">
          <w:rPr>
            <w:rStyle w:val="Hyperlink"/>
          </w:rPr>
          <w:t>Immunoglobulin products | National Blood Authority</w:t>
        </w:r>
      </w:hyperlink>
      <w:r w:rsidR="00106897" w:rsidRPr="00F635CB">
        <w:rPr>
          <w:rStyle w:val="Hyperlink"/>
        </w:rPr>
        <w:t xml:space="preserve"> </w:t>
      </w:r>
      <w:r w:rsidR="00B36D5E" w:rsidRPr="00B027D5">
        <w:rPr>
          <w:szCs w:val="21"/>
        </w:rPr>
        <w:t>&lt;</w:t>
      </w:r>
      <w:r w:rsidR="00712D28" w:rsidRPr="00712D28">
        <w:rPr>
          <w:szCs w:val="21"/>
        </w:rPr>
        <w:t>https://www.blood.gov.au/blood-products/immunoglobulin-products</w:t>
      </w:r>
      <w:r w:rsidR="00B36D5E" w:rsidRPr="00B027D5">
        <w:rPr>
          <w:szCs w:val="21"/>
        </w:rPr>
        <w:t>&gt;</w:t>
      </w:r>
      <w:r w:rsidR="00800D26" w:rsidRPr="00B027D5">
        <w:rPr>
          <w:szCs w:val="21"/>
        </w:rPr>
        <w:t>.</w:t>
      </w:r>
    </w:p>
    <w:p w14:paraId="5AA91671" w14:textId="2697487E" w:rsidR="00AB13DC" w:rsidRPr="00B027D5" w:rsidRDefault="00AB13DC" w:rsidP="00AB13DC">
      <w:pPr>
        <w:pStyle w:val="Body"/>
        <w:rPr>
          <w:szCs w:val="21"/>
        </w:rPr>
      </w:pPr>
      <w:r w:rsidRPr="00B027D5">
        <w:rPr>
          <w:szCs w:val="21"/>
        </w:rPr>
        <w:t xml:space="preserve">The governance of IVIg is strictly enforced and information on the process for authorisation and management of IVIg products can be found at </w:t>
      </w:r>
      <w:hyperlink r:id="rId61" w:history="1">
        <w:r w:rsidR="00B36D5E" w:rsidRPr="00F635CB">
          <w:rPr>
            <w:rStyle w:val="Hyperlink"/>
          </w:rPr>
          <w:t>Criteria for immunoglobulin products</w:t>
        </w:r>
        <w:r w:rsidR="00B36D5E" w:rsidRPr="00B027D5">
          <w:rPr>
            <w:rFonts w:eastAsia="Times New Roman"/>
            <w:color w:val="0000FF"/>
            <w:szCs w:val="21"/>
            <w:u w:val="single"/>
          </w:rPr>
          <w:t xml:space="preserve"> </w:t>
        </w:r>
      </w:hyperlink>
      <w:r w:rsidR="00800D26" w:rsidRPr="00B027D5">
        <w:rPr>
          <w:szCs w:val="21"/>
        </w:rPr>
        <w:t>&lt;</w:t>
      </w:r>
      <w:r w:rsidR="00B36D5E" w:rsidRPr="00DD4316">
        <w:rPr>
          <w:szCs w:val="21"/>
        </w:rPr>
        <w:t>https://www.blood.gov.au/supply-system/governance-immunoglobulin-products/criteria-immunoglobulin-products</w:t>
      </w:r>
      <w:r w:rsidR="00800D26" w:rsidRPr="00DD4316">
        <w:rPr>
          <w:szCs w:val="21"/>
        </w:rPr>
        <w:t>&gt;.</w:t>
      </w:r>
    </w:p>
    <w:p w14:paraId="23CEC312" w14:textId="5352DAB1" w:rsidR="00AB13DC" w:rsidRPr="00B027D5" w:rsidRDefault="00AB13DC" w:rsidP="00AB13DC">
      <w:pPr>
        <w:pStyle w:val="Body"/>
        <w:rPr>
          <w:szCs w:val="21"/>
        </w:rPr>
      </w:pPr>
      <w:r w:rsidRPr="00B027D5">
        <w:rPr>
          <w:szCs w:val="21"/>
        </w:rPr>
        <w:t xml:space="preserve">Many patients who receive IVIg in health services are eligible for SCIg in the home. This requires a health service to be an approved site with a program to teach and support these patients. Blood Matters has a </w:t>
      </w:r>
      <w:r w:rsidR="00941620" w:rsidRPr="00B027D5">
        <w:rPr>
          <w:szCs w:val="21"/>
        </w:rPr>
        <w:t>clinical nurse consultant</w:t>
      </w:r>
      <w:r w:rsidRPr="00B027D5">
        <w:rPr>
          <w:szCs w:val="21"/>
        </w:rPr>
        <w:t xml:space="preserve"> assisting health services to develop these programs. </w:t>
      </w:r>
    </w:p>
    <w:p w14:paraId="0F89CE91" w14:textId="62DD1F00" w:rsidR="00AB13DC" w:rsidRDefault="00AB13DC" w:rsidP="00AB13DC">
      <w:pPr>
        <w:pStyle w:val="Heading3"/>
      </w:pPr>
      <w:bookmarkStart w:id="21" w:name="_Toc184376928"/>
      <w:r w:rsidRPr="00AB13DC">
        <w:t>Australian and New Zealand Society of Blood Transfusion (ANZSBT)</w:t>
      </w:r>
      <w:bookmarkEnd w:id="21"/>
    </w:p>
    <w:p w14:paraId="5C5B1C47" w14:textId="2C9CA4B9" w:rsidR="00AB13DC" w:rsidRPr="00EF1AF1" w:rsidRDefault="00AB13DC" w:rsidP="00AB13DC">
      <w:pPr>
        <w:spacing w:after="160" w:line="259" w:lineRule="auto"/>
        <w:rPr>
          <w:rFonts w:eastAsia="Calibri" w:cs="Arial"/>
          <w:szCs w:val="21"/>
        </w:rPr>
      </w:pPr>
      <w:r w:rsidRPr="00EF1AF1">
        <w:rPr>
          <w:rFonts w:eastAsia="Calibri" w:cs="Arial"/>
          <w:szCs w:val="21"/>
        </w:rPr>
        <w:t xml:space="preserve">The Australian and New Zealand Society of Blood Transfusion </w:t>
      </w:r>
      <w:r w:rsidR="00975EDD">
        <w:rPr>
          <w:rFonts w:eastAsia="Calibri" w:cs="Arial"/>
          <w:szCs w:val="21"/>
        </w:rPr>
        <w:t xml:space="preserve">(ANZSBT) </w:t>
      </w:r>
      <w:r w:rsidR="00D23FC1">
        <w:rPr>
          <w:rFonts w:eastAsia="Calibri" w:cs="Arial"/>
          <w:szCs w:val="21"/>
        </w:rPr>
        <w:t>has</w:t>
      </w:r>
      <w:r w:rsidR="00D23FC1" w:rsidRPr="00EF1AF1">
        <w:rPr>
          <w:rFonts w:eastAsia="Calibri" w:cs="Arial"/>
          <w:szCs w:val="21"/>
        </w:rPr>
        <w:t xml:space="preserve"> </w:t>
      </w:r>
      <w:r w:rsidRPr="00EF1AF1">
        <w:rPr>
          <w:rFonts w:eastAsia="Calibri" w:cs="Arial"/>
          <w:szCs w:val="21"/>
        </w:rPr>
        <w:t xml:space="preserve">over 400 members from diverse scientific, </w:t>
      </w:r>
      <w:r w:rsidR="004B7E33" w:rsidRPr="00EF1AF1">
        <w:rPr>
          <w:rFonts w:eastAsia="Calibri" w:cs="Arial"/>
          <w:szCs w:val="21"/>
        </w:rPr>
        <w:t>medical,</w:t>
      </w:r>
      <w:r w:rsidRPr="00EF1AF1">
        <w:rPr>
          <w:rFonts w:eastAsia="Calibri" w:cs="Arial"/>
          <w:szCs w:val="21"/>
        </w:rPr>
        <w:t xml:space="preserve"> and nursing backgrounds working within the area of blood transfusion and related fields.</w:t>
      </w:r>
    </w:p>
    <w:p w14:paraId="2FA8FBDB" w14:textId="41187F56" w:rsidR="007E5C72" w:rsidRPr="007E5C72" w:rsidRDefault="007E5C72" w:rsidP="007E5C72">
      <w:pPr>
        <w:spacing w:line="240" w:lineRule="atLeast"/>
        <w:rPr>
          <w:rFonts w:eastAsia="Calibri" w:cs="Arial"/>
          <w:b/>
          <w:bCs/>
          <w:szCs w:val="21"/>
        </w:rPr>
      </w:pPr>
      <w:r w:rsidRPr="007E5C72">
        <w:rPr>
          <w:rFonts w:eastAsia="Calibri" w:cs="Arial"/>
          <w:b/>
          <w:bCs/>
          <w:szCs w:val="21"/>
        </w:rPr>
        <w:t>Vision Statement</w:t>
      </w:r>
    </w:p>
    <w:p w14:paraId="00D2BC6E" w14:textId="77777777" w:rsidR="007E5C72" w:rsidRPr="007E5C72" w:rsidRDefault="007E5C72" w:rsidP="007E5C72">
      <w:pPr>
        <w:spacing w:line="240" w:lineRule="atLeast"/>
        <w:rPr>
          <w:rFonts w:eastAsia="Calibri" w:cs="Arial"/>
          <w:szCs w:val="21"/>
        </w:rPr>
      </w:pPr>
      <w:r w:rsidRPr="007E5C72">
        <w:rPr>
          <w:rFonts w:eastAsia="Calibri" w:cs="Arial"/>
          <w:szCs w:val="21"/>
        </w:rPr>
        <w:t>The authoritative voice on transfusion medicine for Australia and New Zealand.</w:t>
      </w:r>
    </w:p>
    <w:p w14:paraId="2F938075" w14:textId="77777777" w:rsidR="007E5C72" w:rsidRPr="007E5C72" w:rsidRDefault="007E5C72" w:rsidP="007E5C72">
      <w:pPr>
        <w:spacing w:line="240" w:lineRule="atLeast"/>
        <w:rPr>
          <w:rFonts w:eastAsia="Calibri" w:cs="Arial"/>
          <w:b/>
          <w:bCs/>
          <w:szCs w:val="21"/>
        </w:rPr>
      </w:pPr>
      <w:r w:rsidRPr="007E5C72">
        <w:rPr>
          <w:rFonts w:eastAsia="Calibri" w:cs="Arial"/>
          <w:b/>
          <w:bCs/>
          <w:szCs w:val="21"/>
        </w:rPr>
        <w:t>Mission Statement</w:t>
      </w:r>
    </w:p>
    <w:p w14:paraId="48B3E0B2" w14:textId="77777777" w:rsidR="007E5C72" w:rsidRPr="007E5C72" w:rsidRDefault="007E5C72" w:rsidP="007E5C72">
      <w:pPr>
        <w:spacing w:line="240" w:lineRule="atLeast"/>
        <w:rPr>
          <w:rFonts w:eastAsia="Calibri" w:cs="Arial"/>
          <w:szCs w:val="21"/>
        </w:rPr>
      </w:pPr>
      <w:r w:rsidRPr="007E5C72">
        <w:rPr>
          <w:rFonts w:eastAsia="Calibri" w:cs="Arial"/>
          <w:szCs w:val="21"/>
        </w:rPr>
        <w:t>Enhancing patient safety, optimising blood utilisation, and promoting excellence in transfusion throughout Australia and New Zealand through the delivery of rigorous standards, continuous learning, and effective communication.</w:t>
      </w:r>
    </w:p>
    <w:p w14:paraId="0F7E0607" w14:textId="77777777" w:rsidR="007E5C72" w:rsidRDefault="007E5C72" w:rsidP="007E5C72">
      <w:pPr>
        <w:spacing w:line="240" w:lineRule="atLeast"/>
        <w:rPr>
          <w:rFonts w:eastAsia="Calibri" w:cs="Arial"/>
          <w:szCs w:val="21"/>
        </w:rPr>
      </w:pPr>
      <w:r w:rsidRPr="007E5C72">
        <w:rPr>
          <w:rFonts w:eastAsia="Calibri" w:cs="Arial"/>
          <w:szCs w:val="21"/>
        </w:rPr>
        <w:t>We advance transfusion by fostering collaboration, research and education whilst striving to provide unbiased evidence-based expertise to healthcare professionals, policymakers, and the public.</w:t>
      </w:r>
      <w:r>
        <w:rPr>
          <w:rFonts w:eastAsia="Calibri" w:cs="Arial"/>
          <w:szCs w:val="21"/>
        </w:rPr>
        <w:t xml:space="preserve">” </w:t>
      </w:r>
    </w:p>
    <w:p w14:paraId="37BFE9FD" w14:textId="06F582CD" w:rsidR="007E5C72" w:rsidRPr="007E5C72" w:rsidRDefault="00712D28" w:rsidP="007E5C72">
      <w:pPr>
        <w:spacing w:line="240" w:lineRule="atLeast"/>
        <w:rPr>
          <w:rFonts w:eastAsia="Calibri" w:cs="Arial"/>
          <w:szCs w:val="21"/>
        </w:rPr>
      </w:pPr>
      <w:hyperlink r:id="rId62" w:history="1">
        <w:r w:rsidRPr="00F635CB">
          <w:rPr>
            <w:rStyle w:val="Hyperlink"/>
            <w:rFonts w:eastAsia="Times"/>
          </w:rPr>
          <w:t>About ANZSBT - ANZSBT : ANZSBT</w:t>
        </w:r>
      </w:hyperlink>
      <w:r>
        <w:t xml:space="preserve"> </w:t>
      </w:r>
      <w:r w:rsidR="007E5C72">
        <w:rPr>
          <w:rFonts w:eastAsia="Calibri" w:cs="Arial"/>
          <w:szCs w:val="21"/>
        </w:rPr>
        <w:t>&lt;</w:t>
      </w:r>
      <w:r w:rsidR="007E5C72" w:rsidRPr="007E5C72">
        <w:rPr>
          <w:rFonts w:eastAsia="Calibri" w:cs="Arial"/>
          <w:szCs w:val="21"/>
        </w:rPr>
        <w:t>https://anzsbt.org.au/about/about-anzsbt/</w:t>
      </w:r>
      <w:r w:rsidR="007E5C72">
        <w:rPr>
          <w:rFonts w:eastAsia="Calibri" w:cs="Arial"/>
          <w:szCs w:val="21"/>
        </w:rPr>
        <w:t>&gt;</w:t>
      </w:r>
    </w:p>
    <w:p w14:paraId="411B7AC3" w14:textId="77777777" w:rsidR="00AB13DC" w:rsidRPr="00EF1AF1" w:rsidRDefault="00AB13DC" w:rsidP="00AB13DC">
      <w:pPr>
        <w:spacing w:after="160" w:line="259" w:lineRule="auto"/>
        <w:rPr>
          <w:rFonts w:eastAsia="Calibri" w:cs="Arial"/>
          <w:szCs w:val="21"/>
        </w:rPr>
      </w:pPr>
      <w:r w:rsidRPr="00EF1AF1">
        <w:rPr>
          <w:rFonts w:eastAsia="Calibri" w:cs="Arial"/>
          <w:szCs w:val="21"/>
        </w:rPr>
        <w:t>The ANZSBT is affiliated with the following societies:</w:t>
      </w:r>
    </w:p>
    <w:p w14:paraId="564157A4" w14:textId="1C05E9FD" w:rsidR="00AB13DC" w:rsidRPr="00EF1AF1" w:rsidRDefault="00AB13DC" w:rsidP="0003362E">
      <w:pPr>
        <w:numPr>
          <w:ilvl w:val="0"/>
          <w:numId w:val="10"/>
        </w:numPr>
        <w:spacing w:after="160" w:line="259" w:lineRule="auto"/>
        <w:rPr>
          <w:rFonts w:eastAsia="Calibri" w:cs="Arial"/>
          <w:szCs w:val="21"/>
        </w:rPr>
      </w:pPr>
      <w:hyperlink r:id="rId63" w:tgtFrame="_blank" w:history="1">
        <w:r w:rsidRPr="00F635CB">
          <w:rPr>
            <w:rStyle w:val="Hyperlink"/>
            <w:rFonts w:eastAsia="Times"/>
          </w:rPr>
          <w:t>Thrombosis and Haemostasis Society of Australia and New Zealand</w:t>
        </w:r>
      </w:hyperlink>
      <w:r w:rsidR="00800D26" w:rsidRPr="00F635CB">
        <w:rPr>
          <w:rStyle w:val="Hyperlink"/>
          <w:rFonts w:eastAsia="Times"/>
        </w:rPr>
        <w:t xml:space="preserve"> </w:t>
      </w:r>
      <w:r w:rsidR="00800D26" w:rsidRPr="00DD4316">
        <w:rPr>
          <w:rFonts w:eastAsia="Calibri" w:cs="Arial"/>
          <w:szCs w:val="21"/>
        </w:rPr>
        <w:t>&lt;https://www.thanz.org.au/&gt;</w:t>
      </w:r>
    </w:p>
    <w:p w14:paraId="23CC0F63" w14:textId="31D5C792" w:rsidR="00AB13DC" w:rsidRPr="00EF1AF1" w:rsidRDefault="00AB13DC" w:rsidP="0003362E">
      <w:pPr>
        <w:numPr>
          <w:ilvl w:val="0"/>
          <w:numId w:val="10"/>
        </w:numPr>
        <w:spacing w:after="160" w:line="259" w:lineRule="auto"/>
        <w:rPr>
          <w:rFonts w:eastAsia="Calibri" w:cs="Arial"/>
          <w:szCs w:val="21"/>
        </w:rPr>
      </w:pPr>
      <w:hyperlink r:id="rId64" w:tgtFrame="_blank" w:history="1">
        <w:r w:rsidRPr="00F635CB">
          <w:rPr>
            <w:rStyle w:val="Hyperlink"/>
            <w:rFonts w:eastAsia="Times"/>
          </w:rPr>
          <w:t>Haematology Society of Australia and New Zealand (HSANZ)</w:t>
        </w:r>
      </w:hyperlink>
      <w:r w:rsidR="00800D26" w:rsidRPr="00F635CB">
        <w:rPr>
          <w:rStyle w:val="Hyperlink"/>
          <w:rFonts w:eastAsia="Times"/>
        </w:rPr>
        <w:t xml:space="preserve"> </w:t>
      </w:r>
      <w:r w:rsidR="00800D26" w:rsidRPr="00DD4316">
        <w:rPr>
          <w:rFonts w:eastAsia="Calibri" w:cs="Arial"/>
          <w:szCs w:val="21"/>
        </w:rPr>
        <w:t>&lt;http://www.hsanz.org.au/&gt;</w:t>
      </w:r>
    </w:p>
    <w:bookmarkStart w:id="22" w:name="_Hlk180412220"/>
    <w:p w14:paraId="66771683" w14:textId="45E10521" w:rsidR="00AB13DC" w:rsidRPr="00EF1AF1" w:rsidRDefault="00AF09A3" w:rsidP="0003362E">
      <w:pPr>
        <w:numPr>
          <w:ilvl w:val="0"/>
          <w:numId w:val="10"/>
        </w:numPr>
        <w:spacing w:after="160" w:line="259" w:lineRule="auto"/>
        <w:rPr>
          <w:rFonts w:eastAsia="Calibri" w:cs="Arial"/>
          <w:szCs w:val="21"/>
        </w:rPr>
      </w:pPr>
      <w:r w:rsidRPr="00F635CB">
        <w:rPr>
          <w:rStyle w:val="Hyperlink"/>
          <w:rFonts w:eastAsia="Times"/>
        </w:rPr>
        <w:fldChar w:fldCharType="begin"/>
      </w:r>
      <w:r w:rsidRPr="00F635CB">
        <w:rPr>
          <w:rStyle w:val="Hyperlink"/>
          <w:rFonts w:eastAsia="Times"/>
        </w:rPr>
        <w:instrText>HYPERLINK "http://www.bbts.org.uk/" \t "_blank"</w:instrText>
      </w:r>
      <w:r w:rsidRPr="00F635CB">
        <w:rPr>
          <w:rStyle w:val="Hyperlink"/>
          <w:rFonts w:eastAsia="Times"/>
        </w:rPr>
      </w:r>
      <w:r w:rsidRPr="00F635CB">
        <w:rPr>
          <w:rStyle w:val="Hyperlink"/>
          <w:rFonts w:eastAsia="Times"/>
        </w:rPr>
        <w:fldChar w:fldCharType="separate"/>
      </w:r>
      <w:r w:rsidR="00AB13DC" w:rsidRPr="00F635CB">
        <w:rPr>
          <w:rStyle w:val="Hyperlink"/>
          <w:rFonts w:eastAsia="Times"/>
        </w:rPr>
        <w:t>British Blood Transfusion Society (BBTS)</w:t>
      </w:r>
      <w:r w:rsidRPr="00F635CB">
        <w:rPr>
          <w:rStyle w:val="Hyperlink"/>
          <w:rFonts w:eastAsia="Times"/>
        </w:rPr>
        <w:fldChar w:fldCharType="end"/>
      </w:r>
      <w:bookmarkEnd w:id="22"/>
      <w:r w:rsidR="00800D26" w:rsidRPr="00F635CB">
        <w:rPr>
          <w:rStyle w:val="Hyperlink"/>
          <w:rFonts w:eastAsia="Times"/>
        </w:rPr>
        <w:t xml:space="preserve"> </w:t>
      </w:r>
      <w:r w:rsidR="00800D26" w:rsidRPr="00DD4316">
        <w:rPr>
          <w:rFonts w:eastAsia="Calibri" w:cs="Arial"/>
          <w:szCs w:val="21"/>
        </w:rPr>
        <w:t>&lt;http://www.bbts.org.uk/&gt;</w:t>
      </w:r>
    </w:p>
    <w:p w14:paraId="01A79FB9" w14:textId="28D79B8C" w:rsidR="00AB13DC" w:rsidRPr="00EF1AF1" w:rsidRDefault="00AB13DC" w:rsidP="0003362E">
      <w:pPr>
        <w:numPr>
          <w:ilvl w:val="0"/>
          <w:numId w:val="10"/>
        </w:numPr>
        <w:spacing w:after="160" w:line="259" w:lineRule="auto"/>
        <w:rPr>
          <w:rFonts w:eastAsia="Calibri" w:cs="Arial"/>
          <w:szCs w:val="21"/>
        </w:rPr>
      </w:pPr>
      <w:hyperlink r:id="rId65" w:tgtFrame="_blank" w:history="1">
        <w:r w:rsidRPr="00F635CB">
          <w:rPr>
            <w:rStyle w:val="Hyperlink"/>
            <w:rFonts w:eastAsia="Times"/>
          </w:rPr>
          <w:t>International Society of Blood Transfusion (ISBT)</w:t>
        </w:r>
      </w:hyperlink>
      <w:r w:rsidR="00800D26">
        <w:rPr>
          <w:rFonts w:eastAsia="Calibri" w:cs="Arial"/>
          <w:color w:val="0563C1"/>
          <w:szCs w:val="21"/>
          <w:u w:val="single"/>
        </w:rPr>
        <w:t xml:space="preserve"> </w:t>
      </w:r>
      <w:r w:rsidR="00800D26" w:rsidRPr="00DD4316">
        <w:rPr>
          <w:rFonts w:eastAsia="Calibri" w:cs="Arial"/>
          <w:szCs w:val="21"/>
        </w:rPr>
        <w:t>&lt;https://www.isbtweb.org/&gt;</w:t>
      </w:r>
    </w:p>
    <w:p w14:paraId="48863A66" w14:textId="21689138" w:rsidR="00AB13DC" w:rsidRPr="00AB13DC" w:rsidRDefault="001E5A6F" w:rsidP="00AB13DC">
      <w:pPr>
        <w:pStyle w:val="Heading4"/>
      </w:pPr>
      <w:r>
        <w:t>ANZSBT Transfusion Practitioner</w:t>
      </w:r>
      <w:r w:rsidR="00AB13DC" w:rsidRPr="00AB13DC">
        <w:t xml:space="preserve"> </w:t>
      </w:r>
      <w:r w:rsidR="003E7AA9">
        <w:t>Working Group</w:t>
      </w:r>
    </w:p>
    <w:p w14:paraId="71EC4AA5" w14:textId="77777777" w:rsidR="00AB13DC" w:rsidRPr="00EF1AF1" w:rsidRDefault="00AB13DC" w:rsidP="00AB13DC">
      <w:pPr>
        <w:spacing w:after="160" w:line="259" w:lineRule="auto"/>
        <w:rPr>
          <w:rFonts w:eastAsia="Calibri" w:cs="Arial"/>
          <w:szCs w:val="21"/>
        </w:rPr>
      </w:pPr>
      <w:r w:rsidRPr="00EF1AF1">
        <w:rPr>
          <w:rFonts w:eastAsia="Calibri" w:cs="Arial"/>
          <w:szCs w:val="21"/>
        </w:rPr>
        <w:t xml:space="preserve">In 2011, those working in transfusion nursing formed the Transfusion Professionals Network (TP Network) special interest group under the auspices of the ANZSBT. </w:t>
      </w:r>
    </w:p>
    <w:p w14:paraId="39F3922A" w14:textId="22FB1472" w:rsidR="00F8530F" w:rsidRPr="00EF1AF1" w:rsidRDefault="00F8530F" w:rsidP="00AB13DC">
      <w:pPr>
        <w:spacing w:after="160" w:line="259" w:lineRule="auto"/>
        <w:rPr>
          <w:rFonts w:eastAsia="Calibri" w:cs="Arial"/>
          <w:szCs w:val="21"/>
        </w:rPr>
      </w:pPr>
      <w:r w:rsidRPr="00EF1AF1">
        <w:rPr>
          <w:rFonts w:eastAsia="Calibri" w:cs="Arial"/>
          <w:szCs w:val="21"/>
        </w:rPr>
        <w:t xml:space="preserve">At the </w:t>
      </w:r>
      <w:r w:rsidR="00994221" w:rsidRPr="00EF1AF1">
        <w:rPr>
          <w:rFonts w:eastAsia="Calibri" w:cs="Arial"/>
          <w:szCs w:val="21"/>
        </w:rPr>
        <w:t>end of 2023,</w:t>
      </w:r>
      <w:r w:rsidRPr="00EF1AF1">
        <w:rPr>
          <w:rFonts w:eastAsia="Calibri" w:cs="Arial"/>
          <w:szCs w:val="21"/>
        </w:rPr>
        <w:t xml:space="preserve"> the ANZTP network reviewed its terms of reference </w:t>
      </w:r>
      <w:r w:rsidR="002412D5">
        <w:rPr>
          <w:rFonts w:eastAsia="Calibri" w:cs="Arial"/>
          <w:szCs w:val="21"/>
        </w:rPr>
        <w:t xml:space="preserve">to </w:t>
      </w:r>
      <w:r w:rsidR="00301714">
        <w:rPr>
          <w:rFonts w:eastAsia="Calibri" w:cs="Arial"/>
          <w:szCs w:val="21"/>
        </w:rPr>
        <w:t xml:space="preserve">aligned </w:t>
      </w:r>
      <w:r w:rsidR="002412D5">
        <w:rPr>
          <w:rFonts w:eastAsia="Calibri" w:cs="Arial"/>
          <w:szCs w:val="21"/>
        </w:rPr>
        <w:t>with</w:t>
      </w:r>
      <w:r w:rsidR="008D400B">
        <w:rPr>
          <w:rFonts w:eastAsia="Calibri" w:cs="Arial"/>
          <w:szCs w:val="21"/>
        </w:rPr>
        <w:t xml:space="preserve"> the terms of reference of</w:t>
      </w:r>
      <w:r w:rsidRPr="00EF1AF1">
        <w:rPr>
          <w:rFonts w:eastAsia="Calibri" w:cs="Arial"/>
          <w:szCs w:val="21"/>
        </w:rPr>
        <w:t xml:space="preserve"> ANZSBT. The network </w:t>
      </w:r>
      <w:r w:rsidR="003E7AA9">
        <w:rPr>
          <w:rFonts w:eastAsia="Calibri" w:cs="Arial"/>
          <w:szCs w:val="21"/>
        </w:rPr>
        <w:t xml:space="preserve">was reclassified as </w:t>
      </w:r>
      <w:r w:rsidR="003E7AA9" w:rsidRPr="00AA0B76">
        <w:rPr>
          <w:rFonts w:eastAsia="Calibri" w:cs="Arial"/>
          <w:szCs w:val="21"/>
        </w:rPr>
        <w:t xml:space="preserve">Transfusion Practitioners </w:t>
      </w:r>
      <w:r w:rsidR="003E7AA9">
        <w:rPr>
          <w:rFonts w:eastAsia="Calibri" w:cs="Arial"/>
          <w:szCs w:val="21"/>
        </w:rPr>
        <w:t xml:space="preserve">Working </w:t>
      </w:r>
      <w:r w:rsidR="008264A8">
        <w:rPr>
          <w:rFonts w:eastAsia="Calibri" w:cs="Arial"/>
          <w:szCs w:val="21"/>
        </w:rPr>
        <w:t xml:space="preserve">Group </w:t>
      </w:r>
      <w:r w:rsidR="003E7AA9">
        <w:rPr>
          <w:rFonts w:eastAsia="Calibri" w:cs="Arial"/>
          <w:szCs w:val="21"/>
        </w:rPr>
        <w:t xml:space="preserve">and </w:t>
      </w:r>
      <w:r w:rsidRPr="00EF1AF1">
        <w:rPr>
          <w:rFonts w:eastAsia="Calibri" w:cs="Arial"/>
          <w:szCs w:val="21"/>
        </w:rPr>
        <w:t xml:space="preserve">has a leadership group that oversees the program of work for the group. This leadership group has representatives from all </w:t>
      </w:r>
      <w:r w:rsidRPr="00EF1AF1">
        <w:rPr>
          <w:rFonts w:eastAsia="Calibri" w:cs="Arial"/>
          <w:szCs w:val="21"/>
        </w:rPr>
        <w:lastRenderedPageBreak/>
        <w:t xml:space="preserve">Australian jurisdictions and New Zealand. The group reports to ANZSBT via the Clinical Practice Improvement </w:t>
      </w:r>
      <w:r w:rsidR="00655933" w:rsidRPr="00EF1AF1">
        <w:rPr>
          <w:rFonts w:eastAsia="Calibri" w:cs="Arial"/>
          <w:szCs w:val="21"/>
        </w:rPr>
        <w:t>Committee but</w:t>
      </w:r>
      <w:r w:rsidRPr="00EF1AF1">
        <w:rPr>
          <w:rFonts w:eastAsia="Calibri" w:cs="Arial"/>
          <w:szCs w:val="21"/>
        </w:rPr>
        <w:t xml:space="preserve"> has links with both the </w:t>
      </w:r>
      <w:r w:rsidR="00655933" w:rsidRPr="00EF1AF1">
        <w:rPr>
          <w:rFonts w:eastAsia="Calibri" w:cs="Arial"/>
          <w:szCs w:val="21"/>
        </w:rPr>
        <w:t>Education Standing Committee and the Transfusion Science Standing Committee.</w:t>
      </w:r>
    </w:p>
    <w:p w14:paraId="55F8A87E" w14:textId="46933E57" w:rsidR="00AB13DC" w:rsidRPr="00EF1AF1" w:rsidRDefault="003E7AA9" w:rsidP="00AB13DC">
      <w:pPr>
        <w:spacing w:after="160" w:line="259" w:lineRule="auto"/>
        <w:rPr>
          <w:rFonts w:eastAsia="Calibri" w:cs="Arial"/>
          <w:szCs w:val="21"/>
        </w:rPr>
      </w:pPr>
      <w:r>
        <w:rPr>
          <w:rFonts w:eastAsia="Calibri" w:cs="Arial"/>
          <w:szCs w:val="21"/>
        </w:rPr>
        <w:t>For more information about the r</w:t>
      </w:r>
      <w:r w:rsidR="00AB13DC" w:rsidRPr="00EF1AF1">
        <w:rPr>
          <w:rFonts w:eastAsia="Calibri" w:cs="Arial"/>
          <w:szCs w:val="21"/>
        </w:rPr>
        <w:t>equirements to join the ANZSBT and affiliate with the ANZ</w:t>
      </w:r>
      <w:r>
        <w:rPr>
          <w:rFonts w:eastAsia="Calibri" w:cs="Arial"/>
          <w:szCs w:val="21"/>
        </w:rPr>
        <w:t xml:space="preserve">SBT </w:t>
      </w:r>
      <w:r w:rsidR="00AB13DC" w:rsidRPr="00EF1AF1">
        <w:rPr>
          <w:rFonts w:eastAsia="Calibri" w:cs="Arial"/>
          <w:szCs w:val="21"/>
        </w:rPr>
        <w:t>TP</w:t>
      </w:r>
      <w:r>
        <w:rPr>
          <w:rFonts w:eastAsia="Calibri" w:cs="Arial"/>
          <w:szCs w:val="21"/>
        </w:rPr>
        <w:t>WG</w:t>
      </w:r>
      <w:r w:rsidR="00AB13DC" w:rsidRPr="00EF1AF1">
        <w:rPr>
          <w:rFonts w:eastAsia="Calibri" w:cs="Arial"/>
          <w:szCs w:val="21"/>
        </w:rPr>
        <w:t xml:space="preserve"> are available at </w:t>
      </w:r>
      <w:hyperlink r:id="rId66" w:history="1">
        <w:r w:rsidR="00AB13DC" w:rsidRPr="00EF1AF1">
          <w:rPr>
            <w:rFonts w:eastAsia="Calibri" w:cs="Arial"/>
            <w:color w:val="0563C1"/>
            <w:szCs w:val="21"/>
            <w:u w:val="single"/>
          </w:rPr>
          <w:t>How to Join : ANZSBT</w:t>
        </w:r>
      </w:hyperlink>
      <w:r w:rsidR="00AB13DC" w:rsidRPr="00EF1AF1">
        <w:rPr>
          <w:rFonts w:eastAsia="Calibri" w:cs="Arial"/>
          <w:szCs w:val="21"/>
        </w:rPr>
        <w:t xml:space="preserve"> </w:t>
      </w:r>
      <w:r w:rsidR="00CC3C05">
        <w:rPr>
          <w:rFonts w:eastAsia="Calibri" w:cs="Arial"/>
          <w:szCs w:val="21"/>
        </w:rPr>
        <w:t>&lt;</w:t>
      </w:r>
      <w:r w:rsidR="00CC3C05" w:rsidRPr="00CC3C05">
        <w:rPr>
          <w:rFonts w:eastAsia="Calibri" w:cs="Arial"/>
          <w:szCs w:val="21"/>
        </w:rPr>
        <w:t>https://anzsbt.org.au/join-us/how-to-join/</w:t>
      </w:r>
      <w:r w:rsidR="00CC3C05">
        <w:rPr>
          <w:rFonts w:eastAsia="Calibri" w:cs="Arial"/>
          <w:szCs w:val="21"/>
        </w:rPr>
        <w:t>&gt;</w:t>
      </w:r>
    </w:p>
    <w:p w14:paraId="535F8BF6" w14:textId="77777777" w:rsidR="00AB13DC" w:rsidRPr="00AB13DC" w:rsidRDefault="00AB13DC" w:rsidP="00AB13DC">
      <w:pPr>
        <w:pStyle w:val="Heading4"/>
      </w:pPr>
      <w:r w:rsidRPr="00AB13DC">
        <w:t>ANZSBT guidelines</w:t>
      </w:r>
    </w:p>
    <w:p w14:paraId="3DAF9DE8" w14:textId="00E9CB23" w:rsidR="00206A9B" w:rsidRPr="00EF1AF1" w:rsidRDefault="00206A9B" w:rsidP="00206A9B">
      <w:pPr>
        <w:spacing w:after="160" w:line="259" w:lineRule="auto"/>
        <w:rPr>
          <w:rFonts w:eastAsia="Calibri" w:cs="Arial"/>
          <w:szCs w:val="21"/>
        </w:rPr>
      </w:pPr>
      <w:hyperlink r:id="rId67" w:history="1">
        <w:r w:rsidRPr="00206A9B">
          <w:rPr>
            <w:rStyle w:val="Hyperlink"/>
            <w:rFonts w:eastAsia="Calibri" w:cs="Arial"/>
            <w:szCs w:val="21"/>
          </w:rPr>
          <w:t>ANZSBT guidelines</w:t>
        </w:r>
      </w:hyperlink>
      <w:r w:rsidRPr="00EF1AF1">
        <w:rPr>
          <w:rFonts w:eastAsia="Calibri" w:cs="Arial"/>
          <w:szCs w:val="21"/>
        </w:rPr>
        <w:t xml:space="preserve"> </w:t>
      </w:r>
      <w:r>
        <w:rPr>
          <w:rFonts w:eastAsia="Calibri" w:cs="Arial"/>
          <w:szCs w:val="21"/>
        </w:rPr>
        <w:t>&lt;</w:t>
      </w:r>
      <w:hyperlink w:history="1"/>
      <w:r w:rsidRPr="009E1C53">
        <w:rPr>
          <w:rFonts w:eastAsia="Calibri" w:cs="Arial"/>
          <w:szCs w:val="21"/>
        </w:rPr>
        <w:t>https://anzsbt.org.au/guidelines-standards/anzsbt-guidelines/</w:t>
      </w:r>
      <w:r>
        <w:rPr>
          <w:rFonts w:eastAsia="Calibri" w:cs="Arial"/>
          <w:szCs w:val="21"/>
        </w:rPr>
        <w:t>&gt;</w:t>
      </w:r>
      <w:r w:rsidRPr="00EF1AF1">
        <w:rPr>
          <w:rFonts w:eastAsia="Calibri" w:cs="Arial"/>
          <w:szCs w:val="21"/>
        </w:rPr>
        <w:t xml:space="preserve"> </w:t>
      </w:r>
      <w:r w:rsidR="000028C1" w:rsidRPr="00EF1AF1">
        <w:rPr>
          <w:rFonts w:eastAsia="Calibri" w:cs="Arial"/>
          <w:szCs w:val="21"/>
        </w:rPr>
        <w:t xml:space="preserve">help inform </w:t>
      </w:r>
      <w:r w:rsidR="000028C1">
        <w:rPr>
          <w:rFonts w:eastAsia="Calibri" w:cs="Arial"/>
          <w:szCs w:val="21"/>
        </w:rPr>
        <w:t>transfusion</w:t>
      </w:r>
      <w:r w:rsidR="000028C1" w:rsidRPr="00EF1AF1">
        <w:rPr>
          <w:rFonts w:eastAsia="Calibri" w:cs="Arial"/>
          <w:szCs w:val="21"/>
        </w:rPr>
        <w:t xml:space="preserve"> practice</w:t>
      </w:r>
      <w:r w:rsidR="000028C1">
        <w:rPr>
          <w:rFonts w:eastAsia="Calibri" w:cs="Arial"/>
          <w:szCs w:val="21"/>
        </w:rPr>
        <w:t>.</w:t>
      </w:r>
    </w:p>
    <w:p w14:paraId="674B2153" w14:textId="55E66E9B" w:rsidR="00046CC3" w:rsidRPr="00EF1AF1" w:rsidRDefault="00206A9B" w:rsidP="00206A9B">
      <w:pPr>
        <w:spacing w:after="160" w:line="259" w:lineRule="auto"/>
        <w:rPr>
          <w:rFonts w:eastAsia="Calibri" w:cs="Arial"/>
          <w:szCs w:val="21"/>
        </w:rPr>
      </w:pPr>
      <w:r>
        <w:rPr>
          <w:rFonts w:eastAsia="Calibri" w:cs="Arial"/>
          <w:szCs w:val="21"/>
        </w:rPr>
        <w:t>The most frequently referred to</w:t>
      </w:r>
      <w:r w:rsidR="00046CC3">
        <w:rPr>
          <w:rFonts w:eastAsia="Calibri" w:cs="Arial"/>
          <w:szCs w:val="21"/>
        </w:rPr>
        <w:t xml:space="preserve"> are:</w:t>
      </w:r>
    </w:p>
    <w:p w14:paraId="6CE818A9" w14:textId="042E1D55" w:rsidR="00D06561" w:rsidRPr="00EF1AF1" w:rsidRDefault="00206A9B" w:rsidP="0003362E">
      <w:pPr>
        <w:numPr>
          <w:ilvl w:val="0"/>
          <w:numId w:val="11"/>
        </w:numPr>
        <w:spacing w:after="160" w:line="259" w:lineRule="auto"/>
        <w:rPr>
          <w:rFonts w:eastAsia="Calibri" w:cs="Arial"/>
          <w:szCs w:val="21"/>
        </w:rPr>
      </w:pPr>
      <w:r w:rsidRPr="00DD4316">
        <w:rPr>
          <w:rFonts w:eastAsia="Calibri"/>
        </w:rPr>
        <w:t>Guidelines for the Administration of Blood Products</w:t>
      </w:r>
      <w:r w:rsidR="00D06561" w:rsidRPr="00EF1AF1">
        <w:rPr>
          <w:rFonts w:eastAsia="Calibri" w:cs="Arial"/>
          <w:szCs w:val="21"/>
        </w:rPr>
        <w:t xml:space="preserve"> </w:t>
      </w:r>
    </w:p>
    <w:p w14:paraId="1F06F8F1" w14:textId="7828045E" w:rsidR="00D06561" w:rsidRPr="00EF1AF1" w:rsidRDefault="00206A9B" w:rsidP="0003362E">
      <w:pPr>
        <w:numPr>
          <w:ilvl w:val="0"/>
          <w:numId w:val="11"/>
        </w:numPr>
        <w:spacing w:after="160" w:line="259" w:lineRule="auto"/>
        <w:rPr>
          <w:rFonts w:eastAsia="Calibri" w:cs="Arial"/>
          <w:szCs w:val="21"/>
        </w:rPr>
      </w:pPr>
      <w:r w:rsidRPr="00DD4316">
        <w:rPr>
          <w:rFonts w:eastAsia="Calibri"/>
        </w:rPr>
        <w:t>Guidelines for the Prescription of Blood and Blood Products by Nurse Practitioners</w:t>
      </w:r>
    </w:p>
    <w:p w14:paraId="698909FE" w14:textId="323C76B9" w:rsidR="00D06561" w:rsidRPr="00EF1AF1" w:rsidRDefault="00206A9B" w:rsidP="0003362E">
      <w:pPr>
        <w:numPr>
          <w:ilvl w:val="0"/>
          <w:numId w:val="11"/>
        </w:numPr>
        <w:spacing w:after="160" w:line="259" w:lineRule="auto"/>
        <w:rPr>
          <w:rFonts w:eastAsia="Calibri" w:cs="Arial"/>
          <w:szCs w:val="21"/>
        </w:rPr>
      </w:pPr>
      <w:r w:rsidRPr="00DD4316">
        <w:rPr>
          <w:rFonts w:eastAsia="Calibri"/>
        </w:rPr>
        <w:t>Guidelines for the Implementation and Use of Electronic Medical Records for Transfusion</w:t>
      </w:r>
    </w:p>
    <w:p w14:paraId="49514A50" w14:textId="54A35253" w:rsidR="00D06561" w:rsidRPr="00EF1AF1" w:rsidRDefault="00206A9B" w:rsidP="0003362E">
      <w:pPr>
        <w:numPr>
          <w:ilvl w:val="0"/>
          <w:numId w:val="11"/>
        </w:numPr>
        <w:spacing w:after="160" w:line="259" w:lineRule="auto"/>
        <w:rPr>
          <w:rFonts w:eastAsia="Calibri" w:cs="Arial"/>
          <w:szCs w:val="21"/>
        </w:rPr>
      </w:pPr>
      <w:r w:rsidRPr="00DD4316">
        <w:rPr>
          <w:rFonts w:eastAsia="Calibri"/>
        </w:rPr>
        <w:t>Prevention of Transfusion-Associated Graft-Versus-Host Disease (TA-GVHD)</w:t>
      </w:r>
    </w:p>
    <w:p w14:paraId="4E9CAE43" w14:textId="189A200F" w:rsidR="00D06561" w:rsidRPr="00EF1AF1" w:rsidRDefault="00206A9B" w:rsidP="0003362E">
      <w:pPr>
        <w:numPr>
          <w:ilvl w:val="0"/>
          <w:numId w:val="11"/>
        </w:numPr>
        <w:spacing w:after="160" w:line="259" w:lineRule="auto"/>
        <w:rPr>
          <w:rFonts w:eastAsia="Calibri" w:cs="Arial"/>
          <w:szCs w:val="21"/>
        </w:rPr>
      </w:pPr>
      <w:r w:rsidRPr="00DD4316">
        <w:rPr>
          <w:rFonts w:eastAsia="Calibri"/>
        </w:rPr>
        <w:t xml:space="preserve">Guidelines for Transfusion and </w:t>
      </w:r>
      <w:proofErr w:type="spellStart"/>
      <w:r w:rsidRPr="00DD4316">
        <w:rPr>
          <w:rFonts w:eastAsia="Calibri"/>
        </w:rPr>
        <w:t>Immunohaematology</w:t>
      </w:r>
      <w:proofErr w:type="spellEnd"/>
      <w:r w:rsidRPr="00DD4316">
        <w:rPr>
          <w:rFonts w:eastAsia="Calibri"/>
        </w:rPr>
        <w:t xml:space="preserve"> Laboratory Practice</w:t>
      </w:r>
    </w:p>
    <w:p w14:paraId="34DC72BB" w14:textId="009C3D32" w:rsidR="00D734E0" w:rsidRPr="00D734E0" w:rsidRDefault="00D734E0" w:rsidP="00D734E0">
      <w:pPr>
        <w:pStyle w:val="Heading3"/>
      </w:pPr>
      <w:bookmarkStart w:id="23" w:name="_Toc184376929"/>
      <w:r w:rsidRPr="00D734E0">
        <w:t>Resources -</w:t>
      </w:r>
      <w:bookmarkStart w:id="24" w:name="Guidelines"/>
      <w:r w:rsidR="00CC3C05">
        <w:t xml:space="preserve"> </w:t>
      </w:r>
      <w:r w:rsidRPr="00D734E0">
        <w:t>guidelines and standards</w:t>
      </w:r>
      <w:bookmarkEnd w:id="23"/>
      <w:bookmarkEnd w:id="24"/>
    </w:p>
    <w:p w14:paraId="2443F38C" w14:textId="515055BE" w:rsidR="00D734E0" w:rsidRPr="00206A9B" w:rsidRDefault="00FE6765" w:rsidP="00FE6765">
      <w:pPr>
        <w:spacing w:after="160" w:line="259" w:lineRule="auto"/>
        <w:rPr>
          <w:rFonts w:eastAsia="Calibri" w:cs="Arial"/>
          <w:szCs w:val="21"/>
        </w:rPr>
      </w:pPr>
      <w:r>
        <w:rPr>
          <w:rFonts w:eastAsia="Calibri" w:cs="Arial"/>
          <w:szCs w:val="21"/>
        </w:rPr>
        <w:t>Additional</w:t>
      </w:r>
      <w:r w:rsidR="00D734E0" w:rsidRPr="00206A9B">
        <w:rPr>
          <w:rFonts w:eastAsia="Calibri" w:cs="Arial"/>
          <w:szCs w:val="21"/>
        </w:rPr>
        <w:t xml:space="preserve"> resources to support your work </w:t>
      </w:r>
      <w:r>
        <w:rPr>
          <w:rFonts w:eastAsia="Calibri" w:cs="Arial"/>
          <w:szCs w:val="21"/>
        </w:rPr>
        <w:t>are:</w:t>
      </w:r>
    </w:p>
    <w:p w14:paraId="05A5F901" w14:textId="11F63F50" w:rsidR="00206A9B" w:rsidRPr="00DD4316" w:rsidRDefault="00206A9B" w:rsidP="0003362E">
      <w:pPr>
        <w:numPr>
          <w:ilvl w:val="0"/>
          <w:numId w:val="11"/>
        </w:numPr>
        <w:spacing w:after="160" w:line="259" w:lineRule="auto"/>
        <w:rPr>
          <w:rFonts w:eastAsia="Calibri"/>
        </w:rPr>
      </w:pPr>
      <w:hyperlink r:id="rId68" w:history="1">
        <w:r w:rsidRPr="00206A9B">
          <w:rPr>
            <w:rStyle w:val="Hyperlink"/>
            <w:rFonts w:eastAsia="Calibri" w:cs="Arial"/>
            <w:szCs w:val="21"/>
          </w:rPr>
          <w:t>Guideline for the propphylactic use of Rh D immunoglobulin in pregnancy care</w:t>
        </w:r>
      </w:hyperlink>
      <w:r w:rsidR="00B25212">
        <w:rPr>
          <w:rFonts w:eastAsia="Calibri" w:cs="Arial"/>
          <w:szCs w:val="21"/>
        </w:rPr>
        <w:t xml:space="preserve"> </w:t>
      </w:r>
      <w:r w:rsidRPr="00DD4316">
        <w:rPr>
          <w:rFonts w:eastAsia="Calibri"/>
        </w:rPr>
        <w:t>&lt;https://www.blood.gov.au/guideline-prophylactic-use-rh-d-immunoglobulin-pregnancy-care&gt;</w:t>
      </w:r>
    </w:p>
    <w:p w14:paraId="6788CECD" w14:textId="7FAB8CD6" w:rsidR="00D734E0" w:rsidRPr="00206A9B" w:rsidRDefault="001E5A6F" w:rsidP="0003362E">
      <w:pPr>
        <w:numPr>
          <w:ilvl w:val="0"/>
          <w:numId w:val="11"/>
        </w:numPr>
        <w:spacing w:after="160" w:line="259" w:lineRule="auto"/>
        <w:rPr>
          <w:rFonts w:eastAsia="Calibri" w:cs="Arial"/>
          <w:szCs w:val="21"/>
        </w:rPr>
      </w:pPr>
      <w:hyperlink r:id="rId69" w:history="1">
        <w:r w:rsidRPr="001E5A6F">
          <w:rPr>
            <w:rStyle w:val="Hyperlink"/>
          </w:rPr>
          <w:t>Updated recommendations for warfarin reversal in the setting of four-factor prothrombin complex concentrate</w:t>
        </w:r>
      </w:hyperlink>
      <w:r w:rsidR="00BB08E3" w:rsidRPr="00206A9B">
        <w:rPr>
          <w:rFonts w:eastAsia="Calibri" w:cs="Arial"/>
          <w:szCs w:val="21"/>
        </w:rPr>
        <w:t>)</w:t>
      </w:r>
      <w:r w:rsidR="00CC3C05" w:rsidRPr="00206A9B">
        <w:rPr>
          <w:rFonts w:eastAsia="Calibri" w:cs="Arial"/>
          <w:szCs w:val="21"/>
        </w:rPr>
        <w:t xml:space="preserve"> &lt;</w:t>
      </w:r>
      <w:r w:rsidRPr="001E5A6F">
        <w:rPr>
          <w:rFonts w:eastAsia="Calibri" w:cs="Arial"/>
          <w:szCs w:val="21"/>
        </w:rPr>
        <w:t>https://www.thanz.org.au/wp-content/uploads/2024/11/Updated-recommendations-for-warfarin-reversal-in-the4F-PCC-guideline-update-Nov-2024.pdf</w:t>
      </w:r>
      <w:r w:rsidR="00CC3C05" w:rsidRPr="00206A9B">
        <w:rPr>
          <w:rFonts w:eastAsia="Calibri" w:cs="Arial"/>
          <w:szCs w:val="21"/>
        </w:rPr>
        <w:t>l&gt;</w:t>
      </w:r>
    </w:p>
    <w:p w14:paraId="30161425" w14:textId="38C1030D" w:rsidR="00EF1AF1" w:rsidRPr="00F04900" w:rsidRDefault="000F4A63" w:rsidP="00F04900">
      <w:pPr>
        <w:numPr>
          <w:ilvl w:val="0"/>
          <w:numId w:val="11"/>
        </w:numPr>
        <w:spacing w:after="160" w:line="259" w:lineRule="auto"/>
        <w:rPr>
          <w:rFonts w:eastAsia="Calibri" w:cs="Arial"/>
          <w:szCs w:val="21"/>
        </w:rPr>
      </w:pPr>
      <w:hyperlink r:id="rId70" w:history="1">
        <w:r w:rsidRPr="00B25212">
          <w:rPr>
            <w:rStyle w:val="Hyperlink"/>
            <w:rFonts w:eastAsia="Calibri" w:cs="Arial"/>
            <w:szCs w:val="21"/>
          </w:rPr>
          <w:t xml:space="preserve">Royal </w:t>
        </w:r>
        <w:r w:rsidR="00046CC3" w:rsidRPr="00B25212">
          <w:rPr>
            <w:rStyle w:val="Hyperlink"/>
            <w:rFonts w:eastAsia="Calibri" w:cs="Arial"/>
            <w:szCs w:val="21"/>
          </w:rPr>
          <w:t>Children’s</w:t>
        </w:r>
        <w:r w:rsidRPr="00B25212">
          <w:rPr>
            <w:rStyle w:val="Hyperlink"/>
            <w:rFonts w:eastAsia="Calibri" w:cs="Arial"/>
            <w:szCs w:val="21"/>
          </w:rPr>
          <w:t xml:space="preserve"> Hospital</w:t>
        </w:r>
        <w:r w:rsidR="00E326F7" w:rsidRPr="00B25212">
          <w:rPr>
            <w:rStyle w:val="Hyperlink"/>
            <w:rFonts w:eastAsia="Calibri" w:cs="Arial"/>
            <w:szCs w:val="21"/>
          </w:rPr>
          <w:t xml:space="preserve"> Melbourne</w:t>
        </w:r>
      </w:hyperlink>
      <w:r w:rsidR="00E326F7" w:rsidRPr="00206A9B">
        <w:rPr>
          <w:rFonts w:eastAsia="Calibri" w:cs="Arial"/>
          <w:szCs w:val="21"/>
        </w:rPr>
        <w:t xml:space="preserve">, </w:t>
      </w:r>
      <w:hyperlink r:id="rId71" w:history="1">
        <w:r w:rsidR="00CC3C05" w:rsidRPr="00DD4316">
          <w:rPr>
            <w:rFonts w:eastAsia="Calibri"/>
          </w:rPr>
          <w:t>&lt;</w:t>
        </w:r>
      </w:hyperlink>
      <w:r w:rsidR="00CC3C05" w:rsidRPr="00DD4316">
        <w:rPr>
          <w:rFonts w:eastAsia="Calibri"/>
        </w:rPr>
        <w:t>https://www.rch.org.au/bloodtrans/&gt;</w:t>
      </w:r>
    </w:p>
    <w:p w14:paraId="4DD1503E" w14:textId="10FF6017" w:rsidR="00F15F74" w:rsidRDefault="00F15F74" w:rsidP="00F15F74">
      <w:pPr>
        <w:pStyle w:val="Heading2"/>
        <w:rPr>
          <w:rFonts w:eastAsia="Times"/>
        </w:rPr>
      </w:pPr>
      <w:bookmarkStart w:id="25" w:name="_Toc184376930"/>
      <w:r w:rsidRPr="00F15F74">
        <w:rPr>
          <w:rFonts w:eastAsia="Times"/>
        </w:rPr>
        <w:t>International organisations</w:t>
      </w:r>
      <w:bookmarkEnd w:id="25"/>
    </w:p>
    <w:p w14:paraId="18446E6B" w14:textId="0B33DAC2" w:rsidR="00F15F74" w:rsidRDefault="00F15F74" w:rsidP="00F15F74">
      <w:pPr>
        <w:pStyle w:val="Heading3"/>
      </w:pPr>
      <w:bookmarkStart w:id="26" w:name="_Toc60825668"/>
      <w:bookmarkStart w:id="27" w:name="_Toc184376931"/>
      <w:r w:rsidRPr="00F15F74">
        <w:t>I</w:t>
      </w:r>
      <w:r w:rsidR="00FE364B">
        <w:t xml:space="preserve">nternational </w:t>
      </w:r>
      <w:r w:rsidRPr="00F15F74">
        <w:t>S</w:t>
      </w:r>
      <w:r w:rsidR="00FE364B">
        <w:t xml:space="preserve">ociety of </w:t>
      </w:r>
      <w:r w:rsidRPr="00F15F74">
        <w:t>B</w:t>
      </w:r>
      <w:r w:rsidR="00FE364B">
        <w:t xml:space="preserve">lood </w:t>
      </w:r>
      <w:r w:rsidRPr="00F15F74">
        <w:t>T</w:t>
      </w:r>
      <w:r w:rsidR="00FE364B">
        <w:t>ransfusion</w:t>
      </w:r>
      <w:r w:rsidRPr="00F15F74">
        <w:t xml:space="preserve"> and T</w:t>
      </w:r>
      <w:r w:rsidR="00FE364B">
        <w:t xml:space="preserve">ransfusion </w:t>
      </w:r>
      <w:r w:rsidRPr="00F15F74">
        <w:t>P</w:t>
      </w:r>
      <w:r w:rsidR="00FE364B">
        <w:t>ractitioner</w:t>
      </w:r>
      <w:r w:rsidRPr="00F15F74">
        <w:t xml:space="preserve"> forum</w:t>
      </w:r>
      <w:bookmarkEnd w:id="26"/>
      <w:bookmarkEnd w:id="27"/>
    </w:p>
    <w:p w14:paraId="2734BDE5" w14:textId="515C7560" w:rsidR="00F15F74" w:rsidRPr="00EF1AF1" w:rsidRDefault="00F15F74" w:rsidP="00F15F74">
      <w:pPr>
        <w:pStyle w:val="Body"/>
        <w:rPr>
          <w:szCs w:val="21"/>
        </w:rPr>
      </w:pPr>
      <w:bookmarkStart w:id="28" w:name="_Hlk124769075"/>
      <w:r w:rsidRPr="00EF1AF1">
        <w:rPr>
          <w:szCs w:val="21"/>
        </w:rPr>
        <w:t>The International Society of Blood Transfusion (ISBT)</w:t>
      </w:r>
      <w:bookmarkEnd w:id="28"/>
      <w:r w:rsidR="00A304B4">
        <w:rPr>
          <w:szCs w:val="21"/>
        </w:rPr>
        <w:t xml:space="preserve"> was founded in 1935</w:t>
      </w:r>
      <w:r w:rsidR="00CC3C05">
        <w:rPr>
          <w:szCs w:val="21"/>
        </w:rPr>
        <w:t>. Transfusion profession</w:t>
      </w:r>
      <w:r w:rsidR="00D45961">
        <w:rPr>
          <w:szCs w:val="21"/>
        </w:rPr>
        <w:t>al</w:t>
      </w:r>
      <w:r w:rsidR="00CC3C05">
        <w:rPr>
          <w:szCs w:val="21"/>
        </w:rPr>
        <w:t xml:space="preserve">s from over </w:t>
      </w:r>
      <w:r w:rsidR="004B7E33">
        <w:rPr>
          <w:szCs w:val="21"/>
        </w:rPr>
        <w:t>one hundred</w:t>
      </w:r>
      <w:r w:rsidR="00CC3C05">
        <w:rPr>
          <w:szCs w:val="21"/>
        </w:rPr>
        <w:t xml:space="preserve"> countries across the globe</w:t>
      </w:r>
      <w:r w:rsidR="00A304B4">
        <w:rPr>
          <w:szCs w:val="21"/>
        </w:rPr>
        <w:t xml:space="preserve"> </w:t>
      </w:r>
      <w:r w:rsidRPr="00EF1AF1">
        <w:rPr>
          <w:szCs w:val="21"/>
        </w:rPr>
        <w:t xml:space="preserve">come together </w:t>
      </w:r>
      <w:bookmarkStart w:id="29" w:name="_Hlk124769124"/>
      <w:r w:rsidR="00D45961">
        <w:rPr>
          <w:szCs w:val="21"/>
        </w:rPr>
        <w:t>and</w:t>
      </w:r>
      <w:r w:rsidR="00CC3C05" w:rsidRPr="00EF1AF1">
        <w:rPr>
          <w:szCs w:val="21"/>
        </w:rPr>
        <w:t xml:space="preserve"> </w:t>
      </w:r>
      <w:r w:rsidRPr="00EF1AF1">
        <w:rPr>
          <w:szCs w:val="21"/>
        </w:rPr>
        <w:t>share knowledge</w:t>
      </w:r>
      <w:r w:rsidR="00DA5F2A">
        <w:rPr>
          <w:szCs w:val="21"/>
        </w:rPr>
        <w:t xml:space="preserve"> on blood transfusion and how</w:t>
      </w:r>
      <w:r w:rsidR="00200E3F">
        <w:rPr>
          <w:szCs w:val="21"/>
        </w:rPr>
        <w:t xml:space="preserve"> </w:t>
      </w:r>
      <w:r w:rsidR="00D45961">
        <w:rPr>
          <w:szCs w:val="21"/>
        </w:rPr>
        <w:t>to</w:t>
      </w:r>
      <w:r w:rsidR="00D45961" w:rsidRPr="00EF1AF1">
        <w:rPr>
          <w:szCs w:val="21"/>
        </w:rPr>
        <w:t xml:space="preserve"> </w:t>
      </w:r>
      <w:r w:rsidRPr="00EF1AF1">
        <w:rPr>
          <w:szCs w:val="21"/>
        </w:rPr>
        <w:t xml:space="preserve">improve the safety of blood transfusion worldwide. </w:t>
      </w:r>
    </w:p>
    <w:bookmarkEnd w:id="29"/>
    <w:p w14:paraId="2D65C26C" w14:textId="0197C796" w:rsidR="00F15F74" w:rsidRPr="00EF1AF1" w:rsidRDefault="00F15F74" w:rsidP="00F15F74">
      <w:pPr>
        <w:pStyle w:val="Body"/>
        <w:rPr>
          <w:szCs w:val="21"/>
        </w:rPr>
      </w:pPr>
      <w:r w:rsidRPr="00EF1AF1">
        <w:rPr>
          <w:szCs w:val="21"/>
        </w:rPr>
        <w:t>The society</w:t>
      </w:r>
      <w:r w:rsidR="00200E3F">
        <w:rPr>
          <w:szCs w:val="21"/>
        </w:rPr>
        <w:t xml:space="preserve"> has working parties promoting science, </w:t>
      </w:r>
      <w:r w:rsidR="00994221">
        <w:rPr>
          <w:szCs w:val="21"/>
        </w:rPr>
        <w:t>research,</w:t>
      </w:r>
      <w:r w:rsidR="00200E3F">
        <w:rPr>
          <w:szCs w:val="21"/>
        </w:rPr>
        <w:t xml:space="preserve"> and best practice in their area of expertise across the transfusion chain. </w:t>
      </w:r>
      <w:r w:rsidRPr="00EF1AF1">
        <w:rPr>
          <w:szCs w:val="21"/>
        </w:rPr>
        <w:t>They have created an educational platform; the ISBT Academy</w:t>
      </w:r>
      <w:r w:rsidR="00200E3F">
        <w:rPr>
          <w:szCs w:val="21"/>
        </w:rPr>
        <w:t xml:space="preserve"> with </w:t>
      </w:r>
      <w:hyperlink r:id="rId72" w:history="1">
        <w:r w:rsidR="00200E3F" w:rsidRPr="00200E3F">
          <w:rPr>
            <w:rStyle w:val="Hyperlink"/>
            <w:szCs w:val="21"/>
          </w:rPr>
          <w:t>courses endorsed by ISBT</w:t>
        </w:r>
      </w:hyperlink>
      <w:r w:rsidR="00200E3F">
        <w:rPr>
          <w:szCs w:val="21"/>
        </w:rPr>
        <w:t xml:space="preserve"> &lt;</w:t>
      </w:r>
      <w:r w:rsidR="00200E3F" w:rsidRPr="00200E3F">
        <w:rPr>
          <w:szCs w:val="21"/>
        </w:rPr>
        <w:t>https://www.isbtweb.org/isbt-academy-support/endorsed-courses.html</w:t>
      </w:r>
      <w:r w:rsidR="00200E3F">
        <w:rPr>
          <w:szCs w:val="21"/>
        </w:rPr>
        <w:t xml:space="preserve">&gt; and </w:t>
      </w:r>
      <w:hyperlink r:id="rId73" w:history="1">
        <w:r w:rsidR="00200E3F" w:rsidRPr="00200E3F">
          <w:rPr>
            <w:rStyle w:val="Hyperlink"/>
            <w:szCs w:val="21"/>
          </w:rPr>
          <w:t>eLearning shop</w:t>
        </w:r>
      </w:hyperlink>
      <w:r w:rsidR="00200E3F">
        <w:rPr>
          <w:szCs w:val="21"/>
        </w:rPr>
        <w:t xml:space="preserve"> &lt;</w:t>
      </w:r>
      <w:r w:rsidR="00200E3F" w:rsidRPr="00200E3F">
        <w:rPr>
          <w:szCs w:val="21"/>
        </w:rPr>
        <w:t>https://www.isbtweb.org/shop.html</w:t>
      </w:r>
      <w:r w:rsidR="00200E3F">
        <w:rPr>
          <w:szCs w:val="21"/>
        </w:rPr>
        <w:t xml:space="preserve">&gt;. </w:t>
      </w:r>
      <w:r w:rsidRPr="00EF1AF1">
        <w:rPr>
          <w:szCs w:val="21"/>
        </w:rPr>
        <w:t xml:space="preserve"> </w:t>
      </w:r>
      <w:r w:rsidR="00200E3F">
        <w:rPr>
          <w:szCs w:val="21"/>
        </w:rPr>
        <w:t>Education offerings by ISBT</w:t>
      </w:r>
      <w:r w:rsidRPr="00EF1AF1">
        <w:rPr>
          <w:szCs w:val="21"/>
        </w:rPr>
        <w:t xml:space="preserve"> includes webcasts of ISBT congress presentations and a library of transfusion guidelines. </w:t>
      </w:r>
    </w:p>
    <w:p w14:paraId="33E086F9" w14:textId="77777777" w:rsidR="00F15F74" w:rsidRPr="00EF1AF1" w:rsidRDefault="00F15F74" w:rsidP="00F15F74">
      <w:pPr>
        <w:pStyle w:val="Body"/>
        <w:rPr>
          <w:szCs w:val="21"/>
        </w:rPr>
      </w:pPr>
      <w:r w:rsidRPr="00EF1AF1">
        <w:rPr>
          <w:szCs w:val="21"/>
        </w:rPr>
        <w:t>In addition, the society:</w:t>
      </w:r>
    </w:p>
    <w:p w14:paraId="47A6BAD9" w14:textId="21B88812" w:rsidR="00F15F74" w:rsidRPr="00EF1AF1" w:rsidRDefault="00A304B4" w:rsidP="0003362E">
      <w:pPr>
        <w:pStyle w:val="Body"/>
        <w:numPr>
          <w:ilvl w:val="0"/>
          <w:numId w:val="14"/>
        </w:numPr>
        <w:rPr>
          <w:szCs w:val="21"/>
        </w:rPr>
      </w:pPr>
      <w:r>
        <w:rPr>
          <w:szCs w:val="21"/>
        </w:rPr>
        <w:t>e</w:t>
      </w:r>
      <w:r w:rsidR="00F15F74" w:rsidRPr="00EF1AF1">
        <w:rPr>
          <w:szCs w:val="21"/>
        </w:rPr>
        <w:t xml:space="preserve">ncourages and supports the ISBT Working Parties that focus on the study of specific topics. </w:t>
      </w:r>
    </w:p>
    <w:p w14:paraId="625B001B" w14:textId="3B18F94D" w:rsidR="00F15F74" w:rsidRPr="00EF1AF1" w:rsidRDefault="00EC3EF3" w:rsidP="0003362E">
      <w:pPr>
        <w:pStyle w:val="Body"/>
        <w:numPr>
          <w:ilvl w:val="0"/>
          <w:numId w:val="14"/>
        </w:numPr>
        <w:rPr>
          <w:szCs w:val="21"/>
        </w:rPr>
      </w:pPr>
      <w:r>
        <w:rPr>
          <w:szCs w:val="21"/>
        </w:rPr>
        <w:t>p</w:t>
      </w:r>
      <w:r w:rsidR="00F15F74" w:rsidRPr="00EF1AF1">
        <w:rPr>
          <w:szCs w:val="21"/>
        </w:rPr>
        <w:t>ublish a scientific journal</w:t>
      </w:r>
      <w:r w:rsidR="00E87C32">
        <w:rPr>
          <w:szCs w:val="21"/>
        </w:rPr>
        <w:t>,</w:t>
      </w:r>
      <w:r w:rsidR="00F15F74" w:rsidRPr="00EF1AF1">
        <w:rPr>
          <w:szCs w:val="21"/>
        </w:rPr>
        <w:t xml:space="preserve"> Vox Sanguinis</w:t>
      </w:r>
      <w:r w:rsidR="00E87C32">
        <w:rPr>
          <w:szCs w:val="21"/>
        </w:rPr>
        <w:t>,</w:t>
      </w:r>
      <w:r w:rsidR="00F15F74" w:rsidRPr="00EF1AF1">
        <w:rPr>
          <w:szCs w:val="21"/>
        </w:rPr>
        <w:t xml:space="preserve"> and provide other high quality educational print and electronic material.</w:t>
      </w:r>
    </w:p>
    <w:p w14:paraId="581FED84" w14:textId="6BD42A6B" w:rsidR="00F15F74" w:rsidRPr="00EF1AF1" w:rsidRDefault="00EC3EF3" w:rsidP="0003362E">
      <w:pPr>
        <w:pStyle w:val="Body"/>
        <w:numPr>
          <w:ilvl w:val="0"/>
          <w:numId w:val="14"/>
        </w:numPr>
        <w:rPr>
          <w:szCs w:val="21"/>
        </w:rPr>
      </w:pPr>
      <w:r>
        <w:rPr>
          <w:szCs w:val="21"/>
        </w:rPr>
        <w:t>o</w:t>
      </w:r>
      <w:r w:rsidR="00F15F74" w:rsidRPr="00EF1AF1">
        <w:rPr>
          <w:szCs w:val="21"/>
        </w:rPr>
        <w:t xml:space="preserve">rganise </w:t>
      </w:r>
      <w:r w:rsidR="00A22CDB" w:rsidRPr="00EF1AF1">
        <w:rPr>
          <w:szCs w:val="21"/>
        </w:rPr>
        <w:t>i</w:t>
      </w:r>
      <w:r w:rsidR="00F15F74" w:rsidRPr="00EF1AF1">
        <w:rPr>
          <w:szCs w:val="21"/>
        </w:rPr>
        <w:t xml:space="preserve">nternational and </w:t>
      </w:r>
      <w:r w:rsidR="00A22CDB" w:rsidRPr="00EF1AF1">
        <w:rPr>
          <w:szCs w:val="21"/>
        </w:rPr>
        <w:t>r</w:t>
      </w:r>
      <w:r w:rsidR="00F15F74" w:rsidRPr="00EF1AF1">
        <w:rPr>
          <w:szCs w:val="21"/>
        </w:rPr>
        <w:t>egional congresses.</w:t>
      </w:r>
    </w:p>
    <w:p w14:paraId="5BE7B565" w14:textId="456C39C4" w:rsidR="00F15F74" w:rsidRPr="00EF1AF1" w:rsidRDefault="00EC3EF3" w:rsidP="0003362E">
      <w:pPr>
        <w:pStyle w:val="Body"/>
        <w:numPr>
          <w:ilvl w:val="0"/>
          <w:numId w:val="14"/>
        </w:numPr>
        <w:rPr>
          <w:szCs w:val="21"/>
        </w:rPr>
      </w:pPr>
      <w:r>
        <w:rPr>
          <w:szCs w:val="21"/>
        </w:rPr>
        <w:lastRenderedPageBreak/>
        <w:t>s</w:t>
      </w:r>
      <w:r w:rsidR="00F15F74" w:rsidRPr="00EF1AF1">
        <w:rPr>
          <w:szCs w:val="21"/>
        </w:rPr>
        <w:t>upport and participate in regional workshops, seminars, and congresses either financially or by use of the ISBT logo.</w:t>
      </w:r>
    </w:p>
    <w:p w14:paraId="6326D8BA" w14:textId="63F0E772" w:rsidR="00F15F74" w:rsidRPr="00EF1AF1" w:rsidRDefault="00EC3EF3" w:rsidP="0003362E">
      <w:pPr>
        <w:pStyle w:val="Body"/>
        <w:numPr>
          <w:ilvl w:val="0"/>
          <w:numId w:val="14"/>
        </w:numPr>
        <w:rPr>
          <w:szCs w:val="21"/>
        </w:rPr>
      </w:pPr>
      <w:r>
        <w:rPr>
          <w:szCs w:val="21"/>
        </w:rPr>
        <w:t>s</w:t>
      </w:r>
      <w:r w:rsidR="00F15F74" w:rsidRPr="00EF1AF1">
        <w:rPr>
          <w:szCs w:val="21"/>
        </w:rPr>
        <w:t xml:space="preserve">upport professionals from low and medium development index countries financially. </w:t>
      </w:r>
    </w:p>
    <w:p w14:paraId="007E820D" w14:textId="4B8FC214" w:rsidR="00F15F74" w:rsidRPr="00B25212" w:rsidRDefault="00F15F74" w:rsidP="00F15F74">
      <w:pPr>
        <w:pStyle w:val="Body"/>
        <w:rPr>
          <w:szCs w:val="21"/>
        </w:rPr>
      </w:pPr>
      <w:hyperlink r:id="rId74" w:history="1">
        <w:r w:rsidRPr="00B25212">
          <w:rPr>
            <w:rStyle w:val="Hyperlink"/>
            <w:szCs w:val="21"/>
          </w:rPr>
          <w:t>Membership information</w:t>
        </w:r>
      </w:hyperlink>
      <w:r w:rsidRPr="00EF1AF1">
        <w:rPr>
          <w:szCs w:val="21"/>
        </w:rPr>
        <w:t xml:space="preserve">: </w:t>
      </w:r>
      <w:r w:rsidR="00CC3C05">
        <w:rPr>
          <w:szCs w:val="21"/>
        </w:rPr>
        <w:t>&lt;</w:t>
      </w:r>
      <w:r w:rsidR="00B25212" w:rsidRPr="00DD4316">
        <w:t>http://www.isbtweb.org/my-isbt/isbt-membership/</w:t>
      </w:r>
      <w:r w:rsidR="00CC3C05" w:rsidRPr="00DD4316">
        <w:rPr>
          <w:rStyle w:val="Hyperlink"/>
          <w:color w:val="auto"/>
          <w:szCs w:val="21"/>
          <w:u w:val="none"/>
        </w:rPr>
        <w:t>&gt;</w:t>
      </w:r>
    </w:p>
    <w:p w14:paraId="1A1C221C" w14:textId="79D41624" w:rsidR="00F15F74" w:rsidRPr="00F15F74" w:rsidRDefault="00F15F74" w:rsidP="00F15F74">
      <w:pPr>
        <w:pStyle w:val="Heading4"/>
      </w:pPr>
      <w:bookmarkStart w:id="30" w:name="_Toc60825669"/>
      <w:r w:rsidRPr="00F15F74">
        <w:t xml:space="preserve">Transfusion Practitioner (TP) </w:t>
      </w:r>
      <w:bookmarkEnd w:id="30"/>
      <w:r w:rsidR="001C38C7">
        <w:t>Community</w:t>
      </w:r>
    </w:p>
    <w:p w14:paraId="39D5A4DA" w14:textId="1F7C057A" w:rsidR="00F15F74" w:rsidRPr="00EF1AF1" w:rsidRDefault="001C38C7" w:rsidP="00F15F74">
      <w:pPr>
        <w:pStyle w:val="Body"/>
        <w:rPr>
          <w:szCs w:val="21"/>
        </w:rPr>
      </w:pPr>
      <w:r>
        <w:rPr>
          <w:szCs w:val="21"/>
        </w:rPr>
        <w:t>The</w:t>
      </w:r>
      <w:r w:rsidR="00F15F74" w:rsidRPr="00EF1AF1">
        <w:rPr>
          <w:szCs w:val="21"/>
        </w:rPr>
        <w:t xml:space="preserve"> Transfusion Practitioners (TP) </w:t>
      </w:r>
      <w:r w:rsidR="00646F19">
        <w:rPr>
          <w:szCs w:val="21"/>
        </w:rPr>
        <w:t>community is a subgroup of the ISBT Clinical Transfusion working party. It</w:t>
      </w:r>
      <w:r w:rsidR="00646F19" w:rsidRPr="00EF1AF1">
        <w:rPr>
          <w:szCs w:val="21"/>
        </w:rPr>
        <w:t xml:space="preserve"> </w:t>
      </w:r>
      <w:r w:rsidR="00646F19">
        <w:rPr>
          <w:szCs w:val="21"/>
        </w:rPr>
        <w:t>was</w:t>
      </w:r>
      <w:r w:rsidR="00F15F74" w:rsidRPr="00EF1AF1">
        <w:rPr>
          <w:szCs w:val="21"/>
        </w:rPr>
        <w:t xml:space="preserve"> established to promote the role and value of TPs within the international blood sector. The </w:t>
      </w:r>
      <w:r w:rsidR="00646F19">
        <w:rPr>
          <w:szCs w:val="21"/>
        </w:rPr>
        <w:t>groups</w:t>
      </w:r>
      <w:r w:rsidR="00CA3100">
        <w:rPr>
          <w:szCs w:val="21"/>
        </w:rPr>
        <w:t>’</w:t>
      </w:r>
      <w:r w:rsidR="00646F19">
        <w:rPr>
          <w:szCs w:val="21"/>
        </w:rPr>
        <w:t xml:space="preserve"> objectives are to develop educational tools and resources, create a network to promote knowledge sharing, </w:t>
      </w:r>
      <w:r w:rsidR="00994221">
        <w:rPr>
          <w:szCs w:val="21"/>
        </w:rPr>
        <w:t>research,</w:t>
      </w:r>
      <w:r w:rsidR="00646F19">
        <w:rPr>
          <w:szCs w:val="21"/>
        </w:rPr>
        <w:t xml:space="preserve"> and ideas, as well as </w:t>
      </w:r>
      <w:r w:rsidR="004B7E33">
        <w:rPr>
          <w:szCs w:val="21"/>
        </w:rPr>
        <w:t>function as</w:t>
      </w:r>
      <w:r w:rsidR="00646F19">
        <w:rPr>
          <w:szCs w:val="21"/>
        </w:rPr>
        <w:t xml:space="preserve"> an international </w:t>
      </w:r>
      <w:r w:rsidR="00F15F74" w:rsidRPr="00EF1AF1">
        <w:rPr>
          <w:szCs w:val="21"/>
        </w:rPr>
        <w:t xml:space="preserve">forum </w:t>
      </w:r>
      <w:r w:rsidR="00646F19">
        <w:rPr>
          <w:szCs w:val="21"/>
        </w:rPr>
        <w:t>for discussion.</w:t>
      </w:r>
      <w:r w:rsidR="00F15F74" w:rsidRPr="00EF1AF1">
        <w:rPr>
          <w:szCs w:val="21"/>
        </w:rPr>
        <w:t xml:space="preserve"> </w:t>
      </w:r>
    </w:p>
    <w:p w14:paraId="4A4D5A3F" w14:textId="37F0257F" w:rsidR="00A22CDB" w:rsidRDefault="00A64BCA" w:rsidP="00F15F74">
      <w:pPr>
        <w:pStyle w:val="Body"/>
        <w:rPr>
          <w:szCs w:val="21"/>
        </w:rPr>
      </w:pPr>
      <w:r w:rsidRPr="00EF1AF1">
        <w:rPr>
          <w:szCs w:val="21"/>
        </w:rPr>
        <w:t xml:space="preserve">With ISBT the TP subgroup has produced </w:t>
      </w:r>
      <w:hyperlink r:id="rId75" w:history="1">
        <w:r w:rsidRPr="00EF1AF1">
          <w:rPr>
            <w:rStyle w:val="Hyperlink"/>
            <w:szCs w:val="21"/>
          </w:rPr>
          <w:t>Transfusion Practitioners across the world podcasts</w:t>
        </w:r>
      </w:hyperlink>
      <w:r w:rsidR="00646F19">
        <w:rPr>
          <w:rStyle w:val="Hyperlink"/>
          <w:szCs w:val="21"/>
        </w:rPr>
        <w:t xml:space="preserve"> </w:t>
      </w:r>
      <w:r w:rsidR="00646F19" w:rsidRPr="00DD4316">
        <w:rPr>
          <w:rStyle w:val="Hyperlink"/>
          <w:color w:val="auto"/>
          <w:szCs w:val="21"/>
          <w:u w:val="none"/>
        </w:rPr>
        <w:t>&lt;https://www.isbtweb.org/communities/transfusion-practitioners/transfusion-practitioners-podcast.html&gt;</w:t>
      </w:r>
      <w:r w:rsidRPr="00B25212">
        <w:rPr>
          <w:szCs w:val="21"/>
        </w:rPr>
        <w:t xml:space="preserve"> </w:t>
      </w:r>
      <w:r w:rsidRPr="00EF1AF1">
        <w:rPr>
          <w:szCs w:val="21"/>
        </w:rPr>
        <w:t xml:space="preserve">covering topics that may be of interest. </w:t>
      </w:r>
    </w:p>
    <w:p w14:paraId="6558D473" w14:textId="0CCE1FDF" w:rsidR="00646F19" w:rsidRPr="00EF1AF1" w:rsidRDefault="00646F19" w:rsidP="00F15F74">
      <w:pPr>
        <w:pStyle w:val="Body"/>
        <w:rPr>
          <w:szCs w:val="21"/>
        </w:rPr>
      </w:pPr>
      <w:r>
        <w:rPr>
          <w:szCs w:val="21"/>
        </w:rPr>
        <w:t xml:space="preserve">ISBT members are encouraged to join one (or more) of the </w:t>
      </w:r>
      <w:hyperlink r:id="rId76" w:history="1">
        <w:r w:rsidRPr="00646F19">
          <w:rPr>
            <w:rStyle w:val="Hyperlink"/>
            <w:szCs w:val="21"/>
          </w:rPr>
          <w:t>working parties</w:t>
        </w:r>
      </w:hyperlink>
      <w:r>
        <w:rPr>
          <w:szCs w:val="21"/>
        </w:rPr>
        <w:t xml:space="preserve"> &lt;</w:t>
      </w:r>
      <w:r w:rsidRPr="00646F19">
        <w:rPr>
          <w:szCs w:val="21"/>
        </w:rPr>
        <w:t>https://www.isbtweb.org/isbt-working-parties/join-a-working-party.html</w:t>
      </w:r>
      <w:r>
        <w:rPr>
          <w:szCs w:val="21"/>
        </w:rPr>
        <w:t>&gt;</w:t>
      </w:r>
      <w:r w:rsidR="00B25212" w:rsidRPr="00B25212">
        <w:rPr>
          <w:szCs w:val="21"/>
        </w:rPr>
        <w:t xml:space="preserve"> </w:t>
      </w:r>
      <w:r w:rsidR="00B25212">
        <w:rPr>
          <w:szCs w:val="21"/>
        </w:rPr>
        <w:t>in their area of interest.</w:t>
      </w:r>
    </w:p>
    <w:p w14:paraId="6B541B8D" w14:textId="27B02D4F" w:rsidR="00F15F74" w:rsidRDefault="00F15F74" w:rsidP="00F15F74">
      <w:pPr>
        <w:pStyle w:val="Heading4"/>
      </w:pPr>
      <w:r>
        <w:t>Websites</w:t>
      </w:r>
    </w:p>
    <w:p w14:paraId="091DBBE0" w14:textId="0B8FA369" w:rsidR="00F15F74" w:rsidRDefault="00F15F74" w:rsidP="00F15F74">
      <w:pPr>
        <w:pStyle w:val="Body"/>
        <w:rPr>
          <w:bCs/>
          <w:szCs w:val="21"/>
        </w:rPr>
      </w:pPr>
      <w:r w:rsidRPr="00EF1AF1">
        <w:rPr>
          <w:bCs/>
          <w:szCs w:val="21"/>
        </w:rPr>
        <w:t xml:space="preserve">The following </w:t>
      </w:r>
      <w:r w:rsidR="00B25212">
        <w:rPr>
          <w:bCs/>
          <w:szCs w:val="21"/>
        </w:rPr>
        <w:t xml:space="preserve">organisations web </w:t>
      </w:r>
      <w:r w:rsidRPr="00EF1AF1">
        <w:rPr>
          <w:bCs/>
          <w:szCs w:val="21"/>
        </w:rPr>
        <w:t>sites may also provide useful information to inform your work.</w:t>
      </w:r>
    </w:p>
    <w:p w14:paraId="27F2D2FB" w14:textId="08DB756B" w:rsidR="00B25212" w:rsidRPr="00DD4316" w:rsidRDefault="001E5A6F" w:rsidP="0003362E">
      <w:pPr>
        <w:pStyle w:val="Body"/>
        <w:numPr>
          <w:ilvl w:val="0"/>
          <w:numId w:val="27"/>
        </w:numPr>
        <w:rPr>
          <w:bCs/>
          <w:szCs w:val="21"/>
        </w:rPr>
      </w:pPr>
      <w:hyperlink r:id="rId77" w:history="1">
        <w:r w:rsidRPr="00F635CB">
          <w:rPr>
            <w:rStyle w:val="Hyperlink"/>
            <w:rFonts w:eastAsia="Calibri"/>
            <w:szCs w:val="21"/>
            <w:lang w:eastAsia="en-AU"/>
          </w:rPr>
          <w:t>Association for the Advancement of Blood &amp; Biotherapies</w:t>
        </w:r>
      </w:hyperlink>
      <w:r w:rsidRPr="00F635CB" w:rsidDel="001E5A6F">
        <w:rPr>
          <w:rStyle w:val="Hyperlink"/>
        </w:rPr>
        <w:t xml:space="preserve"> </w:t>
      </w:r>
      <w:r w:rsidR="00382FDB" w:rsidRPr="00F635CB">
        <w:rPr>
          <w:rStyle w:val="Hyperlink"/>
        </w:rPr>
        <w:t>(</w:t>
      </w:r>
      <w:hyperlink r:id="rId78" w:history="1">
        <w:r w:rsidR="00382FDB" w:rsidRPr="00382FDB">
          <w:rPr>
            <w:rStyle w:val="Hyperlink"/>
            <w:rFonts w:eastAsia="Calibri"/>
            <w:szCs w:val="21"/>
            <w:lang w:eastAsia="en-AU"/>
          </w:rPr>
          <w:t>AABB</w:t>
        </w:r>
      </w:hyperlink>
      <w:r w:rsidR="00382FDB" w:rsidRPr="00F635CB">
        <w:rPr>
          <w:rStyle w:val="Hyperlink"/>
        </w:rPr>
        <w:t>)</w:t>
      </w:r>
      <w:r w:rsidR="00452B08">
        <w:rPr>
          <w:rFonts w:eastAsia="Calibri"/>
          <w:szCs w:val="21"/>
          <w:lang w:eastAsia="en-AU"/>
        </w:rPr>
        <w:t xml:space="preserve"> &lt;</w:t>
      </w:r>
      <w:r w:rsidRPr="001E5A6F">
        <w:t xml:space="preserve"> </w:t>
      </w:r>
      <w:r w:rsidRPr="001E5A6F">
        <w:rPr>
          <w:rFonts w:eastAsia="Calibri"/>
          <w:szCs w:val="21"/>
          <w:lang w:eastAsia="en-AU"/>
        </w:rPr>
        <w:t>https://www.aabb.org/home</w:t>
      </w:r>
      <w:r w:rsidRPr="001E5A6F" w:rsidDel="001E5A6F">
        <w:rPr>
          <w:rFonts w:eastAsia="Calibri"/>
          <w:szCs w:val="21"/>
          <w:lang w:eastAsia="en-AU"/>
        </w:rPr>
        <w:t xml:space="preserve"> </w:t>
      </w:r>
      <w:r w:rsidR="00452B08">
        <w:rPr>
          <w:rFonts w:eastAsia="Calibri"/>
          <w:szCs w:val="21"/>
          <w:lang w:eastAsia="en-AU"/>
        </w:rPr>
        <w:t>&gt;</w:t>
      </w:r>
    </w:p>
    <w:p w14:paraId="338DB589" w14:textId="61617961" w:rsidR="00B25212" w:rsidRPr="00DD4316" w:rsidRDefault="00B25212" w:rsidP="0003362E">
      <w:pPr>
        <w:pStyle w:val="Body"/>
        <w:numPr>
          <w:ilvl w:val="0"/>
          <w:numId w:val="27"/>
        </w:numPr>
        <w:rPr>
          <w:bCs/>
          <w:szCs w:val="21"/>
        </w:rPr>
      </w:pPr>
      <w:hyperlink r:id="rId79" w:history="1">
        <w:r w:rsidRPr="00452B08">
          <w:rPr>
            <w:rStyle w:val="Hyperlink"/>
            <w:rFonts w:eastAsia="Calibri"/>
            <w:szCs w:val="21"/>
            <w:lang w:eastAsia="en-AU"/>
          </w:rPr>
          <w:t>British Society for Haematology</w:t>
        </w:r>
      </w:hyperlink>
      <w:r w:rsidR="00452B08">
        <w:rPr>
          <w:rFonts w:eastAsia="Calibri"/>
          <w:szCs w:val="21"/>
          <w:lang w:eastAsia="en-AU"/>
        </w:rPr>
        <w:t xml:space="preserve"> &lt;</w:t>
      </w:r>
      <w:r w:rsidR="00452B08" w:rsidRPr="00452B08">
        <w:rPr>
          <w:rFonts w:eastAsia="Calibri"/>
          <w:szCs w:val="21"/>
          <w:lang w:eastAsia="en-AU"/>
        </w:rPr>
        <w:t>http://www.b-s-h.org.uk/</w:t>
      </w:r>
      <w:r w:rsidR="00452B08">
        <w:rPr>
          <w:rFonts w:eastAsia="Calibri"/>
          <w:szCs w:val="21"/>
          <w:lang w:eastAsia="en-AU"/>
        </w:rPr>
        <w:t>&gt;</w:t>
      </w:r>
    </w:p>
    <w:p w14:paraId="400CACCD" w14:textId="362D815D" w:rsidR="00B25212" w:rsidRPr="00DD4316" w:rsidRDefault="00B25212" w:rsidP="0003362E">
      <w:pPr>
        <w:pStyle w:val="Body"/>
        <w:numPr>
          <w:ilvl w:val="0"/>
          <w:numId w:val="27"/>
        </w:numPr>
        <w:rPr>
          <w:bCs/>
          <w:szCs w:val="21"/>
        </w:rPr>
      </w:pPr>
      <w:hyperlink r:id="rId80" w:history="1">
        <w:r w:rsidRPr="00452B08">
          <w:rPr>
            <w:rStyle w:val="Hyperlink"/>
            <w:rFonts w:eastAsia="Calibri"/>
            <w:szCs w:val="21"/>
            <w:lang w:eastAsia="en-AU"/>
          </w:rPr>
          <w:t>Canadian Society for Transfusion Medicine</w:t>
        </w:r>
      </w:hyperlink>
      <w:r w:rsidR="00452B08">
        <w:rPr>
          <w:rFonts w:eastAsia="Calibri"/>
          <w:szCs w:val="21"/>
          <w:lang w:eastAsia="en-AU"/>
        </w:rPr>
        <w:t xml:space="preserve"> &lt;</w:t>
      </w:r>
      <w:r w:rsidR="00A35912" w:rsidRPr="00A35912">
        <w:rPr>
          <w:rFonts w:eastAsia="Calibri"/>
          <w:szCs w:val="21"/>
          <w:lang w:eastAsia="en-AU"/>
        </w:rPr>
        <w:t>https://www.transfusion.ca/Home</w:t>
      </w:r>
      <w:r w:rsidR="00452B08">
        <w:rPr>
          <w:rFonts w:eastAsia="Calibri"/>
          <w:szCs w:val="21"/>
          <w:lang w:eastAsia="en-AU"/>
        </w:rPr>
        <w:t>&gt;</w:t>
      </w:r>
    </w:p>
    <w:p w14:paraId="70ABC845" w14:textId="0896960E" w:rsidR="00B25212" w:rsidRPr="00DD4316" w:rsidRDefault="00B25212" w:rsidP="0003362E">
      <w:pPr>
        <w:pStyle w:val="Body"/>
        <w:numPr>
          <w:ilvl w:val="0"/>
          <w:numId w:val="27"/>
        </w:numPr>
        <w:rPr>
          <w:bCs/>
          <w:szCs w:val="21"/>
        </w:rPr>
      </w:pPr>
      <w:hyperlink r:id="rId81" w:history="1">
        <w:r w:rsidRPr="00452B08">
          <w:rPr>
            <w:rStyle w:val="Hyperlink"/>
            <w:rFonts w:eastAsia="Calibri"/>
            <w:szCs w:val="21"/>
            <w:lang w:eastAsia="en-AU"/>
          </w:rPr>
          <w:t>Serious Hazards of Transfusion (SHOT)</w:t>
        </w:r>
      </w:hyperlink>
      <w:r w:rsidR="00452B08">
        <w:rPr>
          <w:rFonts w:eastAsia="Calibri"/>
          <w:szCs w:val="21"/>
          <w:lang w:eastAsia="en-AU"/>
        </w:rPr>
        <w:t xml:space="preserve"> </w:t>
      </w:r>
      <w:hyperlink r:id="rId82" w:history="1">
        <w:r w:rsidR="00452B08" w:rsidRPr="00670F3F">
          <w:rPr>
            <w:rStyle w:val="Hyperlink"/>
            <w:rFonts w:eastAsia="Calibri"/>
            <w:szCs w:val="21"/>
            <w:lang w:eastAsia="en-AU"/>
          </w:rPr>
          <w:t>http://www.shotuk.org/home/</w:t>
        </w:r>
      </w:hyperlink>
    </w:p>
    <w:p w14:paraId="2229C2EC" w14:textId="3581691C" w:rsidR="00452B08" w:rsidRPr="00DD4316" w:rsidRDefault="00452B08" w:rsidP="0003362E">
      <w:pPr>
        <w:pStyle w:val="Body"/>
        <w:numPr>
          <w:ilvl w:val="0"/>
          <w:numId w:val="27"/>
        </w:numPr>
        <w:rPr>
          <w:bCs/>
          <w:szCs w:val="21"/>
        </w:rPr>
      </w:pPr>
      <w:hyperlink r:id="rId83" w:history="1">
        <w:r w:rsidRPr="00452B08">
          <w:rPr>
            <w:rStyle w:val="Hyperlink"/>
            <w:rFonts w:eastAsia="Calibri"/>
            <w:szCs w:val="21"/>
            <w:lang w:eastAsia="en-AU"/>
          </w:rPr>
          <w:t>National Health Service Blood and Transplant (UK)</w:t>
        </w:r>
      </w:hyperlink>
      <w:r>
        <w:rPr>
          <w:rFonts w:eastAsia="Calibri"/>
          <w:szCs w:val="21"/>
          <w:lang w:eastAsia="en-AU"/>
        </w:rPr>
        <w:t xml:space="preserve"> &lt;</w:t>
      </w:r>
      <w:r w:rsidRPr="00452B08">
        <w:rPr>
          <w:rFonts w:eastAsia="Calibri"/>
          <w:szCs w:val="21"/>
          <w:lang w:eastAsia="en-AU"/>
        </w:rPr>
        <w:t>http://www.nhsbt.nhs.uk/</w:t>
      </w:r>
      <w:r>
        <w:rPr>
          <w:rFonts w:eastAsia="Calibri"/>
          <w:szCs w:val="21"/>
          <w:lang w:eastAsia="en-AU"/>
        </w:rPr>
        <w:t>&gt;</w:t>
      </w:r>
    </w:p>
    <w:p w14:paraId="5CEA9076" w14:textId="6813865A" w:rsidR="00452B08" w:rsidRPr="00DD4316" w:rsidRDefault="00452B08" w:rsidP="0003362E">
      <w:pPr>
        <w:pStyle w:val="Body"/>
        <w:numPr>
          <w:ilvl w:val="0"/>
          <w:numId w:val="27"/>
        </w:numPr>
        <w:rPr>
          <w:bCs/>
          <w:szCs w:val="21"/>
        </w:rPr>
      </w:pPr>
      <w:hyperlink r:id="rId84" w:history="1">
        <w:r w:rsidRPr="00452B08">
          <w:rPr>
            <w:rStyle w:val="Hyperlink"/>
            <w:rFonts w:eastAsia="Calibri"/>
            <w:szCs w:val="21"/>
            <w:lang w:eastAsia="en-AU"/>
          </w:rPr>
          <w:t>International Society of Blood Transfusion</w:t>
        </w:r>
      </w:hyperlink>
      <w:r>
        <w:rPr>
          <w:rFonts w:eastAsia="Calibri"/>
          <w:szCs w:val="21"/>
          <w:lang w:eastAsia="en-AU"/>
        </w:rPr>
        <w:t xml:space="preserve"> &lt;</w:t>
      </w:r>
      <w:r w:rsidRPr="00452B08">
        <w:rPr>
          <w:rFonts w:eastAsia="Calibri"/>
          <w:szCs w:val="21"/>
          <w:lang w:eastAsia="en-AU"/>
        </w:rPr>
        <w:t>http://www.isbtweb.org/</w:t>
      </w:r>
      <w:r>
        <w:rPr>
          <w:rFonts w:eastAsia="Calibri"/>
          <w:szCs w:val="21"/>
          <w:lang w:eastAsia="en-AU"/>
        </w:rPr>
        <w:t>&gt;</w:t>
      </w:r>
    </w:p>
    <w:p w14:paraId="4216346D" w14:textId="67D30CCF" w:rsidR="00452B08" w:rsidRPr="00DD4316" w:rsidRDefault="00452B08" w:rsidP="0003362E">
      <w:pPr>
        <w:pStyle w:val="Body"/>
        <w:numPr>
          <w:ilvl w:val="0"/>
          <w:numId w:val="27"/>
        </w:numPr>
        <w:rPr>
          <w:bCs/>
          <w:szCs w:val="21"/>
        </w:rPr>
      </w:pPr>
      <w:hyperlink r:id="rId85" w:history="1">
        <w:r w:rsidRPr="00452B08">
          <w:rPr>
            <w:rStyle w:val="Hyperlink"/>
            <w:rFonts w:eastAsia="Calibri"/>
            <w:szCs w:val="21"/>
            <w:lang w:eastAsia="en-AU"/>
          </w:rPr>
          <w:t>Ontario regional blood coordinating network (ORBCoN)</w:t>
        </w:r>
      </w:hyperlink>
      <w:r>
        <w:rPr>
          <w:rFonts w:eastAsia="Calibri"/>
          <w:szCs w:val="21"/>
          <w:lang w:eastAsia="en-AU"/>
        </w:rPr>
        <w:t xml:space="preserve"> &lt;</w:t>
      </w:r>
      <w:r w:rsidRPr="00452B08">
        <w:rPr>
          <w:rFonts w:eastAsia="Calibri"/>
          <w:szCs w:val="21"/>
          <w:lang w:eastAsia="en-AU"/>
        </w:rPr>
        <w:t>http://transfusionontario.org/en/</w:t>
      </w:r>
      <w:r>
        <w:rPr>
          <w:rFonts w:eastAsia="Calibri"/>
          <w:szCs w:val="21"/>
          <w:lang w:eastAsia="en-AU"/>
        </w:rPr>
        <w:t>&gt;</w:t>
      </w:r>
    </w:p>
    <w:p w14:paraId="51ECE493" w14:textId="0EE491FA" w:rsidR="00452B08" w:rsidRPr="00DD4316" w:rsidRDefault="00452B08" w:rsidP="0003362E">
      <w:pPr>
        <w:pStyle w:val="Body"/>
        <w:numPr>
          <w:ilvl w:val="0"/>
          <w:numId w:val="27"/>
        </w:numPr>
        <w:rPr>
          <w:bCs/>
          <w:szCs w:val="21"/>
        </w:rPr>
      </w:pPr>
      <w:hyperlink r:id="rId86" w:history="1">
        <w:r w:rsidRPr="00452B08">
          <w:rPr>
            <w:rStyle w:val="Hyperlink"/>
            <w:rFonts w:eastAsia="Calibri"/>
            <w:szCs w:val="21"/>
            <w:lang w:eastAsia="en-AU"/>
          </w:rPr>
          <w:t>Ontario Nurse Transfusion Coordinators (ONTraC)</w:t>
        </w:r>
      </w:hyperlink>
      <w:r>
        <w:rPr>
          <w:rFonts w:eastAsia="Calibri"/>
          <w:szCs w:val="21"/>
          <w:lang w:eastAsia="en-AU"/>
        </w:rPr>
        <w:t xml:space="preserve"> &lt;</w:t>
      </w:r>
      <w:r w:rsidRPr="00452B08">
        <w:rPr>
          <w:rFonts w:eastAsia="Calibri"/>
          <w:szCs w:val="21"/>
          <w:lang w:eastAsia="en-AU"/>
        </w:rPr>
        <w:t>https://www.ontracprogram.com/Login.aspx?company=&amp;ReturnUrl=%2fdefault.aspx</w:t>
      </w:r>
      <w:r>
        <w:rPr>
          <w:rFonts w:eastAsia="Calibri"/>
          <w:szCs w:val="21"/>
          <w:lang w:eastAsia="en-AU"/>
        </w:rPr>
        <w:t>&gt;</w:t>
      </w:r>
    </w:p>
    <w:p w14:paraId="6DE751D1" w14:textId="15678544" w:rsidR="00452B08" w:rsidRPr="00DD4316" w:rsidRDefault="00452B08" w:rsidP="0003362E">
      <w:pPr>
        <w:pStyle w:val="Body"/>
        <w:numPr>
          <w:ilvl w:val="0"/>
          <w:numId w:val="27"/>
        </w:numPr>
        <w:rPr>
          <w:bCs/>
          <w:szCs w:val="21"/>
        </w:rPr>
      </w:pPr>
      <w:hyperlink r:id="rId87" w:history="1">
        <w:r w:rsidRPr="00452B08">
          <w:rPr>
            <w:rStyle w:val="Hyperlink"/>
            <w:rFonts w:eastAsia="Calibri"/>
            <w:szCs w:val="21"/>
            <w:lang w:eastAsia="en-AU"/>
          </w:rPr>
          <w:t>Network of Advancement of Patient Blood Management, Haemostasis and Thrombosis (NATA)</w:t>
        </w:r>
      </w:hyperlink>
      <w:r>
        <w:rPr>
          <w:rFonts w:eastAsia="Calibri"/>
          <w:szCs w:val="21"/>
          <w:lang w:eastAsia="en-AU"/>
        </w:rPr>
        <w:t xml:space="preserve"> &lt;</w:t>
      </w:r>
      <w:r w:rsidRPr="00452B08">
        <w:rPr>
          <w:rFonts w:eastAsia="Calibri"/>
          <w:szCs w:val="21"/>
          <w:lang w:eastAsia="en-AU"/>
        </w:rPr>
        <w:t>http://nataonline.com/</w:t>
      </w:r>
      <w:r>
        <w:rPr>
          <w:rFonts w:eastAsia="Calibri"/>
          <w:szCs w:val="21"/>
          <w:lang w:eastAsia="en-AU"/>
        </w:rPr>
        <w:t>&gt;</w:t>
      </w:r>
    </w:p>
    <w:p w14:paraId="0F08B793" w14:textId="4EC9D881" w:rsidR="00452B08" w:rsidRPr="00EF1AF1" w:rsidRDefault="00A35912" w:rsidP="0003362E">
      <w:pPr>
        <w:pStyle w:val="Body"/>
        <w:numPr>
          <w:ilvl w:val="0"/>
          <w:numId w:val="27"/>
        </w:numPr>
        <w:rPr>
          <w:bCs/>
          <w:szCs w:val="21"/>
        </w:rPr>
      </w:pPr>
      <w:hyperlink r:id="rId88" w:history="1">
        <w:r w:rsidRPr="00F635CB">
          <w:rPr>
            <w:rStyle w:val="Hyperlink"/>
            <w:rFonts w:eastAsia="Calibri"/>
            <w:szCs w:val="21"/>
            <w:lang w:eastAsia="en-AU"/>
          </w:rPr>
          <w:t>Transfusion Research - Public Health and Preventive Medicine</w:t>
        </w:r>
      </w:hyperlink>
      <w:r w:rsidR="00452B08" w:rsidRPr="00F635CB">
        <w:rPr>
          <w:rStyle w:val="Hyperlink"/>
        </w:rPr>
        <w:t xml:space="preserve"> </w:t>
      </w:r>
      <w:r w:rsidR="00452B08">
        <w:rPr>
          <w:rFonts w:eastAsia="Calibri"/>
          <w:szCs w:val="21"/>
          <w:lang w:eastAsia="en-AU"/>
        </w:rPr>
        <w:t>&lt;</w:t>
      </w:r>
      <w:r w:rsidRPr="00A35912">
        <w:t xml:space="preserve"> </w:t>
      </w:r>
      <w:r w:rsidRPr="00A35912">
        <w:rPr>
          <w:rFonts w:eastAsia="Calibri"/>
          <w:szCs w:val="21"/>
          <w:lang w:eastAsia="en-AU"/>
        </w:rPr>
        <w:t>https://www.monash.edu/medicine/sphpm/units/transfusionresearch</w:t>
      </w:r>
      <w:r w:rsidR="00452B08">
        <w:rPr>
          <w:rFonts w:eastAsia="Calibri"/>
          <w:szCs w:val="21"/>
          <w:lang w:eastAsia="en-AU"/>
        </w:rPr>
        <w:t>&gt;</w:t>
      </w:r>
    </w:p>
    <w:p w14:paraId="026CC10A" w14:textId="77777777" w:rsidR="00F15F74" w:rsidRPr="00F15F74" w:rsidRDefault="00F15F74" w:rsidP="00F15F74">
      <w:pPr>
        <w:pStyle w:val="Heading4"/>
      </w:pPr>
      <w:bookmarkStart w:id="31" w:name="_Toc60825663"/>
      <w:r w:rsidRPr="00F15F74">
        <w:t>Transfusion journals</w:t>
      </w:r>
      <w:bookmarkEnd w:id="31"/>
    </w:p>
    <w:p w14:paraId="5266B3B5" w14:textId="4C733DCD" w:rsidR="00F15F74" w:rsidRPr="00EF1AF1" w:rsidRDefault="004B7E33" w:rsidP="00F15F74">
      <w:pPr>
        <w:pStyle w:val="Body"/>
        <w:rPr>
          <w:bCs/>
          <w:szCs w:val="21"/>
        </w:rPr>
      </w:pPr>
      <w:r>
        <w:rPr>
          <w:bCs/>
          <w:szCs w:val="21"/>
        </w:rPr>
        <w:t>C</w:t>
      </w:r>
      <w:r w:rsidR="00F15F74" w:rsidRPr="00EF1AF1">
        <w:rPr>
          <w:bCs/>
          <w:szCs w:val="21"/>
        </w:rPr>
        <w:t>ommonly used transfusion related journals that may provide information for your work</w:t>
      </w:r>
      <w:r w:rsidR="00970D0C">
        <w:rPr>
          <w:bCs/>
          <w:szCs w:val="21"/>
        </w:rPr>
        <w:t>:</w:t>
      </w:r>
    </w:p>
    <w:p w14:paraId="4908FF2B" w14:textId="77777777" w:rsidR="00F15F74" w:rsidRPr="00EF1AF1" w:rsidRDefault="00F15F74" w:rsidP="00F15F74">
      <w:pPr>
        <w:pStyle w:val="Body"/>
        <w:rPr>
          <w:bCs/>
          <w:szCs w:val="21"/>
        </w:rPr>
      </w:pPr>
      <w:r w:rsidRPr="00EF1AF1">
        <w:rPr>
          <w:bCs/>
          <w:szCs w:val="21"/>
        </w:rPr>
        <w:t>1.</w:t>
      </w:r>
      <w:r w:rsidRPr="00EF1AF1">
        <w:rPr>
          <w:bCs/>
          <w:szCs w:val="21"/>
        </w:rPr>
        <w:tab/>
        <w:t>Transfusion</w:t>
      </w:r>
    </w:p>
    <w:p w14:paraId="7931FB58" w14:textId="77777777" w:rsidR="00F15F74" w:rsidRPr="00EF1AF1" w:rsidRDefault="00F15F74" w:rsidP="00F15F74">
      <w:pPr>
        <w:pStyle w:val="Body"/>
        <w:rPr>
          <w:bCs/>
          <w:szCs w:val="21"/>
        </w:rPr>
      </w:pPr>
      <w:r w:rsidRPr="00EF1AF1">
        <w:rPr>
          <w:bCs/>
          <w:szCs w:val="21"/>
        </w:rPr>
        <w:t>2.</w:t>
      </w:r>
      <w:r w:rsidRPr="00EF1AF1">
        <w:rPr>
          <w:bCs/>
          <w:szCs w:val="21"/>
        </w:rPr>
        <w:tab/>
        <w:t>Vox Sanguinis</w:t>
      </w:r>
    </w:p>
    <w:p w14:paraId="0D84604C" w14:textId="77777777" w:rsidR="00F15F74" w:rsidRPr="00EF1AF1" w:rsidRDefault="00F15F74" w:rsidP="00F15F74">
      <w:pPr>
        <w:pStyle w:val="Body"/>
        <w:rPr>
          <w:bCs/>
          <w:szCs w:val="21"/>
        </w:rPr>
      </w:pPr>
      <w:r w:rsidRPr="00EF1AF1">
        <w:rPr>
          <w:bCs/>
          <w:szCs w:val="21"/>
        </w:rPr>
        <w:t>3.</w:t>
      </w:r>
      <w:r w:rsidRPr="00EF1AF1">
        <w:rPr>
          <w:bCs/>
          <w:szCs w:val="21"/>
        </w:rPr>
        <w:tab/>
        <w:t xml:space="preserve">Transfusion and Apheresis Science </w:t>
      </w:r>
    </w:p>
    <w:p w14:paraId="2A6F0ADE" w14:textId="77777777" w:rsidR="00F15F74" w:rsidRPr="00EF1AF1" w:rsidRDefault="00F15F74" w:rsidP="00F15F74">
      <w:pPr>
        <w:pStyle w:val="Body"/>
        <w:rPr>
          <w:bCs/>
          <w:szCs w:val="21"/>
        </w:rPr>
      </w:pPr>
      <w:r w:rsidRPr="00EF1AF1">
        <w:rPr>
          <w:bCs/>
          <w:szCs w:val="21"/>
        </w:rPr>
        <w:t>4.</w:t>
      </w:r>
      <w:r w:rsidRPr="00EF1AF1">
        <w:rPr>
          <w:bCs/>
          <w:szCs w:val="21"/>
        </w:rPr>
        <w:tab/>
        <w:t>Transfusion Medicine</w:t>
      </w:r>
    </w:p>
    <w:p w14:paraId="0100B687" w14:textId="77777777" w:rsidR="00F15F74" w:rsidRPr="00EF1AF1" w:rsidRDefault="00F15F74" w:rsidP="00F15F74">
      <w:pPr>
        <w:pStyle w:val="Body"/>
        <w:rPr>
          <w:bCs/>
          <w:szCs w:val="21"/>
        </w:rPr>
      </w:pPr>
      <w:r w:rsidRPr="00EF1AF1">
        <w:rPr>
          <w:bCs/>
          <w:szCs w:val="21"/>
        </w:rPr>
        <w:t>5.</w:t>
      </w:r>
      <w:r w:rsidRPr="00EF1AF1">
        <w:rPr>
          <w:bCs/>
          <w:szCs w:val="21"/>
        </w:rPr>
        <w:tab/>
        <w:t>Transfusion Medicine Reviews</w:t>
      </w:r>
    </w:p>
    <w:p w14:paraId="1366FE49" w14:textId="77777777" w:rsidR="00F15F74" w:rsidRPr="00EF1AF1" w:rsidRDefault="00F15F74" w:rsidP="00F15F74">
      <w:pPr>
        <w:pStyle w:val="Body"/>
        <w:rPr>
          <w:bCs/>
          <w:szCs w:val="21"/>
        </w:rPr>
      </w:pPr>
      <w:r w:rsidRPr="00EF1AF1">
        <w:rPr>
          <w:bCs/>
          <w:szCs w:val="21"/>
        </w:rPr>
        <w:t>6.</w:t>
      </w:r>
      <w:r w:rsidRPr="00EF1AF1">
        <w:rPr>
          <w:bCs/>
          <w:szCs w:val="21"/>
        </w:rPr>
        <w:tab/>
        <w:t>British Journal of Haematology</w:t>
      </w:r>
    </w:p>
    <w:p w14:paraId="7135F48F" w14:textId="77777777" w:rsidR="00F15F74" w:rsidRPr="00EF1AF1" w:rsidRDefault="00F15F74" w:rsidP="00F15F74">
      <w:pPr>
        <w:pStyle w:val="Body"/>
        <w:rPr>
          <w:bCs/>
          <w:szCs w:val="21"/>
        </w:rPr>
      </w:pPr>
      <w:r w:rsidRPr="00EF1AF1">
        <w:rPr>
          <w:bCs/>
          <w:szCs w:val="21"/>
        </w:rPr>
        <w:lastRenderedPageBreak/>
        <w:t>7.</w:t>
      </w:r>
      <w:r w:rsidRPr="00EF1AF1">
        <w:rPr>
          <w:bCs/>
          <w:szCs w:val="21"/>
        </w:rPr>
        <w:tab/>
        <w:t>Haematological Journal of the European Haematology Association</w:t>
      </w:r>
    </w:p>
    <w:p w14:paraId="3DF40693" w14:textId="77777777" w:rsidR="00F15F74" w:rsidRPr="00EF1AF1" w:rsidRDefault="00F15F74" w:rsidP="00F15F74">
      <w:pPr>
        <w:pStyle w:val="Body"/>
        <w:rPr>
          <w:bCs/>
          <w:szCs w:val="21"/>
        </w:rPr>
      </w:pPr>
      <w:r w:rsidRPr="00EF1AF1">
        <w:rPr>
          <w:bCs/>
          <w:szCs w:val="21"/>
        </w:rPr>
        <w:t>8.</w:t>
      </w:r>
      <w:r w:rsidRPr="00EF1AF1">
        <w:rPr>
          <w:bCs/>
          <w:szCs w:val="21"/>
        </w:rPr>
        <w:tab/>
        <w:t>Journal of Thrombosis and Haemostasis</w:t>
      </w:r>
    </w:p>
    <w:p w14:paraId="55AD17EF" w14:textId="77777777" w:rsidR="00F15F74" w:rsidRPr="00EF1AF1" w:rsidRDefault="00F15F74" w:rsidP="00F15F74">
      <w:pPr>
        <w:pStyle w:val="Body"/>
        <w:rPr>
          <w:bCs/>
          <w:szCs w:val="21"/>
        </w:rPr>
      </w:pPr>
      <w:r w:rsidRPr="00EF1AF1">
        <w:rPr>
          <w:bCs/>
          <w:szCs w:val="21"/>
        </w:rPr>
        <w:t>9.</w:t>
      </w:r>
      <w:r w:rsidRPr="00EF1AF1">
        <w:rPr>
          <w:bCs/>
          <w:szCs w:val="21"/>
        </w:rPr>
        <w:tab/>
        <w:t>Transfusion Alternatives in Transfusion Medicine</w:t>
      </w:r>
    </w:p>
    <w:p w14:paraId="6C7C0031" w14:textId="77777777" w:rsidR="00F15F74" w:rsidRPr="00EF1AF1" w:rsidRDefault="00F15F74" w:rsidP="00F15F74">
      <w:pPr>
        <w:pStyle w:val="Body"/>
        <w:rPr>
          <w:bCs/>
          <w:szCs w:val="21"/>
        </w:rPr>
      </w:pPr>
      <w:r w:rsidRPr="00EF1AF1">
        <w:rPr>
          <w:bCs/>
          <w:szCs w:val="21"/>
        </w:rPr>
        <w:t>10.</w:t>
      </w:r>
      <w:r w:rsidRPr="00EF1AF1">
        <w:rPr>
          <w:bCs/>
          <w:szCs w:val="21"/>
        </w:rPr>
        <w:tab/>
        <w:t>ISBT Science Series</w:t>
      </w:r>
    </w:p>
    <w:p w14:paraId="6C2045DE" w14:textId="77777777" w:rsidR="00F15F74" w:rsidRPr="00EF1AF1" w:rsidRDefault="00F15F74" w:rsidP="00F15F74">
      <w:pPr>
        <w:pStyle w:val="Body"/>
        <w:rPr>
          <w:bCs/>
          <w:szCs w:val="21"/>
        </w:rPr>
      </w:pPr>
      <w:r w:rsidRPr="00EF1AF1">
        <w:rPr>
          <w:bCs/>
          <w:szCs w:val="21"/>
        </w:rPr>
        <w:t>11.</w:t>
      </w:r>
      <w:r w:rsidRPr="00EF1AF1">
        <w:rPr>
          <w:bCs/>
          <w:szCs w:val="21"/>
        </w:rPr>
        <w:tab/>
        <w:t>Transfusion Today</w:t>
      </w:r>
    </w:p>
    <w:p w14:paraId="2D254F69" w14:textId="77777777" w:rsidR="00F15F74" w:rsidRPr="00EF1AF1" w:rsidRDefault="00F15F74" w:rsidP="00F15F74">
      <w:pPr>
        <w:pStyle w:val="Body"/>
        <w:rPr>
          <w:bCs/>
          <w:szCs w:val="21"/>
        </w:rPr>
      </w:pPr>
      <w:r w:rsidRPr="00EF1AF1">
        <w:rPr>
          <w:bCs/>
          <w:szCs w:val="21"/>
        </w:rPr>
        <w:t>12.</w:t>
      </w:r>
      <w:r w:rsidRPr="00EF1AF1">
        <w:rPr>
          <w:bCs/>
          <w:szCs w:val="21"/>
        </w:rPr>
        <w:tab/>
        <w:t>Journal of Infusion Nursing</w:t>
      </w:r>
    </w:p>
    <w:p w14:paraId="1E82F2DF" w14:textId="1B5385B6" w:rsidR="00F15F74" w:rsidRDefault="00F15F74" w:rsidP="00F15F74">
      <w:pPr>
        <w:pStyle w:val="Heading2"/>
        <w:rPr>
          <w:rFonts w:eastAsia="Times"/>
        </w:rPr>
      </w:pPr>
      <w:bookmarkStart w:id="32" w:name="_Toc184376932"/>
      <w:r w:rsidRPr="00F15F74">
        <w:rPr>
          <w:rFonts w:eastAsia="Times"/>
        </w:rPr>
        <w:t xml:space="preserve">Steps in the transfusion </w:t>
      </w:r>
      <w:r w:rsidR="00DA79E8">
        <w:rPr>
          <w:rFonts w:eastAsia="Times"/>
        </w:rPr>
        <w:t>process</w:t>
      </w:r>
      <w:bookmarkEnd w:id="32"/>
    </w:p>
    <w:p w14:paraId="22DB21D7" w14:textId="08F29E59" w:rsidR="00F15F74" w:rsidRDefault="00723D72" w:rsidP="00F15F74">
      <w:pPr>
        <w:pStyle w:val="Body"/>
        <w:rPr>
          <w:sz w:val="22"/>
          <w:szCs w:val="22"/>
        </w:rPr>
      </w:pPr>
      <w:r w:rsidRPr="00723D72">
        <w:rPr>
          <w:noProof/>
          <w:sz w:val="22"/>
          <w:szCs w:val="22"/>
        </w:rPr>
        <w:drawing>
          <wp:inline distT="0" distB="0" distL="0" distR="0" wp14:anchorId="7E5FAA62" wp14:editId="4816D079">
            <wp:extent cx="6479540" cy="1811020"/>
            <wp:effectExtent l="0" t="0" r="0" b="0"/>
            <wp:docPr id="1401911061" name="Picture 1" descr="The seven steps in the transfusion process: &#10;1 The decision to transfuse and informed consent. Shows an icon of a discussion between the patient and the clinician.&#10;2 The prescription and request for transfusion. Shows an icon of a clinician with a clipboard.&#10;3 Pretransfusion sample collection and compatibility testing. Shows an icon of a blood filled tube.&#10;4 Blood component collection and delivery. Shows an icon of a unit of red blood cells.&#10;5 Administration. Shows an icon of a patient receiving a unit of red blood cells with a clinician at the patient's bedside.&#10;6 Monitoring and observation. Shows an icon of a clinician with a magnifying glass.&#10;7 Ensuring complete documentation. Shows an icon of two people standing either side of a large note pad with one person holding a large 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911061" name="Picture 1" descr="The seven steps in the transfusion process: &#10;1 The decision to transfuse and informed consent. Shows an icon of a discussion between the patient and the clinician.&#10;2 The prescription and request for transfusion. Shows an icon of a clinician with a clipboard.&#10;3 Pretransfusion sample collection and compatibility testing. Shows an icon of a blood filled tube.&#10;4 Blood component collection and delivery. Shows an icon of a unit of red blood cells.&#10;5 Administration. Shows an icon of a patient receiving a unit of red blood cells with a clinician at the patient's bedside.&#10;6 Monitoring and observation. Shows an icon of a clinician with a magnifying glass.&#10;7 Ensuring complete documentation. Shows an icon of two people standing either side of a large note pad with one person holding a large pen."/>
                    <pic:cNvPicPr/>
                  </pic:nvPicPr>
                  <pic:blipFill>
                    <a:blip r:embed="rId89"/>
                    <a:stretch>
                      <a:fillRect/>
                    </a:stretch>
                  </pic:blipFill>
                  <pic:spPr>
                    <a:xfrm>
                      <a:off x="0" y="0"/>
                      <a:ext cx="6479540" cy="1811020"/>
                    </a:xfrm>
                    <a:prstGeom prst="rect">
                      <a:avLst/>
                    </a:prstGeom>
                  </pic:spPr>
                </pic:pic>
              </a:graphicData>
            </a:graphic>
          </wp:inline>
        </w:drawing>
      </w:r>
    </w:p>
    <w:p w14:paraId="375A6421" w14:textId="245675A6" w:rsidR="003D6441" w:rsidRDefault="003D6441" w:rsidP="00F15F74">
      <w:pPr>
        <w:pStyle w:val="Body"/>
        <w:rPr>
          <w:sz w:val="22"/>
          <w:szCs w:val="22"/>
        </w:rPr>
      </w:pPr>
      <w:r>
        <w:rPr>
          <w:sz w:val="22"/>
          <w:szCs w:val="22"/>
        </w:rPr>
        <w:t xml:space="preserve">Lifeblood, Transfusion Practitioner </w:t>
      </w:r>
      <w:proofErr w:type="spellStart"/>
      <w:r>
        <w:rPr>
          <w:sz w:val="22"/>
          <w:szCs w:val="22"/>
        </w:rPr>
        <w:t>microcredential</w:t>
      </w:r>
      <w:proofErr w:type="spellEnd"/>
      <w:r>
        <w:rPr>
          <w:sz w:val="22"/>
          <w:szCs w:val="22"/>
        </w:rPr>
        <w:t xml:space="preserve">, </w:t>
      </w:r>
      <w:proofErr w:type="gramStart"/>
      <w:r>
        <w:rPr>
          <w:sz w:val="22"/>
          <w:szCs w:val="22"/>
        </w:rPr>
        <w:t>The</w:t>
      </w:r>
      <w:proofErr w:type="gramEnd"/>
      <w:r>
        <w:rPr>
          <w:sz w:val="22"/>
          <w:szCs w:val="22"/>
        </w:rPr>
        <w:t xml:space="preserve"> decision to transfuse and consent. </w:t>
      </w:r>
      <w:hyperlink r:id="rId90" w:history="1">
        <w:r w:rsidR="00A35912" w:rsidRPr="00F635CB">
          <w:rPr>
            <w:rStyle w:val="Hyperlink"/>
            <w:rFonts w:eastAsia="Calibri"/>
            <w:szCs w:val="21"/>
            <w:lang w:eastAsia="en-AU"/>
          </w:rPr>
          <w:t>Transfusion courses | Lifeblood</w:t>
        </w:r>
      </w:hyperlink>
      <w:r w:rsidR="00A35912" w:rsidRPr="00F635CB">
        <w:rPr>
          <w:rStyle w:val="Hyperlink"/>
          <w:rFonts w:eastAsia="Calibri"/>
          <w:szCs w:val="21"/>
          <w:lang w:eastAsia="en-AU"/>
        </w:rPr>
        <w:t xml:space="preserve"> </w:t>
      </w:r>
      <w:r>
        <w:rPr>
          <w:sz w:val="22"/>
          <w:szCs w:val="22"/>
        </w:rPr>
        <w:t>&lt;</w:t>
      </w:r>
      <w:r w:rsidRPr="003D6441">
        <w:rPr>
          <w:sz w:val="22"/>
          <w:szCs w:val="22"/>
        </w:rPr>
        <w:t>https://www.lifeblood.com.au/health-professionals/learn/transfusion-courses</w:t>
      </w:r>
      <w:r>
        <w:rPr>
          <w:sz w:val="22"/>
          <w:szCs w:val="22"/>
        </w:rPr>
        <w:t>&gt;</w:t>
      </w:r>
    </w:p>
    <w:tbl>
      <w:tblPr>
        <w:tblStyle w:val="TableGrid"/>
        <w:tblW w:w="0" w:type="auto"/>
        <w:tblLayout w:type="fixed"/>
        <w:tblLook w:val="04A0" w:firstRow="1" w:lastRow="0" w:firstColumn="1" w:lastColumn="0" w:noHBand="0" w:noVBand="1"/>
      </w:tblPr>
      <w:tblGrid>
        <w:gridCol w:w="2405"/>
        <w:gridCol w:w="7789"/>
      </w:tblGrid>
      <w:tr w:rsidR="00AC7E72" w14:paraId="2AEF137C" w14:textId="77777777" w:rsidTr="00AC7E72">
        <w:tc>
          <w:tcPr>
            <w:tcW w:w="2405" w:type="dxa"/>
          </w:tcPr>
          <w:p w14:paraId="55A39CF1" w14:textId="43FAC0F2" w:rsidR="00001E30" w:rsidRPr="00FE6765" w:rsidRDefault="00537080" w:rsidP="00AC7E72">
            <w:pPr>
              <w:ind w:right="-53"/>
              <w:rPr>
                <w:rFonts w:cs="Arial"/>
                <w:b/>
                <w:bCs/>
                <w:szCs w:val="21"/>
              </w:rPr>
            </w:pPr>
            <w:r w:rsidRPr="00FE6765">
              <w:rPr>
                <w:rFonts w:cs="Arial"/>
                <w:b/>
                <w:bCs/>
                <w:szCs w:val="21"/>
              </w:rPr>
              <w:t>Step in the t</w:t>
            </w:r>
            <w:r w:rsidR="00001E30" w:rsidRPr="00FE6765">
              <w:rPr>
                <w:rFonts w:cs="Arial"/>
                <w:b/>
                <w:bCs/>
                <w:szCs w:val="21"/>
              </w:rPr>
              <w:t>ransfusion process</w:t>
            </w:r>
          </w:p>
        </w:tc>
        <w:tc>
          <w:tcPr>
            <w:tcW w:w="7789" w:type="dxa"/>
          </w:tcPr>
          <w:p w14:paraId="00C89B01" w14:textId="6B06D20D" w:rsidR="00001E30" w:rsidRPr="00FE6765" w:rsidRDefault="00001E30" w:rsidP="00442DD7">
            <w:pPr>
              <w:rPr>
                <w:rFonts w:cs="Arial"/>
                <w:b/>
                <w:bCs/>
                <w:szCs w:val="21"/>
              </w:rPr>
            </w:pPr>
            <w:r w:rsidRPr="00FE6765">
              <w:rPr>
                <w:rFonts w:cs="Arial"/>
                <w:b/>
                <w:bCs/>
                <w:szCs w:val="21"/>
              </w:rPr>
              <w:t>Description of the transfusion process</w:t>
            </w:r>
            <w:r w:rsidR="00537080" w:rsidRPr="00FE6765">
              <w:rPr>
                <w:rFonts w:cs="Arial"/>
                <w:b/>
                <w:bCs/>
                <w:szCs w:val="21"/>
              </w:rPr>
              <w:t xml:space="preserve"> step</w:t>
            </w:r>
          </w:p>
        </w:tc>
      </w:tr>
      <w:tr w:rsidR="00AC7E72" w14:paraId="205E4BE5" w14:textId="77777777" w:rsidTr="00AC7E72">
        <w:tc>
          <w:tcPr>
            <w:tcW w:w="2405" w:type="dxa"/>
          </w:tcPr>
          <w:p w14:paraId="5559F7C2" w14:textId="77777777" w:rsidR="00A854B8" w:rsidRPr="00FE6765" w:rsidRDefault="00A854B8" w:rsidP="00AC7E72">
            <w:pPr>
              <w:ind w:right="-53"/>
              <w:rPr>
                <w:rFonts w:cs="Arial"/>
                <w:szCs w:val="21"/>
              </w:rPr>
            </w:pPr>
            <w:r w:rsidRPr="00FE6765">
              <w:rPr>
                <w:rFonts w:cs="Arial"/>
                <w:szCs w:val="21"/>
              </w:rPr>
              <w:t>Decision to transfuse and consent</w:t>
            </w:r>
          </w:p>
        </w:tc>
        <w:tc>
          <w:tcPr>
            <w:tcW w:w="7789" w:type="dxa"/>
          </w:tcPr>
          <w:p w14:paraId="5A266662" w14:textId="75999B8A" w:rsidR="007A6783" w:rsidRPr="00FE6765" w:rsidRDefault="00A854B8" w:rsidP="00442DD7">
            <w:pPr>
              <w:rPr>
                <w:rFonts w:cs="Arial"/>
                <w:szCs w:val="21"/>
              </w:rPr>
            </w:pPr>
            <w:r w:rsidRPr="00FE6765">
              <w:rPr>
                <w:rFonts w:cs="Arial"/>
                <w:szCs w:val="21"/>
              </w:rPr>
              <w:t>The decision to transfuse is based on a thorough clinical assessment of the patient</w:t>
            </w:r>
            <w:r w:rsidR="007A6783" w:rsidRPr="00FE6765">
              <w:rPr>
                <w:rFonts w:cs="Arial"/>
                <w:szCs w:val="21"/>
              </w:rPr>
              <w:t>, not pathology results alone</w:t>
            </w:r>
            <w:r w:rsidR="008C2E73">
              <w:rPr>
                <w:rFonts w:cs="Arial"/>
                <w:szCs w:val="21"/>
              </w:rPr>
              <w:t>. Transfusion</w:t>
            </w:r>
            <w:r w:rsidR="00C16FBB">
              <w:rPr>
                <w:rFonts w:cs="Arial"/>
                <w:szCs w:val="21"/>
              </w:rPr>
              <w:t xml:space="preserve"> needs</w:t>
            </w:r>
            <w:r w:rsidR="008C2E73">
              <w:rPr>
                <w:rFonts w:cs="Arial"/>
                <w:szCs w:val="21"/>
              </w:rPr>
              <w:t xml:space="preserve"> to</w:t>
            </w:r>
            <w:r w:rsidRPr="00FE6765">
              <w:rPr>
                <w:rFonts w:cs="Arial"/>
                <w:szCs w:val="21"/>
              </w:rPr>
              <w:t xml:space="preserve"> </w:t>
            </w:r>
            <w:r w:rsidR="00B778A1" w:rsidRPr="00FE6765">
              <w:rPr>
                <w:rFonts w:cs="Arial"/>
                <w:szCs w:val="21"/>
              </w:rPr>
              <w:t>align</w:t>
            </w:r>
            <w:r w:rsidRPr="00FE6765">
              <w:rPr>
                <w:rFonts w:cs="Arial"/>
                <w:szCs w:val="21"/>
              </w:rPr>
              <w:t xml:space="preserve"> with current evidence-based guidelines.</w:t>
            </w:r>
          </w:p>
          <w:p w14:paraId="3A002795" w14:textId="4C765DDD" w:rsidR="00E245E1" w:rsidRPr="00FE6765" w:rsidRDefault="00E245E1" w:rsidP="00E245E1">
            <w:pPr>
              <w:rPr>
                <w:rFonts w:cs="Arial"/>
                <w:szCs w:val="21"/>
              </w:rPr>
            </w:pPr>
            <w:r w:rsidRPr="00FE6765">
              <w:rPr>
                <w:rFonts w:cs="Arial"/>
                <w:szCs w:val="21"/>
              </w:rPr>
              <w:t xml:space="preserve">There are </w:t>
            </w:r>
            <w:r w:rsidR="007A6783" w:rsidRPr="00FE6765">
              <w:rPr>
                <w:rFonts w:cs="Arial"/>
                <w:szCs w:val="21"/>
              </w:rPr>
              <w:t>many</w:t>
            </w:r>
            <w:r w:rsidRPr="00FE6765">
              <w:rPr>
                <w:rFonts w:cs="Arial"/>
                <w:szCs w:val="21"/>
              </w:rPr>
              <w:t xml:space="preserve"> resources to inform the decision to transfuse, see Resources.</w:t>
            </w:r>
          </w:p>
          <w:p w14:paraId="6D507DF4" w14:textId="03DD6077" w:rsidR="00A854B8" w:rsidRPr="00FE6765" w:rsidRDefault="00A854B8" w:rsidP="00442DD7">
            <w:pPr>
              <w:rPr>
                <w:rFonts w:cs="Arial"/>
                <w:szCs w:val="21"/>
              </w:rPr>
            </w:pPr>
            <w:r w:rsidRPr="00FE6765">
              <w:rPr>
                <w:rFonts w:cs="Arial"/>
                <w:szCs w:val="21"/>
              </w:rPr>
              <w:t xml:space="preserve">Informed consent </w:t>
            </w:r>
            <w:r w:rsidR="00E245E1" w:rsidRPr="00FE6765">
              <w:rPr>
                <w:rFonts w:cs="Arial"/>
                <w:szCs w:val="21"/>
              </w:rPr>
              <w:t xml:space="preserve">for transfusion </w:t>
            </w:r>
            <w:r w:rsidRPr="00FE6765">
              <w:rPr>
                <w:rFonts w:cs="Arial"/>
                <w:szCs w:val="21"/>
              </w:rPr>
              <w:t xml:space="preserve">is obtained </w:t>
            </w:r>
            <w:r w:rsidR="00E245E1" w:rsidRPr="00FE6765">
              <w:rPr>
                <w:rFonts w:cs="Arial"/>
                <w:szCs w:val="21"/>
              </w:rPr>
              <w:t>by the prescribing clinician, ideally from the patient, or the medical treatment decision maker if the patient is unable to consent prior to the transfusion unless in an emergency when it is not possible to obtain consent.</w:t>
            </w:r>
            <w:r w:rsidR="004230CE">
              <w:rPr>
                <w:rFonts w:cs="Arial"/>
                <w:szCs w:val="21"/>
              </w:rPr>
              <w:t xml:space="preserve"> </w:t>
            </w:r>
            <w:r w:rsidR="001B6C33">
              <w:rPr>
                <w:rFonts w:cs="Arial"/>
                <w:szCs w:val="21"/>
              </w:rPr>
              <w:t xml:space="preserve">It is important that information </w:t>
            </w:r>
            <w:r w:rsidR="005016DB">
              <w:rPr>
                <w:rFonts w:cs="Arial"/>
                <w:szCs w:val="21"/>
              </w:rPr>
              <w:t>is provided in line with the patient or medical treatment decision maker</w:t>
            </w:r>
            <w:r w:rsidR="004230CE">
              <w:rPr>
                <w:rFonts w:cs="Arial"/>
                <w:szCs w:val="21"/>
              </w:rPr>
              <w:t>’s literacy level and in a way they can understand.</w:t>
            </w:r>
            <w:r w:rsidR="00D138E8">
              <w:rPr>
                <w:rFonts w:cs="Arial"/>
                <w:szCs w:val="21"/>
              </w:rPr>
              <w:t xml:space="preserve"> </w:t>
            </w:r>
            <w:r w:rsidR="004230CE">
              <w:rPr>
                <w:rFonts w:cs="Arial"/>
                <w:szCs w:val="21"/>
              </w:rPr>
              <w:t>An interpreter may be required</w:t>
            </w:r>
            <w:r w:rsidR="00D138E8">
              <w:rPr>
                <w:rFonts w:cs="Arial"/>
                <w:szCs w:val="21"/>
              </w:rPr>
              <w:t>.</w:t>
            </w:r>
          </w:p>
          <w:p w14:paraId="43FCEBC2" w14:textId="05C8CED9" w:rsidR="00A854B8" w:rsidRPr="00FE6765" w:rsidRDefault="00A854B8" w:rsidP="00DD4316">
            <w:pPr>
              <w:rPr>
                <w:rFonts w:cs="Arial"/>
                <w:szCs w:val="21"/>
              </w:rPr>
            </w:pPr>
            <w:r w:rsidRPr="00FE6765">
              <w:rPr>
                <w:rFonts w:cs="Arial"/>
                <w:szCs w:val="21"/>
              </w:rPr>
              <w:t xml:space="preserve">The reason, the proposed blood </w:t>
            </w:r>
            <w:r w:rsidR="00273227" w:rsidRPr="00FE6765">
              <w:rPr>
                <w:rFonts w:cs="Arial"/>
                <w:szCs w:val="21"/>
              </w:rPr>
              <w:t xml:space="preserve">component(s) or </w:t>
            </w:r>
            <w:r w:rsidRPr="00FE6765">
              <w:rPr>
                <w:rFonts w:cs="Arial"/>
                <w:szCs w:val="21"/>
              </w:rPr>
              <w:t>product(s)</w:t>
            </w:r>
            <w:r w:rsidR="00273227" w:rsidRPr="00FE6765">
              <w:rPr>
                <w:rFonts w:cs="Arial"/>
                <w:szCs w:val="21"/>
              </w:rPr>
              <w:t xml:space="preserve"> type</w:t>
            </w:r>
            <w:r w:rsidRPr="00FE6765">
              <w:rPr>
                <w:rFonts w:cs="Arial"/>
                <w:szCs w:val="21"/>
              </w:rPr>
              <w:t xml:space="preserve">, </w:t>
            </w:r>
            <w:r w:rsidR="00994221" w:rsidRPr="00FE6765">
              <w:rPr>
                <w:rFonts w:cs="Arial"/>
                <w:szCs w:val="21"/>
              </w:rPr>
              <w:t>risks,</w:t>
            </w:r>
            <w:r w:rsidRPr="00FE6765">
              <w:rPr>
                <w:rFonts w:cs="Arial"/>
                <w:szCs w:val="21"/>
              </w:rPr>
              <w:t xml:space="preserve"> and benefits (and risk of not having the </w:t>
            </w:r>
            <w:r w:rsidR="00273227" w:rsidRPr="00FE6765">
              <w:rPr>
                <w:rFonts w:cs="Arial"/>
                <w:szCs w:val="21"/>
              </w:rPr>
              <w:t>transfusion</w:t>
            </w:r>
            <w:r w:rsidRPr="00FE6765">
              <w:rPr>
                <w:rFonts w:cs="Arial"/>
                <w:szCs w:val="21"/>
              </w:rPr>
              <w:t>), any other blood management strategies and an opportunity to ask questions are provided to the patient by the prescribing clinician.</w:t>
            </w:r>
            <w:r w:rsidR="00093A95" w:rsidRPr="00FE6765">
              <w:rPr>
                <w:rFonts w:cs="Arial"/>
                <w:szCs w:val="21"/>
              </w:rPr>
              <w:t xml:space="preserve"> Consumer information brochures should be used to support the consent process.</w:t>
            </w:r>
          </w:p>
          <w:p w14:paraId="314F8EB5" w14:textId="20F1001C" w:rsidR="00A854B8" w:rsidRPr="00FE6765" w:rsidRDefault="009C6BAB" w:rsidP="00442DD7">
            <w:pPr>
              <w:rPr>
                <w:rFonts w:cs="Arial"/>
                <w:szCs w:val="21"/>
              </w:rPr>
            </w:pPr>
            <w:r>
              <w:rPr>
                <w:rFonts w:cs="Arial"/>
                <w:szCs w:val="21"/>
              </w:rPr>
              <w:t>Document the patient's consent or refusal of transfusion in their medical record.</w:t>
            </w:r>
          </w:p>
          <w:p w14:paraId="58ED3D87" w14:textId="1B58FA20" w:rsidR="00970D0C" w:rsidRPr="00FE6765" w:rsidRDefault="00970D0C" w:rsidP="00970D0C">
            <w:pPr>
              <w:rPr>
                <w:rFonts w:cs="Arial"/>
                <w:szCs w:val="21"/>
              </w:rPr>
            </w:pPr>
            <w:r w:rsidRPr="00FE6765">
              <w:rPr>
                <w:rFonts w:cs="Arial"/>
                <w:szCs w:val="21"/>
              </w:rPr>
              <w:t>Information can be found at Office of the Public Advocate or Medical Treatment Planning and Decision Act 2016</w:t>
            </w:r>
          </w:p>
        </w:tc>
      </w:tr>
      <w:tr w:rsidR="00AC7E72" w14:paraId="2CE81449" w14:textId="77777777" w:rsidTr="00AC7E72">
        <w:tc>
          <w:tcPr>
            <w:tcW w:w="2405" w:type="dxa"/>
          </w:tcPr>
          <w:p w14:paraId="5C926097" w14:textId="77777777" w:rsidR="00A854B8" w:rsidRPr="00FE6765" w:rsidRDefault="00A854B8" w:rsidP="00AC7E72">
            <w:pPr>
              <w:ind w:right="-53"/>
              <w:rPr>
                <w:rFonts w:cs="Arial"/>
                <w:szCs w:val="21"/>
              </w:rPr>
            </w:pPr>
            <w:r w:rsidRPr="00FE6765">
              <w:rPr>
                <w:rFonts w:cs="Arial"/>
                <w:szCs w:val="21"/>
              </w:rPr>
              <w:t>Prescription and request for transfusion</w:t>
            </w:r>
          </w:p>
        </w:tc>
        <w:tc>
          <w:tcPr>
            <w:tcW w:w="7789" w:type="dxa"/>
          </w:tcPr>
          <w:p w14:paraId="769056DF" w14:textId="2E4591FB" w:rsidR="00A854B8" w:rsidRPr="00FE6765" w:rsidRDefault="00A854B8" w:rsidP="00442DD7">
            <w:pPr>
              <w:rPr>
                <w:rFonts w:cs="Arial"/>
                <w:szCs w:val="21"/>
              </w:rPr>
            </w:pPr>
            <w:r w:rsidRPr="00FE6765">
              <w:rPr>
                <w:rFonts w:cs="Arial"/>
                <w:szCs w:val="21"/>
              </w:rPr>
              <w:t>The prescription is the written authorisation</w:t>
            </w:r>
            <w:r w:rsidR="00260C9E" w:rsidRPr="00FE6765">
              <w:rPr>
                <w:rFonts w:cs="Arial"/>
                <w:szCs w:val="21"/>
              </w:rPr>
              <w:t>, used by the clinical staff</w:t>
            </w:r>
            <w:r w:rsidRPr="00FE6765">
              <w:rPr>
                <w:rFonts w:cs="Arial"/>
                <w:szCs w:val="21"/>
              </w:rPr>
              <w:t xml:space="preserve"> to administer the blood </w:t>
            </w:r>
            <w:r w:rsidR="00273227" w:rsidRPr="00FE6765">
              <w:rPr>
                <w:rFonts w:cs="Arial"/>
                <w:szCs w:val="21"/>
              </w:rPr>
              <w:t xml:space="preserve">component or </w:t>
            </w:r>
            <w:r w:rsidRPr="00FE6765">
              <w:rPr>
                <w:rFonts w:cs="Arial"/>
                <w:szCs w:val="21"/>
              </w:rPr>
              <w:t>product.</w:t>
            </w:r>
          </w:p>
          <w:p w14:paraId="0D308CA6" w14:textId="511E0D83" w:rsidR="00970D0C" w:rsidRPr="00FE6765" w:rsidRDefault="00970D0C" w:rsidP="00970D0C">
            <w:pPr>
              <w:rPr>
                <w:rFonts w:cs="Arial"/>
                <w:szCs w:val="21"/>
              </w:rPr>
            </w:pPr>
            <w:r w:rsidRPr="00FE6765">
              <w:rPr>
                <w:rFonts w:cs="Arial"/>
                <w:szCs w:val="21"/>
              </w:rPr>
              <w:lastRenderedPageBreak/>
              <w:t>The prescription must give a clear, legible instruction, avoiding abbreviations where possible</w:t>
            </w:r>
            <w:r w:rsidR="00260C9E" w:rsidRPr="00FE6765">
              <w:rPr>
                <w:rFonts w:cs="Arial"/>
                <w:szCs w:val="21"/>
              </w:rPr>
              <w:t>.</w:t>
            </w:r>
            <w:r w:rsidRPr="00FE6765">
              <w:rPr>
                <w:rFonts w:cs="Arial"/>
                <w:szCs w:val="21"/>
              </w:rPr>
              <w:t xml:space="preserve"> </w:t>
            </w:r>
            <w:r w:rsidR="00260C9E" w:rsidRPr="00FE6765">
              <w:rPr>
                <w:rFonts w:cs="Arial"/>
                <w:szCs w:val="21"/>
              </w:rPr>
              <w:t>F</w:t>
            </w:r>
            <w:r w:rsidRPr="00FE6765">
              <w:rPr>
                <w:rFonts w:cs="Arial"/>
                <w:szCs w:val="21"/>
              </w:rPr>
              <w:t xml:space="preserve">or </w:t>
            </w:r>
            <w:r w:rsidR="00260C9E" w:rsidRPr="00FE6765">
              <w:rPr>
                <w:rFonts w:cs="Arial"/>
                <w:szCs w:val="21"/>
              </w:rPr>
              <w:t>manufactured</w:t>
            </w:r>
            <w:r w:rsidRPr="00FE6765">
              <w:rPr>
                <w:rFonts w:cs="Arial"/>
                <w:szCs w:val="21"/>
              </w:rPr>
              <w:t xml:space="preserve"> products where there may be similar, but not necessarily interchangeable products, the needed product </w:t>
            </w:r>
            <w:r w:rsidR="00260C9E" w:rsidRPr="00FE6765">
              <w:rPr>
                <w:rFonts w:cs="Arial"/>
                <w:szCs w:val="21"/>
              </w:rPr>
              <w:t>must be</w:t>
            </w:r>
            <w:r w:rsidRPr="00FE6765">
              <w:rPr>
                <w:rFonts w:cs="Arial"/>
                <w:szCs w:val="21"/>
              </w:rPr>
              <w:t xml:space="preserve"> clear. </w:t>
            </w:r>
          </w:p>
          <w:p w14:paraId="1A9082AA" w14:textId="589DF921" w:rsidR="00970D0C" w:rsidRPr="00FE6765" w:rsidRDefault="00970D0C" w:rsidP="00970D0C">
            <w:pPr>
              <w:rPr>
                <w:rFonts w:cs="Arial"/>
                <w:szCs w:val="21"/>
              </w:rPr>
            </w:pPr>
            <w:r w:rsidRPr="00FE6765">
              <w:rPr>
                <w:rFonts w:cs="Arial"/>
                <w:szCs w:val="21"/>
              </w:rPr>
              <w:t xml:space="preserve">The prescription </w:t>
            </w:r>
            <w:r w:rsidR="005F560E">
              <w:rPr>
                <w:rFonts w:cs="Arial"/>
                <w:szCs w:val="21"/>
              </w:rPr>
              <w:t xml:space="preserve">must </w:t>
            </w:r>
            <w:r w:rsidRPr="00FE6765">
              <w:rPr>
                <w:rFonts w:cs="Arial"/>
                <w:szCs w:val="21"/>
              </w:rPr>
              <w:t xml:space="preserve">contain: </w:t>
            </w:r>
          </w:p>
          <w:p w14:paraId="34F17CBD" w14:textId="3F6B415A" w:rsidR="00970D0C" w:rsidRPr="00FE6765" w:rsidRDefault="00970D0C" w:rsidP="00F8338A">
            <w:pPr>
              <w:pStyle w:val="ListParagraph"/>
              <w:numPr>
                <w:ilvl w:val="0"/>
                <w:numId w:val="26"/>
              </w:numPr>
              <w:rPr>
                <w:rFonts w:cs="Arial"/>
                <w:szCs w:val="21"/>
              </w:rPr>
            </w:pPr>
            <w:r w:rsidRPr="00FE6765">
              <w:rPr>
                <w:rFonts w:cs="Arial"/>
                <w:szCs w:val="21"/>
              </w:rPr>
              <w:t xml:space="preserve">patient identification details: family name and given name, gender, date of birth (DOB) and unique patient identification number if available </w:t>
            </w:r>
          </w:p>
          <w:p w14:paraId="2F4B355B" w14:textId="55EB7740" w:rsidR="00970D0C" w:rsidRPr="00FE6765" w:rsidRDefault="00970D0C" w:rsidP="00F8338A">
            <w:pPr>
              <w:pStyle w:val="ListParagraph"/>
              <w:numPr>
                <w:ilvl w:val="0"/>
                <w:numId w:val="26"/>
              </w:numPr>
              <w:rPr>
                <w:rFonts w:cs="Arial"/>
                <w:szCs w:val="21"/>
              </w:rPr>
            </w:pPr>
            <w:r w:rsidRPr="00FE6765">
              <w:rPr>
                <w:rFonts w:cs="Arial"/>
                <w:szCs w:val="21"/>
              </w:rPr>
              <w:t xml:space="preserve">date, timing, and urgency of the transfusion </w:t>
            </w:r>
          </w:p>
          <w:p w14:paraId="734A9D9A" w14:textId="574EE6DB" w:rsidR="00970D0C" w:rsidRPr="00FE6765" w:rsidRDefault="00970D0C" w:rsidP="00F8338A">
            <w:pPr>
              <w:pStyle w:val="ListParagraph"/>
              <w:numPr>
                <w:ilvl w:val="0"/>
                <w:numId w:val="26"/>
              </w:numPr>
              <w:rPr>
                <w:rFonts w:cs="Arial"/>
                <w:szCs w:val="21"/>
              </w:rPr>
            </w:pPr>
            <w:r w:rsidRPr="00FE6765">
              <w:rPr>
                <w:rFonts w:cs="Arial"/>
                <w:szCs w:val="21"/>
              </w:rPr>
              <w:t xml:space="preserve">appropriate and consistent terminology for the blood </w:t>
            </w:r>
            <w:r w:rsidR="00273227" w:rsidRPr="00FE6765">
              <w:rPr>
                <w:rFonts w:cs="Arial"/>
                <w:szCs w:val="21"/>
              </w:rPr>
              <w:t xml:space="preserve">component or </w:t>
            </w:r>
            <w:r w:rsidRPr="00FE6765">
              <w:rPr>
                <w:rFonts w:cs="Arial"/>
                <w:szCs w:val="21"/>
              </w:rPr>
              <w:t xml:space="preserve">product to be administered </w:t>
            </w:r>
          </w:p>
          <w:p w14:paraId="108D09F8" w14:textId="03B40086" w:rsidR="00970D0C" w:rsidRPr="00FE6765" w:rsidRDefault="00970D0C" w:rsidP="00F8338A">
            <w:pPr>
              <w:pStyle w:val="ListParagraph"/>
              <w:numPr>
                <w:ilvl w:val="0"/>
                <w:numId w:val="26"/>
              </w:numPr>
              <w:rPr>
                <w:rFonts w:cs="Arial"/>
                <w:szCs w:val="21"/>
              </w:rPr>
            </w:pPr>
            <w:r w:rsidRPr="00FE6765">
              <w:rPr>
                <w:rFonts w:cs="Arial"/>
                <w:szCs w:val="21"/>
              </w:rPr>
              <w:t xml:space="preserve">special blood </w:t>
            </w:r>
            <w:r w:rsidR="00134DAE" w:rsidRPr="00FE6765">
              <w:rPr>
                <w:rFonts w:cs="Arial"/>
                <w:szCs w:val="21"/>
              </w:rPr>
              <w:t xml:space="preserve">component </w:t>
            </w:r>
            <w:r w:rsidRPr="00FE6765">
              <w:rPr>
                <w:rFonts w:cs="Arial"/>
                <w:szCs w:val="21"/>
              </w:rPr>
              <w:t>requirements or modifications required: for example, irradiated or cytomegalovirus (CMV) seronegative</w:t>
            </w:r>
          </w:p>
          <w:p w14:paraId="0DC42DAA" w14:textId="329FA398" w:rsidR="00970D0C" w:rsidRPr="00FE6765" w:rsidRDefault="00970D0C" w:rsidP="00F8338A">
            <w:pPr>
              <w:pStyle w:val="ListParagraph"/>
              <w:numPr>
                <w:ilvl w:val="0"/>
                <w:numId w:val="26"/>
              </w:numPr>
              <w:rPr>
                <w:rFonts w:cs="Arial"/>
                <w:szCs w:val="21"/>
              </w:rPr>
            </w:pPr>
            <w:r w:rsidRPr="00FE6765">
              <w:rPr>
                <w:rFonts w:cs="Arial"/>
                <w:szCs w:val="21"/>
              </w:rPr>
              <w:t xml:space="preserve">the route of administration </w:t>
            </w:r>
          </w:p>
          <w:p w14:paraId="3A187992" w14:textId="2C475AED" w:rsidR="00970D0C" w:rsidRPr="00FE6765" w:rsidRDefault="00970D0C" w:rsidP="00F8338A">
            <w:pPr>
              <w:pStyle w:val="ListParagraph"/>
              <w:numPr>
                <w:ilvl w:val="0"/>
                <w:numId w:val="26"/>
              </w:numPr>
              <w:rPr>
                <w:rFonts w:cs="Arial"/>
                <w:szCs w:val="21"/>
              </w:rPr>
            </w:pPr>
            <w:r w:rsidRPr="00FE6765">
              <w:rPr>
                <w:rFonts w:cs="Arial"/>
                <w:szCs w:val="21"/>
              </w:rPr>
              <w:t xml:space="preserve">the number of units or dose of blood </w:t>
            </w:r>
            <w:r w:rsidR="00134DAE" w:rsidRPr="00FE6765">
              <w:rPr>
                <w:rFonts w:cs="Arial"/>
                <w:szCs w:val="21"/>
              </w:rPr>
              <w:t xml:space="preserve">component or </w:t>
            </w:r>
            <w:r w:rsidRPr="00FE6765">
              <w:rPr>
                <w:rFonts w:cs="Arial"/>
                <w:szCs w:val="21"/>
              </w:rPr>
              <w:t xml:space="preserve">product to be given, using appropriate units of measure (e.g. number of packs, volume in millilitres, </w:t>
            </w:r>
            <w:r w:rsidR="009D12B0" w:rsidRPr="00FE6765">
              <w:rPr>
                <w:rFonts w:cs="Arial"/>
                <w:szCs w:val="21"/>
              </w:rPr>
              <w:t>units,</w:t>
            </w:r>
            <w:r w:rsidRPr="00FE6765">
              <w:rPr>
                <w:rFonts w:cs="Arial"/>
                <w:szCs w:val="21"/>
              </w:rPr>
              <w:t xml:space="preserve"> or weight in grams); blood component volumes should be stated in millilitres for neonatal patients and children less than 20 kg. </w:t>
            </w:r>
          </w:p>
          <w:p w14:paraId="231C541D" w14:textId="77777777" w:rsidR="0015262F" w:rsidRDefault="00970D0C" w:rsidP="00F8338A">
            <w:pPr>
              <w:pStyle w:val="ListParagraph"/>
              <w:numPr>
                <w:ilvl w:val="0"/>
                <w:numId w:val="26"/>
              </w:numPr>
              <w:rPr>
                <w:rFonts w:cs="Arial"/>
                <w:szCs w:val="21"/>
              </w:rPr>
            </w:pPr>
            <w:r w:rsidRPr="00FE6765">
              <w:rPr>
                <w:rFonts w:cs="Arial"/>
                <w:szCs w:val="21"/>
              </w:rPr>
              <w:t xml:space="preserve">the duration over which the blood </w:t>
            </w:r>
            <w:r w:rsidR="00134DAE" w:rsidRPr="00FE6765">
              <w:rPr>
                <w:rFonts w:cs="Arial"/>
                <w:szCs w:val="21"/>
              </w:rPr>
              <w:t xml:space="preserve">component or </w:t>
            </w:r>
            <w:r w:rsidRPr="00FE6765">
              <w:rPr>
                <w:rFonts w:cs="Arial"/>
                <w:szCs w:val="21"/>
              </w:rPr>
              <w:t xml:space="preserve">product is to be administered </w:t>
            </w:r>
          </w:p>
          <w:p w14:paraId="61BF0245" w14:textId="61D75454" w:rsidR="0015262F" w:rsidRPr="0015262F" w:rsidRDefault="0015262F" w:rsidP="0015262F">
            <w:pPr>
              <w:pStyle w:val="ListParagraph"/>
              <w:numPr>
                <w:ilvl w:val="0"/>
                <w:numId w:val="26"/>
              </w:numPr>
              <w:rPr>
                <w:rFonts w:cs="Arial"/>
                <w:szCs w:val="21"/>
              </w:rPr>
            </w:pPr>
            <w:r w:rsidRPr="0015262F">
              <w:rPr>
                <w:rFonts w:cs="Arial"/>
                <w:szCs w:val="21"/>
              </w:rPr>
              <w:t xml:space="preserve">special </w:t>
            </w:r>
            <w:r w:rsidR="003D6441" w:rsidRPr="0015262F">
              <w:rPr>
                <w:rFonts w:cs="Arial"/>
                <w:szCs w:val="21"/>
              </w:rPr>
              <w:t>instructions:</w:t>
            </w:r>
            <w:r w:rsidRPr="0015262F">
              <w:rPr>
                <w:rFonts w:cs="Arial"/>
                <w:szCs w:val="21"/>
              </w:rPr>
              <w:t xml:space="preserve"> for example, use of a blood warmer, or any medication required before or after the </w:t>
            </w:r>
          </w:p>
          <w:p w14:paraId="77C6F47E" w14:textId="77777777" w:rsidR="0015262F" w:rsidRPr="0015262F" w:rsidRDefault="0015262F" w:rsidP="0015262F">
            <w:pPr>
              <w:pStyle w:val="ListParagraph"/>
              <w:numPr>
                <w:ilvl w:val="0"/>
                <w:numId w:val="26"/>
              </w:numPr>
              <w:rPr>
                <w:rFonts w:cs="Arial"/>
                <w:szCs w:val="21"/>
              </w:rPr>
            </w:pPr>
            <w:r w:rsidRPr="0015262F">
              <w:rPr>
                <w:rFonts w:cs="Arial"/>
                <w:szCs w:val="21"/>
              </w:rPr>
              <w:t xml:space="preserve">transfusion </w:t>
            </w:r>
          </w:p>
          <w:p w14:paraId="77F89471" w14:textId="7C8E749F" w:rsidR="0015262F" w:rsidRDefault="0015262F" w:rsidP="0015262F">
            <w:pPr>
              <w:pStyle w:val="ListParagraph"/>
              <w:numPr>
                <w:ilvl w:val="0"/>
                <w:numId w:val="26"/>
              </w:numPr>
              <w:rPr>
                <w:rFonts w:cs="Arial"/>
                <w:szCs w:val="21"/>
              </w:rPr>
            </w:pPr>
            <w:r w:rsidRPr="0015262F">
              <w:rPr>
                <w:rFonts w:cs="Arial"/>
                <w:szCs w:val="21"/>
              </w:rPr>
              <w:t>legibly written name and signature of the prescriber, and a contact telephone number or pager number</w:t>
            </w:r>
          </w:p>
          <w:p w14:paraId="3FCE5E64" w14:textId="549E5536" w:rsidR="0015262F" w:rsidRDefault="0015262F" w:rsidP="0015262F">
            <w:pPr>
              <w:pStyle w:val="ListParagraph"/>
              <w:numPr>
                <w:ilvl w:val="0"/>
                <w:numId w:val="26"/>
              </w:numPr>
              <w:rPr>
                <w:rFonts w:cs="Arial"/>
                <w:szCs w:val="21"/>
              </w:rPr>
            </w:pPr>
            <w:r>
              <w:rPr>
                <w:rFonts w:cs="Arial"/>
                <w:szCs w:val="21"/>
              </w:rPr>
              <w:t>plasma-derived products and recombinant products should include the brand name</w:t>
            </w:r>
          </w:p>
          <w:p w14:paraId="1BEBB611" w14:textId="343F9C52" w:rsidR="007E5C72" w:rsidRPr="0015262F" w:rsidRDefault="00970D0C" w:rsidP="0015262F">
            <w:pPr>
              <w:rPr>
                <w:rFonts w:cs="Arial"/>
                <w:szCs w:val="21"/>
              </w:rPr>
            </w:pPr>
            <w:r w:rsidRPr="0015262F">
              <w:rPr>
                <w:rFonts w:cs="Arial"/>
                <w:szCs w:val="21"/>
              </w:rPr>
              <w:t>(ANZSBT</w:t>
            </w:r>
            <w:r w:rsidR="005F161F" w:rsidRPr="0015262F">
              <w:rPr>
                <w:rFonts w:cs="Arial"/>
                <w:szCs w:val="21"/>
              </w:rPr>
              <w:t xml:space="preserve"> Guidelines for the Administration of Blood Products, 3</w:t>
            </w:r>
            <w:r w:rsidR="005F161F" w:rsidRPr="0015262F">
              <w:rPr>
                <w:rFonts w:cs="Arial"/>
                <w:szCs w:val="21"/>
                <w:vertAlign w:val="superscript"/>
              </w:rPr>
              <w:t>rd</w:t>
            </w:r>
            <w:r w:rsidR="005F161F" w:rsidRPr="0015262F">
              <w:rPr>
                <w:rFonts w:cs="Arial"/>
                <w:szCs w:val="21"/>
              </w:rPr>
              <w:t xml:space="preserve"> edition, 2024</w:t>
            </w:r>
            <w:r w:rsidRPr="0015262F">
              <w:rPr>
                <w:rFonts w:cs="Arial"/>
                <w:szCs w:val="21"/>
              </w:rPr>
              <w:t>)</w:t>
            </w:r>
          </w:p>
          <w:p w14:paraId="2E85BA9B" w14:textId="4AF88D3A" w:rsidR="005630E4" w:rsidRPr="00FE6765" w:rsidRDefault="00970D0C" w:rsidP="00970D0C">
            <w:pPr>
              <w:rPr>
                <w:rFonts w:cs="Arial"/>
                <w:szCs w:val="21"/>
              </w:rPr>
            </w:pPr>
            <w:r w:rsidRPr="00FE6765">
              <w:rPr>
                <w:rFonts w:cs="Arial"/>
                <w:szCs w:val="21"/>
              </w:rPr>
              <w:t xml:space="preserve">In some health services Nurse Practitioners may </w:t>
            </w:r>
            <w:r w:rsidR="00260C9E" w:rsidRPr="00FE6765">
              <w:rPr>
                <w:rFonts w:cs="Arial"/>
                <w:szCs w:val="21"/>
              </w:rPr>
              <w:t>prescribe</w:t>
            </w:r>
            <w:r w:rsidRPr="00FE6765">
              <w:rPr>
                <w:rFonts w:cs="Arial"/>
                <w:szCs w:val="21"/>
              </w:rPr>
              <w:t xml:space="preserve"> blood components/products. </w:t>
            </w:r>
            <w:r w:rsidR="005F161F" w:rsidRPr="00FE6765">
              <w:rPr>
                <w:rFonts w:cs="Arial"/>
                <w:szCs w:val="21"/>
              </w:rPr>
              <w:t xml:space="preserve">The </w:t>
            </w:r>
            <w:hyperlink r:id="rId91" w:history="1">
              <w:r w:rsidR="00260C9E" w:rsidRPr="001E5B71">
                <w:rPr>
                  <w:rStyle w:val="Hyperlink"/>
                  <w:rFonts w:cs="Arial"/>
                  <w:szCs w:val="21"/>
                </w:rPr>
                <w:t xml:space="preserve">ANZSBT </w:t>
              </w:r>
              <w:r w:rsidR="005F161F" w:rsidRPr="001E5B71">
                <w:rPr>
                  <w:rStyle w:val="Hyperlink"/>
                  <w:rFonts w:cs="Arial"/>
                  <w:szCs w:val="21"/>
                </w:rPr>
                <w:t>G</w:t>
              </w:r>
              <w:r w:rsidR="005630E4" w:rsidRPr="001E5B71">
                <w:rPr>
                  <w:rStyle w:val="Hyperlink"/>
                  <w:rFonts w:cs="Arial"/>
                  <w:szCs w:val="21"/>
                </w:rPr>
                <w:t>uideline for the prescription of blood and blood products by nurse practitioners</w:t>
              </w:r>
            </w:hyperlink>
            <w:r w:rsidR="005F161F" w:rsidRPr="00FE6765">
              <w:rPr>
                <w:rFonts w:cs="Arial"/>
                <w:szCs w:val="21"/>
              </w:rPr>
              <w:t xml:space="preserve"> </w:t>
            </w:r>
            <w:r w:rsidR="005630E4" w:rsidRPr="00FE6765">
              <w:rPr>
                <w:rFonts w:cs="Arial"/>
                <w:szCs w:val="21"/>
              </w:rPr>
              <w:t>&lt;https://anzsbt.org.au/wp-content/uploads/2021/10/Guidelines-for-the-prescription-of-blood-and-blood-products-by-nurse-practitioners-FINAL-20211018.pdf&gt;</w:t>
            </w:r>
            <w:r w:rsidR="001E5B71" w:rsidRPr="00FE6765">
              <w:rPr>
                <w:rFonts w:cs="Arial"/>
                <w:szCs w:val="21"/>
              </w:rPr>
              <w:t xml:space="preserve"> outlines the considerations for determining the need and assessing the competence for this extended scope of practice</w:t>
            </w:r>
            <w:r w:rsidR="001E5B71">
              <w:rPr>
                <w:rFonts w:cs="Arial"/>
                <w:szCs w:val="21"/>
              </w:rPr>
              <w:t>.</w:t>
            </w:r>
          </w:p>
          <w:p w14:paraId="406FFCAD" w14:textId="22190005" w:rsidR="0031072E" w:rsidRPr="00FE6765" w:rsidRDefault="0031072E" w:rsidP="0031072E">
            <w:pPr>
              <w:rPr>
                <w:rFonts w:cs="Arial"/>
                <w:szCs w:val="21"/>
              </w:rPr>
            </w:pPr>
            <w:r w:rsidRPr="00FE6765">
              <w:rPr>
                <w:rFonts w:cs="Arial"/>
                <w:szCs w:val="21"/>
              </w:rPr>
              <w:t xml:space="preserve">The request for </w:t>
            </w:r>
            <w:r w:rsidR="00F25E50" w:rsidRPr="00FE6765">
              <w:rPr>
                <w:rFonts w:cs="Arial"/>
                <w:szCs w:val="21"/>
              </w:rPr>
              <w:t xml:space="preserve">transfusion </w:t>
            </w:r>
            <w:r w:rsidR="00970D0C" w:rsidRPr="00FE6765">
              <w:rPr>
                <w:rFonts w:cs="Arial"/>
                <w:szCs w:val="21"/>
              </w:rPr>
              <w:t xml:space="preserve">is </w:t>
            </w:r>
            <w:r w:rsidR="00F25E50" w:rsidRPr="00FE6765">
              <w:rPr>
                <w:rFonts w:cs="Arial"/>
                <w:szCs w:val="21"/>
              </w:rPr>
              <w:t xml:space="preserve">the </w:t>
            </w:r>
            <w:r w:rsidRPr="00FE6765">
              <w:rPr>
                <w:rFonts w:cs="Arial"/>
                <w:szCs w:val="21"/>
              </w:rPr>
              <w:t>communication with the transfusion laboratory to perform</w:t>
            </w:r>
            <w:r w:rsidR="00970D0C" w:rsidRPr="00FE6765">
              <w:rPr>
                <w:rFonts w:cs="Arial"/>
                <w:szCs w:val="21"/>
              </w:rPr>
              <w:t xml:space="preserve"> pretransfusion testing (unless a current/valid </w:t>
            </w:r>
            <w:r w:rsidR="00134DAE" w:rsidRPr="00FE6765">
              <w:rPr>
                <w:rFonts w:cs="Arial"/>
                <w:szCs w:val="21"/>
              </w:rPr>
              <w:t xml:space="preserve">group and screen specimen </w:t>
            </w:r>
            <w:r w:rsidR="00970D0C" w:rsidRPr="00FE6765">
              <w:rPr>
                <w:rFonts w:cs="Arial"/>
                <w:szCs w:val="21"/>
              </w:rPr>
              <w:t>is already available) and</w:t>
            </w:r>
            <w:r w:rsidRPr="00FE6765">
              <w:rPr>
                <w:rFonts w:cs="Arial"/>
                <w:szCs w:val="21"/>
              </w:rPr>
              <w:t xml:space="preserve">/or </w:t>
            </w:r>
            <w:r w:rsidR="00134DAE" w:rsidRPr="00FE6765">
              <w:rPr>
                <w:rFonts w:cs="Arial"/>
                <w:szCs w:val="21"/>
              </w:rPr>
              <w:t xml:space="preserve">component or </w:t>
            </w:r>
            <w:r w:rsidRPr="00FE6765">
              <w:rPr>
                <w:rFonts w:cs="Arial"/>
                <w:szCs w:val="21"/>
              </w:rPr>
              <w:t>product preparation</w:t>
            </w:r>
            <w:r w:rsidR="00970D0C" w:rsidRPr="00FE6765">
              <w:rPr>
                <w:rFonts w:cs="Arial"/>
                <w:szCs w:val="21"/>
              </w:rPr>
              <w:t xml:space="preserve"> to issue blood for administration.</w:t>
            </w:r>
            <w:r w:rsidR="00F25E50" w:rsidRPr="00FE6765">
              <w:rPr>
                <w:rFonts w:cs="Arial"/>
                <w:szCs w:val="21"/>
              </w:rPr>
              <w:t xml:space="preserve"> </w:t>
            </w:r>
          </w:p>
          <w:p w14:paraId="1A6196EF" w14:textId="756881DB" w:rsidR="00970D0C" w:rsidRPr="00FE6765" w:rsidRDefault="00F25E50" w:rsidP="0031072E">
            <w:pPr>
              <w:rPr>
                <w:rFonts w:cs="Arial"/>
                <w:szCs w:val="21"/>
              </w:rPr>
            </w:pPr>
            <w:r w:rsidRPr="00FE6765">
              <w:rPr>
                <w:rFonts w:cs="Arial"/>
                <w:szCs w:val="21"/>
              </w:rPr>
              <w:t xml:space="preserve">The request </w:t>
            </w:r>
            <w:r w:rsidR="00970D0C" w:rsidRPr="00FE6765">
              <w:rPr>
                <w:rFonts w:cs="Arial"/>
                <w:szCs w:val="21"/>
              </w:rPr>
              <w:t xml:space="preserve"> needs to be clear and</w:t>
            </w:r>
            <w:r w:rsidR="00537080" w:rsidRPr="00FE6765">
              <w:rPr>
                <w:rFonts w:cs="Arial"/>
                <w:szCs w:val="21"/>
              </w:rPr>
              <w:t xml:space="preserve"> include</w:t>
            </w:r>
            <w:r w:rsidR="00970D0C" w:rsidRPr="00FE6765">
              <w:rPr>
                <w:rFonts w:cs="Arial"/>
                <w:szCs w:val="21"/>
              </w:rPr>
              <w:t xml:space="preserve"> </w:t>
            </w:r>
            <w:r w:rsidR="002E15A1" w:rsidRPr="00FE6765">
              <w:rPr>
                <w:rFonts w:cs="Arial"/>
                <w:szCs w:val="21"/>
              </w:rPr>
              <w:t>requirements</w:t>
            </w:r>
            <w:r w:rsidR="00537080" w:rsidRPr="00FE6765">
              <w:rPr>
                <w:rFonts w:cs="Arial"/>
                <w:szCs w:val="21"/>
              </w:rPr>
              <w:t xml:space="preserve"> as stated</w:t>
            </w:r>
            <w:r w:rsidR="002E15A1" w:rsidRPr="00FE6765">
              <w:rPr>
                <w:rFonts w:cs="Arial"/>
                <w:szCs w:val="21"/>
              </w:rPr>
              <w:t xml:space="preserve"> in </w:t>
            </w:r>
            <w:r w:rsidR="0031072E" w:rsidRPr="00FE6765">
              <w:rPr>
                <w:rFonts w:cs="Arial"/>
                <w:szCs w:val="21"/>
              </w:rPr>
              <w:t xml:space="preserve">the </w:t>
            </w:r>
            <w:r w:rsidR="00970D0C" w:rsidRPr="00FE6765">
              <w:rPr>
                <w:rFonts w:cs="Arial"/>
                <w:szCs w:val="21"/>
              </w:rPr>
              <w:t>ANZSBT</w:t>
            </w:r>
            <w:r w:rsidR="0031072E" w:rsidRPr="00FE6765">
              <w:rPr>
                <w:rFonts w:cs="Arial"/>
                <w:szCs w:val="21"/>
              </w:rPr>
              <w:t xml:space="preserve"> </w:t>
            </w:r>
            <w:hyperlink r:id="rId92" w:history="1">
              <w:r w:rsidR="005630E4" w:rsidRPr="00F635CB">
                <w:rPr>
                  <w:rStyle w:val="Hyperlink"/>
                  <w:rFonts w:eastAsia="Times"/>
                </w:rPr>
                <w:t>Guidelines for Transfusion and Immunohaematology Laboratory Practice</w:t>
              </w:r>
              <w:r w:rsidR="002E15A1" w:rsidRPr="00F635CB">
                <w:rPr>
                  <w:rStyle w:val="Hyperlink"/>
                  <w:rFonts w:eastAsia="Times"/>
                </w:rPr>
                <w:t xml:space="preserve"> 1st edition, revised 2020</w:t>
              </w:r>
              <w:r w:rsidR="005630E4" w:rsidRPr="00F635CB">
                <w:rPr>
                  <w:rStyle w:val="Hyperlink"/>
                  <w:rFonts w:eastAsia="Times"/>
                </w:rPr>
                <w:t xml:space="preserve"> (anzsbt.org.au)</w:t>
              </w:r>
            </w:hyperlink>
            <w:r w:rsidR="005630E4" w:rsidRPr="00F635CB">
              <w:rPr>
                <w:rStyle w:val="Hyperlink"/>
                <w:rFonts w:eastAsia="Times"/>
              </w:rPr>
              <w:t xml:space="preserve"> </w:t>
            </w:r>
            <w:r w:rsidR="005630E4" w:rsidRPr="00FE6765">
              <w:rPr>
                <w:rFonts w:cs="Arial"/>
                <w:szCs w:val="21"/>
              </w:rPr>
              <w:t>&lt;https://anzsbt.org.au/wp-content/uploads/2021/04/Guideline_-for_Transfusion_and_Immunohaematology_Laboratory_Practice_FINAL_Published_20210426.pdf&gt;</w:t>
            </w:r>
            <w:r w:rsidR="00970D0C" w:rsidRPr="00FE6765">
              <w:rPr>
                <w:rFonts w:cs="Arial"/>
                <w:szCs w:val="21"/>
              </w:rPr>
              <w:t>.</w:t>
            </w:r>
          </w:p>
        </w:tc>
      </w:tr>
      <w:tr w:rsidR="00AC7E72" w14:paraId="11839FC5" w14:textId="77777777" w:rsidTr="00AC7E72">
        <w:tc>
          <w:tcPr>
            <w:tcW w:w="2405" w:type="dxa"/>
          </w:tcPr>
          <w:p w14:paraId="5E5EF69B" w14:textId="7E4CADC7" w:rsidR="00A854B8" w:rsidRPr="00FE6765" w:rsidRDefault="00A854B8" w:rsidP="00AC7E72">
            <w:pPr>
              <w:ind w:right="-53"/>
              <w:rPr>
                <w:rFonts w:cs="Arial"/>
                <w:szCs w:val="21"/>
              </w:rPr>
            </w:pPr>
            <w:r w:rsidRPr="00FE6765">
              <w:rPr>
                <w:rFonts w:cs="Arial"/>
                <w:szCs w:val="21"/>
              </w:rPr>
              <w:lastRenderedPageBreak/>
              <w:t xml:space="preserve">Pretransfusion sample collection </w:t>
            </w:r>
          </w:p>
        </w:tc>
        <w:tc>
          <w:tcPr>
            <w:tcW w:w="7789" w:type="dxa"/>
          </w:tcPr>
          <w:p w14:paraId="5C177CD3" w14:textId="41AE1E7E" w:rsidR="00066B42" w:rsidRPr="00FE6765" w:rsidRDefault="005630E4" w:rsidP="00E848FA">
            <w:pPr>
              <w:rPr>
                <w:rFonts w:cs="Arial"/>
                <w:szCs w:val="21"/>
              </w:rPr>
            </w:pPr>
            <w:r w:rsidRPr="00FE6765">
              <w:rPr>
                <w:rFonts w:cs="Arial"/>
                <w:szCs w:val="21"/>
              </w:rPr>
              <w:t>P</w:t>
            </w:r>
            <w:r w:rsidR="0096298A" w:rsidRPr="00FE6765">
              <w:rPr>
                <w:rFonts w:cs="Arial"/>
                <w:szCs w:val="21"/>
              </w:rPr>
              <w:t>ret</w:t>
            </w:r>
            <w:r w:rsidR="00E848FA" w:rsidRPr="00FE6765">
              <w:rPr>
                <w:rFonts w:cs="Arial"/>
                <w:szCs w:val="21"/>
              </w:rPr>
              <w:t>ransfusion testing, includes the blood group and antibody screen</w:t>
            </w:r>
            <w:r w:rsidR="00066B42" w:rsidRPr="00FE6765">
              <w:rPr>
                <w:rFonts w:cs="Arial"/>
                <w:szCs w:val="21"/>
              </w:rPr>
              <w:t>,</w:t>
            </w:r>
            <w:r w:rsidR="00E848FA" w:rsidRPr="00FE6765">
              <w:rPr>
                <w:rFonts w:cs="Arial"/>
                <w:szCs w:val="21"/>
              </w:rPr>
              <w:t xml:space="preserve"> and the crossmatch. </w:t>
            </w:r>
          </w:p>
          <w:p w14:paraId="3F512AEE" w14:textId="4FD4A9DB" w:rsidR="0096298A" w:rsidRPr="00FE6765" w:rsidRDefault="00E848FA" w:rsidP="00E848FA">
            <w:pPr>
              <w:rPr>
                <w:rFonts w:cs="Arial"/>
                <w:szCs w:val="21"/>
              </w:rPr>
            </w:pPr>
            <w:r w:rsidRPr="00FE6765">
              <w:rPr>
                <w:rFonts w:cs="Arial"/>
                <w:szCs w:val="21"/>
              </w:rPr>
              <w:lastRenderedPageBreak/>
              <w:t xml:space="preserve">Blood Matters provides educational materials for safe </w:t>
            </w:r>
            <w:r w:rsidR="00066B42" w:rsidRPr="00FE6765">
              <w:rPr>
                <w:rFonts w:cs="Arial"/>
                <w:szCs w:val="21"/>
              </w:rPr>
              <w:t>sample collection</w:t>
            </w:r>
            <w:r w:rsidRPr="00FE6765">
              <w:rPr>
                <w:rFonts w:cs="Arial"/>
                <w:szCs w:val="21"/>
              </w:rPr>
              <w:t xml:space="preserve"> and the prevention of wrong blood in tube errors. </w:t>
            </w:r>
            <w:r w:rsidR="0096298A" w:rsidRPr="00FE6765">
              <w:rPr>
                <w:rFonts w:cs="Arial"/>
                <w:szCs w:val="21"/>
              </w:rPr>
              <w:t xml:space="preserve">Positive patient identification is vital when collecting and labelling pretransfusion </w:t>
            </w:r>
            <w:r w:rsidR="00B778A1" w:rsidRPr="00FE6765">
              <w:rPr>
                <w:rFonts w:cs="Arial"/>
                <w:szCs w:val="21"/>
              </w:rPr>
              <w:t>specimens</w:t>
            </w:r>
            <w:r w:rsidR="0096298A" w:rsidRPr="00FE6765">
              <w:rPr>
                <w:rFonts w:cs="Arial"/>
                <w:szCs w:val="21"/>
              </w:rPr>
              <w:t>.</w:t>
            </w:r>
          </w:p>
          <w:p w14:paraId="7C277A16" w14:textId="342295D6" w:rsidR="00E848FA" w:rsidRPr="00FE6765" w:rsidRDefault="0096298A" w:rsidP="00E848FA">
            <w:pPr>
              <w:rPr>
                <w:rFonts w:cs="Arial"/>
                <w:szCs w:val="21"/>
              </w:rPr>
            </w:pPr>
            <w:r w:rsidRPr="00FE6765">
              <w:rPr>
                <w:rFonts w:cs="Arial"/>
                <w:szCs w:val="21"/>
              </w:rPr>
              <w:t xml:space="preserve">The ANZSBT Guidelines for Transfusion and </w:t>
            </w:r>
            <w:proofErr w:type="spellStart"/>
            <w:r w:rsidRPr="00FE6765">
              <w:rPr>
                <w:rFonts w:cs="Arial"/>
                <w:szCs w:val="21"/>
              </w:rPr>
              <w:t>Immunohaematology</w:t>
            </w:r>
            <w:proofErr w:type="spellEnd"/>
            <w:r w:rsidRPr="00FE6765">
              <w:rPr>
                <w:rFonts w:cs="Arial"/>
                <w:szCs w:val="21"/>
              </w:rPr>
              <w:t xml:space="preserve"> Laboratory Practice, 1</w:t>
            </w:r>
            <w:r w:rsidRPr="00FE6765">
              <w:rPr>
                <w:rFonts w:cs="Arial"/>
                <w:szCs w:val="21"/>
                <w:vertAlign w:val="superscript"/>
              </w:rPr>
              <w:t>st</w:t>
            </w:r>
            <w:r w:rsidR="004B7E33" w:rsidRPr="00FE6765">
              <w:rPr>
                <w:rFonts w:cs="Arial"/>
                <w:szCs w:val="21"/>
              </w:rPr>
              <w:t xml:space="preserve"> </w:t>
            </w:r>
            <w:r w:rsidRPr="00FE6765">
              <w:rPr>
                <w:rFonts w:cs="Arial"/>
                <w:szCs w:val="21"/>
              </w:rPr>
              <w:t xml:space="preserve">edition, revised 2020 (anzsbt.org.au) outline the required laboratory practices for </w:t>
            </w:r>
            <w:r w:rsidR="00E848FA" w:rsidRPr="00FE6765">
              <w:rPr>
                <w:rFonts w:cs="Arial"/>
                <w:szCs w:val="21"/>
              </w:rPr>
              <w:t>blood banking specimens.</w:t>
            </w:r>
          </w:p>
        </w:tc>
      </w:tr>
      <w:tr w:rsidR="00AC7E72" w14:paraId="2F246968" w14:textId="77777777" w:rsidTr="00AC7E72">
        <w:tc>
          <w:tcPr>
            <w:tcW w:w="2405" w:type="dxa"/>
          </w:tcPr>
          <w:p w14:paraId="01951320" w14:textId="77777777" w:rsidR="00A854B8" w:rsidRPr="00FE6765" w:rsidRDefault="00A854B8" w:rsidP="00AC7E72">
            <w:pPr>
              <w:ind w:right="-53"/>
              <w:rPr>
                <w:rFonts w:cs="Arial"/>
                <w:szCs w:val="21"/>
              </w:rPr>
            </w:pPr>
            <w:r w:rsidRPr="00FE6765">
              <w:rPr>
                <w:rFonts w:cs="Arial"/>
                <w:szCs w:val="21"/>
              </w:rPr>
              <w:lastRenderedPageBreak/>
              <w:t>Blood collection and delivery</w:t>
            </w:r>
          </w:p>
        </w:tc>
        <w:tc>
          <w:tcPr>
            <w:tcW w:w="7789" w:type="dxa"/>
          </w:tcPr>
          <w:p w14:paraId="4F0B5BD6" w14:textId="705AD026" w:rsidR="00A854B8" w:rsidRPr="00FE6765" w:rsidRDefault="00A854B8" w:rsidP="00442DD7">
            <w:pPr>
              <w:rPr>
                <w:rFonts w:cs="Arial"/>
                <w:szCs w:val="21"/>
              </w:rPr>
            </w:pPr>
            <w:r w:rsidRPr="00FE6765">
              <w:rPr>
                <w:rFonts w:cs="Arial"/>
                <w:szCs w:val="21"/>
              </w:rPr>
              <w:t>Collection of blood</w:t>
            </w:r>
            <w:r w:rsidR="00134DAE" w:rsidRPr="00FE6765">
              <w:rPr>
                <w:rFonts w:cs="Arial"/>
                <w:szCs w:val="21"/>
              </w:rPr>
              <w:t xml:space="preserve"> components and</w:t>
            </w:r>
            <w:r w:rsidRPr="00FE6765">
              <w:rPr>
                <w:rFonts w:cs="Arial"/>
                <w:szCs w:val="21"/>
              </w:rPr>
              <w:t xml:space="preserve"> products for transfusion must be undertaken by trained staff.</w:t>
            </w:r>
          </w:p>
          <w:p w14:paraId="01CEF6D7" w14:textId="72F3C447" w:rsidR="00A854B8" w:rsidRPr="00FE6765" w:rsidRDefault="00EA2AE9" w:rsidP="00442DD7">
            <w:pPr>
              <w:rPr>
                <w:rFonts w:cs="Arial"/>
                <w:szCs w:val="21"/>
              </w:rPr>
            </w:pPr>
            <w:r w:rsidRPr="00FE6765">
              <w:rPr>
                <w:rFonts w:cs="Arial"/>
                <w:szCs w:val="21"/>
              </w:rPr>
              <w:t>B</w:t>
            </w:r>
            <w:r w:rsidR="00A854B8" w:rsidRPr="00FE6765">
              <w:rPr>
                <w:rFonts w:cs="Arial"/>
                <w:szCs w:val="21"/>
              </w:rPr>
              <w:t xml:space="preserve">lood </w:t>
            </w:r>
            <w:r w:rsidR="00134DAE" w:rsidRPr="00FE6765">
              <w:rPr>
                <w:rFonts w:cs="Arial"/>
                <w:szCs w:val="21"/>
              </w:rPr>
              <w:t xml:space="preserve">components and </w:t>
            </w:r>
            <w:r w:rsidR="00A854B8" w:rsidRPr="00FE6765">
              <w:rPr>
                <w:rFonts w:cs="Arial"/>
                <w:szCs w:val="21"/>
              </w:rPr>
              <w:t>products</w:t>
            </w:r>
            <w:r w:rsidRPr="00FE6765">
              <w:rPr>
                <w:rFonts w:cs="Arial"/>
                <w:szCs w:val="21"/>
              </w:rPr>
              <w:t xml:space="preserve"> </w:t>
            </w:r>
            <w:r w:rsidR="00A35912" w:rsidRPr="00FE6765">
              <w:rPr>
                <w:rFonts w:cs="Arial"/>
                <w:szCs w:val="21"/>
              </w:rPr>
              <w:t>entered</w:t>
            </w:r>
            <w:r w:rsidRPr="00FE6765">
              <w:rPr>
                <w:rFonts w:cs="Arial"/>
                <w:szCs w:val="21"/>
              </w:rPr>
              <w:t xml:space="preserve"> or removed</w:t>
            </w:r>
            <w:r w:rsidR="00A854B8" w:rsidRPr="00FE6765">
              <w:rPr>
                <w:rFonts w:cs="Arial"/>
                <w:szCs w:val="21"/>
              </w:rPr>
              <w:t xml:space="preserve"> from the temperature-controlled storage refrigerator must</w:t>
            </w:r>
            <w:r w:rsidR="00533E33">
              <w:rPr>
                <w:rFonts w:cs="Arial"/>
                <w:szCs w:val="21"/>
              </w:rPr>
              <w:t xml:space="preserve"> be</w:t>
            </w:r>
            <w:r w:rsidR="00A854B8" w:rsidRPr="00FE6765">
              <w:rPr>
                <w:rFonts w:cs="Arial"/>
                <w:szCs w:val="21"/>
              </w:rPr>
              <w:t xml:space="preserve"> document</w:t>
            </w:r>
            <w:r w:rsidR="00533E33">
              <w:rPr>
                <w:rFonts w:cs="Arial"/>
                <w:szCs w:val="21"/>
              </w:rPr>
              <w:t>ed</w:t>
            </w:r>
            <w:r w:rsidR="00A854B8" w:rsidRPr="00FE6765">
              <w:rPr>
                <w:rFonts w:cs="Arial"/>
                <w:szCs w:val="21"/>
              </w:rPr>
              <w:t xml:space="preserve"> in a paper-based or electronic register and include:</w:t>
            </w:r>
          </w:p>
          <w:p w14:paraId="7BE049BA" w14:textId="29ED1F96" w:rsidR="00A854B8" w:rsidRPr="00FE6765" w:rsidRDefault="00134DAE" w:rsidP="0003362E">
            <w:pPr>
              <w:pStyle w:val="ListParagraph"/>
              <w:numPr>
                <w:ilvl w:val="0"/>
                <w:numId w:val="20"/>
              </w:numPr>
              <w:spacing w:after="0" w:line="240" w:lineRule="auto"/>
              <w:rPr>
                <w:rFonts w:cs="Arial"/>
                <w:szCs w:val="21"/>
              </w:rPr>
            </w:pPr>
            <w:r w:rsidRPr="00FE6765">
              <w:rPr>
                <w:rFonts w:cs="Arial"/>
                <w:szCs w:val="21"/>
              </w:rPr>
              <w:t>Component or p</w:t>
            </w:r>
            <w:r w:rsidR="00A854B8" w:rsidRPr="00FE6765">
              <w:rPr>
                <w:rFonts w:cs="Arial"/>
                <w:szCs w:val="21"/>
              </w:rPr>
              <w:t xml:space="preserve">roduct type, </w:t>
            </w:r>
            <w:r w:rsidR="00994221" w:rsidRPr="00FE6765">
              <w:rPr>
                <w:rFonts w:cs="Arial"/>
                <w:szCs w:val="21"/>
              </w:rPr>
              <w:t>donation</w:t>
            </w:r>
            <w:r w:rsidR="00F47BCF">
              <w:rPr>
                <w:rFonts w:cs="Arial"/>
                <w:szCs w:val="21"/>
              </w:rPr>
              <w:t xml:space="preserve"> number</w:t>
            </w:r>
            <w:r w:rsidR="00994221" w:rsidRPr="00FE6765">
              <w:rPr>
                <w:rFonts w:cs="Arial"/>
                <w:szCs w:val="21"/>
              </w:rPr>
              <w:t>,</w:t>
            </w:r>
            <w:r w:rsidR="00A854B8" w:rsidRPr="00FE6765">
              <w:rPr>
                <w:rFonts w:cs="Arial"/>
                <w:szCs w:val="21"/>
              </w:rPr>
              <w:t xml:space="preserve"> or batch number</w:t>
            </w:r>
          </w:p>
          <w:p w14:paraId="66796A8B" w14:textId="77777777" w:rsidR="00A854B8" w:rsidRPr="00FE6765" w:rsidRDefault="00A854B8" w:rsidP="0003362E">
            <w:pPr>
              <w:pStyle w:val="ListParagraph"/>
              <w:numPr>
                <w:ilvl w:val="0"/>
                <w:numId w:val="20"/>
              </w:numPr>
              <w:spacing w:after="0" w:line="240" w:lineRule="auto"/>
              <w:rPr>
                <w:rFonts w:cs="Arial"/>
                <w:szCs w:val="21"/>
              </w:rPr>
            </w:pPr>
            <w:r w:rsidRPr="00FE6765">
              <w:rPr>
                <w:rFonts w:cs="Arial"/>
                <w:szCs w:val="21"/>
              </w:rPr>
              <w:t>Patient’s identification details (full name, date of birth and medical record number)</w:t>
            </w:r>
          </w:p>
          <w:p w14:paraId="5AF93EB8" w14:textId="77777777" w:rsidR="00A854B8" w:rsidRPr="00FE6765" w:rsidRDefault="00A854B8" w:rsidP="0003362E">
            <w:pPr>
              <w:pStyle w:val="ListParagraph"/>
              <w:numPr>
                <w:ilvl w:val="0"/>
                <w:numId w:val="20"/>
              </w:numPr>
              <w:spacing w:after="0" w:line="240" w:lineRule="auto"/>
              <w:rPr>
                <w:rFonts w:cs="Arial"/>
                <w:szCs w:val="21"/>
              </w:rPr>
            </w:pPr>
            <w:r w:rsidRPr="00FE6765">
              <w:rPr>
                <w:rFonts w:cs="Arial"/>
                <w:szCs w:val="21"/>
              </w:rPr>
              <w:t>Staff member’s identification</w:t>
            </w:r>
          </w:p>
          <w:p w14:paraId="7ECA4C99" w14:textId="7606CA1F" w:rsidR="00A854B8" w:rsidRPr="00FE6765" w:rsidRDefault="00A854B8" w:rsidP="0003362E">
            <w:pPr>
              <w:pStyle w:val="ListParagraph"/>
              <w:numPr>
                <w:ilvl w:val="0"/>
                <w:numId w:val="20"/>
              </w:numPr>
              <w:spacing w:after="0" w:line="240" w:lineRule="auto"/>
              <w:rPr>
                <w:rFonts w:cs="Arial"/>
                <w:szCs w:val="21"/>
              </w:rPr>
            </w:pPr>
            <w:r w:rsidRPr="00FE6765">
              <w:rPr>
                <w:rFonts w:cs="Arial"/>
                <w:szCs w:val="21"/>
              </w:rPr>
              <w:t xml:space="preserve">Time and date blood </w:t>
            </w:r>
            <w:r w:rsidR="00FE09B0" w:rsidRPr="00FE6765">
              <w:rPr>
                <w:rFonts w:cs="Arial"/>
                <w:szCs w:val="21"/>
              </w:rPr>
              <w:t xml:space="preserve">component or </w:t>
            </w:r>
            <w:r w:rsidRPr="00FE6765">
              <w:rPr>
                <w:rFonts w:cs="Arial"/>
                <w:szCs w:val="21"/>
              </w:rPr>
              <w:t xml:space="preserve">product was </w:t>
            </w:r>
            <w:r w:rsidR="00EA2AE9" w:rsidRPr="00FE6765">
              <w:rPr>
                <w:rFonts w:cs="Arial"/>
                <w:szCs w:val="21"/>
              </w:rPr>
              <w:t xml:space="preserve">entered or </w:t>
            </w:r>
            <w:r w:rsidRPr="00FE6765">
              <w:rPr>
                <w:rFonts w:cs="Arial"/>
                <w:szCs w:val="21"/>
              </w:rPr>
              <w:t>removed.</w:t>
            </w:r>
          </w:p>
          <w:p w14:paraId="437647AA" w14:textId="69FF0B3C" w:rsidR="00970D0C" w:rsidRPr="00FE6765" w:rsidRDefault="00970D0C" w:rsidP="008320AD">
            <w:pPr>
              <w:spacing w:before="240" w:after="0" w:line="240" w:lineRule="auto"/>
              <w:rPr>
                <w:rFonts w:cs="Arial"/>
                <w:szCs w:val="21"/>
              </w:rPr>
            </w:pPr>
            <w:r w:rsidRPr="00FE6765">
              <w:rPr>
                <w:rFonts w:cs="Arial"/>
                <w:szCs w:val="21"/>
              </w:rPr>
              <w:t xml:space="preserve">This may occur by direct collection from the laboratory or via a secondary collection point, such as a blood fridge outside the laboratory or a </w:t>
            </w:r>
            <w:r w:rsidR="00CC1B5C">
              <w:rPr>
                <w:rFonts w:cs="Arial"/>
                <w:szCs w:val="21"/>
              </w:rPr>
              <w:t xml:space="preserve">validated </w:t>
            </w:r>
            <w:r w:rsidRPr="00FE6765">
              <w:rPr>
                <w:rFonts w:cs="Arial"/>
                <w:szCs w:val="21"/>
              </w:rPr>
              <w:t xml:space="preserve">pneumatic chute/tube system (PTS) (from the laboratory to a clinical area). </w:t>
            </w:r>
          </w:p>
          <w:p w14:paraId="26E80C16" w14:textId="3C4EB7C6" w:rsidR="00970D0C" w:rsidRPr="00FE6765" w:rsidRDefault="00970D0C" w:rsidP="008320AD">
            <w:pPr>
              <w:spacing w:before="240" w:after="0" w:line="240" w:lineRule="auto"/>
              <w:rPr>
                <w:rFonts w:cs="Arial"/>
                <w:szCs w:val="21"/>
              </w:rPr>
            </w:pPr>
            <w:r w:rsidRPr="00FE6765">
              <w:rPr>
                <w:rFonts w:cs="Arial"/>
                <w:szCs w:val="21"/>
              </w:rPr>
              <w:t xml:space="preserve">It is important that collection processes are safe for all systems used. The person collecting the blood, should have documentation that clearly </w:t>
            </w:r>
            <w:r w:rsidR="00EA2AE9" w:rsidRPr="00FE6765">
              <w:rPr>
                <w:rFonts w:cs="Arial"/>
                <w:szCs w:val="21"/>
              </w:rPr>
              <w:t>identifies</w:t>
            </w:r>
            <w:r w:rsidRPr="00FE6765">
              <w:rPr>
                <w:rFonts w:cs="Arial"/>
                <w:szCs w:val="21"/>
              </w:rPr>
              <w:t xml:space="preserve"> the patient and </w:t>
            </w:r>
            <w:r w:rsidR="001E5B71" w:rsidRPr="00FE6765">
              <w:rPr>
                <w:rFonts w:cs="Arial"/>
                <w:szCs w:val="21"/>
              </w:rPr>
              <w:t>component,</w:t>
            </w:r>
            <w:r w:rsidR="00FE09B0" w:rsidRPr="00FE6765">
              <w:rPr>
                <w:rFonts w:cs="Arial"/>
                <w:szCs w:val="21"/>
              </w:rPr>
              <w:t xml:space="preserve"> or </w:t>
            </w:r>
            <w:r w:rsidRPr="00FE6765">
              <w:rPr>
                <w:rFonts w:cs="Arial"/>
                <w:szCs w:val="21"/>
              </w:rPr>
              <w:t>product required.</w:t>
            </w:r>
            <w:r w:rsidR="006A37E9" w:rsidRPr="00DD4316" w:rsidDel="006A37E9">
              <w:rPr>
                <w:rStyle w:val="CommentReference"/>
                <w:rFonts w:cs="Arial"/>
                <w:sz w:val="21"/>
                <w:szCs w:val="21"/>
              </w:rPr>
              <w:t xml:space="preserve"> </w:t>
            </w:r>
          </w:p>
        </w:tc>
      </w:tr>
      <w:tr w:rsidR="00AC7E72" w14:paraId="436B106D" w14:textId="77777777" w:rsidTr="00AC7E72">
        <w:tc>
          <w:tcPr>
            <w:tcW w:w="2405" w:type="dxa"/>
          </w:tcPr>
          <w:p w14:paraId="22EC8437" w14:textId="77777777" w:rsidR="00A854B8" w:rsidRPr="00FE6765" w:rsidRDefault="00A854B8" w:rsidP="00AC7E72">
            <w:pPr>
              <w:ind w:right="-53"/>
              <w:rPr>
                <w:rFonts w:cs="Arial"/>
                <w:szCs w:val="21"/>
              </w:rPr>
            </w:pPr>
            <w:r w:rsidRPr="00FE6765">
              <w:rPr>
                <w:rFonts w:cs="Arial"/>
                <w:szCs w:val="21"/>
              </w:rPr>
              <w:t>Administration</w:t>
            </w:r>
          </w:p>
        </w:tc>
        <w:tc>
          <w:tcPr>
            <w:tcW w:w="7789" w:type="dxa"/>
          </w:tcPr>
          <w:p w14:paraId="6698E5C1" w14:textId="63248592" w:rsidR="00A854B8" w:rsidRPr="00FE6765" w:rsidRDefault="00A24A35" w:rsidP="00442DD7">
            <w:pPr>
              <w:rPr>
                <w:rFonts w:cs="Arial"/>
                <w:szCs w:val="21"/>
              </w:rPr>
            </w:pPr>
            <w:r w:rsidRPr="00FE6765">
              <w:rPr>
                <w:rFonts w:cs="Arial"/>
                <w:szCs w:val="21"/>
              </w:rPr>
              <w:t xml:space="preserve">Blood </w:t>
            </w:r>
            <w:r w:rsidR="00A854B8" w:rsidRPr="00FE6765">
              <w:rPr>
                <w:rFonts w:cs="Arial"/>
                <w:szCs w:val="21"/>
              </w:rPr>
              <w:t>administration must be undertaken according to local policy</w:t>
            </w:r>
            <w:r w:rsidRPr="00FE6765">
              <w:rPr>
                <w:rFonts w:cs="Arial"/>
                <w:szCs w:val="21"/>
              </w:rPr>
              <w:t xml:space="preserve">, which should </w:t>
            </w:r>
            <w:r w:rsidR="00A854B8" w:rsidRPr="00FE6765">
              <w:rPr>
                <w:rFonts w:cs="Arial"/>
                <w:szCs w:val="21"/>
              </w:rPr>
              <w:t>align with the</w:t>
            </w:r>
            <w:r w:rsidRPr="00FE6765">
              <w:rPr>
                <w:rFonts w:cs="Arial"/>
                <w:szCs w:val="21"/>
              </w:rPr>
              <w:t xml:space="preserve"> </w:t>
            </w:r>
            <w:r w:rsidR="00A854B8" w:rsidRPr="00FE6765">
              <w:rPr>
                <w:rFonts w:cs="Arial"/>
                <w:szCs w:val="21"/>
              </w:rPr>
              <w:t>current ANZSBT Guidelines for the Administration of Blood Products. Policy should cover:</w:t>
            </w:r>
          </w:p>
          <w:p w14:paraId="12B30AA9" w14:textId="65159E65" w:rsidR="00A854B8" w:rsidRPr="00FE6765" w:rsidRDefault="00A854B8" w:rsidP="0003362E">
            <w:pPr>
              <w:pStyle w:val="ListParagraph"/>
              <w:numPr>
                <w:ilvl w:val="0"/>
                <w:numId w:val="21"/>
              </w:numPr>
              <w:spacing w:after="0" w:line="240" w:lineRule="auto"/>
              <w:rPr>
                <w:rFonts w:cs="Arial"/>
                <w:szCs w:val="21"/>
              </w:rPr>
            </w:pPr>
            <w:r w:rsidRPr="00FE6765">
              <w:rPr>
                <w:rFonts w:cs="Arial"/>
                <w:szCs w:val="21"/>
              </w:rPr>
              <w:t>Positive patient identification processes</w:t>
            </w:r>
          </w:p>
          <w:p w14:paraId="79ACBE4C" w14:textId="77777777" w:rsidR="00A854B8" w:rsidRPr="00FE6765" w:rsidRDefault="00A854B8" w:rsidP="0003362E">
            <w:pPr>
              <w:pStyle w:val="ListParagraph"/>
              <w:numPr>
                <w:ilvl w:val="0"/>
                <w:numId w:val="21"/>
              </w:numPr>
              <w:spacing w:after="0" w:line="240" w:lineRule="auto"/>
              <w:rPr>
                <w:rFonts w:cs="Arial"/>
                <w:szCs w:val="21"/>
              </w:rPr>
            </w:pPr>
            <w:r w:rsidRPr="00FE6765">
              <w:rPr>
                <w:rFonts w:cs="Arial"/>
                <w:szCs w:val="21"/>
              </w:rPr>
              <w:t>Venous access</w:t>
            </w:r>
          </w:p>
          <w:p w14:paraId="730D5FB2" w14:textId="77777777" w:rsidR="00A854B8" w:rsidRPr="00FE6765" w:rsidRDefault="00A854B8" w:rsidP="0003362E">
            <w:pPr>
              <w:pStyle w:val="ListParagraph"/>
              <w:numPr>
                <w:ilvl w:val="0"/>
                <w:numId w:val="21"/>
              </w:numPr>
              <w:spacing w:after="0" w:line="240" w:lineRule="auto"/>
              <w:rPr>
                <w:rFonts w:cs="Arial"/>
                <w:szCs w:val="21"/>
              </w:rPr>
            </w:pPr>
            <w:r w:rsidRPr="00FE6765">
              <w:rPr>
                <w:rFonts w:cs="Arial"/>
                <w:szCs w:val="21"/>
              </w:rPr>
              <w:t>Equipment and instructions on how to use</w:t>
            </w:r>
          </w:p>
          <w:p w14:paraId="631D13B1" w14:textId="77777777" w:rsidR="00A854B8" w:rsidRPr="00FE6765" w:rsidRDefault="00A854B8" w:rsidP="0003362E">
            <w:pPr>
              <w:pStyle w:val="ListParagraph"/>
              <w:numPr>
                <w:ilvl w:val="0"/>
                <w:numId w:val="21"/>
              </w:numPr>
              <w:spacing w:after="0" w:line="240" w:lineRule="auto"/>
              <w:rPr>
                <w:rFonts w:cs="Arial"/>
                <w:szCs w:val="21"/>
              </w:rPr>
            </w:pPr>
            <w:r w:rsidRPr="00FE6765">
              <w:rPr>
                <w:rFonts w:cs="Arial"/>
                <w:szCs w:val="21"/>
              </w:rPr>
              <w:t>Infusion devices</w:t>
            </w:r>
          </w:p>
          <w:p w14:paraId="6D895A05" w14:textId="77777777" w:rsidR="00A854B8" w:rsidRPr="00FE6765" w:rsidRDefault="00A854B8" w:rsidP="0003362E">
            <w:pPr>
              <w:pStyle w:val="ListParagraph"/>
              <w:numPr>
                <w:ilvl w:val="0"/>
                <w:numId w:val="21"/>
              </w:numPr>
              <w:spacing w:after="0" w:line="240" w:lineRule="auto"/>
              <w:rPr>
                <w:rFonts w:cs="Arial"/>
                <w:szCs w:val="21"/>
              </w:rPr>
            </w:pPr>
            <w:r w:rsidRPr="00FE6765">
              <w:rPr>
                <w:rFonts w:cs="Arial"/>
                <w:szCs w:val="21"/>
              </w:rPr>
              <w:t>Blood warmers</w:t>
            </w:r>
          </w:p>
          <w:p w14:paraId="494F6129" w14:textId="77777777" w:rsidR="00A854B8" w:rsidRPr="00FE6765" w:rsidRDefault="00A854B8" w:rsidP="0003362E">
            <w:pPr>
              <w:pStyle w:val="ListParagraph"/>
              <w:numPr>
                <w:ilvl w:val="0"/>
                <w:numId w:val="21"/>
              </w:numPr>
              <w:spacing w:after="0" w:line="240" w:lineRule="auto"/>
              <w:rPr>
                <w:rFonts w:cs="Arial"/>
                <w:szCs w:val="21"/>
              </w:rPr>
            </w:pPr>
            <w:r w:rsidRPr="00FE6765">
              <w:rPr>
                <w:rFonts w:cs="Arial"/>
                <w:szCs w:val="21"/>
              </w:rPr>
              <w:t>Concurrent fluids and medications</w:t>
            </w:r>
          </w:p>
          <w:p w14:paraId="054F38BE" w14:textId="77777777" w:rsidR="00A854B8" w:rsidRPr="00FE6765" w:rsidRDefault="00A854B8" w:rsidP="0003362E">
            <w:pPr>
              <w:pStyle w:val="ListParagraph"/>
              <w:numPr>
                <w:ilvl w:val="0"/>
                <w:numId w:val="21"/>
              </w:numPr>
              <w:spacing w:after="0" w:line="240" w:lineRule="auto"/>
              <w:rPr>
                <w:rFonts w:cs="Arial"/>
                <w:szCs w:val="21"/>
              </w:rPr>
            </w:pPr>
            <w:r w:rsidRPr="00FE6765">
              <w:rPr>
                <w:rFonts w:cs="Arial"/>
                <w:szCs w:val="21"/>
              </w:rPr>
              <w:t>Location and timing of transfusion</w:t>
            </w:r>
          </w:p>
          <w:p w14:paraId="4B407224" w14:textId="77777777" w:rsidR="00A854B8" w:rsidRPr="00FE6765" w:rsidRDefault="00A854B8" w:rsidP="0003362E">
            <w:pPr>
              <w:pStyle w:val="ListParagraph"/>
              <w:numPr>
                <w:ilvl w:val="0"/>
                <w:numId w:val="21"/>
              </w:numPr>
              <w:spacing w:after="0" w:line="240" w:lineRule="auto"/>
              <w:rPr>
                <w:rFonts w:cs="Arial"/>
                <w:szCs w:val="21"/>
              </w:rPr>
            </w:pPr>
            <w:r w:rsidRPr="00FE6765">
              <w:rPr>
                <w:rFonts w:cs="Arial"/>
                <w:szCs w:val="21"/>
              </w:rPr>
              <w:t>Pretransfusion double independent checking procedure</w:t>
            </w:r>
          </w:p>
          <w:p w14:paraId="0267B3DC" w14:textId="77777777" w:rsidR="00A854B8" w:rsidRPr="00FE6765" w:rsidRDefault="00A854B8" w:rsidP="0003362E">
            <w:pPr>
              <w:pStyle w:val="ListParagraph"/>
              <w:numPr>
                <w:ilvl w:val="0"/>
                <w:numId w:val="21"/>
              </w:numPr>
              <w:spacing w:after="0" w:line="240" w:lineRule="auto"/>
              <w:rPr>
                <w:rFonts w:cs="Arial"/>
                <w:szCs w:val="21"/>
              </w:rPr>
            </w:pPr>
            <w:r w:rsidRPr="00FE6765">
              <w:rPr>
                <w:rFonts w:cs="Arial"/>
                <w:szCs w:val="21"/>
              </w:rPr>
              <w:t>Infusion rates and precautions</w:t>
            </w:r>
          </w:p>
          <w:p w14:paraId="08F330A9" w14:textId="77777777" w:rsidR="00A854B8" w:rsidRDefault="00A854B8" w:rsidP="0003362E">
            <w:pPr>
              <w:pStyle w:val="ListParagraph"/>
              <w:numPr>
                <w:ilvl w:val="0"/>
                <w:numId w:val="21"/>
              </w:numPr>
              <w:spacing w:after="0" w:line="240" w:lineRule="auto"/>
              <w:rPr>
                <w:rFonts w:cs="Arial"/>
                <w:szCs w:val="21"/>
              </w:rPr>
            </w:pPr>
            <w:r w:rsidRPr="00FE6765">
              <w:rPr>
                <w:rFonts w:cs="Arial"/>
                <w:szCs w:val="21"/>
              </w:rPr>
              <w:t>Duration of transfusion</w:t>
            </w:r>
          </w:p>
          <w:p w14:paraId="62A46B10" w14:textId="3D82C047" w:rsidR="00110302" w:rsidRPr="00FE6765" w:rsidRDefault="00110302" w:rsidP="0003362E">
            <w:pPr>
              <w:pStyle w:val="ListParagraph"/>
              <w:numPr>
                <w:ilvl w:val="0"/>
                <w:numId w:val="21"/>
              </w:numPr>
              <w:spacing w:after="0" w:line="240" w:lineRule="auto"/>
              <w:rPr>
                <w:rFonts w:cs="Arial"/>
                <w:szCs w:val="21"/>
              </w:rPr>
            </w:pPr>
            <w:r>
              <w:rPr>
                <w:rFonts w:cs="Arial"/>
                <w:szCs w:val="21"/>
              </w:rPr>
              <w:t xml:space="preserve">Identification and management of </w:t>
            </w:r>
            <w:r w:rsidR="005868FB">
              <w:rPr>
                <w:rFonts w:cs="Arial"/>
                <w:szCs w:val="21"/>
              </w:rPr>
              <w:t xml:space="preserve">transfusion related </w:t>
            </w:r>
            <w:r>
              <w:rPr>
                <w:rFonts w:cs="Arial"/>
                <w:szCs w:val="21"/>
              </w:rPr>
              <w:t>adverse event</w:t>
            </w:r>
          </w:p>
          <w:p w14:paraId="58F95AEF" w14:textId="7581EA8F" w:rsidR="00E848FA" w:rsidRPr="00FE6765" w:rsidRDefault="00A24A35" w:rsidP="002F17CC">
            <w:pPr>
              <w:pStyle w:val="Body"/>
              <w:spacing w:before="240"/>
              <w:rPr>
                <w:rFonts w:cs="Arial"/>
                <w:szCs w:val="21"/>
              </w:rPr>
            </w:pPr>
            <w:r w:rsidRPr="00FE6765">
              <w:rPr>
                <w:rFonts w:cs="Arial"/>
                <w:szCs w:val="21"/>
              </w:rPr>
              <w:t xml:space="preserve">The pretransfusion double independent check of the patient identification and the </w:t>
            </w:r>
            <w:r w:rsidR="00FE09B0" w:rsidRPr="00FE6765">
              <w:rPr>
                <w:rFonts w:cs="Arial"/>
                <w:szCs w:val="21"/>
              </w:rPr>
              <w:t>component/</w:t>
            </w:r>
            <w:r w:rsidRPr="00FE6765">
              <w:rPr>
                <w:rFonts w:cs="Arial"/>
                <w:szCs w:val="21"/>
              </w:rPr>
              <w:t xml:space="preserve">product details </w:t>
            </w:r>
            <w:r w:rsidR="00E848FA" w:rsidRPr="00FE6765">
              <w:rPr>
                <w:rFonts w:cs="Arial"/>
                <w:szCs w:val="21"/>
              </w:rPr>
              <w:t xml:space="preserve">is </w:t>
            </w:r>
            <w:r w:rsidR="0015262F">
              <w:rPr>
                <w:rFonts w:cs="Arial"/>
                <w:szCs w:val="21"/>
              </w:rPr>
              <w:t>the last chance to make sure the right blood product/component is being transfused to the right patient.</w:t>
            </w:r>
            <w:r w:rsidR="00E848FA" w:rsidRPr="00FE6765">
              <w:rPr>
                <w:rFonts w:cs="Arial"/>
                <w:szCs w:val="21"/>
              </w:rPr>
              <w:t xml:space="preserve"> </w:t>
            </w:r>
          </w:p>
          <w:p w14:paraId="4F992549" w14:textId="60ADFA56" w:rsidR="00A35912" w:rsidRDefault="00E51C18" w:rsidP="00E848FA">
            <w:pPr>
              <w:rPr>
                <w:rFonts w:cs="Arial"/>
                <w:b/>
                <w:bCs/>
                <w:szCs w:val="21"/>
              </w:rPr>
            </w:pPr>
            <w:r w:rsidRPr="00FE6765">
              <w:rPr>
                <w:rFonts w:cs="Arial"/>
                <w:szCs w:val="21"/>
              </w:rPr>
              <w:t>For further information refer</w:t>
            </w:r>
            <w:r w:rsidR="00E848FA" w:rsidRPr="00FE6765">
              <w:rPr>
                <w:rFonts w:cs="Arial"/>
                <w:szCs w:val="21"/>
              </w:rPr>
              <w:t xml:space="preserve"> to </w:t>
            </w:r>
            <w:hyperlink r:id="rId93" w:history="1">
              <w:r w:rsidR="00A35912" w:rsidRPr="001E5B71">
                <w:rPr>
                  <w:rStyle w:val="Hyperlink"/>
                  <w:rFonts w:eastAsia="Times"/>
                </w:rPr>
                <w:t>ANZSBT Guidelines for the Administration of Blood Products</w:t>
              </w:r>
            </w:hyperlink>
            <w:r w:rsidR="00A35912" w:rsidRPr="00A35912">
              <w:rPr>
                <w:rFonts w:eastAsia="Times"/>
              </w:rPr>
              <w:t>, 3rd edition (2024) &lt;https://anzsbt.org.au/wp-content/uploads/2024/02/Guidelines-for-the-Administration-of-Blood-Products-revised-Feb-2024.pdf&gt;</w:t>
            </w:r>
          </w:p>
          <w:p w14:paraId="74ED469A" w14:textId="7E098DFD" w:rsidR="00E51C18" w:rsidRPr="00FE6765" w:rsidRDefault="00E51C18" w:rsidP="00E848FA">
            <w:pPr>
              <w:rPr>
                <w:rFonts w:cs="Arial"/>
                <w:b/>
                <w:bCs/>
                <w:szCs w:val="21"/>
              </w:rPr>
            </w:pPr>
            <w:r w:rsidRPr="00FE6765">
              <w:rPr>
                <w:rFonts w:cs="Arial"/>
                <w:b/>
                <w:bCs/>
                <w:szCs w:val="21"/>
              </w:rPr>
              <w:t xml:space="preserve">Double independent check </w:t>
            </w:r>
          </w:p>
          <w:p w14:paraId="4F636AC1" w14:textId="50CB5864" w:rsidR="00E848FA" w:rsidRPr="00FE6765" w:rsidRDefault="00E848FA" w:rsidP="00E848FA">
            <w:pPr>
              <w:rPr>
                <w:rFonts w:cs="Arial"/>
                <w:szCs w:val="21"/>
              </w:rPr>
            </w:pPr>
            <w:r w:rsidRPr="00FE6765">
              <w:rPr>
                <w:rFonts w:cs="Arial"/>
                <w:szCs w:val="21"/>
              </w:rPr>
              <w:lastRenderedPageBreak/>
              <w:t xml:space="preserve">Two members of staff must </w:t>
            </w:r>
            <w:r w:rsidR="002F17CC" w:rsidRPr="00FE6765">
              <w:rPr>
                <w:rFonts w:cs="Arial"/>
                <w:szCs w:val="21"/>
              </w:rPr>
              <w:t xml:space="preserve">independently </w:t>
            </w:r>
            <w:r w:rsidRPr="00FE6765">
              <w:rPr>
                <w:rFonts w:cs="Arial"/>
                <w:szCs w:val="21"/>
              </w:rPr>
              <w:t xml:space="preserve">undertake the identity check of the patient and blood </w:t>
            </w:r>
            <w:r w:rsidR="00FE09B0" w:rsidRPr="00FE6765">
              <w:rPr>
                <w:rFonts w:cs="Arial"/>
                <w:szCs w:val="21"/>
              </w:rPr>
              <w:t>component/</w:t>
            </w:r>
            <w:r w:rsidRPr="00FE6765">
              <w:rPr>
                <w:rFonts w:cs="Arial"/>
                <w:szCs w:val="21"/>
              </w:rPr>
              <w:t xml:space="preserve">product </w:t>
            </w:r>
            <w:r w:rsidRPr="00FE6765">
              <w:rPr>
                <w:rFonts w:cs="Arial"/>
                <w:i/>
                <w:iCs/>
                <w:szCs w:val="21"/>
              </w:rPr>
              <w:t>at the patient’s side immediately before administration</w:t>
            </w:r>
            <w:r w:rsidRPr="00FE6765">
              <w:rPr>
                <w:rFonts w:cs="Arial"/>
                <w:szCs w:val="21"/>
              </w:rPr>
              <w:t xml:space="preserve">. </w:t>
            </w:r>
          </w:p>
          <w:p w14:paraId="347CCDA6" w14:textId="5497BB99" w:rsidR="00E848FA" w:rsidRPr="00FE6765" w:rsidRDefault="00E848FA" w:rsidP="002F17CC">
            <w:pPr>
              <w:rPr>
                <w:rFonts w:cs="Arial"/>
                <w:szCs w:val="21"/>
              </w:rPr>
            </w:pPr>
            <w:r w:rsidRPr="00FE6765">
              <w:rPr>
                <w:rFonts w:cs="Arial"/>
                <w:szCs w:val="21"/>
              </w:rPr>
              <w:t xml:space="preserve">Each of these two staff is responsible for the accuracy of the </w:t>
            </w:r>
            <w:r w:rsidR="00E51C18" w:rsidRPr="00FE6765">
              <w:rPr>
                <w:rFonts w:cs="Arial"/>
                <w:szCs w:val="21"/>
              </w:rPr>
              <w:t>check</w:t>
            </w:r>
            <w:r w:rsidR="002F17CC" w:rsidRPr="00FE6765">
              <w:rPr>
                <w:rFonts w:cs="Arial"/>
                <w:szCs w:val="21"/>
              </w:rPr>
              <w:t xml:space="preserve"> and</w:t>
            </w:r>
            <w:r w:rsidRPr="00FE6765">
              <w:rPr>
                <w:rFonts w:cs="Arial"/>
                <w:szCs w:val="21"/>
              </w:rPr>
              <w:t xml:space="preserve"> </w:t>
            </w:r>
            <w:r w:rsidR="002F17CC" w:rsidRPr="00FE6765">
              <w:rPr>
                <w:rFonts w:cs="Arial"/>
                <w:szCs w:val="21"/>
              </w:rPr>
              <w:t xml:space="preserve">both </w:t>
            </w:r>
            <w:r w:rsidRPr="00FE6765">
              <w:rPr>
                <w:rFonts w:cs="Arial"/>
                <w:szCs w:val="21"/>
              </w:rPr>
              <w:t xml:space="preserve">must sign the relevant documentation confirming that the patient and </w:t>
            </w:r>
            <w:r w:rsidR="00FE09B0" w:rsidRPr="00FE6765">
              <w:rPr>
                <w:rFonts w:cs="Arial"/>
                <w:szCs w:val="21"/>
              </w:rPr>
              <w:t>component/</w:t>
            </w:r>
            <w:r w:rsidRPr="00FE6765">
              <w:rPr>
                <w:rFonts w:cs="Arial"/>
                <w:szCs w:val="21"/>
              </w:rPr>
              <w:t xml:space="preserve">product check has occurred, is correct and the component is compatible/suitable for the patient. </w:t>
            </w:r>
          </w:p>
          <w:p w14:paraId="55BEBAD7" w14:textId="095C5A18" w:rsidR="00E848FA" w:rsidRPr="00FE6765" w:rsidRDefault="00E848FA" w:rsidP="002F17CC">
            <w:pPr>
              <w:rPr>
                <w:rFonts w:cs="Arial"/>
                <w:szCs w:val="21"/>
              </w:rPr>
            </w:pPr>
            <w:r w:rsidRPr="00FE6765">
              <w:rPr>
                <w:rFonts w:cs="Arial"/>
                <w:szCs w:val="21"/>
              </w:rPr>
              <w:t xml:space="preserve">The person spiking or hanging the blood </w:t>
            </w:r>
            <w:r w:rsidR="00FE09B0" w:rsidRPr="00FE6765">
              <w:rPr>
                <w:rFonts w:cs="Arial"/>
                <w:szCs w:val="21"/>
              </w:rPr>
              <w:t>component/</w:t>
            </w:r>
            <w:r w:rsidRPr="00FE6765">
              <w:rPr>
                <w:rFonts w:cs="Arial"/>
                <w:szCs w:val="21"/>
              </w:rPr>
              <w:t xml:space="preserve">product must be one of the two staff members who have independently undertaken the check. </w:t>
            </w:r>
          </w:p>
          <w:p w14:paraId="5F6BBE29" w14:textId="7BD58DE8" w:rsidR="002F17CC" w:rsidRPr="00FE6765" w:rsidRDefault="00A35912" w:rsidP="002F17CC">
            <w:pPr>
              <w:rPr>
                <w:rFonts w:cs="Arial"/>
                <w:szCs w:val="21"/>
              </w:rPr>
            </w:pPr>
            <w:hyperlink r:id="rId94" w:history="1">
              <w:r w:rsidRPr="00F635CB">
                <w:rPr>
                  <w:rStyle w:val="Hyperlink"/>
                  <w:rFonts w:eastAsia="Times"/>
                  <w:szCs w:val="21"/>
                </w:rPr>
                <w:t>Two-person independent checking for safe transfusion poster</w:t>
              </w:r>
            </w:hyperlink>
            <w:r w:rsidRPr="00FE6765" w:rsidDel="00A35912">
              <w:rPr>
                <w:rFonts w:cs="Arial"/>
                <w:szCs w:val="21"/>
              </w:rPr>
              <w:t xml:space="preserve"> </w:t>
            </w:r>
            <w:r w:rsidR="002F17CC" w:rsidRPr="00FE6765">
              <w:rPr>
                <w:rFonts w:cs="Arial"/>
                <w:szCs w:val="21"/>
              </w:rPr>
              <w:t>&lt;</w:t>
            </w:r>
            <w:r>
              <w:t xml:space="preserve"> </w:t>
            </w:r>
            <w:r w:rsidRPr="00A35912">
              <w:rPr>
                <w:rFonts w:cs="Arial"/>
                <w:szCs w:val="21"/>
              </w:rPr>
              <w:t>https://www.health.vic.gov.au/publications/two-person-independent-checking-for-safe-transfusion-poster</w:t>
            </w:r>
            <w:r w:rsidRPr="00A35912" w:rsidDel="00A35912">
              <w:rPr>
                <w:rFonts w:cs="Arial"/>
                <w:szCs w:val="21"/>
              </w:rPr>
              <w:t xml:space="preserve"> </w:t>
            </w:r>
            <w:r w:rsidR="002F17CC" w:rsidRPr="00FE6765">
              <w:rPr>
                <w:rFonts w:cs="Arial"/>
                <w:szCs w:val="21"/>
              </w:rPr>
              <w:t>&gt;</w:t>
            </w:r>
          </w:p>
        </w:tc>
      </w:tr>
      <w:tr w:rsidR="00AC7E72" w14:paraId="63E472BC" w14:textId="77777777" w:rsidTr="00AC7E72">
        <w:tc>
          <w:tcPr>
            <w:tcW w:w="2405" w:type="dxa"/>
          </w:tcPr>
          <w:p w14:paraId="7D61F4CB" w14:textId="77777777" w:rsidR="00A854B8" w:rsidRPr="00FE6765" w:rsidRDefault="00A854B8" w:rsidP="00AC7E72">
            <w:pPr>
              <w:ind w:right="-53"/>
              <w:rPr>
                <w:rFonts w:cs="Arial"/>
                <w:szCs w:val="21"/>
              </w:rPr>
            </w:pPr>
            <w:r w:rsidRPr="00FE6765">
              <w:rPr>
                <w:rFonts w:cs="Arial"/>
                <w:szCs w:val="21"/>
              </w:rPr>
              <w:lastRenderedPageBreak/>
              <w:t>Monitoring and observation</w:t>
            </w:r>
          </w:p>
        </w:tc>
        <w:tc>
          <w:tcPr>
            <w:tcW w:w="7789" w:type="dxa"/>
          </w:tcPr>
          <w:p w14:paraId="3A5C64F4" w14:textId="16A69C23" w:rsidR="00211680" w:rsidRPr="00FE6765" w:rsidRDefault="00211680" w:rsidP="00442DD7">
            <w:pPr>
              <w:rPr>
                <w:rFonts w:cs="Arial"/>
                <w:szCs w:val="21"/>
              </w:rPr>
            </w:pPr>
            <w:r w:rsidRPr="00FE6765">
              <w:rPr>
                <w:rFonts w:cs="Arial"/>
                <w:szCs w:val="21"/>
              </w:rPr>
              <w:t xml:space="preserve">Patients receiving transfusions must be monitored for signs of potential </w:t>
            </w:r>
            <w:r w:rsidR="002171C9">
              <w:rPr>
                <w:rFonts w:cs="Arial"/>
                <w:szCs w:val="21"/>
              </w:rPr>
              <w:t xml:space="preserve">transfusion related adverse </w:t>
            </w:r>
            <w:proofErr w:type="gramStart"/>
            <w:r w:rsidR="002171C9">
              <w:rPr>
                <w:rFonts w:cs="Arial"/>
                <w:szCs w:val="21"/>
              </w:rPr>
              <w:t>event</w:t>
            </w:r>
            <w:r w:rsidR="0070195E">
              <w:rPr>
                <w:rFonts w:cs="Arial"/>
                <w:szCs w:val="21"/>
              </w:rPr>
              <w:t xml:space="preserve"> </w:t>
            </w:r>
            <w:r w:rsidRPr="00FE6765">
              <w:rPr>
                <w:rFonts w:cs="Arial"/>
                <w:szCs w:val="21"/>
              </w:rPr>
              <w:t xml:space="preserve"> and</w:t>
            </w:r>
            <w:proofErr w:type="gramEnd"/>
            <w:r w:rsidRPr="00FE6765">
              <w:rPr>
                <w:rFonts w:cs="Arial"/>
                <w:szCs w:val="21"/>
              </w:rPr>
              <w:t xml:space="preserve"> staff are trained to recognise, </w:t>
            </w:r>
            <w:r w:rsidR="00994221" w:rsidRPr="00FE6765">
              <w:rPr>
                <w:rFonts w:cs="Arial"/>
                <w:szCs w:val="21"/>
              </w:rPr>
              <w:t>respond,</w:t>
            </w:r>
            <w:r w:rsidRPr="00FE6765">
              <w:rPr>
                <w:rFonts w:cs="Arial"/>
                <w:szCs w:val="21"/>
              </w:rPr>
              <w:t xml:space="preserve"> and </w:t>
            </w:r>
            <w:proofErr w:type="gramStart"/>
            <w:r w:rsidRPr="00FE6765">
              <w:rPr>
                <w:rFonts w:cs="Arial"/>
                <w:szCs w:val="21"/>
              </w:rPr>
              <w:t>report  any</w:t>
            </w:r>
            <w:proofErr w:type="gramEnd"/>
            <w:r w:rsidRPr="00FE6765">
              <w:rPr>
                <w:rFonts w:cs="Arial"/>
                <w:szCs w:val="21"/>
              </w:rPr>
              <w:t xml:space="preserve"> adverse reactions.</w:t>
            </w:r>
          </w:p>
          <w:p w14:paraId="7515E99F" w14:textId="135B710A" w:rsidR="00211680" w:rsidRPr="00FE6765" w:rsidRDefault="00A854B8" w:rsidP="00442DD7">
            <w:pPr>
              <w:rPr>
                <w:rFonts w:cs="Arial"/>
                <w:szCs w:val="21"/>
              </w:rPr>
            </w:pPr>
            <w:r w:rsidRPr="00FE6765">
              <w:rPr>
                <w:rFonts w:cs="Arial"/>
                <w:szCs w:val="21"/>
              </w:rPr>
              <w:t>All observations must be recorded in the patient’s health-care record and must comply with local policy.</w:t>
            </w:r>
            <w:r w:rsidR="00211680" w:rsidRPr="00FE6765">
              <w:rPr>
                <w:rFonts w:cs="Arial"/>
                <w:szCs w:val="21"/>
              </w:rPr>
              <w:t xml:space="preserve"> The ANZSBT Guidelines for the administration of blood products </w:t>
            </w:r>
            <w:r w:rsidR="00C50891" w:rsidRPr="00FE6765">
              <w:rPr>
                <w:rFonts w:cs="Arial"/>
                <w:szCs w:val="21"/>
              </w:rPr>
              <w:t>3</w:t>
            </w:r>
            <w:r w:rsidR="00C50891" w:rsidRPr="00FE6765">
              <w:rPr>
                <w:rFonts w:cs="Arial"/>
                <w:szCs w:val="21"/>
                <w:vertAlign w:val="superscript"/>
              </w:rPr>
              <w:t>rd</w:t>
            </w:r>
            <w:r w:rsidR="004B7E33" w:rsidRPr="00FE6765">
              <w:rPr>
                <w:rFonts w:cs="Arial"/>
                <w:szCs w:val="21"/>
              </w:rPr>
              <w:t xml:space="preserve"> </w:t>
            </w:r>
            <w:r w:rsidR="00C50891" w:rsidRPr="00FE6765">
              <w:rPr>
                <w:rFonts w:cs="Arial"/>
                <w:szCs w:val="21"/>
              </w:rPr>
              <w:t>e</w:t>
            </w:r>
            <w:r w:rsidR="00211680" w:rsidRPr="00FE6765">
              <w:rPr>
                <w:rFonts w:cs="Arial"/>
                <w:szCs w:val="21"/>
              </w:rPr>
              <w:t xml:space="preserve">dition sets out the minimum observations required, </w:t>
            </w:r>
          </w:p>
          <w:p w14:paraId="3606B46D" w14:textId="4504D868" w:rsidR="00211680" w:rsidRPr="00FE6765" w:rsidRDefault="00211680" w:rsidP="0003362E">
            <w:pPr>
              <w:pStyle w:val="ListParagraph"/>
              <w:numPr>
                <w:ilvl w:val="0"/>
                <w:numId w:val="23"/>
              </w:numPr>
              <w:rPr>
                <w:rFonts w:cs="Arial"/>
                <w:szCs w:val="21"/>
              </w:rPr>
            </w:pPr>
            <w:r w:rsidRPr="00FE6765">
              <w:rPr>
                <w:rFonts w:cs="Arial"/>
                <w:szCs w:val="21"/>
              </w:rPr>
              <w:t>Temperature</w:t>
            </w:r>
          </w:p>
          <w:p w14:paraId="6FC4BC5A" w14:textId="6279D832" w:rsidR="00211680" w:rsidRPr="00FE6765" w:rsidRDefault="00211680" w:rsidP="0003362E">
            <w:pPr>
              <w:pStyle w:val="ListParagraph"/>
              <w:numPr>
                <w:ilvl w:val="0"/>
                <w:numId w:val="23"/>
              </w:numPr>
              <w:rPr>
                <w:rFonts w:cs="Arial"/>
                <w:szCs w:val="21"/>
              </w:rPr>
            </w:pPr>
            <w:r w:rsidRPr="00FE6765">
              <w:rPr>
                <w:rFonts w:cs="Arial"/>
                <w:szCs w:val="21"/>
              </w:rPr>
              <w:t>Pulse</w:t>
            </w:r>
          </w:p>
          <w:p w14:paraId="7954B53C" w14:textId="608E927B" w:rsidR="00211680" w:rsidRPr="00FE6765" w:rsidRDefault="00211680" w:rsidP="0003362E">
            <w:pPr>
              <w:pStyle w:val="ListParagraph"/>
              <w:numPr>
                <w:ilvl w:val="0"/>
                <w:numId w:val="23"/>
              </w:numPr>
              <w:rPr>
                <w:rFonts w:cs="Arial"/>
                <w:szCs w:val="21"/>
              </w:rPr>
            </w:pPr>
            <w:r w:rsidRPr="00FE6765">
              <w:rPr>
                <w:rFonts w:cs="Arial"/>
                <w:szCs w:val="21"/>
              </w:rPr>
              <w:t>Blood Pressure</w:t>
            </w:r>
          </w:p>
          <w:p w14:paraId="4711B39D" w14:textId="35B6EAB9" w:rsidR="00211680" w:rsidRPr="00FE6765" w:rsidRDefault="00211680" w:rsidP="0003362E">
            <w:pPr>
              <w:pStyle w:val="ListParagraph"/>
              <w:numPr>
                <w:ilvl w:val="0"/>
                <w:numId w:val="23"/>
              </w:numPr>
              <w:rPr>
                <w:rFonts w:cs="Arial"/>
                <w:szCs w:val="21"/>
              </w:rPr>
            </w:pPr>
            <w:r w:rsidRPr="00FE6765">
              <w:rPr>
                <w:rFonts w:cs="Arial"/>
                <w:szCs w:val="21"/>
              </w:rPr>
              <w:t>Respiratory rate</w:t>
            </w:r>
          </w:p>
          <w:p w14:paraId="6229BEE7" w14:textId="07D791E8" w:rsidR="00211680" w:rsidRPr="00FE6765" w:rsidRDefault="004539E7" w:rsidP="00442DD7">
            <w:pPr>
              <w:rPr>
                <w:rFonts w:cs="Arial"/>
                <w:szCs w:val="21"/>
              </w:rPr>
            </w:pPr>
            <w:r>
              <w:rPr>
                <w:rFonts w:cs="Arial"/>
                <w:szCs w:val="21"/>
              </w:rPr>
              <w:t>Minimum</w:t>
            </w:r>
            <w:r w:rsidR="0070195E">
              <w:rPr>
                <w:rFonts w:cs="Arial"/>
                <w:szCs w:val="21"/>
              </w:rPr>
              <w:t xml:space="preserve"> </w:t>
            </w:r>
            <w:r>
              <w:rPr>
                <w:rFonts w:cs="Arial"/>
                <w:szCs w:val="21"/>
              </w:rPr>
              <w:t xml:space="preserve">time periods: </w:t>
            </w:r>
            <w:r w:rsidR="00211680" w:rsidRPr="00FE6765">
              <w:rPr>
                <w:rFonts w:cs="Arial"/>
                <w:szCs w:val="21"/>
              </w:rPr>
              <w:t>Prior to commencement of the transfusion, 15 minutes after the transfusion has started (blood reaches the patient) and following the completion of the transfusion.</w:t>
            </w:r>
          </w:p>
          <w:p w14:paraId="31F90FBA" w14:textId="4D3B3548" w:rsidR="00A854B8" w:rsidRPr="00FE6765" w:rsidRDefault="00211680" w:rsidP="00442DD7">
            <w:pPr>
              <w:rPr>
                <w:rFonts w:cs="Arial"/>
                <w:szCs w:val="21"/>
              </w:rPr>
            </w:pPr>
            <w:r w:rsidRPr="00FE6765">
              <w:rPr>
                <w:rFonts w:cs="Arial"/>
                <w:szCs w:val="21"/>
              </w:rPr>
              <w:t>However local policy may state more frequent observations are needed.</w:t>
            </w:r>
          </w:p>
          <w:p w14:paraId="4DA23BFF" w14:textId="478CAFD1" w:rsidR="00A854B8" w:rsidRPr="00FE6765" w:rsidRDefault="00A854B8" w:rsidP="00211680">
            <w:pPr>
              <w:rPr>
                <w:rFonts w:cs="Arial"/>
                <w:szCs w:val="21"/>
              </w:rPr>
            </w:pPr>
            <w:r w:rsidRPr="00FE6765">
              <w:rPr>
                <w:rFonts w:cs="Arial"/>
                <w:szCs w:val="21"/>
              </w:rPr>
              <w:t>Observations associated with transfusion should be clearly identified</w:t>
            </w:r>
            <w:r w:rsidR="00B778A1" w:rsidRPr="00FE6765">
              <w:rPr>
                <w:rFonts w:cs="Arial"/>
                <w:szCs w:val="21"/>
              </w:rPr>
              <w:t xml:space="preserve"> </w:t>
            </w:r>
            <w:r w:rsidR="00C50891" w:rsidRPr="00FE6765">
              <w:rPr>
                <w:rFonts w:cs="Arial"/>
                <w:szCs w:val="21"/>
              </w:rPr>
              <w:t xml:space="preserve">in </w:t>
            </w:r>
            <w:r w:rsidRPr="00FE6765">
              <w:rPr>
                <w:rFonts w:cs="Arial"/>
                <w:szCs w:val="21"/>
              </w:rPr>
              <w:t>the documentation.</w:t>
            </w:r>
          </w:p>
        </w:tc>
      </w:tr>
      <w:tr w:rsidR="00AC7E72" w14:paraId="661BC683" w14:textId="77777777" w:rsidTr="00AC7E72">
        <w:tc>
          <w:tcPr>
            <w:tcW w:w="2405" w:type="dxa"/>
          </w:tcPr>
          <w:p w14:paraId="4E1292FA" w14:textId="73BBB8A3" w:rsidR="00A854B8" w:rsidRPr="00FE6765" w:rsidRDefault="00A854B8" w:rsidP="00AC7E72">
            <w:pPr>
              <w:ind w:right="-53"/>
              <w:rPr>
                <w:rFonts w:cs="Arial"/>
                <w:szCs w:val="21"/>
              </w:rPr>
            </w:pPr>
            <w:r w:rsidRPr="00FE6765">
              <w:rPr>
                <w:rFonts w:cs="Arial"/>
                <w:szCs w:val="21"/>
              </w:rPr>
              <w:t>Ensuring complete documentation</w:t>
            </w:r>
          </w:p>
        </w:tc>
        <w:tc>
          <w:tcPr>
            <w:tcW w:w="7789" w:type="dxa"/>
          </w:tcPr>
          <w:p w14:paraId="399D6440" w14:textId="48E90AD1" w:rsidR="00A854B8" w:rsidRPr="00FE6765" w:rsidRDefault="00A854B8" w:rsidP="00442DD7">
            <w:pPr>
              <w:rPr>
                <w:rFonts w:cs="Arial"/>
                <w:szCs w:val="21"/>
              </w:rPr>
            </w:pPr>
            <w:r w:rsidRPr="00FE6765">
              <w:rPr>
                <w:rFonts w:cs="Arial"/>
                <w:szCs w:val="21"/>
              </w:rPr>
              <w:t xml:space="preserve">All aspects of transfusion require accurate, </w:t>
            </w:r>
            <w:r w:rsidR="00994221" w:rsidRPr="00FE6765">
              <w:rPr>
                <w:rFonts w:cs="Arial"/>
                <w:szCs w:val="21"/>
              </w:rPr>
              <w:t>up-to-date,</w:t>
            </w:r>
            <w:r w:rsidRPr="00FE6765">
              <w:rPr>
                <w:rFonts w:cs="Arial"/>
                <w:szCs w:val="21"/>
              </w:rPr>
              <w:t xml:space="preserve"> and complete documentation. This is essential for effective communication and patient care, including in the event of a</w:t>
            </w:r>
            <w:r w:rsidR="0015262F">
              <w:rPr>
                <w:rFonts w:cs="Arial"/>
                <w:szCs w:val="21"/>
              </w:rPr>
              <w:t xml:space="preserve"> </w:t>
            </w:r>
            <w:r w:rsidR="00C93F55">
              <w:rPr>
                <w:rFonts w:cs="Arial"/>
                <w:szCs w:val="21"/>
              </w:rPr>
              <w:t xml:space="preserve">transfusion related </w:t>
            </w:r>
            <w:r w:rsidRPr="00FE6765">
              <w:rPr>
                <w:rFonts w:cs="Arial"/>
                <w:szCs w:val="21"/>
              </w:rPr>
              <w:t>adverse transfusion.</w:t>
            </w:r>
          </w:p>
        </w:tc>
      </w:tr>
    </w:tbl>
    <w:p w14:paraId="37177674" w14:textId="4B8E98AC" w:rsidR="00533599" w:rsidRDefault="00533599" w:rsidP="00DD4316">
      <w:pPr>
        <w:pStyle w:val="Body"/>
        <w:spacing w:before="240"/>
        <w:rPr>
          <w:szCs w:val="21"/>
        </w:rPr>
      </w:pPr>
      <w:r>
        <w:rPr>
          <w:szCs w:val="21"/>
        </w:rPr>
        <w:t xml:space="preserve">Please refer to the </w:t>
      </w:r>
      <w:hyperlink r:id="rId95" w:history="1">
        <w:r w:rsidRPr="00A35912">
          <w:rPr>
            <w:rStyle w:val="Hyperlink"/>
            <w:szCs w:val="21"/>
          </w:rPr>
          <w:t>ANZSBT guidelines</w:t>
        </w:r>
      </w:hyperlink>
      <w:r>
        <w:rPr>
          <w:szCs w:val="21"/>
        </w:rPr>
        <w:t xml:space="preserve"> </w:t>
      </w:r>
      <w:r w:rsidR="00211680">
        <w:rPr>
          <w:szCs w:val="21"/>
        </w:rPr>
        <w:t>&lt;</w:t>
      </w:r>
      <w:r w:rsidRPr="00533599">
        <w:rPr>
          <w:szCs w:val="21"/>
        </w:rPr>
        <w:t>https://anzsbt.org.au/guidelines-standards/anzsbt-guidelines/</w:t>
      </w:r>
      <w:r w:rsidR="00211680">
        <w:rPr>
          <w:szCs w:val="21"/>
        </w:rPr>
        <w:t>&gt;</w:t>
      </w:r>
      <w:r>
        <w:rPr>
          <w:szCs w:val="21"/>
        </w:rPr>
        <w:t xml:space="preserve">  for detailed information on transfusion requirements. These requirement and guidelines are reflected in the </w:t>
      </w:r>
      <w:hyperlink r:id="rId96" w:history="1">
        <w:r w:rsidR="00A35912" w:rsidRPr="00F635CB">
          <w:rPr>
            <w:rStyle w:val="Hyperlink"/>
            <w:szCs w:val="21"/>
          </w:rPr>
          <w:t>Blood Management Standard | Australian Commission on Safety and Quality in Health Care</w:t>
        </w:r>
      </w:hyperlink>
      <w:r w:rsidR="00211680">
        <w:rPr>
          <w:szCs w:val="21"/>
        </w:rPr>
        <w:t>&lt;</w:t>
      </w:r>
      <w:r w:rsidR="00A35912" w:rsidRPr="00A35912">
        <w:t xml:space="preserve"> </w:t>
      </w:r>
      <w:r w:rsidR="00A35912" w:rsidRPr="00A35912">
        <w:rPr>
          <w:szCs w:val="21"/>
        </w:rPr>
        <w:t>https://www.safetyandquality.gov.au/standards/nsqhs-standards/blood-management-standard</w:t>
      </w:r>
      <w:r w:rsidR="00211680">
        <w:rPr>
          <w:szCs w:val="21"/>
        </w:rPr>
        <w:t>&gt;</w:t>
      </w:r>
      <w:r>
        <w:rPr>
          <w:szCs w:val="21"/>
        </w:rPr>
        <w:t>.</w:t>
      </w:r>
    </w:p>
    <w:p w14:paraId="25FACB7C" w14:textId="360C414F" w:rsidR="00053211" w:rsidRPr="00053211" w:rsidRDefault="00053211" w:rsidP="001561B3">
      <w:pPr>
        <w:pStyle w:val="Heading4"/>
      </w:pPr>
      <w:r w:rsidRPr="00053211">
        <w:t xml:space="preserve">Blood </w:t>
      </w:r>
      <w:r w:rsidR="00436D67">
        <w:t xml:space="preserve">component </w:t>
      </w:r>
      <w:r w:rsidRPr="00053211">
        <w:t>checklist</w:t>
      </w:r>
    </w:p>
    <w:p w14:paraId="0342A37C" w14:textId="25ABC690" w:rsidR="00053211" w:rsidRPr="00EF1AF1" w:rsidRDefault="00053211" w:rsidP="00053211">
      <w:pPr>
        <w:pStyle w:val="Body"/>
        <w:rPr>
          <w:szCs w:val="21"/>
        </w:rPr>
      </w:pPr>
      <w:r w:rsidRPr="00EF1AF1">
        <w:rPr>
          <w:szCs w:val="21"/>
        </w:rPr>
        <w:t xml:space="preserve">Below is an example of a blood </w:t>
      </w:r>
      <w:r w:rsidR="00FE09B0">
        <w:rPr>
          <w:szCs w:val="21"/>
        </w:rPr>
        <w:t>component</w:t>
      </w:r>
      <w:r w:rsidR="00FE09B0" w:rsidRPr="00EF1AF1">
        <w:rPr>
          <w:szCs w:val="21"/>
        </w:rPr>
        <w:t xml:space="preserve"> </w:t>
      </w:r>
      <w:r w:rsidRPr="00EF1AF1">
        <w:rPr>
          <w:szCs w:val="21"/>
        </w:rPr>
        <w:t xml:space="preserve">checklist, detailing the requirements for the patient and </w:t>
      </w:r>
      <w:r w:rsidR="00FE09B0">
        <w:rPr>
          <w:szCs w:val="21"/>
        </w:rPr>
        <w:t>component</w:t>
      </w:r>
      <w:r w:rsidR="00C93F55">
        <w:rPr>
          <w:szCs w:val="21"/>
        </w:rPr>
        <w:t>/product</w:t>
      </w:r>
      <w:r w:rsidR="00FE09B0" w:rsidRPr="00EF1AF1">
        <w:rPr>
          <w:szCs w:val="21"/>
        </w:rPr>
        <w:t xml:space="preserve"> </w:t>
      </w:r>
      <w:r w:rsidRPr="00EF1AF1">
        <w:rPr>
          <w:szCs w:val="21"/>
        </w:rPr>
        <w:t xml:space="preserve">checks. </w:t>
      </w:r>
    </w:p>
    <w:p w14:paraId="78F5534A" w14:textId="48346398" w:rsidR="00AA3919" w:rsidRPr="00EF1AF1" w:rsidRDefault="00CF37A4" w:rsidP="007F0B6D">
      <w:pPr>
        <w:pStyle w:val="Body"/>
        <w:rPr>
          <w:szCs w:val="21"/>
        </w:rPr>
      </w:pPr>
      <w:r w:rsidRPr="00EF1AF1">
        <w:rPr>
          <w:szCs w:val="21"/>
        </w:rPr>
        <w:t>The</w:t>
      </w:r>
      <w:r w:rsidR="00E848FA">
        <w:rPr>
          <w:szCs w:val="21"/>
        </w:rPr>
        <w:t xml:space="preserve"> double</w:t>
      </w:r>
      <w:r w:rsidRPr="00EF1AF1">
        <w:rPr>
          <w:szCs w:val="21"/>
        </w:rPr>
        <w:t xml:space="preserve"> independent checking procedure involves</w:t>
      </w:r>
      <w:r w:rsidR="00746B13">
        <w:rPr>
          <w:szCs w:val="21"/>
        </w:rPr>
        <w:t xml:space="preserve"> each qualified staff member</w:t>
      </w:r>
      <w:r w:rsidRPr="00EF1AF1">
        <w:rPr>
          <w:szCs w:val="21"/>
        </w:rPr>
        <w:t xml:space="preserve"> checking the following details </w:t>
      </w:r>
      <w:r w:rsidR="00746B13">
        <w:rPr>
          <w:szCs w:val="21"/>
        </w:rPr>
        <w:t>independently</w:t>
      </w:r>
      <w:r w:rsidRPr="00EF1AF1">
        <w:rPr>
          <w:szCs w:val="21"/>
        </w:rPr>
        <w:t xml:space="preserve"> </w:t>
      </w:r>
    </w:p>
    <w:p w14:paraId="14D978FD" w14:textId="77777777" w:rsidR="00AA3919" w:rsidRPr="00EF1AF1" w:rsidRDefault="00CF37A4" w:rsidP="007F0B6D">
      <w:pPr>
        <w:pStyle w:val="Body"/>
        <w:rPr>
          <w:szCs w:val="21"/>
        </w:rPr>
      </w:pPr>
      <w:r w:rsidRPr="00EF1AF1">
        <w:rPr>
          <w:szCs w:val="21"/>
        </w:rPr>
        <w:t xml:space="preserve">ALL DETAILS MUST BE CORRECT AND IDENTICAL BEFORE THE UNIT IS ADMINISTERED TO THE PATIENT. </w:t>
      </w:r>
    </w:p>
    <w:p w14:paraId="79371B29" w14:textId="26C67997" w:rsidR="007F0B6D" w:rsidRPr="00EF1AF1" w:rsidRDefault="00CF37A4" w:rsidP="00AA3919">
      <w:pPr>
        <w:pStyle w:val="Body"/>
        <w:pBdr>
          <w:bottom w:val="single" w:sz="4" w:space="1" w:color="auto"/>
        </w:pBdr>
        <w:rPr>
          <w:szCs w:val="21"/>
        </w:rPr>
      </w:pPr>
      <w:r w:rsidRPr="00EF1AF1">
        <w:rPr>
          <w:szCs w:val="21"/>
        </w:rPr>
        <w:lastRenderedPageBreak/>
        <w:t xml:space="preserve">Where there is any discrepancy in information this MUST be </w:t>
      </w:r>
      <w:r w:rsidR="00994221">
        <w:rPr>
          <w:szCs w:val="21"/>
        </w:rPr>
        <w:t>resolv</w:t>
      </w:r>
      <w:r w:rsidR="00994221" w:rsidRPr="00EF1AF1">
        <w:rPr>
          <w:szCs w:val="21"/>
        </w:rPr>
        <w:t xml:space="preserve">ed </w:t>
      </w:r>
      <w:r w:rsidRPr="00EF1AF1">
        <w:rPr>
          <w:szCs w:val="21"/>
        </w:rPr>
        <w:t>prior to the transfusion taking place.</w:t>
      </w:r>
    </w:p>
    <w:p w14:paraId="1D929A54" w14:textId="3EE91812" w:rsidR="00CF37A4" w:rsidRPr="00EF1AF1" w:rsidRDefault="007F0B6D" w:rsidP="0003362E">
      <w:pPr>
        <w:pStyle w:val="Body"/>
        <w:numPr>
          <w:ilvl w:val="0"/>
          <w:numId w:val="16"/>
        </w:numPr>
        <w:rPr>
          <w:szCs w:val="21"/>
        </w:rPr>
      </w:pPr>
      <w:r w:rsidRPr="00EF1AF1">
        <w:rPr>
          <w:szCs w:val="21"/>
        </w:rPr>
        <w:t>P</w:t>
      </w:r>
      <w:r w:rsidR="00CF37A4" w:rsidRPr="00EF1AF1">
        <w:rPr>
          <w:szCs w:val="21"/>
        </w:rPr>
        <w:t>atient identification</w:t>
      </w:r>
    </w:p>
    <w:tbl>
      <w:tblPr>
        <w:tblStyle w:val="GridTable1Light"/>
        <w:tblW w:w="0" w:type="auto"/>
        <w:tblLook w:val="04A0" w:firstRow="1" w:lastRow="0" w:firstColumn="1" w:lastColumn="0" w:noHBand="0" w:noVBand="1"/>
      </w:tblPr>
      <w:tblGrid>
        <w:gridCol w:w="4390"/>
        <w:gridCol w:w="5804"/>
      </w:tblGrid>
      <w:tr w:rsidR="007F0B6D" w:rsidRPr="003E7AA9" w14:paraId="5AA98662" w14:textId="77777777" w:rsidTr="00A066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2FDFB65" w14:textId="4760FDE3" w:rsidR="007F0B6D" w:rsidRPr="00EF1AF1" w:rsidRDefault="007F0B6D" w:rsidP="00053211">
            <w:pPr>
              <w:pStyle w:val="Body"/>
              <w:rPr>
                <w:szCs w:val="21"/>
              </w:rPr>
            </w:pPr>
            <w:r w:rsidRPr="00EF1AF1">
              <w:rPr>
                <w:szCs w:val="21"/>
              </w:rPr>
              <w:t>What to check</w:t>
            </w:r>
          </w:p>
        </w:tc>
        <w:tc>
          <w:tcPr>
            <w:tcW w:w="5804" w:type="dxa"/>
          </w:tcPr>
          <w:p w14:paraId="04A21FC5" w14:textId="654A16EC" w:rsidR="007F0B6D" w:rsidRPr="00EF1AF1" w:rsidRDefault="007F0B6D" w:rsidP="00053211">
            <w:pPr>
              <w:pStyle w:val="Body"/>
              <w:cnfStyle w:val="100000000000" w:firstRow="1" w:lastRow="0" w:firstColumn="0" w:lastColumn="0" w:oddVBand="0" w:evenVBand="0" w:oddHBand="0" w:evenHBand="0" w:firstRowFirstColumn="0" w:firstRowLastColumn="0" w:lastRowFirstColumn="0" w:lastRowLastColumn="0"/>
              <w:rPr>
                <w:szCs w:val="21"/>
              </w:rPr>
            </w:pPr>
            <w:r w:rsidRPr="00EF1AF1">
              <w:rPr>
                <w:szCs w:val="21"/>
              </w:rPr>
              <w:t>Where to find it</w:t>
            </w:r>
          </w:p>
        </w:tc>
      </w:tr>
      <w:tr w:rsidR="007F0B6D" w:rsidRPr="003E7AA9" w14:paraId="0C997BCD" w14:textId="77777777" w:rsidTr="00A06675">
        <w:tc>
          <w:tcPr>
            <w:cnfStyle w:val="001000000000" w:firstRow="0" w:lastRow="0" w:firstColumn="1" w:lastColumn="0" w:oddVBand="0" w:evenVBand="0" w:oddHBand="0" w:evenHBand="0" w:firstRowFirstColumn="0" w:firstRowLastColumn="0" w:lastRowFirstColumn="0" w:lastRowLastColumn="0"/>
            <w:tcW w:w="4390" w:type="dxa"/>
          </w:tcPr>
          <w:p w14:paraId="1BD96EAB" w14:textId="77777777" w:rsidR="007F0B6D" w:rsidRPr="00EF1AF1" w:rsidRDefault="007F0B6D" w:rsidP="00053211">
            <w:pPr>
              <w:pStyle w:val="Body"/>
              <w:rPr>
                <w:szCs w:val="21"/>
              </w:rPr>
            </w:pPr>
            <w:r w:rsidRPr="00EF1AF1">
              <w:rPr>
                <w:szCs w:val="21"/>
              </w:rPr>
              <w:t>Full name: first name, last name</w:t>
            </w:r>
          </w:p>
          <w:p w14:paraId="107C78A9" w14:textId="77777777" w:rsidR="007F0B6D" w:rsidRPr="00EF1AF1" w:rsidRDefault="007F0B6D" w:rsidP="00053211">
            <w:pPr>
              <w:pStyle w:val="Body"/>
              <w:rPr>
                <w:szCs w:val="21"/>
              </w:rPr>
            </w:pPr>
            <w:r w:rsidRPr="00EF1AF1">
              <w:rPr>
                <w:szCs w:val="21"/>
              </w:rPr>
              <w:t xml:space="preserve">Date of birth </w:t>
            </w:r>
          </w:p>
          <w:p w14:paraId="349531D2" w14:textId="7AC91D78" w:rsidR="007F0B6D" w:rsidRPr="00EF1AF1" w:rsidRDefault="007F0B6D" w:rsidP="00053211">
            <w:pPr>
              <w:pStyle w:val="Body"/>
              <w:rPr>
                <w:szCs w:val="21"/>
              </w:rPr>
            </w:pPr>
            <w:r w:rsidRPr="00EF1AF1">
              <w:rPr>
                <w:szCs w:val="21"/>
              </w:rPr>
              <w:t>Medical record number (MRN)</w:t>
            </w:r>
          </w:p>
        </w:tc>
        <w:tc>
          <w:tcPr>
            <w:tcW w:w="5804" w:type="dxa"/>
          </w:tcPr>
          <w:p w14:paraId="63B11ECB" w14:textId="77777777" w:rsidR="007F0B6D" w:rsidRPr="00EF1AF1" w:rsidRDefault="007F0B6D" w:rsidP="00053211">
            <w:pPr>
              <w:pStyle w:val="Body"/>
              <w:cnfStyle w:val="000000000000" w:firstRow="0" w:lastRow="0" w:firstColumn="0" w:lastColumn="0" w:oddVBand="0" w:evenVBand="0" w:oddHBand="0" w:evenHBand="0" w:firstRowFirstColumn="0" w:firstRowLastColumn="0" w:lastRowFirstColumn="0" w:lastRowLastColumn="0"/>
              <w:rPr>
                <w:szCs w:val="21"/>
              </w:rPr>
            </w:pPr>
            <w:r w:rsidRPr="00EF1AF1">
              <w:rPr>
                <w:szCs w:val="21"/>
              </w:rPr>
              <w:t>Ask the patient to state and spell full name and date of birth</w:t>
            </w:r>
          </w:p>
          <w:p w14:paraId="2C3FA87B" w14:textId="40DAE1B3" w:rsidR="007F0B6D" w:rsidRPr="00EF1AF1" w:rsidRDefault="007F0B6D" w:rsidP="00053211">
            <w:pPr>
              <w:pStyle w:val="Body"/>
              <w:cnfStyle w:val="000000000000" w:firstRow="0" w:lastRow="0" w:firstColumn="0" w:lastColumn="0" w:oddVBand="0" w:evenVBand="0" w:oddHBand="0" w:evenHBand="0" w:firstRowFirstColumn="0" w:firstRowLastColumn="0" w:lastRowFirstColumn="0" w:lastRowLastColumn="0"/>
              <w:rPr>
                <w:szCs w:val="21"/>
              </w:rPr>
            </w:pPr>
            <w:r w:rsidRPr="00EF1AF1">
              <w:rPr>
                <w:szCs w:val="21"/>
              </w:rPr>
              <w:t xml:space="preserve">Check all </w:t>
            </w:r>
            <w:r w:rsidR="004B7E33" w:rsidRPr="00EF1AF1">
              <w:rPr>
                <w:szCs w:val="21"/>
              </w:rPr>
              <w:t>three</w:t>
            </w:r>
            <w:r w:rsidRPr="00EF1AF1">
              <w:rPr>
                <w:szCs w:val="21"/>
              </w:rPr>
              <w:t xml:space="preserve"> identifiers</w:t>
            </w:r>
            <w:r w:rsidR="00AA3919" w:rsidRPr="00EF1AF1">
              <w:rPr>
                <w:szCs w:val="21"/>
              </w:rPr>
              <w:t xml:space="preserve"> on</w:t>
            </w:r>
            <w:r w:rsidRPr="00EF1AF1">
              <w:rPr>
                <w:szCs w:val="21"/>
              </w:rPr>
              <w:t>:</w:t>
            </w:r>
          </w:p>
          <w:p w14:paraId="716CB90A" w14:textId="0ED08C75" w:rsidR="007F0B6D" w:rsidRPr="00EF1AF1" w:rsidRDefault="007F0B6D"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Patient ID band</w:t>
            </w:r>
          </w:p>
          <w:p w14:paraId="05255AEB" w14:textId="7B389139" w:rsidR="007F0B6D" w:rsidRPr="00EF1AF1" w:rsidRDefault="007F0B6D"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Compatibility label on the blood bag (and compatibility report if supplied)</w:t>
            </w:r>
          </w:p>
          <w:p w14:paraId="5AA5256C" w14:textId="1ADC5439" w:rsidR="007F0B6D" w:rsidRPr="00EF1AF1" w:rsidRDefault="007F0B6D"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Prescription (or medical order)</w:t>
            </w:r>
          </w:p>
        </w:tc>
      </w:tr>
    </w:tbl>
    <w:p w14:paraId="596A115B" w14:textId="3A354400" w:rsidR="00CF37A4" w:rsidRPr="00EF1AF1" w:rsidRDefault="007F0B6D" w:rsidP="0003362E">
      <w:pPr>
        <w:pStyle w:val="Body"/>
        <w:numPr>
          <w:ilvl w:val="0"/>
          <w:numId w:val="16"/>
        </w:numPr>
        <w:rPr>
          <w:szCs w:val="21"/>
        </w:rPr>
      </w:pPr>
      <w:r w:rsidRPr="00EF1AF1">
        <w:rPr>
          <w:szCs w:val="21"/>
        </w:rPr>
        <w:t>Blood group</w:t>
      </w:r>
    </w:p>
    <w:tbl>
      <w:tblPr>
        <w:tblStyle w:val="GridTable1Light"/>
        <w:tblW w:w="0" w:type="auto"/>
        <w:tblLook w:val="04A0" w:firstRow="1" w:lastRow="0" w:firstColumn="1" w:lastColumn="0" w:noHBand="0" w:noVBand="1"/>
      </w:tblPr>
      <w:tblGrid>
        <w:gridCol w:w="4390"/>
        <w:gridCol w:w="5804"/>
      </w:tblGrid>
      <w:tr w:rsidR="007F0B6D" w:rsidRPr="003E7AA9" w14:paraId="53410A01" w14:textId="77777777" w:rsidTr="00A066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5C139FD" w14:textId="77777777" w:rsidR="007F0B6D" w:rsidRPr="00EF1AF1" w:rsidRDefault="007F0B6D" w:rsidP="00442DD7">
            <w:pPr>
              <w:pStyle w:val="Body"/>
              <w:rPr>
                <w:szCs w:val="21"/>
              </w:rPr>
            </w:pPr>
            <w:r w:rsidRPr="00EF1AF1">
              <w:rPr>
                <w:szCs w:val="21"/>
              </w:rPr>
              <w:t>What to check</w:t>
            </w:r>
          </w:p>
        </w:tc>
        <w:tc>
          <w:tcPr>
            <w:tcW w:w="5804" w:type="dxa"/>
          </w:tcPr>
          <w:p w14:paraId="00DA56D0" w14:textId="77777777" w:rsidR="007F0B6D" w:rsidRPr="00EF1AF1" w:rsidRDefault="007F0B6D" w:rsidP="00442DD7">
            <w:pPr>
              <w:pStyle w:val="Body"/>
              <w:cnfStyle w:val="100000000000" w:firstRow="1" w:lastRow="0" w:firstColumn="0" w:lastColumn="0" w:oddVBand="0" w:evenVBand="0" w:oddHBand="0" w:evenHBand="0" w:firstRowFirstColumn="0" w:firstRowLastColumn="0" w:lastRowFirstColumn="0" w:lastRowLastColumn="0"/>
              <w:rPr>
                <w:szCs w:val="21"/>
              </w:rPr>
            </w:pPr>
            <w:r w:rsidRPr="00EF1AF1">
              <w:rPr>
                <w:szCs w:val="21"/>
              </w:rPr>
              <w:t>Where to find it</w:t>
            </w:r>
          </w:p>
        </w:tc>
      </w:tr>
      <w:tr w:rsidR="007F0B6D" w:rsidRPr="003E7AA9" w14:paraId="531DD619" w14:textId="77777777" w:rsidTr="00A06675">
        <w:tc>
          <w:tcPr>
            <w:cnfStyle w:val="001000000000" w:firstRow="0" w:lastRow="0" w:firstColumn="1" w:lastColumn="0" w:oddVBand="0" w:evenVBand="0" w:oddHBand="0" w:evenHBand="0" w:firstRowFirstColumn="0" w:firstRowLastColumn="0" w:lastRowFirstColumn="0" w:lastRowLastColumn="0"/>
            <w:tcW w:w="4390" w:type="dxa"/>
          </w:tcPr>
          <w:p w14:paraId="35C112C8" w14:textId="77777777" w:rsidR="007F0B6D" w:rsidRPr="00EF1AF1" w:rsidRDefault="007F0B6D" w:rsidP="007F0B6D">
            <w:pPr>
              <w:pStyle w:val="Body"/>
              <w:rPr>
                <w:szCs w:val="21"/>
              </w:rPr>
            </w:pPr>
            <w:r w:rsidRPr="00EF1AF1">
              <w:rPr>
                <w:szCs w:val="21"/>
              </w:rPr>
              <w:t xml:space="preserve">ABO &amp; </w:t>
            </w:r>
            <w:proofErr w:type="spellStart"/>
            <w:r w:rsidRPr="00EF1AF1">
              <w:rPr>
                <w:szCs w:val="21"/>
              </w:rPr>
              <w:t>RhD</w:t>
            </w:r>
            <w:proofErr w:type="spellEnd"/>
            <w:r w:rsidRPr="00EF1AF1">
              <w:rPr>
                <w:szCs w:val="21"/>
              </w:rPr>
              <w:t xml:space="preserve"> group of the patient </w:t>
            </w:r>
          </w:p>
          <w:p w14:paraId="7860D581" w14:textId="070877EF" w:rsidR="00AA3919" w:rsidRPr="00EF1AF1" w:rsidRDefault="00AA3919" w:rsidP="007F0B6D">
            <w:pPr>
              <w:pStyle w:val="Body"/>
              <w:rPr>
                <w:szCs w:val="21"/>
              </w:rPr>
            </w:pPr>
            <w:r w:rsidRPr="00EF1AF1">
              <w:rPr>
                <w:szCs w:val="21"/>
              </w:rPr>
              <w:t>Patient blood group must be compatible with the blood group of the product</w:t>
            </w:r>
          </w:p>
        </w:tc>
        <w:tc>
          <w:tcPr>
            <w:tcW w:w="5804" w:type="dxa"/>
          </w:tcPr>
          <w:p w14:paraId="1D7E414C" w14:textId="77777777" w:rsidR="007F0B6D" w:rsidRPr="00EF1AF1" w:rsidRDefault="007F0B6D"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Compatibility label on the blood bag (and compatibility report if supplied)</w:t>
            </w:r>
          </w:p>
          <w:p w14:paraId="65A0565B" w14:textId="57D6EA1F" w:rsidR="007F0B6D" w:rsidRPr="00EF1AF1" w:rsidRDefault="007F0B6D"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 xml:space="preserve">May be found on the blood administration screen if using an EMR </w:t>
            </w:r>
          </w:p>
        </w:tc>
      </w:tr>
      <w:tr w:rsidR="00AA3919" w:rsidRPr="003E7AA9" w14:paraId="5456FB6E" w14:textId="77777777" w:rsidTr="00A06675">
        <w:tc>
          <w:tcPr>
            <w:cnfStyle w:val="001000000000" w:firstRow="0" w:lastRow="0" w:firstColumn="1" w:lastColumn="0" w:oddVBand="0" w:evenVBand="0" w:oddHBand="0" w:evenHBand="0" w:firstRowFirstColumn="0" w:firstRowLastColumn="0" w:lastRowFirstColumn="0" w:lastRowLastColumn="0"/>
            <w:tcW w:w="0" w:type="dxa"/>
          </w:tcPr>
          <w:p w14:paraId="1A8B1A89" w14:textId="52595F64" w:rsidR="00AA3919" w:rsidRPr="00EF1AF1" w:rsidRDefault="00AA3919" w:rsidP="007F0B6D">
            <w:pPr>
              <w:pStyle w:val="Body"/>
              <w:rPr>
                <w:szCs w:val="21"/>
              </w:rPr>
            </w:pPr>
            <w:r w:rsidRPr="00EF1AF1">
              <w:rPr>
                <w:szCs w:val="21"/>
              </w:rPr>
              <w:t xml:space="preserve">ABO &amp; </w:t>
            </w:r>
            <w:proofErr w:type="spellStart"/>
            <w:r w:rsidRPr="00EF1AF1">
              <w:rPr>
                <w:szCs w:val="21"/>
              </w:rPr>
              <w:t>RhD</w:t>
            </w:r>
            <w:proofErr w:type="spellEnd"/>
            <w:r w:rsidRPr="00EF1AF1">
              <w:rPr>
                <w:szCs w:val="21"/>
              </w:rPr>
              <w:t xml:space="preserve"> group of the </w:t>
            </w:r>
            <w:r w:rsidR="00FE09B0">
              <w:rPr>
                <w:szCs w:val="21"/>
              </w:rPr>
              <w:t>component</w:t>
            </w:r>
          </w:p>
        </w:tc>
        <w:tc>
          <w:tcPr>
            <w:tcW w:w="0" w:type="dxa"/>
          </w:tcPr>
          <w:p w14:paraId="7207068B" w14:textId="77777777" w:rsidR="00AA3919" w:rsidRPr="00EF1AF1" w:rsidRDefault="00AA3919"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Compatibility label on the blood bag (and compatibility report if supplied)</w:t>
            </w:r>
          </w:p>
          <w:p w14:paraId="6585AD51" w14:textId="68C071AD" w:rsidR="00AA3919" w:rsidRPr="00EF1AF1" w:rsidRDefault="00AA3919"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Lifeblood label on the blood bag</w:t>
            </w:r>
          </w:p>
        </w:tc>
      </w:tr>
    </w:tbl>
    <w:p w14:paraId="3DB0ADB2" w14:textId="49AD5F76" w:rsidR="007F0B6D" w:rsidRPr="00EF1AF1" w:rsidRDefault="00FE09B0" w:rsidP="0003362E">
      <w:pPr>
        <w:pStyle w:val="Body"/>
        <w:numPr>
          <w:ilvl w:val="0"/>
          <w:numId w:val="16"/>
        </w:numPr>
        <w:rPr>
          <w:szCs w:val="21"/>
        </w:rPr>
      </w:pPr>
      <w:r>
        <w:rPr>
          <w:szCs w:val="21"/>
        </w:rPr>
        <w:t>Component</w:t>
      </w:r>
      <w:r w:rsidRPr="00EF1AF1">
        <w:rPr>
          <w:szCs w:val="21"/>
        </w:rPr>
        <w:t xml:space="preserve"> </w:t>
      </w:r>
      <w:r w:rsidR="00AA3919" w:rsidRPr="00EF1AF1">
        <w:rPr>
          <w:szCs w:val="21"/>
        </w:rPr>
        <w:t>details</w:t>
      </w:r>
    </w:p>
    <w:tbl>
      <w:tblPr>
        <w:tblStyle w:val="GridTable1Light"/>
        <w:tblW w:w="10201" w:type="dxa"/>
        <w:tblLook w:val="04A0" w:firstRow="1" w:lastRow="0" w:firstColumn="1" w:lastColumn="0" w:noHBand="0" w:noVBand="1"/>
      </w:tblPr>
      <w:tblGrid>
        <w:gridCol w:w="1961"/>
        <w:gridCol w:w="8240"/>
      </w:tblGrid>
      <w:tr w:rsidR="00AA3919" w:rsidRPr="003E7AA9" w14:paraId="79B0A44E" w14:textId="77777777" w:rsidTr="00A066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BCAC507" w14:textId="77777777" w:rsidR="00AA3919" w:rsidRPr="00EF1AF1" w:rsidRDefault="00AA3919" w:rsidP="00442DD7">
            <w:pPr>
              <w:pStyle w:val="Body"/>
              <w:rPr>
                <w:szCs w:val="21"/>
              </w:rPr>
            </w:pPr>
            <w:r w:rsidRPr="00EF1AF1">
              <w:rPr>
                <w:szCs w:val="21"/>
              </w:rPr>
              <w:t>What to check</w:t>
            </w:r>
          </w:p>
        </w:tc>
        <w:tc>
          <w:tcPr>
            <w:tcW w:w="5811" w:type="dxa"/>
          </w:tcPr>
          <w:p w14:paraId="4CF54DA5" w14:textId="77777777" w:rsidR="00AA3919" w:rsidRPr="00EF1AF1" w:rsidRDefault="00AA3919" w:rsidP="00442DD7">
            <w:pPr>
              <w:pStyle w:val="Body"/>
              <w:cnfStyle w:val="100000000000" w:firstRow="1" w:lastRow="0" w:firstColumn="0" w:lastColumn="0" w:oddVBand="0" w:evenVBand="0" w:oddHBand="0" w:evenHBand="0" w:firstRowFirstColumn="0" w:firstRowLastColumn="0" w:lastRowFirstColumn="0" w:lastRowLastColumn="0"/>
              <w:rPr>
                <w:szCs w:val="21"/>
              </w:rPr>
            </w:pPr>
            <w:r w:rsidRPr="00EF1AF1">
              <w:rPr>
                <w:szCs w:val="21"/>
              </w:rPr>
              <w:t>Where to find it</w:t>
            </w:r>
          </w:p>
        </w:tc>
      </w:tr>
      <w:tr w:rsidR="00AA3919" w:rsidRPr="003E7AA9" w14:paraId="7294FA86" w14:textId="77777777" w:rsidTr="00A06675">
        <w:tc>
          <w:tcPr>
            <w:cnfStyle w:val="001000000000" w:firstRow="0" w:lastRow="0" w:firstColumn="1" w:lastColumn="0" w:oddVBand="0" w:evenVBand="0" w:oddHBand="0" w:evenHBand="0" w:firstRowFirstColumn="0" w:firstRowLastColumn="0" w:lastRowFirstColumn="0" w:lastRowLastColumn="0"/>
            <w:tcW w:w="0" w:type="dxa"/>
          </w:tcPr>
          <w:p w14:paraId="6CF89F92" w14:textId="1B340D6F" w:rsidR="00AA3919" w:rsidRPr="00EF1AF1" w:rsidRDefault="00FE09B0" w:rsidP="00442DD7">
            <w:pPr>
              <w:pStyle w:val="Body"/>
              <w:rPr>
                <w:szCs w:val="21"/>
              </w:rPr>
            </w:pPr>
            <w:r>
              <w:rPr>
                <w:szCs w:val="21"/>
              </w:rPr>
              <w:t>Component</w:t>
            </w:r>
            <w:r w:rsidRPr="00EF1AF1">
              <w:rPr>
                <w:szCs w:val="21"/>
              </w:rPr>
              <w:t xml:space="preserve"> </w:t>
            </w:r>
            <w:r w:rsidR="00AA3919" w:rsidRPr="00EF1AF1">
              <w:rPr>
                <w:szCs w:val="21"/>
              </w:rPr>
              <w:t>type, e.g. red blood cells</w:t>
            </w:r>
          </w:p>
        </w:tc>
        <w:tc>
          <w:tcPr>
            <w:tcW w:w="5811" w:type="dxa"/>
          </w:tcPr>
          <w:p w14:paraId="790E2DA3" w14:textId="0FE27355" w:rsidR="00AA3919" w:rsidRPr="00EF1AF1" w:rsidRDefault="00AA3919"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Prescription (medical order)</w:t>
            </w:r>
          </w:p>
          <w:p w14:paraId="190E9B2E" w14:textId="58881EB0" w:rsidR="00AA3919" w:rsidRPr="00EF1AF1" w:rsidRDefault="00AA3919"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Compatibility label on the blood bag (and compatibility report if supplied)</w:t>
            </w:r>
          </w:p>
          <w:p w14:paraId="6063DFFE" w14:textId="23C1DA2C" w:rsidR="00AA3919" w:rsidRPr="00EF1AF1" w:rsidRDefault="00AA3919"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Lifeblood label on the blood bag</w:t>
            </w:r>
          </w:p>
        </w:tc>
      </w:tr>
      <w:tr w:rsidR="00AA3919" w:rsidRPr="003E7AA9" w14:paraId="122D8F51" w14:textId="77777777" w:rsidTr="00A06675">
        <w:tc>
          <w:tcPr>
            <w:cnfStyle w:val="001000000000" w:firstRow="0" w:lastRow="0" w:firstColumn="1" w:lastColumn="0" w:oddVBand="0" w:evenVBand="0" w:oddHBand="0" w:evenHBand="0" w:firstRowFirstColumn="0" w:firstRowLastColumn="0" w:lastRowFirstColumn="0" w:lastRowLastColumn="0"/>
            <w:tcW w:w="0" w:type="dxa"/>
          </w:tcPr>
          <w:p w14:paraId="585BCC0E" w14:textId="1FEE98AC" w:rsidR="00AA3919" w:rsidRPr="00EF1AF1" w:rsidRDefault="00AA3919" w:rsidP="00442DD7">
            <w:pPr>
              <w:pStyle w:val="Body"/>
              <w:rPr>
                <w:szCs w:val="21"/>
              </w:rPr>
            </w:pPr>
            <w:r w:rsidRPr="00EF1AF1">
              <w:rPr>
                <w:szCs w:val="21"/>
              </w:rPr>
              <w:t>Donation number</w:t>
            </w:r>
          </w:p>
        </w:tc>
        <w:tc>
          <w:tcPr>
            <w:tcW w:w="5811" w:type="dxa"/>
          </w:tcPr>
          <w:p w14:paraId="54B02C25" w14:textId="77777777" w:rsidR="00AA3919" w:rsidRPr="00EF1AF1" w:rsidRDefault="00AA3919"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Compatibility label on the blood bag (and compatibility report if supplied)</w:t>
            </w:r>
          </w:p>
          <w:p w14:paraId="059A7956" w14:textId="7393F1FC" w:rsidR="00AA3919" w:rsidRPr="00EF1AF1" w:rsidRDefault="00AA3919"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Lifeblood label on the blood bag</w:t>
            </w:r>
          </w:p>
        </w:tc>
      </w:tr>
      <w:tr w:rsidR="00AA3919" w:rsidRPr="003E7AA9" w14:paraId="192BD34D" w14:textId="77777777" w:rsidTr="00A06675">
        <w:tc>
          <w:tcPr>
            <w:cnfStyle w:val="001000000000" w:firstRow="0" w:lastRow="0" w:firstColumn="1" w:lastColumn="0" w:oddVBand="0" w:evenVBand="0" w:oddHBand="0" w:evenHBand="0" w:firstRowFirstColumn="0" w:firstRowLastColumn="0" w:lastRowFirstColumn="0" w:lastRowLastColumn="0"/>
            <w:tcW w:w="0" w:type="dxa"/>
          </w:tcPr>
          <w:p w14:paraId="4A58F7F1" w14:textId="366926A8" w:rsidR="00AA3919" w:rsidRPr="00EF1AF1" w:rsidRDefault="00AA3919" w:rsidP="005B07C4">
            <w:pPr>
              <w:pStyle w:val="Body"/>
              <w:rPr>
                <w:szCs w:val="21"/>
              </w:rPr>
            </w:pPr>
            <w:r w:rsidRPr="00EF1AF1">
              <w:rPr>
                <w:szCs w:val="21"/>
              </w:rPr>
              <w:t>Expiry of product</w:t>
            </w:r>
          </w:p>
        </w:tc>
        <w:tc>
          <w:tcPr>
            <w:tcW w:w="5811" w:type="dxa"/>
          </w:tcPr>
          <w:p w14:paraId="0FAFA0F2" w14:textId="77777777" w:rsidR="00AA3919" w:rsidRPr="00EF1AF1" w:rsidRDefault="00AA3919"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Compatibility label on the blood bag (and compatibility report if supplied)</w:t>
            </w:r>
          </w:p>
          <w:p w14:paraId="522CBBC2" w14:textId="61FCB36C" w:rsidR="00AA3919" w:rsidRPr="00EF1AF1" w:rsidRDefault="00AA3919"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Lifeblood label on the blood bag</w:t>
            </w:r>
          </w:p>
        </w:tc>
      </w:tr>
      <w:tr w:rsidR="00AA3919" w:rsidRPr="003E7AA9" w14:paraId="6FE64F14" w14:textId="77777777" w:rsidTr="00A06675">
        <w:tc>
          <w:tcPr>
            <w:cnfStyle w:val="001000000000" w:firstRow="0" w:lastRow="0" w:firstColumn="1" w:lastColumn="0" w:oddVBand="0" w:evenVBand="0" w:oddHBand="0" w:evenHBand="0" w:firstRowFirstColumn="0" w:firstRowLastColumn="0" w:lastRowFirstColumn="0" w:lastRowLastColumn="0"/>
            <w:tcW w:w="0" w:type="dxa"/>
          </w:tcPr>
          <w:p w14:paraId="06411F16" w14:textId="3A5EE5EC" w:rsidR="00AA3919" w:rsidRPr="00EF1AF1" w:rsidRDefault="00AA3919" w:rsidP="00AA3919">
            <w:pPr>
              <w:pStyle w:val="Body"/>
              <w:rPr>
                <w:szCs w:val="21"/>
              </w:rPr>
            </w:pPr>
            <w:r w:rsidRPr="00EF1AF1">
              <w:rPr>
                <w:szCs w:val="21"/>
              </w:rPr>
              <w:t>Expiry of cross match</w:t>
            </w:r>
          </w:p>
        </w:tc>
        <w:tc>
          <w:tcPr>
            <w:tcW w:w="5811" w:type="dxa"/>
          </w:tcPr>
          <w:p w14:paraId="0B52507C" w14:textId="2596188E" w:rsidR="00AA3919" w:rsidRPr="00EF1AF1" w:rsidRDefault="00AA3919"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Compatibility label on the blood bag (and compatibility report if supplied)</w:t>
            </w:r>
          </w:p>
        </w:tc>
      </w:tr>
      <w:tr w:rsidR="00AA3919" w:rsidRPr="003E7AA9" w14:paraId="1A9D1D48" w14:textId="77777777" w:rsidTr="00A06675">
        <w:tc>
          <w:tcPr>
            <w:cnfStyle w:val="001000000000" w:firstRow="0" w:lastRow="0" w:firstColumn="1" w:lastColumn="0" w:oddVBand="0" w:evenVBand="0" w:oddHBand="0" w:evenHBand="0" w:firstRowFirstColumn="0" w:firstRowLastColumn="0" w:lastRowFirstColumn="0" w:lastRowLastColumn="0"/>
            <w:tcW w:w="0" w:type="dxa"/>
          </w:tcPr>
          <w:p w14:paraId="77C415BF" w14:textId="12AA99FC" w:rsidR="00AA3919" w:rsidRPr="00EF1AF1" w:rsidRDefault="00AA3919" w:rsidP="00AA3919">
            <w:pPr>
              <w:pStyle w:val="Body"/>
              <w:rPr>
                <w:szCs w:val="21"/>
              </w:rPr>
            </w:pPr>
            <w:r w:rsidRPr="00EF1AF1">
              <w:rPr>
                <w:szCs w:val="21"/>
              </w:rPr>
              <w:t>Pack integrity</w:t>
            </w:r>
          </w:p>
        </w:tc>
        <w:tc>
          <w:tcPr>
            <w:tcW w:w="5811" w:type="dxa"/>
          </w:tcPr>
          <w:p w14:paraId="34119F23" w14:textId="77777777" w:rsidR="00AA3919" w:rsidRPr="00EF1AF1" w:rsidRDefault="00AA3919"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Pack is intact</w:t>
            </w:r>
          </w:p>
          <w:p w14:paraId="388327DD" w14:textId="699CB4C7" w:rsidR="00AA3919" w:rsidRPr="00EF1AF1" w:rsidRDefault="00AA3919" w:rsidP="0003362E">
            <w:pPr>
              <w:pStyle w:val="Body"/>
              <w:numPr>
                <w:ilvl w:val="0"/>
                <w:numId w:val="17"/>
              </w:numPr>
              <w:cnfStyle w:val="000000000000" w:firstRow="0" w:lastRow="0" w:firstColumn="0" w:lastColumn="0" w:oddVBand="0" w:evenVBand="0" w:oddHBand="0" w:evenHBand="0" w:firstRowFirstColumn="0" w:firstRowLastColumn="0" w:lastRowFirstColumn="0" w:lastRowLastColumn="0"/>
              <w:rPr>
                <w:szCs w:val="21"/>
              </w:rPr>
            </w:pPr>
            <w:r w:rsidRPr="00EF1AF1">
              <w:rPr>
                <w:szCs w:val="21"/>
              </w:rPr>
              <w:t>Absence of clots, discolouration, or foreign bodies</w:t>
            </w:r>
            <w:r w:rsidR="00680BAA">
              <w:rPr>
                <w:szCs w:val="21"/>
              </w:rPr>
              <w:t xml:space="preserve"> or any abnormality</w:t>
            </w:r>
          </w:p>
        </w:tc>
      </w:tr>
    </w:tbl>
    <w:p w14:paraId="0009644B" w14:textId="0CC3674C" w:rsidR="00053211" w:rsidRPr="00FE6765" w:rsidRDefault="00580C77" w:rsidP="00DD4316">
      <w:pPr>
        <w:pStyle w:val="Body"/>
        <w:spacing w:before="240"/>
        <w:rPr>
          <w:szCs w:val="21"/>
        </w:rPr>
      </w:pPr>
      <w:r w:rsidRPr="00FE6765">
        <w:rPr>
          <w:szCs w:val="21"/>
        </w:rPr>
        <w:t>One of the two staff performing the checks must then spike the blood bag and commence the transfusion, immediately after the checks have been completed.</w:t>
      </w:r>
    </w:p>
    <w:p w14:paraId="1252FC85" w14:textId="281B09F5" w:rsidR="00255469" w:rsidRPr="00FE6765" w:rsidRDefault="00580C77" w:rsidP="00A06675">
      <w:pPr>
        <w:pStyle w:val="Body"/>
        <w:rPr>
          <w:b/>
          <w:bCs/>
          <w:szCs w:val="21"/>
        </w:rPr>
      </w:pPr>
      <w:r w:rsidRPr="00FE6765">
        <w:rPr>
          <w:szCs w:val="21"/>
        </w:rPr>
        <w:t>In an emergency situation</w:t>
      </w:r>
      <w:r w:rsidR="00CB5E28" w:rsidRPr="00FE6765">
        <w:rPr>
          <w:szCs w:val="21"/>
        </w:rPr>
        <w:t>, blood component</w:t>
      </w:r>
      <w:r w:rsidRPr="00FE6765">
        <w:rPr>
          <w:szCs w:val="21"/>
        </w:rPr>
        <w:t xml:space="preserve"> and patient checks still need to occur, but if using emergency group O </w:t>
      </w:r>
      <w:r w:rsidR="00CB5E28" w:rsidRPr="00FE6765">
        <w:rPr>
          <w:szCs w:val="21"/>
        </w:rPr>
        <w:t>RBC</w:t>
      </w:r>
      <w:r w:rsidRPr="00FE6765">
        <w:rPr>
          <w:szCs w:val="21"/>
        </w:rPr>
        <w:t xml:space="preserve">, patient details may not be attached to the </w:t>
      </w:r>
      <w:r w:rsidR="00CB5E28" w:rsidRPr="00FE6765">
        <w:rPr>
          <w:szCs w:val="21"/>
        </w:rPr>
        <w:t>component</w:t>
      </w:r>
      <w:r w:rsidRPr="00FE6765">
        <w:rPr>
          <w:szCs w:val="21"/>
        </w:rPr>
        <w:t xml:space="preserve">. The following are the items that still need to be checked prior to administering an emergency group O </w:t>
      </w:r>
      <w:r w:rsidR="00865FFD" w:rsidRPr="00FE6765">
        <w:rPr>
          <w:szCs w:val="21"/>
        </w:rPr>
        <w:t>RBC</w:t>
      </w:r>
      <w:r w:rsidRPr="00FE6765">
        <w:rPr>
          <w:szCs w:val="21"/>
        </w:rPr>
        <w:t xml:space="preserve"> if unnamed.</w:t>
      </w:r>
    </w:p>
    <w:p w14:paraId="312F4308" w14:textId="7D574036" w:rsidR="00053211" w:rsidRPr="00DD4316" w:rsidRDefault="00053211" w:rsidP="00053211">
      <w:pPr>
        <w:pStyle w:val="Body"/>
        <w:rPr>
          <w:szCs w:val="21"/>
        </w:rPr>
      </w:pPr>
      <w:r w:rsidRPr="00DD4316">
        <w:rPr>
          <w:b/>
          <w:bCs/>
          <w:szCs w:val="21"/>
        </w:rPr>
        <w:lastRenderedPageBreak/>
        <w:t xml:space="preserve">Emergency </w:t>
      </w:r>
      <w:r w:rsidR="00211680" w:rsidRPr="00DD4316">
        <w:rPr>
          <w:b/>
          <w:bCs/>
          <w:szCs w:val="21"/>
        </w:rPr>
        <w:t xml:space="preserve">patient and blood </w:t>
      </w:r>
      <w:r w:rsidR="00CB5E28" w:rsidRPr="00DD4316">
        <w:rPr>
          <w:b/>
          <w:bCs/>
          <w:szCs w:val="21"/>
        </w:rPr>
        <w:t xml:space="preserve">component </w:t>
      </w:r>
      <w:r w:rsidRPr="00DD4316">
        <w:rPr>
          <w:b/>
          <w:bCs/>
          <w:szCs w:val="21"/>
        </w:rPr>
        <w:t>check</w:t>
      </w:r>
      <w:r w:rsidRPr="00DD4316">
        <w:rPr>
          <w:szCs w:val="21"/>
        </w:rPr>
        <w:t>:</w:t>
      </w:r>
    </w:p>
    <w:p w14:paraId="29887EA0" w14:textId="455065EF" w:rsidR="00907618" w:rsidRPr="00FE6765" w:rsidRDefault="00907618" w:rsidP="00C50891">
      <w:pPr>
        <w:pStyle w:val="Body"/>
        <w:ind w:left="360"/>
        <w:rPr>
          <w:b/>
          <w:bCs/>
          <w:szCs w:val="21"/>
        </w:rPr>
      </w:pPr>
      <w:r w:rsidRPr="00FE6765">
        <w:rPr>
          <w:b/>
          <w:bCs/>
          <w:szCs w:val="21"/>
        </w:rPr>
        <w:t>Patient identity</w:t>
      </w:r>
    </w:p>
    <w:p w14:paraId="215923D7" w14:textId="17475B45" w:rsidR="00907618" w:rsidRPr="00FE6765" w:rsidRDefault="00907618" w:rsidP="0003362E">
      <w:pPr>
        <w:pStyle w:val="Body"/>
        <w:numPr>
          <w:ilvl w:val="0"/>
          <w:numId w:val="15"/>
        </w:numPr>
        <w:rPr>
          <w:szCs w:val="21"/>
        </w:rPr>
      </w:pPr>
      <w:r w:rsidRPr="00FE6765">
        <w:rPr>
          <w:szCs w:val="21"/>
        </w:rPr>
        <w:t>Always check for a patient identity on the blood</w:t>
      </w:r>
      <w:r w:rsidR="00CB5E28" w:rsidRPr="00FE6765">
        <w:rPr>
          <w:szCs w:val="21"/>
        </w:rPr>
        <w:t xml:space="preserve"> component</w:t>
      </w:r>
      <w:r w:rsidRPr="00FE6765">
        <w:rPr>
          <w:szCs w:val="21"/>
        </w:rPr>
        <w:t xml:space="preserve">. </w:t>
      </w:r>
    </w:p>
    <w:p w14:paraId="33DAD510" w14:textId="27851F17" w:rsidR="00907618" w:rsidRPr="00FE6765" w:rsidRDefault="00894D76" w:rsidP="0003362E">
      <w:pPr>
        <w:pStyle w:val="Body"/>
        <w:numPr>
          <w:ilvl w:val="1"/>
          <w:numId w:val="15"/>
        </w:numPr>
        <w:rPr>
          <w:szCs w:val="21"/>
        </w:rPr>
      </w:pPr>
      <w:r w:rsidRPr="00FE6765">
        <w:rPr>
          <w:szCs w:val="21"/>
        </w:rPr>
        <w:t xml:space="preserve">Is there a patient ID on the component? If </w:t>
      </w:r>
      <w:r w:rsidR="00907618" w:rsidRPr="00FE6765">
        <w:rPr>
          <w:szCs w:val="21"/>
        </w:rPr>
        <w:t xml:space="preserve">the </w:t>
      </w:r>
      <w:r w:rsidR="00CB5E28" w:rsidRPr="00FE6765">
        <w:rPr>
          <w:szCs w:val="21"/>
        </w:rPr>
        <w:t xml:space="preserve">component </w:t>
      </w:r>
      <w:r w:rsidR="00907618" w:rsidRPr="00FE6765">
        <w:rPr>
          <w:szCs w:val="21"/>
        </w:rPr>
        <w:t xml:space="preserve">has patient identification, </w:t>
      </w:r>
      <w:r w:rsidR="00CD09B8" w:rsidRPr="00FE6765">
        <w:rPr>
          <w:szCs w:val="21"/>
        </w:rPr>
        <w:t xml:space="preserve">follow patient ID checking procedure as above. </w:t>
      </w:r>
      <w:r w:rsidR="00031B8D" w:rsidRPr="00FE6765">
        <w:rPr>
          <w:szCs w:val="21"/>
        </w:rPr>
        <w:t>Patient identification may include an unknown patient naming convention.</w:t>
      </w:r>
      <w:r w:rsidR="00CD09B8" w:rsidRPr="00FE6765">
        <w:rPr>
          <w:szCs w:val="21"/>
        </w:rPr>
        <w:t xml:space="preserve">      </w:t>
      </w:r>
      <w:r w:rsidRPr="00FE6765">
        <w:rPr>
          <w:szCs w:val="21"/>
        </w:rPr>
        <w:t xml:space="preserve"> </w:t>
      </w:r>
    </w:p>
    <w:p w14:paraId="44565919" w14:textId="0D654B9B" w:rsidR="00894D76" w:rsidRPr="00FE6765" w:rsidRDefault="00894D76" w:rsidP="0003362E">
      <w:pPr>
        <w:pStyle w:val="Body"/>
        <w:numPr>
          <w:ilvl w:val="1"/>
          <w:numId w:val="15"/>
        </w:numPr>
        <w:rPr>
          <w:szCs w:val="21"/>
        </w:rPr>
      </w:pPr>
      <w:r w:rsidRPr="00FE6765">
        <w:rPr>
          <w:szCs w:val="21"/>
        </w:rPr>
        <w:t>If no</w:t>
      </w:r>
      <w:r w:rsidR="00031B8D" w:rsidRPr="00FE6765">
        <w:rPr>
          <w:szCs w:val="21"/>
        </w:rPr>
        <w:t xml:space="preserve"> patient identification is present</w:t>
      </w:r>
      <w:r w:rsidR="00CB5E28" w:rsidRPr="00FE6765">
        <w:rPr>
          <w:szCs w:val="21"/>
        </w:rPr>
        <w:t>,</w:t>
      </w:r>
      <w:r w:rsidRPr="00FE6765">
        <w:rPr>
          <w:szCs w:val="21"/>
        </w:rPr>
        <w:t xml:space="preserve"> proceed to blood group check</w:t>
      </w:r>
    </w:p>
    <w:p w14:paraId="17FC67BB" w14:textId="77777777" w:rsidR="00031B8D" w:rsidRPr="00C50891" w:rsidRDefault="00894D76" w:rsidP="00031B8D">
      <w:pPr>
        <w:pStyle w:val="Body"/>
        <w:ind w:left="360"/>
        <w:rPr>
          <w:b/>
          <w:bCs/>
          <w:szCs w:val="21"/>
        </w:rPr>
      </w:pPr>
      <w:r w:rsidRPr="00C50891">
        <w:rPr>
          <w:b/>
          <w:bCs/>
          <w:szCs w:val="21"/>
        </w:rPr>
        <w:t xml:space="preserve">Blood group </w:t>
      </w:r>
    </w:p>
    <w:p w14:paraId="2D61251C" w14:textId="7F191871" w:rsidR="00CD09B8" w:rsidRPr="00EF1AF1" w:rsidRDefault="00031B8D" w:rsidP="0003362E">
      <w:pPr>
        <w:pStyle w:val="Body"/>
        <w:numPr>
          <w:ilvl w:val="0"/>
          <w:numId w:val="15"/>
        </w:numPr>
        <w:rPr>
          <w:szCs w:val="21"/>
        </w:rPr>
      </w:pPr>
      <w:r>
        <w:rPr>
          <w:szCs w:val="21"/>
        </w:rPr>
        <w:t>RBC</w:t>
      </w:r>
    </w:p>
    <w:p w14:paraId="742D3F6E" w14:textId="39067199" w:rsidR="00ED0946" w:rsidRPr="00EF1AF1" w:rsidRDefault="00CD09B8" w:rsidP="0003362E">
      <w:pPr>
        <w:pStyle w:val="Body"/>
        <w:numPr>
          <w:ilvl w:val="1"/>
          <w:numId w:val="15"/>
        </w:numPr>
        <w:rPr>
          <w:szCs w:val="21"/>
        </w:rPr>
      </w:pPr>
      <w:r w:rsidRPr="00EF1AF1">
        <w:rPr>
          <w:szCs w:val="21"/>
        </w:rPr>
        <w:t xml:space="preserve">O </w:t>
      </w:r>
      <w:proofErr w:type="spellStart"/>
      <w:r w:rsidRPr="00EF1AF1">
        <w:rPr>
          <w:szCs w:val="21"/>
        </w:rPr>
        <w:t>RhD</w:t>
      </w:r>
      <w:proofErr w:type="spellEnd"/>
      <w:r w:rsidRPr="00EF1AF1">
        <w:rPr>
          <w:szCs w:val="21"/>
        </w:rPr>
        <w:t xml:space="preserve"> negative RBC</w:t>
      </w:r>
      <w:r w:rsidR="00CB5E28">
        <w:rPr>
          <w:szCs w:val="21"/>
        </w:rPr>
        <w:t xml:space="preserve"> are</w:t>
      </w:r>
      <w:r w:rsidRPr="00EF1AF1">
        <w:rPr>
          <w:szCs w:val="21"/>
        </w:rPr>
        <w:t xml:space="preserve"> suitable to transfuse</w:t>
      </w:r>
      <w:r w:rsidR="00ED0946" w:rsidRPr="00EF1AF1">
        <w:rPr>
          <w:szCs w:val="21"/>
        </w:rPr>
        <w:t xml:space="preserve"> in an emergency </w:t>
      </w:r>
      <w:r w:rsidRPr="00EF1AF1">
        <w:rPr>
          <w:szCs w:val="21"/>
        </w:rPr>
        <w:t xml:space="preserve">to </w:t>
      </w:r>
      <w:r w:rsidR="00ED0946" w:rsidRPr="00EF1AF1">
        <w:rPr>
          <w:szCs w:val="21"/>
        </w:rPr>
        <w:t>all patients with an unknown blood group</w:t>
      </w:r>
    </w:p>
    <w:p w14:paraId="03BF5111" w14:textId="4740D5EB" w:rsidR="00894D76" w:rsidRPr="00EF1AF1" w:rsidRDefault="001745E9" w:rsidP="0003362E">
      <w:pPr>
        <w:pStyle w:val="Body"/>
        <w:numPr>
          <w:ilvl w:val="1"/>
          <w:numId w:val="15"/>
        </w:numPr>
        <w:rPr>
          <w:szCs w:val="21"/>
        </w:rPr>
      </w:pPr>
      <w:r w:rsidRPr="00EF1AF1">
        <w:rPr>
          <w:szCs w:val="21"/>
        </w:rPr>
        <w:t xml:space="preserve">O </w:t>
      </w:r>
      <w:proofErr w:type="spellStart"/>
      <w:r w:rsidR="00CD09B8" w:rsidRPr="00EF1AF1">
        <w:rPr>
          <w:szCs w:val="21"/>
        </w:rPr>
        <w:t>RhD</w:t>
      </w:r>
      <w:proofErr w:type="spellEnd"/>
      <w:r w:rsidR="00CD09B8" w:rsidRPr="00EF1AF1">
        <w:rPr>
          <w:szCs w:val="21"/>
        </w:rPr>
        <w:t xml:space="preserve"> positive RBC</w:t>
      </w:r>
      <w:r w:rsidR="00ED0946" w:rsidRPr="00EF1AF1">
        <w:rPr>
          <w:szCs w:val="21"/>
        </w:rPr>
        <w:t xml:space="preserve"> </w:t>
      </w:r>
      <w:r w:rsidR="00CB5E28">
        <w:rPr>
          <w:szCs w:val="21"/>
        </w:rPr>
        <w:t>are</w:t>
      </w:r>
      <w:r w:rsidR="00CB5E28" w:rsidRPr="00EF1AF1">
        <w:rPr>
          <w:szCs w:val="21"/>
        </w:rPr>
        <w:t xml:space="preserve"> </w:t>
      </w:r>
      <w:r w:rsidR="00ED0946" w:rsidRPr="00EF1AF1">
        <w:rPr>
          <w:szCs w:val="21"/>
        </w:rPr>
        <w:t xml:space="preserve">suitable to transfuse in an emergency to males </w:t>
      </w:r>
      <w:r w:rsidR="004E7905" w:rsidRPr="00EF1AF1">
        <w:rPr>
          <w:szCs w:val="21"/>
        </w:rPr>
        <w:t>&gt;</w:t>
      </w:r>
      <w:r w:rsidR="00ED0946" w:rsidRPr="00EF1AF1">
        <w:rPr>
          <w:szCs w:val="21"/>
        </w:rPr>
        <w:t xml:space="preserve"> 18 years and females &gt; 50 years with an unknown blood group</w:t>
      </w:r>
    </w:p>
    <w:p w14:paraId="259AC85D" w14:textId="1D5B8252" w:rsidR="00031B8D" w:rsidRDefault="00CB5E28" w:rsidP="0003362E">
      <w:pPr>
        <w:pStyle w:val="Body"/>
        <w:numPr>
          <w:ilvl w:val="0"/>
          <w:numId w:val="15"/>
        </w:numPr>
        <w:rPr>
          <w:szCs w:val="21"/>
        </w:rPr>
      </w:pPr>
      <w:r>
        <w:rPr>
          <w:szCs w:val="21"/>
        </w:rPr>
        <w:t>Plasma (FFP and cryoprecipitate)</w:t>
      </w:r>
    </w:p>
    <w:p w14:paraId="734D531F" w14:textId="77777777" w:rsidR="00332CE3" w:rsidRDefault="00ED0946" w:rsidP="0003362E">
      <w:pPr>
        <w:pStyle w:val="Body"/>
        <w:numPr>
          <w:ilvl w:val="1"/>
          <w:numId w:val="15"/>
        </w:numPr>
        <w:rPr>
          <w:szCs w:val="21"/>
        </w:rPr>
      </w:pPr>
      <w:r w:rsidRPr="00EF1AF1">
        <w:rPr>
          <w:szCs w:val="21"/>
        </w:rPr>
        <w:t xml:space="preserve">AB </w:t>
      </w:r>
      <w:r w:rsidR="00CB5E28">
        <w:rPr>
          <w:szCs w:val="21"/>
        </w:rPr>
        <w:t>plasma</w:t>
      </w:r>
      <w:r w:rsidR="00CB5E28" w:rsidRPr="00EF1AF1">
        <w:rPr>
          <w:szCs w:val="21"/>
        </w:rPr>
        <w:t xml:space="preserve"> </w:t>
      </w:r>
      <w:r w:rsidRPr="00EF1AF1">
        <w:rPr>
          <w:szCs w:val="21"/>
        </w:rPr>
        <w:t>is suitable to transfuse in an emergency to all patients with an unknown blood group</w:t>
      </w:r>
      <w:r w:rsidR="004E7905" w:rsidRPr="00EF1AF1">
        <w:rPr>
          <w:szCs w:val="21"/>
        </w:rPr>
        <w:t xml:space="preserve"> </w:t>
      </w:r>
    </w:p>
    <w:p w14:paraId="7A1FCF7E" w14:textId="36D06206" w:rsidR="00CD09B8" w:rsidRDefault="00CB5E28" w:rsidP="0003362E">
      <w:pPr>
        <w:pStyle w:val="Body"/>
        <w:numPr>
          <w:ilvl w:val="1"/>
          <w:numId w:val="15"/>
        </w:numPr>
        <w:rPr>
          <w:szCs w:val="21"/>
        </w:rPr>
      </w:pPr>
      <w:r>
        <w:rPr>
          <w:szCs w:val="21"/>
        </w:rPr>
        <w:t>G</w:t>
      </w:r>
      <w:r w:rsidR="004E7905" w:rsidRPr="00EF1AF1">
        <w:rPr>
          <w:szCs w:val="21"/>
        </w:rPr>
        <w:t xml:space="preserve">roup A </w:t>
      </w:r>
      <w:r>
        <w:rPr>
          <w:szCs w:val="21"/>
        </w:rPr>
        <w:t>(</w:t>
      </w:r>
      <w:r w:rsidR="00865FFD">
        <w:rPr>
          <w:szCs w:val="21"/>
        </w:rPr>
        <w:t xml:space="preserve">low titre </w:t>
      </w:r>
      <w:r>
        <w:rPr>
          <w:szCs w:val="21"/>
        </w:rPr>
        <w:t xml:space="preserve">anti-A/B) </w:t>
      </w:r>
      <w:r w:rsidR="004E7905" w:rsidRPr="00EF1AF1">
        <w:rPr>
          <w:szCs w:val="21"/>
        </w:rPr>
        <w:t xml:space="preserve">FFP may </w:t>
      </w:r>
      <w:r>
        <w:rPr>
          <w:szCs w:val="21"/>
        </w:rPr>
        <w:t xml:space="preserve">also </w:t>
      </w:r>
      <w:r w:rsidR="004E7905" w:rsidRPr="00EF1AF1">
        <w:rPr>
          <w:szCs w:val="21"/>
        </w:rPr>
        <w:t>be used</w:t>
      </w:r>
    </w:p>
    <w:p w14:paraId="4AE80C74" w14:textId="577A89E1" w:rsidR="00031B8D" w:rsidRPr="00EF1AF1" w:rsidRDefault="00031B8D" w:rsidP="0003362E">
      <w:pPr>
        <w:pStyle w:val="Body"/>
        <w:numPr>
          <w:ilvl w:val="1"/>
          <w:numId w:val="15"/>
        </w:numPr>
        <w:rPr>
          <w:szCs w:val="21"/>
        </w:rPr>
      </w:pPr>
      <w:r>
        <w:rPr>
          <w:szCs w:val="21"/>
        </w:rPr>
        <w:t xml:space="preserve">The </w:t>
      </w:r>
      <w:proofErr w:type="spellStart"/>
      <w:r>
        <w:rPr>
          <w:szCs w:val="21"/>
        </w:rPr>
        <w:t>Rh</w:t>
      </w:r>
      <w:r w:rsidR="00CB5E28">
        <w:rPr>
          <w:szCs w:val="21"/>
        </w:rPr>
        <w:t>D</w:t>
      </w:r>
      <w:proofErr w:type="spellEnd"/>
      <w:r>
        <w:rPr>
          <w:szCs w:val="21"/>
        </w:rPr>
        <w:t xml:space="preserve"> group is not relevant to </w:t>
      </w:r>
      <w:r w:rsidR="00CB5E28">
        <w:rPr>
          <w:szCs w:val="21"/>
        </w:rPr>
        <w:t>transfusion of plasma</w:t>
      </w:r>
    </w:p>
    <w:p w14:paraId="4DDC8979" w14:textId="4790F42F" w:rsidR="00031B8D" w:rsidRPr="00C50891" w:rsidRDefault="00031B8D" w:rsidP="00C50891">
      <w:pPr>
        <w:pStyle w:val="Body"/>
        <w:ind w:left="360"/>
        <w:rPr>
          <w:b/>
          <w:bCs/>
          <w:szCs w:val="21"/>
        </w:rPr>
      </w:pPr>
      <w:r w:rsidRPr="00C50891">
        <w:rPr>
          <w:b/>
          <w:bCs/>
          <w:szCs w:val="21"/>
        </w:rPr>
        <w:t>Donation number</w:t>
      </w:r>
      <w:r>
        <w:rPr>
          <w:b/>
          <w:bCs/>
          <w:szCs w:val="21"/>
        </w:rPr>
        <w:t xml:space="preserve">, </w:t>
      </w:r>
      <w:r w:rsidR="00994221">
        <w:rPr>
          <w:b/>
          <w:bCs/>
          <w:szCs w:val="21"/>
        </w:rPr>
        <w:t>expiry,</w:t>
      </w:r>
      <w:r>
        <w:rPr>
          <w:b/>
          <w:bCs/>
          <w:szCs w:val="21"/>
        </w:rPr>
        <w:t xml:space="preserve"> and pack integrity</w:t>
      </w:r>
    </w:p>
    <w:p w14:paraId="7BE8BB68" w14:textId="77F82CF1" w:rsidR="00031B8D" w:rsidRDefault="00031B8D" w:rsidP="0003362E">
      <w:pPr>
        <w:pStyle w:val="Body"/>
        <w:numPr>
          <w:ilvl w:val="0"/>
          <w:numId w:val="15"/>
        </w:numPr>
        <w:rPr>
          <w:szCs w:val="21"/>
        </w:rPr>
      </w:pPr>
      <w:r>
        <w:rPr>
          <w:szCs w:val="21"/>
        </w:rPr>
        <w:t xml:space="preserve">Checking the donation number, expiry and pack integrity should be consistent with the double independent checking process </w:t>
      </w:r>
      <w:r w:rsidR="00865FFD">
        <w:rPr>
          <w:szCs w:val="21"/>
        </w:rPr>
        <w:t>as described above</w:t>
      </w:r>
    </w:p>
    <w:p w14:paraId="020945CF" w14:textId="2AA24B49" w:rsidR="00053211" w:rsidRPr="00EF1AF1" w:rsidRDefault="00053211" w:rsidP="0003362E">
      <w:pPr>
        <w:pStyle w:val="Body"/>
        <w:numPr>
          <w:ilvl w:val="0"/>
          <w:numId w:val="15"/>
        </w:numPr>
        <w:rPr>
          <w:szCs w:val="21"/>
        </w:rPr>
      </w:pPr>
      <w:r w:rsidRPr="00EF1AF1">
        <w:rPr>
          <w:szCs w:val="21"/>
        </w:rPr>
        <w:t xml:space="preserve">Donation number on </w:t>
      </w:r>
      <w:r w:rsidR="00031B8D">
        <w:rPr>
          <w:szCs w:val="21"/>
        </w:rPr>
        <w:t xml:space="preserve">the Lifeblood label </w:t>
      </w:r>
      <w:r w:rsidR="00ED0946" w:rsidRPr="00EF1AF1">
        <w:rPr>
          <w:szCs w:val="21"/>
        </w:rPr>
        <w:t xml:space="preserve">must </w:t>
      </w:r>
      <w:r w:rsidRPr="00EF1AF1">
        <w:rPr>
          <w:szCs w:val="21"/>
        </w:rPr>
        <w:t>match</w:t>
      </w:r>
      <w:r w:rsidR="00ED0946" w:rsidRPr="00EF1AF1">
        <w:rPr>
          <w:szCs w:val="21"/>
        </w:rPr>
        <w:t xml:space="preserve"> the </w:t>
      </w:r>
      <w:r w:rsidR="00031B8D">
        <w:rPr>
          <w:szCs w:val="21"/>
        </w:rPr>
        <w:t xml:space="preserve">donation number on the </w:t>
      </w:r>
      <w:r w:rsidRPr="00EF1AF1">
        <w:rPr>
          <w:szCs w:val="21"/>
        </w:rPr>
        <w:t xml:space="preserve">compatibility </w:t>
      </w:r>
      <w:r w:rsidR="00ED0946" w:rsidRPr="00EF1AF1">
        <w:rPr>
          <w:szCs w:val="21"/>
        </w:rPr>
        <w:t xml:space="preserve">label or </w:t>
      </w:r>
      <w:r w:rsidRPr="00EF1AF1">
        <w:rPr>
          <w:szCs w:val="21"/>
        </w:rPr>
        <w:t xml:space="preserve">emergency label </w:t>
      </w:r>
      <w:r w:rsidR="00031B8D">
        <w:rPr>
          <w:szCs w:val="21"/>
        </w:rPr>
        <w:t xml:space="preserve">(applied by the blood bank) </w:t>
      </w:r>
      <w:r w:rsidR="00ED0946" w:rsidRPr="00EF1AF1">
        <w:rPr>
          <w:szCs w:val="21"/>
        </w:rPr>
        <w:t>on the bag</w:t>
      </w:r>
      <w:r w:rsidR="004076B3" w:rsidRPr="00EF1AF1">
        <w:rPr>
          <w:szCs w:val="21"/>
        </w:rPr>
        <w:t xml:space="preserve"> (and compatibility report or similar if supplied)</w:t>
      </w:r>
    </w:p>
    <w:p w14:paraId="61D057B2" w14:textId="24984158" w:rsidR="00053211" w:rsidRPr="00EF1AF1" w:rsidRDefault="00053211" w:rsidP="0003362E">
      <w:pPr>
        <w:pStyle w:val="Body"/>
        <w:numPr>
          <w:ilvl w:val="0"/>
          <w:numId w:val="15"/>
        </w:numPr>
        <w:rPr>
          <w:szCs w:val="21"/>
        </w:rPr>
      </w:pPr>
      <w:r w:rsidRPr="00EF1AF1">
        <w:rPr>
          <w:szCs w:val="21"/>
        </w:rPr>
        <w:t xml:space="preserve">Expiry </w:t>
      </w:r>
      <w:r w:rsidR="00CB5E28">
        <w:rPr>
          <w:szCs w:val="21"/>
        </w:rPr>
        <w:t xml:space="preserve">time and </w:t>
      </w:r>
      <w:r w:rsidRPr="00EF1AF1">
        <w:rPr>
          <w:szCs w:val="21"/>
        </w:rPr>
        <w:t>date of blood bag</w:t>
      </w:r>
      <w:r w:rsidR="00ED0946" w:rsidRPr="00EF1AF1">
        <w:rPr>
          <w:szCs w:val="21"/>
        </w:rPr>
        <w:t xml:space="preserve"> </w:t>
      </w:r>
      <w:r w:rsidR="00172C8F">
        <w:rPr>
          <w:szCs w:val="21"/>
        </w:rPr>
        <w:t xml:space="preserve">must be after the </w:t>
      </w:r>
      <w:r w:rsidR="00BC519C">
        <w:rPr>
          <w:szCs w:val="21"/>
        </w:rPr>
        <w:t xml:space="preserve">time and </w:t>
      </w:r>
      <w:r w:rsidR="00172C8F">
        <w:rPr>
          <w:szCs w:val="21"/>
        </w:rPr>
        <w:t xml:space="preserve">date </w:t>
      </w:r>
      <w:r w:rsidR="00BC519C">
        <w:rPr>
          <w:szCs w:val="21"/>
        </w:rPr>
        <w:t xml:space="preserve">the planned </w:t>
      </w:r>
      <w:r w:rsidR="000A0F8C">
        <w:rPr>
          <w:szCs w:val="21"/>
        </w:rPr>
        <w:t xml:space="preserve">completed </w:t>
      </w:r>
      <w:r w:rsidR="00BC519C">
        <w:rPr>
          <w:szCs w:val="21"/>
        </w:rPr>
        <w:t xml:space="preserve">transfusion </w:t>
      </w:r>
    </w:p>
    <w:p w14:paraId="10C12EC5" w14:textId="4877FC15" w:rsidR="00053211" w:rsidRPr="00EF1AF1" w:rsidRDefault="00ED0946" w:rsidP="0003362E">
      <w:pPr>
        <w:pStyle w:val="Body"/>
        <w:numPr>
          <w:ilvl w:val="0"/>
          <w:numId w:val="15"/>
        </w:numPr>
        <w:rPr>
          <w:szCs w:val="21"/>
        </w:rPr>
      </w:pPr>
      <w:r w:rsidRPr="00EF1AF1">
        <w:rPr>
          <w:szCs w:val="21"/>
        </w:rPr>
        <w:t xml:space="preserve">The component should be checked for </w:t>
      </w:r>
      <w:r w:rsidR="00053211" w:rsidRPr="00EF1AF1">
        <w:rPr>
          <w:szCs w:val="21"/>
        </w:rPr>
        <w:t xml:space="preserve">leaks, </w:t>
      </w:r>
      <w:r w:rsidRPr="00EF1AF1">
        <w:rPr>
          <w:szCs w:val="21"/>
        </w:rPr>
        <w:t>clots,</w:t>
      </w:r>
      <w:r w:rsidR="00053211" w:rsidRPr="00EF1AF1">
        <w:rPr>
          <w:szCs w:val="21"/>
        </w:rPr>
        <w:t xml:space="preserve"> </w:t>
      </w:r>
      <w:r w:rsidR="009D12B0" w:rsidRPr="00EF1AF1">
        <w:rPr>
          <w:szCs w:val="21"/>
        </w:rPr>
        <w:t>discolouration,</w:t>
      </w:r>
      <w:r w:rsidR="000A0F8C">
        <w:rPr>
          <w:szCs w:val="21"/>
        </w:rPr>
        <w:t xml:space="preserve"> or any other abnormality</w:t>
      </w:r>
    </w:p>
    <w:p w14:paraId="3C41946B" w14:textId="11F86C22" w:rsidR="003F5653" w:rsidRDefault="003F5653" w:rsidP="00AC7E72">
      <w:pPr>
        <w:pStyle w:val="Heading4"/>
        <w:rPr>
          <w:szCs w:val="21"/>
        </w:rPr>
      </w:pPr>
      <w:r>
        <w:t>The 30-minute 4-hour rule</w:t>
      </w:r>
    </w:p>
    <w:p w14:paraId="3DC9A03C" w14:textId="4D24A7E6" w:rsidR="003F5653" w:rsidRPr="00FE6765" w:rsidRDefault="003F5653" w:rsidP="00EF1AF1">
      <w:pPr>
        <w:pStyle w:val="Body"/>
        <w:rPr>
          <w:szCs w:val="21"/>
        </w:rPr>
      </w:pPr>
      <w:r w:rsidRPr="00FE6765">
        <w:rPr>
          <w:szCs w:val="21"/>
        </w:rPr>
        <w:t xml:space="preserve">The 30-minute 4-hour rule relates to RBC </w:t>
      </w:r>
      <w:r w:rsidR="00AC7E72" w:rsidRPr="00FE6765">
        <w:rPr>
          <w:szCs w:val="21"/>
        </w:rPr>
        <w:t>storage and administration</w:t>
      </w:r>
      <w:r w:rsidRPr="00FE6765">
        <w:rPr>
          <w:szCs w:val="21"/>
        </w:rPr>
        <w:t xml:space="preserve">. A unit of </w:t>
      </w:r>
      <w:r w:rsidR="00CB5E28" w:rsidRPr="00FE6765">
        <w:rPr>
          <w:szCs w:val="21"/>
        </w:rPr>
        <w:t>RBC</w:t>
      </w:r>
      <w:r w:rsidRPr="00FE6765">
        <w:rPr>
          <w:szCs w:val="21"/>
        </w:rPr>
        <w:t xml:space="preserve"> can </w:t>
      </w:r>
      <w:r w:rsidR="00CB5E28" w:rsidRPr="00FE6765">
        <w:rPr>
          <w:szCs w:val="21"/>
        </w:rPr>
        <w:t xml:space="preserve">generally </w:t>
      </w:r>
      <w:r w:rsidRPr="00FE6765">
        <w:rPr>
          <w:szCs w:val="21"/>
        </w:rPr>
        <w:t xml:space="preserve">only be returned to controlled storage if </w:t>
      </w:r>
      <w:r w:rsidR="00AC7E72" w:rsidRPr="00FE6765">
        <w:rPr>
          <w:szCs w:val="21"/>
        </w:rPr>
        <w:t xml:space="preserve">it </w:t>
      </w:r>
      <w:r w:rsidRPr="00FE6765">
        <w:rPr>
          <w:szCs w:val="21"/>
        </w:rPr>
        <w:t xml:space="preserve">is less than 30 minutes since </w:t>
      </w:r>
      <w:r w:rsidR="00CB5E28" w:rsidRPr="00FE6765">
        <w:rPr>
          <w:szCs w:val="21"/>
        </w:rPr>
        <w:t xml:space="preserve">its </w:t>
      </w:r>
      <w:r w:rsidRPr="00FE6765">
        <w:rPr>
          <w:szCs w:val="21"/>
        </w:rPr>
        <w:t>removal</w:t>
      </w:r>
      <w:r w:rsidR="00372050">
        <w:rPr>
          <w:szCs w:val="21"/>
        </w:rPr>
        <w:t>.</w:t>
      </w:r>
      <w:r w:rsidRPr="00FE6765">
        <w:rPr>
          <w:szCs w:val="21"/>
        </w:rPr>
        <w:t xml:space="preserve"> The maximum time allowed to transfuse a unit of RBC is 4-hours after removal from controlled storage (+ a maximum of 30 minutes delivery time). </w:t>
      </w:r>
    </w:p>
    <w:p w14:paraId="0C4B5F2F" w14:textId="32ECE845" w:rsidR="003F5653" w:rsidRPr="00FE6765" w:rsidRDefault="003F5653" w:rsidP="00EF1AF1">
      <w:pPr>
        <w:pStyle w:val="Body"/>
        <w:rPr>
          <w:szCs w:val="21"/>
        </w:rPr>
      </w:pPr>
      <w:r w:rsidRPr="00FE6765">
        <w:rPr>
          <w:szCs w:val="21"/>
        </w:rPr>
        <w:t>A unit of RBC not commenced within 30-minutes of removal from controlled storage can be transfused to the intended patient if the unit is completed within 4-hours</w:t>
      </w:r>
      <w:r w:rsidR="004B6838">
        <w:rPr>
          <w:szCs w:val="21"/>
        </w:rPr>
        <w:t xml:space="preserve"> from removal from </w:t>
      </w:r>
      <w:r w:rsidR="001E5B71">
        <w:rPr>
          <w:szCs w:val="21"/>
        </w:rPr>
        <w:t>temperature-controlled</w:t>
      </w:r>
      <w:r w:rsidR="004B6838">
        <w:rPr>
          <w:szCs w:val="21"/>
        </w:rPr>
        <w:t xml:space="preserve"> storage</w:t>
      </w:r>
      <w:r w:rsidRPr="00FE6765">
        <w:rPr>
          <w:szCs w:val="21"/>
        </w:rPr>
        <w:t xml:space="preserve">. </w:t>
      </w:r>
    </w:p>
    <w:p w14:paraId="34F26175" w14:textId="41B626EB" w:rsidR="003F5653" w:rsidRPr="00FE6765" w:rsidRDefault="003F5653" w:rsidP="00EF1AF1">
      <w:pPr>
        <w:pStyle w:val="Body"/>
        <w:rPr>
          <w:szCs w:val="21"/>
        </w:rPr>
      </w:pPr>
      <w:r w:rsidRPr="00FE6765">
        <w:rPr>
          <w:szCs w:val="21"/>
        </w:rPr>
        <w:t xml:space="preserve">What to do </w:t>
      </w:r>
      <w:r w:rsidR="00172C8F" w:rsidRPr="00FE6765">
        <w:rPr>
          <w:szCs w:val="21"/>
        </w:rPr>
        <w:t xml:space="preserve">if </w:t>
      </w:r>
      <w:r w:rsidRPr="00FE6765">
        <w:rPr>
          <w:szCs w:val="21"/>
        </w:rPr>
        <w:t>the unit of RBC cannot be completed within the maximum time allowed:</w:t>
      </w:r>
    </w:p>
    <w:p w14:paraId="34308B43" w14:textId="23FC244A" w:rsidR="003F5653" w:rsidRPr="00FE6765" w:rsidRDefault="00D81597" w:rsidP="0003362E">
      <w:pPr>
        <w:pStyle w:val="Body"/>
        <w:numPr>
          <w:ilvl w:val="0"/>
          <w:numId w:val="24"/>
        </w:numPr>
        <w:rPr>
          <w:szCs w:val="21"/>
        </w:rPr>
      </w:pPr>
      <w:r w:rsidRPr="00FE6765">
        <w:rPr>
          <w:szCs w:val="21"/>
        </w:rPr>
        <w:t xml:space="preserve">Contact the treating medical team and determine if the unit of RBC can be </w:t>
      </w:r>
      <w:r w:rsidR="00994221" w:rsidRPr="00FE6765">
        <w:rPr>
          <w:szCs w:val="21"/>
        </w:rPr>
        <w:t xml:space="preserve">administered </w:t>
      </w:r>
      <w:r w:rsidRPr="00FE6765">
        <w:rPr>
          <w:szCs w:val="21"/>
        </w:rPr>
        <w:t>at a faster rate to allow completion within 4-hours.</w:t>
      </w:r>
    </w:p>
    <w:p w14:paraId="50ED960A" w14:textId="6B064BEC" w:rsidR="00D81597" w:rsidRPr="00FE6765" w:rsidRDefault="00D81597" w:rsidP="0003362E">
      <w:pPr>
        <w:pStyle w:val="Body"/>
        <w:numPr>
          <w:ilvl w:val="0"/>
          <w:numId w:val="24"/>
        </w:numPr>
        <w:rPr>
          <w:szCs w:val="21"/>
        </w:rPr>
      </w:pPr>
      <w:r w:rsidRPr="00FE6765">
        <w:rPr>
          <w:szCs w:val="21"/>
        </w:rPr>
        <w:t>Commence the unit as per the prescription and discard any remaining product at 4-hours, ensu</w:t>
      </w:r>
      <w:r w:rsidR="004B6838">
        <w:rPr>
          <w:szCs w:val="21"/>
        </w:rPr>
        <w:t>r</w:t>
      </w:r>
      <w:r w:rsidRPr="00FE6765">
        <w:rPr>
          <w:szCs w:val="21"/>
        </w:rPr>
        <w:t>ing the treating team are aware of the volume administered and discarded.</w:t>
      </w:r>
      <w:r w:rsidR="007F7501" w:rsidRPr="00FE6765">
        <w:rPr>
          <w:szCs w:val="21"/>
        </w:rPr>
        <w:t xml:space="preserve"> </w:t>
      </w:r>
    </w:p>
    <w:p w14:paraId="6A2495BB" w14:textId="3883D3AE" w:rsidR="00EF1AF1" w:rsidRPr="00FE6765" w:rsidRDefault="00CB5E28" w:rsidP="00EF1AF1">
      <w:pPr>
        <w:pStyle w:val="Body"/>
        <w:rPr>
          <w:szCs w:val="21"/>
        </w:rPr>
      </w:pPr>
      <w:hyperlink r:id="rId97" w:history="1">
        <w:r w:rsidRPr="00FE6765">
          <w:rPr>
            <w:rStyle w:val="Hyperlink"/>
            <w:szCs w:val="21"/>
          </w:rPr>
          <w:t xml:space="preserve">30-minute/4-hour rule factsheet  </w:t>
        </w:r>
      </w:hyperlink>
      <w:r w:rsidR="007F7501" w:rsidRPr="00FE6765">
        <w:rPr>
          <w:szCs w:val="21"/>
        </w:rPr>
        <w:t>&lt;https://www.health.vic.gov.au/patient-care/prescribing-and-clinical-use-of-blood-and-blood&gt;</w:t>
      </w:r>
      <w:r w:rsidR="00D81597" w:rsidRPr="00FE6765">
        <w:rPr>
          <w:rStyle w:val="Hyperlink"/>
          <w:szCs w:val="21"/>
        </w:rPr>
        <w:t xml:space="preserve"> </w:t>
      </w:r>
      <w:r w:rsidRPr="00FE6765">
        <w:rPr>
          <w:rStyle w:val="Hyperlink"/>
          <w:szCs w:val="21"/>
        </w:rPr>
        <w:t xml:space="preserve">   </w:t>
      </w:r>
    </w:p>
    <w:p w14:paraId="348D5F07" w14:textId="77777777" w:rsidR="00053211" w:rsidRPr="00053211" w:rsidRDefault="00053211" w:rsidP="00053211">
      <w:pPr>
        <w:pStyle w:val="Heading3"/>
      </w:pPr>
      <w:bookmarkStart w:id="33" w:name="_Toc184376933"/>
      <w:r w:rsidRPr="00053211">
        <w:lastRenderedPageBreak/>
        <w:t>Transfusion reactions and incidents</w:t>
      </w:r>
      <w:bookmarkEnd w:id="33"/>
    </w:p>
    <w:p w14:paraId="68516BC2" w14:textId="2B6F5EF2" w:rsidR="003639B9" w:rsidRDefault="003639B9" w:rsidP="003639B9">
      <w:pPr>
        <w:pStyle w:val="Body"/>
        <w:rPr>
          <w:szCs w:val="21"/>
        </w:rPr>
      </w:pPr>
      <w:r w:rsidRPr="00EF1AF1">
        <w:rPr>
          <w:szCs w:val="21"/>
        </w:rPr>
        <w:t xml:space="preserve">Lifeblood provides information on clinical reactions, causes, frequency, investigation, and management. </w:t>
      </w:r>
      <w:hyperlink r:id="rId98" w:history="1">
        <w:r w:rsidRPr="00EF1AF1">
          <w:rPr>
            <w:rStyle w:val="Hyperlink"/>
            <w:szCs w:val="21"/>
          </w:rPr>
          <w:t xml:space="preserve">Adverse events </w:t>
        </w:r>
      </w:hyperlink>
      <w:r w:rsidRPr="00EF1AF1">
        <w:rPr>
          <w:szCs w:val="21"/>
        </w:rPr>
        <w:t xml:space="preserve"> </w:t>
      </w:r>
      <w:r w:rsidR="00172C8F">
        <w:rPr>
          <w:szCs w:val="21"/>
        </w:rPr>
        <w:t>&lt;</w:t>
      </w:r>
      <w:r w:rsidR="00172C8F" w:rsidRPr="00DD4316">
        <w:t>https://www.lifeblood.com.au/health-professionals/clinical-practice/adverse-events</w:t>
      </w:r>
      <w:r>
        <w:rPr>
          <w:szCs w:val="21"/>
        </w:rPr>
        <w:t xml:space="preserve">&gt; </w:t>
      </w:r>
    </w:p>
    <w:p w14:paraId="45BCA63E" w14:textId="6A9A3CDB" w:rsidR="003639B9" w:rsidRPr="00A95BD2" w:rsidRDefault="003639B9" w:rsidP="003639B9">
      <w:pPr>
        <w:pStyle w:val="Body"/>
      </w:pPr>
      <w:r w:rsidRPr="00EF1AF1">
        <w:rPr>
          <w:szCs w:val="21"/>
        </w:rPr>
        <w:t xml:space="preserve">The Lifeblood resource library can provide lanyard cards and posters detailing recognition and management of acute reactions. </w:t>
      </w:r>
      <w:hyperlink r:id="rId99" w:history="1">
        <w:r w:rsidRPr="00EF1AF1">
          <w:rPr>
            <w:rStyle w:val="Hyperlink"/>
            <w:szCs w:val="21"/>
          </w:rPr>
          <w:t xml:space="preserve">Resource library </w:t>
        </w:r>
      </w:hyperlink>
      <w:r>
        <w:rPr>
          <w:rStyle w:val="Hyperlink"/>
          <w:szCs w:val="21"/>
        </w:rPr>
        <w:t xml:space="preserve"> </w:t>
      </w:r>
      <w:r w:rsidRPr="00DD4316">
        <w:rPr>
          <w:rStyle w:val="Hyperlink"/>
          <w:color w:val="auto"/>
          <w:szCs w:val="21"/>
          <w:u w:val="none"/>
        </w:rPr>
        <w:t>&lt;https://www.lifeblood.com.au/health-professionals/learn/resource-library?query=transfusion%20reactions&amp;category=All&amp;filetype=All&amp;sort_bef_combine=changed_1_DESC&gt;</w:t>
      </w:r>
    </w:p>
    <w:p w14:paraId="66877E3E" w14:textId="4D413730" w:rsidR="00880209" w:rsidRDefault="00880209" w:rsidP="00DD4316">
      <w:pPr>
        <w:pStyle w:val="Heading4"/>
      </w:pPr>
      <w:r>
        <w:t>Please refer to the previous section on STIR for adverse transfusion event reporting.</w:t>
      </w:r>
    </w:p>
    <w:p w14:paraId="17B52128" w14:textId="45976187" w:rsidR="00053211" w:rsidRPr="00EF1AF1" w:rsidRDefault="003639B9" w:rsidP="00053211">
      <w:pPr>
        <w:pStyle w:val="Body"/>
        <w:rPr>
          <w:szCs w:val="21"/>
        </w:rPr>
      </w:pPr>
      <w:r>
        <w:rPr>
          <w:szCs w:val="21"/>
        </w:rPr>
        <w:t>A</w:t>
      </w:r>
      <w:r w:rsidR="00053211" w:rsidRPr="00EF1AF1">
        <w:rPr>
          <w:szCs w:val="21"/>
        </w:rPr>
        <w:t xml:space="preserve"> reaction may not </w:t>
      </w:r>
      <w:r>
        <w:rPr>
          <w:szCs w:val="21"/>
        </w:rPr>
        <w:t>meet the</w:t>
      </w:r>
      <w:r w:rsidR="00053211" w:rsidRPr="00EF1AF1">
        <w:rPr>
          <w:szCs w:val="21"/>
        </w:rPr>
        <w:t xml:space="preserve"> reportable </w:t>
      </w:r>
      <w:r>
        <w:rPr>
          <w:szCs w:val="21"/>
        </w:rPr>
        <w:t>criteria for</w:t>
      </w:r>
      <w:r w:rsidR="00053211" w:rsidRPr="00EF1AF1">
        <w:rPr>
          <w:szCs w:val="21"/>
        </w:rPr>
        <w:t xml:space="preserve"> </w:t>
      </w:r>
      <w:r w:rsidRPr="00EF1AF1">
        <w:rPr>
          <w:szCs w:val="21"/>
        </w:rPr>
        <w:t>STIR,</w:t>
      </w:r>
      <w:r>
        <w:rPr>
          <w:szCs w:val="21"/>
        </w:rPr>
        <w:t xml:space="preserve"> but</w:t>
      </w:r>
      <w:r w:rsidR="00053211" w:rsidRPr="00EF1AF1">
        <w:rPr>
          <w:szCs w:val="21"/>
        </w:rPr>
        <w:t xml:space="preserve"> this does not mean it is not a transfusion </w:t>
      </w:r>
      <w:r w:rsidR="00C65598">
        <w:rPr>
          <w:szCs w:val="21"/>
        </w:rPr>
        <w:t>related adverse event</w:t>
      </w:r>
      <w:r w:rsidR="00053211" w:rsidRPr="00EF1AF1">
        <w:rPr>
          <w:szCs w:val="21"/>
        </w:rPr>
        <w:t xml:space="preserve">. All </w:t>
      </w:r>
      <w:r w:rsidR="00A95BD2">
        <w:rPr>
          <w:szCs w:val="21"/>
        </w:rPr>
        <w:t xml:space="preserve">suspected </w:t>
      </w:r>
      <w:r w:rsidR="00053211" w:rsidRPr="00EF1AF1">
        <w:rPr>
          <w:szCs w:val="21"/>
        </w:rPr>
        <w:t>reactions</w:t>
      </w:r>
      <w:r w:rsidR="0049360B" w:rsidRPr="00EF1AF1">
        <w:rPr>
          <w:szCs w:val="21"/>
        </w:rPr>
        <w:t>, including those not reported to STIR</w:t>
      </w:r>
      <w:r w:rsidR="00053211" w:rsidRPr="00EF1AF1">
        <w:rPr>
          <w:szCs w:val="21"/>
        </w:rPr>
        <w:t xml:space="preserve"> should </w:t>
      </w:r>
      <w:r w:rsidR="00D81597">
        <w:rPr>
          <w:szCs w:val="21"/>
        </w:rPr>
        <w:t>be</w:t>
      </w:r>
      <w:r w:rsidR="00135C31">
        <w:rPr>
          <w:szCs w:val="21"/>
        </w:rPr>
        <w:t xml:space="preserve"> reported and</w:t>
      </w:r>
      <w:r w:rsidR="00D81597">
        <w:rPr>
          <w:szCs w:val="21"/>
        </w:rPr>
        <w:t xml:space="preserve"> investigated</w:t>
      </w:r>
      <w:r w:rsidR="00053211" w:rsidRPr="00EF1AF1">
        <w:rPr>
          <w:szCs w:val="21"/>
        </w:rPr>
        <w:t xml:space="preserve"> at the health service. </w:t>
      </w:r>
    </w:p>
    <w:p w14:paraId="7854EC44" w14:textId="2429CA70" w:rsidR="006C7B28" w:rsidRPr="003639B9" w:rsidRDefault="006C7B28" w:rsidP="00E848FA">
      <w:pPr>
        <w:pStyle w:val="Body"/>
        <w:rPr>
          <w:rStyle w:val="Hyperlink"/>
          <w:color w:val="auto"/>
          <w:u w:val="none"/>
        </w:rPr>
      </w:pPr>
      <w:r w:rsidRPr="003639B9">
        <w:rPr>
          <w:rStyle w:val="Hyperlink"/>
          <w:color w:val="auto"/>
          <w:u w:val="none"/>
        </w:rPr>
        <w:t xml:space="preserve">Reactions to </w:t>
      </w:r>
      <w:r w:rsidR="00E848FA" w:rsidRPr="003639B9">
        <w:rPr>
          <w:rStyle w:val="Hyperlink"/>
          <w:color w:val="auto"/>
          <w:u w:val="none"/>
        </w:rPr>
        <w:t xml:space="preserve">fractionated </w:t>
      </w:r>
      <w:r w:rsidRPr="003639B9">
        <w:rPr>
          <w:rStyle w:val="Hyperlink"/>
          <w:color w:val="auto"/>
          <w:u w:val="none"/>
        </w:rPr>
        <w:t xml:space="preserve">products must </w:t>
      </w:r>
      <w:r w:rsidR="003639B9">
        <w:rPr>
          <w:rStyle w:val="Hyperlink"/>
          <w:color w:val="auto"/>
          <w:u w:val="none"/>
        </w:rPr>
        <w:t xml:space="preserve">be </w:t>
      </w:r>
      <w:r w:rsidRPr="003639B9">
        <w:rPr>
          <w:rStyle w:val="Hyperlink"/>
          <w:color w:val="auto"/>
          <w:u w:val="none"/>
        </w:rPr>
        <w:t>reported to the pharmaceutical company via their reporting mechanisms. These companies have a requirement to report all reactions to the Therapeutic Goods Administration (TGA) in Australia.</w:t>
      </w:r>
    </w:p>
    <w:p w14:paraId="245C2276" w14:textId="3FAA99E2" w:rsidR="006C7B28" w:rsidRPr="003639B9" w:rsidRDefault="006C7B28" w:rsidP="00E848FA">
      <w:pPr>
        <w:pStyle w:val="Body"/>
      </w:pPr>
      <w:r w:rsidRPr="003639B9">
        <w:rPr>
          <w:rStyle w:val="Hyperlink"/>
          <w:color w:val="auto"/>
          <w:u w:val="none"/>
        </w:rPr>
        <w:t xml:space="preserve">Certain types of </w:t>
      </w:r>
      <w:r w:rsidR="008F56C9">
        <w:rPr>
          <w:rStyle w:val="Hyperlink"/>
          <w:color w:val="auto"/>
          <w:u w:val="none"/>
        </w:rPr>
        <w:t xml:space="preserve">transfusion related adverse event </w:t>
      </w:r>
      <w:r w:rsidRPr="003639B9">
        <w:rPr>
          <w:rStyle w:val="Hyperlink"/>
          <w:color w:val="auto"/>
          <w:u w:val="none"/>
        </w:rPr>
        <w:t xml:space="preserve">are reportable to Lifeblood. This includes </w:t>
      </w:r>
      <w:r w:rsidR="007058DC">
        <w:rPr>
          <w:rStyle w:val="Hyperlink"/>
          <w:color w:val="auto"/>
          <w:u w:val="none"/>
        </w:rPr>
        <w:t>transfusion transmitted</w:t>
      </w:r>
      <w:r w:rsidR="00337765">
        <w:rPr>
          <w:rStyle w:val="Hyperlink"/>
          <w:color w:val="auto"/>
          <w:u w:val="none"/>
        </w:rPr>
        <w:t xml:space="preserve"> bacterial infections (TTBI), </w:t>
      </w:r>
      <w:r w:rsidR="007A63D5">
        <w:rPr>
          <w:rStyle w:val="Hyperlink"/>
          <w:color w:val="auto"/>
          <w:u w:val="none"/>
        </w:rPr>
        <w:t>t</w:t>
      </w:r>
      <w:r w:rsidR="00337765">
        <w:rPr>
          <w:rStyle w:val="Hyperlink"/>
          <w:color w:val="auto"/>
          <w:u w:val="none"/>
        </w:rPr>
        <w:t xml:space="preserve">ransfusion </w:t>
      </w:r>
      <w:r w:rsidR="007A63D5">
        <w:rPr>
          <w:rStyle w:val="Hyperlink"/>
          <w:color w:val="auto"/>
          <w:u w:val="none"/>
        </w:rPr>
        <w:t xml:space="preserve">related acute lung injury (TRALI), </w:t>
      </w:r>
      <w:r w:rsidR="00542E73">
        <w:rPr>
          <w:rStyle w:val="Hyperlink"/>
          <w:color w:val="auto"/>
          <w:u w:val="none"/>
        </w:rPr>
        <w:t xml:space="preserve">and </w:t>
      </w:r>
      <w:r w:rsidR="007A63D5">
        <w:rPr>
          <w:rStyle w:val="Hyperlink"/>
          <w:color w:val="auto"/>
          <w:u w:val="none"/>
        </w:rPr>
        <w:t>transfusion-associated Graft-vs-Host disease (TAGVHD)</w:t>
      </w:r>
      <w:r w:rsidR="00542E73">
        <w:rPr>
          <w:rStyle w:val="Hyperlink"/>
          <w:color w:val="auto"/>
          <w:u w:val="none"/>
        </w:rPr>
        <w:t>.</w:t>
      </w:r>
      <w:r w:rsidR="00542E73" w:rsidDel="00542E73">
        <w:rPr>
          <w:rStyle w:val="Hyperlink"/>
          <w:color w:val="auto"/>
          <w:u w:val="none"/>
        </w:rPr>
        <w:t xml:space="preserve"> </w:t>
      </w:r>
    </w:p>
    <w:p w14:paraId="0DF614EC" w14:textId="77777777" w:rsidR="00053211" w:rsidRPr="00053211" w:rsidRDefault="00053211" w:rsidP="00053211">
      <w:pPr>
        <w:pStyle w:val="Body"/>
        <w:rPr>
          <w:sz w:val="22"/>
          <w:szCs w:val="22"/>
        </w:rPr>
      </w:pPr>
    </w:p>
    <w:p w14:paraId="628EE84F" w14:textId="77777777" w:rsidR="00053211" w:rsidRPr="00F15F74" w:rsidRDefault="00053211" w:rsidP="00F15F74">
      <w:pPr>
        <w:pStyle w:val="Body"/>
        <w:rPr>
          <w:sz w:val="22"/>
          <w:szCs w:val="22"/>
        </w:rPr>
      </w:pPr>
    </w:p>
    <w:p w14:paraId="7AD45474" w14:textId="77777777" w:rsidR="00F15F74" w:rsidRPr="00F15F74" w:rsidRDefault="00F15F74" w:rsidP="00F15F74">
      <w:pPr>
        <w:pStyle w:val="Body"/>
        <w:rPr>
          <w:sz w:val="22"/>
          <w:szCs w:val="22"/>
        </w:rPr>
      </w:pPr>
    </w:p>
    <w:p w14:paraId="28DAE6A5" w14:textId="77777777" w:rsidR="00F15F74" w:rsidRDefault="00F15F74" w:rsidP="002365B4">
      <w:pPr>
        <w:pStyle w:val="Body"/>
      </w:pPr>
    </w:p>
    <w:p w14:paraId="7BB91CE5" w14:textId="77777777" w:rsidR="00F15F74" w:rsidRDefault="00F15F74" w:rsidP="002365B4">
      <w:pPr>
        <w:pStyle w:val="Body"/>
      </w:pPr>
    </w:p>
    <w:p w14:paraId="1A00C39D" w14:textId="77777777" w:rsidR="00E261B3" w:rsidRDefault="00E261B3" w:rsidP="00E261B3">
      <w:pPr>
        <w:pStyle w:val="Quotetext"/>
      </w:pPr>
    </w:p>
    <w:p w14:paraId="2A5D304F" w14:textId="77777777" w:rsidR="00200176" w:rsidRPr="00200176" w:rsidRDefault="00200176" w:rsidP="00200176">
      <w:pPr>
        <w:pStyle w:val="Body"/>
      </w:pPr>
    </w:p>
    <w:tbl>
      <w:tblPr>
        <w:tblStyle w:val="TableGrid"/>
        <w:tblW w:w="0" w:type="auto"/>
        <w:tblCellMar>
          <w:bottom w:w="108" w:type="dxa"/>
        </w:tblCellMar>
        <w:tblLook w:val="0620" w:firstRow="1" w:lastRow="0" w:firstColumn="0" w:lastColumn="0" w:noHBand="1" w:noVBand="1"/>
      </w:tblPr>
      <w:tblGrid>
        <w:gridCol w:w="9993"/>
      </w:tblGrid>
      <w:tr w:rsidR="0055119B" w14:paraId="081E33F2" w14:textId="77777777" w:rsidTr="00A06675">
        <w:trPr>
          <w:trHeight w:val="2444"/>
        </w:trPr>
        <w:tc>
          <w:tcPr>
            <w:tcW w:w="9993" w:type="dxa"/>
          </w:tcPr>
          <w:p w14:paraId="54130B1C" w14:textId="4D542D0C" w:rsidR="0055119B" w:rsidRPr="0055119B" w:rsidRDefault="0055119B" w:rsidP="0055119B">
            <w:pPr>
              <w:pStyle w:val="Accessibilitypara"/>
            </w:pPr>
            <w:bookmarkStart w:id="34" w:name="_Hlk37240926"/>
            <w:r w:rsidRPr="0055119B">
              <w:t>To receive this document in another format</w:t>
            </w:r>
            <w:r>
              <w:t>,</w:t>
            </w:r>
            <w:r w:rsidRPr="0055119B">
              <w:t xml:space="preserve"> email </w:t>
            </w:r>
            <w:hyperlink r:id="rId100" w:history="1">
              <w:r w:rsidR="0049360B" w:rsidRPr="0049360B">
                <w:rPr>
                  <w:rStyle w:val="Hyperlink"/>
                </w:rPr>
                <w:t>Blood Matters</w:t>
              </w:r>
            </w:hyperlink>
            <w:r w:rsidR="00F635CB">
              <w:rPr>
                <w:rStyle w:val="Hyperlink"/>
              </w:rPr>
              <w:t xml:space="preserve"> </w:t>
            </w:r>
            <w:r w:rsidR="00F635CB" w:rsidRPr="00F635CB">
              <w:t>&lt;</w:t>
            </w:r>
            <w:hyperlink r:id="rId101" w:history="1">
              <w:r w:rsidR="0049360B" w:rsidRPr="00F635CB">
                <w:t>bloodmatters@redcrossblood.org.au</w:t>
              </w:r>
            </w:hyperlink>
            <w:r w:rsidR="00F635CB" w:rsidRPr="00F635CB">
              <w:t>&gt;</w:t>
            </w:r>
          </w:p>
          <w:p w14:paraId="799E04CA" w14:textId="77777777" w:rsidR="0055119B" w:rsidRPr="0055119B" w:rsidRDefault="0055119B" w:rsidP="00E33237">
            <w:pPr>
              <w:pStyle w:val="Imprint"/>
            </w:pPr>
            <w:r w:rsidRPr="0055119B">
              <w:t>Authorised and published by the Victorian Government, 1 Treasury Place, Melbourne.</w:t>
            </w:r>
          </w:p>
          <w:p w14:paraId="3E2AAE7F" w14:textId="345C81D8"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066477" w:rsidRPr="00F635CB">
              <w:t xml:space="preserve">December </w:t>
            </w:r>
            <w:r w:rsidR="0049360B" w:rsidRPr="00F635CB">
              <w:t>202</w:t>
            </w:r>
            <w:r w:rsidR="00CC2CFA" w:rsidRPr="00F635CB">
              <w:t>4</w:t>
            </w:r>
            <w:r w:rsidRPr="0055119B">
              <w:t>.</w:t>
            </w:r>
          </w:p>
          <w:p w14:paraId="5FC3BBC0" w14:textId="77777777" w:rsidR="00BD2D4B" w:rsidRDefault="00BD2D4B" w:rsidP="00034AC9">
            <w:pPr>
              <w:pStyle w:val="Imprint"/>
              <w:rPr>
                <w:rFonts w:cs="Arial"/>
                <w:color w:val="000000"/>
              </w:rPr>
            </w:pPr>
            <w:r>
              <w:rPr>
                <w:rFonts w:cs="Arial"/>
                <w:b/>
                <w:bCs/>
                <w:color w:val="000000"/>
              </w:rPr>
              <w:t xml:space="preserve">ISBN </w:t>
            </w:r>
            <w:r>
              <w:rPr>
                <w:rFonts w:cs="Arial"/>
                <w:color w:val="000000"/>
              </w:rPr>
              <w:t xml:space="preserve">978-1-76131-521-3 </w:t>
            </w:r>
            <w:r>
              <w:rPr>
                <w:rFonts w:cs="Arial"/>
                <w:b/>
                <w:bCs/>
                <w:color w:val="000000"/>
              </w:rPr>
              <w:t>(pdf/online/MS word)</w:t>
            </w:r>
            <w:r>
              <w:rPr>
                <w:rFonts w:cs="Arial"/>
                <w:color w:val="000000"/>
              </w:rPr>
              <w:t xml:space="preserve"> </w:t>
            </w:r>
          </w:p>
          <w:p w14:paraId="30AA1617" w14:textId="29B4EAF7" w:rsidR="0055119B" w:rsidRDefault="0055119B" w:rsidP="00034AC9">
            <w:pPr>
              <w:pStyle w:val="Imprint"/>
            </w:pPr>
            <w:r w:rsidRPr="0055119B">
              <w:t xml:space="preserve">Available at </w:t>
            </w:r>
            <w:hyperlink r:id="rId102" w:history="1">
              <w:r w:rsidR="0049360B" w:rsidRPr="00F635CB">
                <w:rPr>
                  <w:rStyle w:val="Hyperlink"/>
                </w:rPr>
                <w:t>Blood Matters Program</w:t>
              </w:r>
            </w:hyperlink>
            <w:r w:rsidRPr="0055119B">
              <w:t xml:space="preserve"> &lt;</w:t>
            </w:r>
            <w:r w:rsidR="0049360B" w:rsidRPr="00F635CB">
              <w:t>https://www.health.vic.gov.au/patient-care/blood-matters-program</w:t>
            </w:r>
            <w:r w:rsidRPr="0055119B">
              <w:t>&gt;</w:t>
            </w:r>
          </w:p>
        </w:tc>
      </w:tr>
      <w:bookmarkEnd w:id="34"/>
    </w:tbl>
    <w:p w14:paraId="09BB7840" w14:textId="77777777" w:rsidR="00162CA9" w:rsidRDefault="00162CA9" w:rsidP="00162CA9">
      <w:pPr>
        <w:pStyle w:val="Body"/>
      </w:pPr>
    </w:p>
    <w:sectPr w:rsidR="00162CA9" w:rsidSect="00D5409D">
      <w:footerReference w:type="default" r:id="rId10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D4CEB" w14:textId="77777777" w:rsidR="009B4BEA" w:rsidRDefault="009B4BEA">
      <w:r>
        <w:separator/>
      </w:r>
    </w:p>
  </w:endnote>
  <w:endnote w:type="continuationSeparator" w:id="0">
    <w:p w14:paraId="7770AC8F" w14:textId="77777777" w:rsidR="009B4BEA" w:rsidRDefault="009B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360A" w14:textId="6330B471" w:rsidR="00E261B3" w:rsidRPr="00F65AA9" w:rsidRDefault="00BD2D4B" w:rsidP="00F84FA0">
    <w:pPr>
      <w:pStyle w:val="Footer"/>
    </w:pPr>
    <w:r>
      <w:rPr>
        <w:noProof/>
        <w:lang w:eastAsia="en-AU"/>
      </w:rPr>
      <mc:AlternateContent>
        <mc:Choice Requires="wps">
          <w:drawing>
            <wp:anchor distT="0" distB="0" distL="114300" distR="114300" simplePos="0" relativeHeight="251677184" behindDoc="0" locked="0" layoutInCell="1" allowOverlap="1" wp14:anchorId="7FCF3D1E" wp14:editId="206A273F">
              <wp:simplePos x="0" y="0"/>
              <wp:positionH relativeFrom="column">
                <wp:posOffset>-541020</wp:posOffset>
              </wp:positionH>
              <wp:positionV relativeFrom="paragraph">
                <wp:posOffset>361950</wp:posOffset>
              </wp:positionV>
              <wp:extent cx="7560310" cy="311785"/>
              <wp:effectExtent l="0" t="0" r="0" b="12065"/>
              <wp:wrapSquare wrapText="bothSides"/>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FDD93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CF3D1E"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42.6pt;margin-top:28.5pt;width:595.3pt;height:24.55pt;z-index:25167718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" filled="f" stroked="f" strokeweight=".5pt">
              <v:textbox inset=",0,,0">
                <w:txbxContent>
                  <w:p w14:paraId="5AFDD93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type="square"/>
            </v:shape>
          </w:pict>
        </mc:Fallback>
      </mc:AlternateContent>
    </w:r>
    <w:r w:rsidR="0001677A">
      <w:rPr>
        <w:noProof/>
        <w:lang w:eastAsia="en-AU"/>
      </w:rPr>
      <w:drawing>
        <wp:anchor distT="0" distB="0" distL="114300" distR="114300" simplePos="0" relativeHeight="251676160" behindDoc="1" locked="1" layoutInCell="1" allowOverlap="1" wp14:anchorId="10EAA145" wp14:editId="737FA48E">
          <wp:simplePos x="0" y="0"/>
          <wp:positionH relativeFrom="page">
            <wp:posOffset>0</wp:posOffset>
          </wp:positionH>
          <wp:positionV relativeFrom="page">
            <wp:posOffset>9536430</wp:posOffset>
          </wp:positionV>
          <wp:extent cx="7559675" cy="115633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
                  <a:srcRect t="89176"/>
                  <a:stretch/>
                </pic:blipFill>
                <pic:spPr bwMode="auto">
                  <a:xfrm>
                    <a:off x="0" y="0"/>
                    <a:ext cx="75596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D91B" w14:textId="77777777" w:rsidR="00E261B3" w:rsidRDefault="00E261B3">
    <w:pPr>
      <w:pStyle w:val="Footer"/>
    </w:pPr>
    <w:r>
      <w:rPr>
        <w:noProof/>
      </w:rPr>
      <mc:AlternateContent>
        <mc:Choice Requires="wps">
          <w:drawing>
            <wp:inline distT="0" distB="0" distL="0" distR="0" wp14:anchorId="67F708BE" wp14:editId="61EC4A4E">
              <wp:extent cx="7560310" cy="311785"/>
              <wp:effectExtent l="0" t="0" r="0" b="12065"/>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2F07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inline>
          </w:drawing>
        </mc:Choice>
        <mc:Fallback>
          <w:pict>
            <v:shapetype w14:anchorId="67F708BE"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width:595.3pt;height:24.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" filled="f" stroked="f" strokeweight=".5pt">
              <v:textbox inset=",0,,0">
                <w:txbxContent>
                  <w:p w14:paraId="732F07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A079"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178D0730" wp14:editId="18598CC3">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62A125"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8D0730"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462A125"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666C6" w14:textId="77777777" w:rsidR="009B4BEA" w:rsidRDefault="009B4BEA" w:rsidP="002862F1">
      <w:pPr>
        <w:spacing w:before="120"/>
      </w:pPr>
      <w:r>
        <w:separator/>
      </w:r>
    </w:p>
  </w:footnote>
  <w:footnote w:type="continuationSeparator" w:id="0">
    <w:p w14:paraId="6FCEF60C" w14:textId="77777777" w:rsidR="009B4BEA" w:rsidRDefault="009B4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A017"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388A" w14:textId="44411ACA" w:rsidR="00E261B3" w:rsidRPr="0051568D" w:rsidRDefault="004A5844" w:rsidP="0011701A">
    <w:pPr>
      <w:pStyle w:val="Header"/>
    </w:pPr>
    <w:r>
      <w:t>Blood Management and Transfusion Practice Handbook 202</w:t>
    </w:r>
    <w:r w:rsidR="00B46F80">
      <w:t>4</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B5E"/>
    <w:multiLevelType w:val="hybridMultilevel"/>
    <w:tmpl w:val="59C8C5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D97EBC"/>
    <w:multiLevelType w:val="multilevel"/>
    <w:tmpl w:val="7F44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C4B4CC2"/>
    <w:multiLevelType w:val="hybridMultilevel"/>
    <w:tmpl w:val="065A0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DA634E"/>
    <w:multiLevelType w:val="hybridMultilevel"/>
    <w:tmpl w:val="C44AE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CC1FF8"/>
    <w:multiLevelType w:val="hybridMultilevel"/>
    <w:tmpl w:val="3AFAD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C11C0E"/>
    <w:multiLevelType w:val="hybridMultilevel"/>
    <w:tmpl w:val="A54A99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FA330C"/>
    <w:multiLevelType w:val="multilevel"/>
    <w:tmpl w:val="DCFAE9D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0513B"/>
    <w:multiLevelType w:val="hybridMultilevel"/>
    <w:tmpl w:val="04CC6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DA7166"/>
    <w:multiLevelType w:val="multilevel"/>
    <w:tmpl w:val="6080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25918"/>
    <w:multiLevelType w:val="hybridMultilevel"/>
    <w:tmpl w:val="8500A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F30346"/>
    <w:multiLevelType w:val="multilevel"/>
    <w:tmpl w:val="AA58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44605FA3"/>
    <w:multiLevelType w:val="hybridMultilevel"/>
    <w:tmpl w:val="5BCAD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5977A3"/>
    <w:multiLevelType w:val="hybridMultilevel"/>
    <w:tmpl w:val="ECBC6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72F75F6"/>
    <w:multiLevelType w:val="hybridMultilevel"/>
    <w:tmpl w:val="3C584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925505"/>
    <w:multiLevelType w:val="hybridMultilevel"/>
    <w:tmpl w:val="56AA3C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2A1611"/>
    <w:multiLevelType w:val="hybridMultilevel"/>
    <w:tmpl w:val="40A44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F23CE1"/>
    <w:multiLevelType w:val="multilevel"/>
    <w:tmpl w:val="6CD2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B847B6E"/>
    <w:multiLevelType w:val="multilevel"/>
    <w:tmpl w:val="D950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642C95"/>
    <w:multiLevelType w:val="hybridMultilevel"/>
    <w:tmpl w:val="090A2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11574C"/>
    <w:multiLevelType w:val="hybridMultilevel"/>
    <w:tmpl w:val="98EAF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490BBD"/>
    <w:multiLevelType w:val="hybridMultilevel"/>
    <w:tmpl w:val="FB323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9F5D0C"/>
    <w:multiLevelType w:val="hybridMultilevel"/>
    <w:tmpl w:val="C22A6B24"/>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6478436">
    <w:abstractNumId w:val="13"/>
  </w:num>
  <w:num w:numId="2" w16cid:durableId="1318150241">
    <w:abstractNumId w:val="18"/>
  </w:num>
  <w:num w:numId="3" w16cid:durableId="1250891499">
    <w:abstractNumId w:val="17"/>
  </w:num>
  <w:num w:numId="4" w16cid:durableId="867717848">
    <w:abstractNumId w:val="23"/>
  </w:num>
  <w:num w:numId="5" w16cid:durableId="1790079037">
    <w:abstractNumId w:val="14"/>
  </w:num>
  <w:num w:numId="6" w16cid:durableId="539125567">
    <w:abstractNumId w:val="2"/>
  </w:num>
  <w:num w:numId="7" w16cid:durableId="854342976">
    <w:abstractNumId w:val="12"/>
  </w:num>
  <w:num w:numId="8" w16cid:durableId="1976450586">
    <w:abstractNumId w:val="5"/>
  </w:num>
  <w:num w:numId="9" w16cid:durableId="641430042">
    <w:abstractNumId w:val="7"/>
  </w:num>
  <w:num w:numId="10" w16cid:durableId="848443988">
    <w:abstractNumId w:val="24"/>
  </w:num>
  <w:num w:numId="11" w16cid:durableId="1204749862">
    <w:abstractNumId w:val="10"/>
  </w:num>
  <w:num w:numId="12" w16cid:durableId="360209152">
    <w:abstractNumId w:val="26"/>
  </w:num>
  <w:num w:numId="13" w16cid:durableId="638456158">
    <w:abstractNumId w:val="11"/>
  </w:num>
  <w:num w:numId="14" w16cid:durableId="1053313887">
    <w:abstractNumId w:val="15"/>
  </w:num>
  <w:num w:numId="15" w16cid:durableId="1907107246">
    <w:abstractNumId w:val="20"/>
  </w:num>
  <w:num w:numId="16" w16cid:durableId="1713190571">
    <w:abstractNumId w:val="0"/>
  </w:num>
  <w:num w:numId="17" w16cid:durableId="1701317320">
    <w:abstractNumId w:val="21"/>
  </w:num>
  <w:num w:numId="18" w16cid:durableId="1911889281">
    <w:abstractNumId w:val="9"/>
  </w:num>
  <w:num w:numId="19" w16cid:durableId="360209539">
    <w:abstractNumId w:val="22"/>
  </w:num>
  <w:num w:numId="20" w16cid:durableId="2047097022">
    <w:abstractNumId w:val="3"/>
  </w:num>
  <w:num w:numId="21" w16cid:durableId="1688673521">
    <w:abstractNumId w:val="27"/>
  </w:num>
  <w:num w:numId="22" w16cid:durableId="1845851498">
    <w:abstractNumId w:val="8"/>
  </w:num>
  <w:num w:numId="23" w16cid:durableId="448403527">
    <w:abstractNumId w:val="4"/>
  </w:num>
  <w:num w:numId="24" w16cid:durableId="1605579777">
    <w:abstractNumId w:val="16"/>
  </w:num>
  <w:num w:numId="25" w16cid:durableId="987510530">
    <w:abstractNumId w:val="6"/>
  </w:num>
  <w:num w:numId="26" w16cid:durableId="1538277355">
    <w:abstractNumId w:val="19"/>
  </w:num>
  <w:num w:numId="27" w16cid:durableId="363407728">
    <w:abstractNumId w:val="25"/>
  </w:num>
  <w:num w:numId="28" w16cid:durableId="1630477546">
    <w:abstractNumId w:val="28"/>
  </w:num>
  <w:num w:numId="29" w16cid:durableId="1828521748">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95A"/>
    <w:rsid w:val="00000719"/>
    <w:rsid w:val="00001BF5"/>
    <w:rsid w:val="00001E30"/>
    <w:rsid w:val="000028C1"/>
    <w:rsid w:val="00003403"/>
    <w:rsid w:val="00005347"/>
    <w:rsid w:val="000072B6"/>
    <w:rsid w:val="0001021B"/>
    <w:rsid w:val="00011D89"/>
    <w:rsid w:val="000154FD"/>
    <w:rsid w:val="0001635A"/>
    <w:rsid w:val="0001677A"/>
    <w:rsid w:val="00016FBF"/>
    <w:rsid w:val="00017DA6"/>
    <w:rsid w:val="00022271"/>
    <w:rsid w:val="000235E8"/>
    <w:rsid w:val="00024D89"/>
    <w:rsid w:val="000250B6"/>
    <w:rsid w:val="00031B8D"/>
    <w:rsid w:val="0003362E"/>
    <w:rsid w:val="00033D81"/>
    <w:rsid w:val="00034AC9"/>
    <w:rsid w:val="00037366"/>
    <w:rsid w:val="00041BF0"/>
    <w:rsid w:val="00042235"/>
    <w:rsid w:val="00042650"/>
    <w:rsid w:val="00042C8A"/>
    <w:rsid w:val="0004536B"/>
    <w:rsid w:val="00046B68"/>
    <w:rsid w:val="00046CC3"/>
    <w:rsid w:val="00047E74"/>
    <w:rsid w:val="000509C5"/>
    <w:rsid w:val="00052506"/>
    <w:rsid w:val="000527DD"/>
    <w:rsid w:val="00053211"/>
    <w:rsid w:val="00055CD9"/>
    <w:rsid w:val="000578B2"/>
    <w:rsid w:val="00060959"/>
    <w:rsid w:val="00060C8F"/>
    <w:rsid w:val="000611C5"/>
    <w:rsid w:val="00061982"/>
    <w:rsid w:val="0006298A"/>
    <w:rsid w:val="0006602B"/>
    <w:rsid w:val="000663CD"/>
    <w:rsid w:val="00066477"/>
    <w:rsid w:val="00066B42"/>
    <w:rsid w:val="00066E90"/>
    <w:rsid w:val="00071C0A"/>
    <w:rsid w:val="000733FE"/>
    <w:rsid w:val="00074219"/>
    <w:rsid w:val="00074ED5"/>
    <w:rsid w:val="0007557C"/>
    <w:rsid w:val="000835C6"/>
    <w:rsid w:val="00084CCF"/>
    <w:rsid w:val="0008508E"/>
    <w:rsid w:val="00087951"/>
    <w:rsid w:val="0009113B"/>
    <w:rsid w:val="00093402"/>
    <w:rsid w:val="00093A95"/>
    <w:rsid w:val="00094DA3"/>
    <w:rsid w:val="00096CD1"/>
    <w:rsid w:val="000A012C"/>
    <w:rsid w:val="000A0EB9"/>
    <w:rsid w:val="000A0F8C"/>
    <w:rsid w:val="000A186C"/>
    <w:rsid w:val="000A1EA4"/>
    <w:rsid w:val="000A2476"/>
    <w:rsid w:val="000A641A"/>
    <w:rsid w:val="000B0BA2"/>
    <w:rsid w:val="000B1BCA"/>
    <w:rsid w:val="000B3EDB"/>
    <w:rsid w:val="000B41DF"/>
    <w:rsid w:val="000B543D"/>
    <w:rsid w:val="000B55F9"/>
    <w:rsid w:val="000B5BF7"/>
    <w:rsid w:val="000B6BC8"/>
    <w:rsid w:val="000C0303"/>
    <w:rsid w:val="000C42EA"/>
    <w:rsid w:val="000C4546"/>
    <w:rsid w:val="000D0A1D"/>
    <w:rsid w:val="000D1242"/>
    <w:rsid w:val="000D1AF5"/>
    <w:rsid w:val="000D224E"/>
    <w:rsid w:val="000D6993"/>
    <w:rsid w:val="000E0970"/>
    <w:rsid w:val="000E18AD"/>
    <w:rsid w:val="000E1910"/>
    <w:rsid w:val="000E2B07"/>
    <w:rsid w:val="000E3CC7"/>
    <w:rsid w:val="000E6BD4"/>
    <w:rsid w:val="000E6D6D"/>
    <w:rsid w:val="000F0B7D"/>
    <w:rsid w:val="000F1F1E"/>
    <w:rsid w:val="000F2259"/>
    <w:rsid w:val="000F2DDA"/>
    <w:rsid w:val="000F42F4"/>
    <w:rsid w:val="000F4A63"/>
    <w:rsid w:val="000F5213"/>
    <w:rsid w:val="0010053D"/>
    <w:rsid w:val="00100BE5"/>
    <w:rsid w:val="00101001"/>
    <w:rsid w:val="00101E36"/>
    <w:rsid w:val="00103276"/>
    <w:rsid w:val="0010392D"/>
    <w:rsid w:val="0010447F"/>
    <w:rsid w:val="00104FE3"/>
    <w:rsid w:val="00106897"/>
    <w:rsid w:val="0010714F"/>
    <w:rsid w:val="00110302"/>
    <w:rsid w:val="001120C5"/>
    <w:rsid w:val="0011547D"/>
    <w:rsid w:val="0011701A"/>
    <w:rsid w:val="00120BD3"/>
    <w:rsid w:val="00122FEA"/>
    <w:rsid w:val="001232BD"/>
    <w:rsid w:val="0012482A"/>
    <w:rsid w:val="00124ED5"/>
    <w:rsid w:val="001276FA"/>
    <w:rsid w:val="00134DAE"/>
    <w:rsid w:val="00135C31"/>
    <w:rsid w:val="0014255B"/>
    <w:rsid w:val="00144326"/>
    <w:rsid w:val="001447B3"/>
    <w:rsid w:val="00152073"/>
    <w:rsid w:val="0015262F"/>
    <w:rsid w:val="00154C23"/>
    <w:rsid w:val="00154E2D"/>
    <w:rsid w:val="001561B3"/>
    <w:rsid w:val="00156598"/>
    <w:rsid w:val="00161939"/>
    <w:rsid w:val="00161AA0"/>
    <w:rsid w:val="00161D2E"/>
    <w:rsid w:val="00161F3E"/>
    <w:rsid w:val="00162093"/>
    <w:rsid w:val="00162CA9"/>
    <w:rsid w:val="0016381F"/>
    <w:rsid w:val="001644ED"/>
    <w:rsid w:val="00165459"/>
    <w:rsid w:val="00165A57"/>
    <w:rsid w:val="0016703A"/>
    <w:rsid w:val="001701A5"/>
    <w:rsid w:val="001712C2"/>
    <w:rsid w:val="00172BAF"/>
    <w:rsid w:val="00172C8F"/>
    <w:rsid w:val="00173DCE"/>
    <w:rsid w:val="001745E9"/>
    <w:rsid w:val="001771DD"/>
    <w:rsid w:val="0017779F"/>
    <w:rsid w:val="00177995"/>
    <w:rsid w:val="00177A8C"/>
    <w:rsid w:val="00186B33"/>
    <w:rsid w:val="0019062E"/>
    <w:rsid w:val="00192F9D"/>
    <w:rsid w:val="0019586A"/>
    <w:rsid w:val="00196EB8"/>
    <w:rsid w:val="00196EFB"/>
    <w:rsid w:val="001977CB"/>
    <w:rsid w:val="001979FF"/>
    <w:rsid w:val="00197B17"/>
    <w:rsid w:val="001A0AC5"/>
    <w:rsid w:val="001A1950"/>
    <w:rsid w:val="001A1C54"/>
    <w:rsid w:val="001A3ACE"/>
    <w:rsid w:val="001A5900"/>
    <w:rsid w:val="001A670A"/>
    <w:rsid w:val="001B058F"/>
    <w:rsid w:val="001B1994"/>
    <w:rsid w:val="001B6C33"/>
    <w:rsid w:val="001B738B"/>
    <w:rsid w:val="001B772C"/>
    <w:rsid w:val="001C09DB"/>
    <w:rsid w:val="001C2473"/>
    <w:rsid w:val="001C277E"/>
    <w:rsid w:val="001C2A72"/>
    <w:rsid w:val="001C31B7"/>
    <w:rsid w:val="001C38C7"/>
    <w:rsid w:val="001D0B75"/>
    <w:rsid w:val="001D3241"/>
    <w:rsid w:val="001D39A5"/>
    <w:rsid w:val="001D3C09"/>
    <w:rsid w:val="001D44E8"/>
    <w:rsid w:val="001D5D56"/>
    <w:rsid w:val="001D60EC"/>
    <w:rsid w:val="001D6F59"/>
    <w:rsid w:val="001E0C5D"/>
    <w:rsid w:val="001E2A36"/>
    <w:rsid w:val="001E44DF"/>
    <w:rsid w:val="001E4925"/>
    <w:rsid w:val="001E5058"/>
    <w:rsid w:val="001E5A6F"/>
    <w:rsid w:val="001E5B71"/>
    <w:rsid w:val="001E6852"/>
    <w:rsid w:val="001E68A5"/>
    <w:rsid w:val="001E6BB0"/>
    <w:rsid w:val="001E7098"/>
    <w:rsid w:val="001E7282"/>
    <w:rsid w:val="001F2100"/>
    <w:rsid w:val="001F3826"/>
    <w:rsid w:val="001F5295"/>
    <w:rsid w:val="001F611C"/>
    <w:rsid w:val="001F69BD"/>
    <w:rsid w:val="001F6E46"/>
    <w:rsid w:val="001F7186"/>
    <w:rsid w:val="001F7C91"/>
    <w:rsid w:val="00200176"/>
    <w:rsid w:val="00200E3F"/>
    <w:rsid w:val="00202AD7"/>
    <w:rsid w:val="002033B7"/>
    <w:rsid w:val="00206463"/>
    <w:rsid w:val="00206A9B"/>
    <w:rsid w:val="00206F2F"/>
    <w:rsid w:val="0021053D"/>
    <w:rsid w:val="00210A92"/>
    <w:rsid w:val="00210FA2"/>
    <w:rsid w:val="00211680"/>
    <w:rsid w:val="002140A3"/>
    <w:rsid w:val="002164F4"/>
    <w:rsid w:val="0021667C"/>
    <w:rsid w:val="00216C03"/>
    <w:rsid w:val="002171C9"/>
    <w:rsid w:val="00220022"/>
    <w:rsid w:val="00220C04"/>
    <w:rsid w:val="0022266A"/>
    <w:rsid w:val="0022278D"/>
    <w:rsid w:val="0022701F"/>
    <w:rsid w:val="00227C68"/>
    <w:rsid w:val="00230D97"/>
    <w:rsid w:val="002333F5"/>
    <w:rsid w:val="00233724"/>
    <w:rsid w:val="002365B4"/>
    <w:rsid w:val="002412D5"/>
    <w:rsid w:val="00241C4A"/>
    <w:rsid w:val="002432E1"/>
    <w:rsid w:val="00246207"/>
    <w:rsid w:val="00246C5E"/>
    <w:rsid w:val="00250960"/>
    <w:rsid w:val="00251343"/>
    <w:rsid w:val="0025229C"/>
    <w:rsid w:val="00252503"/>
    <w:rsid w:val="002536A4"/>
    <w:rsid w:val="00254F58"/>
    <w:rsid w:val="00255469"/>
    <w:rsid w:val="00255500"/>
    <w:rsid w:val="00257267"/>
    <w:rsid w:val="00257F01"/>
    <w:rsid w:val="00260C9E"/>
    <w:rsid w:val="002620BC"/>
    <w:rsid w:val="00262217"/>
    <w:rsid w:val="00262260"/>
    <w:rsid w:val="00262802"/>
    <w:rsid w:val="00263A90"/>
    <w:rsid w:val="00263C1F"/>
    <w:rsid w:val="0026408B"/>
    <w:rsid w:val="00267C3E"/>
    <w:rsid w:val="002709BB"/>
    <w:rsid w:val="00270B67"/>
    <w:rsid w:val="0027113F"/>
    <w:rsid w:val="00273227"/>
    <w:rsid w:val="00273BAC"/>
    <w:rsid w:val="002746BE"/>
    <w:rsid w:val="00274B5C"/>
    <w:rsid w:val="002763B3"/>
    <w:rsid w:val="002802E3"/>
    <w:rsid w:val="0028213D"/>
    <w:rsid w:val="002847A5"/>
    <w:rsid w:val="002862F1"/>
    <w:rsid w:val="00286C2E"/>
    <w:rsid w:val="002905C9"/>
    <w:rsid w:val="00291373"/>
    <w:rsid w:val="0029597D"/>
    <w:rsid w:val="002962C3"/>
    <w:rsid w:val="0029752B"/>
    <w:rsid w:val="002A0163"/>
    <w:rsid w:val="002A0A9C"/>
    <w:rsid w:val="002A483C"/>
    <w:rsid w:val="002A5C50"/>
    <w:rsid w:val="002B0C7C"/>
    <w:rsid w:val="002B1729"/>
    <w:rsid w:val="002B2D0B"/>
    <w:rsid w:val="002B36C7"/>
    <w:rsid w:val="002B4DD4"/>
    <w:rsid w:val="002B5277"/>
    <w:rsid w:val="002B5375"/>
    <w:rsid w:val="002B77C1"/>
    <w:rsid w:val="002B7989"/>
    <w:rsid w:val="002C0ED7"/>
    <w:rsid w:val="002C2728"/>
    <w:rsid w:val="002C39DD"/>
    <w:rsid w:val="002C5AC0"/>
    <w:rsid w:val="002C79D7"/>
    <w:rsid w:val="002D1E0D"/>
    <w:rsid w:val="002D1EDE"/>
    <w:rsid w:val="002D4B0E"/>
    <w:rsid w:val="002D5006"/>
    <w:rsid w:val="002D5649"/>
    <w:rsid w:val="002D7A78"/>
    <w:rsid w:val="002E01D0"/>
    <w:rsid w:val="002E1097"/>
    <w:rsid w:val="002E15A1"/>
    <w:rsid w:val="002E161D"/>
    <w:rsid w:val="002E29B0"/>
    <w:rsid w:val="002E3100"/>
    <w:rsid w:val="002E6C95"/>
    <w:rsid w:val="002E7C36"/>
    <w:rsid w:val="002F0107"/>
    <w:rsid w:val="002F17CC"/>
    <w:rsid w:val="002F3D32"/>
    <w:rsid w:val="002F3E8B"/>
    <w:rsid w:val="002F5F31"/>
    <w:rsid w:val="002F5F46"/>
    <w:rsid w:val="00300023"/>
    <w:rsid w:val="00300C40"/>
    <w:rsid w:val="00301714"/>
    <w:rsid w:val="00302216"/>
    <w:rsid w:val="0030336C"/>
    <w:rsid w:val="00303E53"/>
    <w:rsid w:val="00305687"/>
    <w:rsid w:val="00305CC1"/>
    <w:rsid w:val="00306E5F"/>
    <w:rsid w:val="00307E14"/>
    <w:rsid w:val="0031072E"/>
    <w:rsid w:val="00313730"/>
    <w:rsid w:val="00314054"/>
    <w:rsid w:val="003157BB"/>
    <w:rsid w:val="00315BD8"/>
    <w:rsid w:val="00316F27"/>
    <w:rsid w:val="00321212"/>
    <w:rsid w:val="003214F1"/>
    <w:rsid w:val="00322E4B"/>
    <w:rsid w:val="003239E6"/>
    <w:rsid w:val="00324C52"/>
    <w:rsid w:val="00327870"/>
    <w:rsid w:val="0033259D"/>
    <w:rsid w:val="00332CE3"/>
    <w:rsid w:val="003333D2"/>
    <w:rsid w:val="00336660"/>
    <w:rsid w:val="00337765"/>
    <w:rsid w:val="003406C6"/>
    <w:rsid w:val="003418CC"/>
    <w:rsid w:val="003459BD"/>
    <w:rsid w:val="00350D38"/>
    <w:rsid w:val="00351B36"/>
    <w:rsid w:val="003553DB"/>
    <w:rsid w:val="003570DC"/>
    <w:rsid w:val="00357B4E"/>
    <w:rsid w:val="003639B9"/>
    <w:rsid w:val="00366023"/>
    <w:rsid w:val="003713B1"/>
    <w:rsid w:val="003716FD"/>
    <w:rsid w:val="0037204B"/>
    <w:rsid w:val="00372050"/>
    <w:rsid w:val="00373890"/>
    <w:rsid w:val="003744CF"/>
    <w:rsid w:val="00374717"/>
    <w:rsid w:val="0037676C"/>
    <w:rsid w:val="00381043"/>
    <w:rsid w:val="003829E5"/>
    <w:rsid w:val="00382FDB"/>
    <w:rsid w:val="0038305D"/>
    <w:rsid w:val="00386109"/>
    <w:rsid w:val="00386602"/>
    <w:rsid w:val="00386944"/>
    <w:rsid w:val="00387225"/>
    <w:rsid w:val="003909EE"/>
    <w:rsid w:val="00394A68"/>
    <w:rsid w:val="003956CC"/>
    <w:rsid w:val="00395C9A"/>
    <w:rsid w:val="003964D5"/>
    <w:rsid w:val="00397390"/>
    <w:rsid w:val="003A0853"/>
    <w:rsid w:val="003A1B44"/>
    <w:rsid w:val="003A2227"/>
    <w:rsid w:val="003A5EE1"/>
    <w:rsid w:val="003A6B67"/>
    <w:rsid w:val="003A7515"/>
    <w:rsid w:val="003B13B6"/>
    <w:rsid w:val="003B15E6"/>
    <w:rsid w:val="003B3699"/>
    <w:rsid w:val="003B408A"/>
    <w:rsid w:val="003B5733"/>
    <w:rsid w:val="003B6A93"/>
    <w:rsid w:val="003C08A2"/>
    <w:rsid w:val="003C2045"/>
    <w:rsid w:val="003C43A1"/>
    <w:rsid w:val="003C4EDE"/>
    <w:rsid w:val="003C4FC0"/>
    <w:rsid w:val="003C55F4"/>
    <w:rsid w:val="003C663B"/>
    <w:rsid w:val="003C7897"/>
    <w:rsid w:val="003C7A3F"/>
    <w:rsid w:val="003D205B"/>
    <w:rsid w:val="003D2766"/>
    <w:rsid w:val="003D2A74"/>
    <w:rsid w:val="003D326E"/>
    <w:rsid w:val="003D3E8F"/>
    <w:rsid w:val="003D540D"/>
    <w:rsid w:val="003D6441"/>
    <w:rsid w:val="003D6475"/>
    <w:rsid w:val="003E375C"/>
    <w:rsid w:val="003E4086"/>
    <w:rsid w:val="003E639E"/>
    <w:rsid w:val="003E6EB1"/>
    <w:rsid w:val="003E71E5"/>
    <w:rsid w:val="003E7AA9"/>
    <w:rsid w:val="003F0445"/>
    <w:rsid w:val="003F0CF0"/>
    <w:rsid w:val="003F14B1"/>
    <w:rsid w:val="003F2B20"/>
    <w:rsid w:val="003F3289"/>
    <w:rsid w:val="003F3A21"/>
    <w:rsid w:val="003F5653"/>
    <w:rsid w:val="003F5CB9"/>
    <w:rsid w:val="003F7F52"/>
    <w:rsid w:val="0040114A"/>
    <w:rsid w:val="004013C7"/>
    <w:rsid w:val="00401FCF"/>
    <w:rsid w:val="0040248F"/>
    <w:rsid w:val="00403256"/>
    <w:rsid w:val="00403B9A"/>
    <w:rsid w:val="00403E98"/>
    <w:rsid w:val="0040539A"/>
    <w:rsid w:val="00406285"/>
    <w:rsid w:val="004076B3"/>
    <w:rsid w:val="004112C6"/>
    <w:rsid w:val="004148F9"/>
    <w:rsid w:val="00414D4A"/>
    <w:rsid w:val="00417CFD"/>
    <w:rsid w:val="0042084E"/>
    <w:rsid w:val="00421EEF"/>
    <w:rsid w:val="00422E15"/>
    <w:rsid w:val="004230CE"/>
    <w:rsid w:val="00424D65"/>
    <w:rsid w:val="0043303D"/>
    <w:rsid w:val="00436D67"/>
    <w:rsid w:val="00436EF8"/>
    <w:rsid w:val="004416F2"/>
    <w:rsid w:val="00442C6C"/>
    <w:rsid w:val="00442DD7"/>
    <w:rsid w:val="00443CBE"/>
    <w:rsid w:val="00443E8A"/>
    <w:rsid w:val="004441BC"/>
    <w:rsid w:val="004468B4"/>
    <w:rsid w:val="00446E46"/>
    <w:rsid w:val="004504D5"/>
    <w:rsid w:val="0045230A"/>
    <w:rsid w:val="00452B08"/>
    <w:rsid w:val="0045364F"/>
    <w:rsid w:val="004539E7"/>
    <w:rsid w:val="00454AD0"/>
    <w:rsid w:val="004555E4"/>
    <w:rsid w:val="0045695B"/>
    <w:rsid w:val="00457337"/>
    <w:rsid w:val="00460F57"/>
    <w:rsid w:val="0046152B"/>
    <w:rsid w:val="00462E3D"/>
    <w:rsid w:val="00465D14"/>
    <w:rsid w:val="00466E79"/>
    <w:rsid w:val="00470D7D"/>
    <w:rsid w:val="0047275A"/>
    <w:rsid w:val="0047372D"/>
    <w:rsid w:val="00473BA3"/>
    <w:rsid w:val="004743DD"/>
    <w:rsid w:val="00474CEA"/>
    <w:rsid w:val="00483968"/>
    <w:rsid w:val="00484F86"/>
    <w:rsid w:val="00490746"/>
    <w:rsid w:val="00490852"/>
    <w:rsid w:val="00491C9C"/>
    <w:rsid w:val="00492F30"/>
    <w:rsid w:val="0049360B"/>
    <w:rsid w:val="00493920"/>
    <w:rsid w:val="004946F4"/>
    <w:rsid w:val="0049487E"/>
    <w:rsid w:val="004A1090"/>
    <w:rsid w:val="004A160D"/>
    <w:rsid w:val="004A3775"/>
    <w:rsid w:val="004A3E81"/>
    <w:rsid w:val="004A4195"/>
    <w:rsid w:val="004A5844"/>
    <w:rsid w:val="004A5C62"/>
    <w:rsid w:val="004A5CE5"/>
    <w:rsid w:val="004A707D"/>
    <w:rsid w:val="004B6838"/>
    <w:rsid w:val="004B68ED"/>
    <w:rsid w:val="004B7668"/>
    <w:rsid w:val="004B7E33"/>
    <w:rsid w:val="004C5541"/>
    <w:rsid w:val="004C6EEE"/>
    <w:rsid w:val="004C702B"/>
    <w:rsid w:val="004C7548"/>
    <w:rsid w:val="004D0033"/>
    <w:rsid w:val="004D016B"/>
    <w:rsid w:val="004D1B22"/>
    <w:rsid w:val="004D23CC"/>
    <w:rsid w:val="004D36F2"/>
    <w:rsid w:val="004D3A02"/>
    <w:rsid w:val="004E055B"/>
    <w:rsid w:val="004E1106"/>
    <w:rsid w:val="004E138F"/>
    <w:rsid w:val="004E4649"/>
    <w:rsid w:val="004E5C2B"/>
    <w:rsid w:val="004E7905"/>
    <w:rsid w:val="004F00DD"/>
    <w:rsid w:val="004F2133"/>
    <w:rsid w:val="004F268F"/>
    <w:rsid w:val="004F5398"/>
    <w:rsid w:val="004F546E"/>
    <w:rsid w:val="004F55F1"/>
    <w:rsid w:val="004F6936"/>
    <w:rsid w:val="004F7010"/>
    <w:rsid w:val="004F7482"/>
    <w:rsid w:val="005016DB"/>
    <w:rsid w:val="00503DC6"/>
    <w:rsid w:val="0050437A"/>
    <w:rsid w:val="00506F5D"/>
    <w:rsid w:val="00510C37"/>
    <w:rsid w:val="005126D0"/>
    <w:rsid w:val="00512E0C"/>
    <w:rsid w:val="0051568D"/>
    <w:rsid w:val="0051663C"/>
    <w:rsid w:val="00523FD9"/>
    <w:rsid w:val="00526AC7"/>
    <w:rsid w:val="00526C15"/>
    <w:rsid w:val="00531585"/>
    <w:rsid w:val="00533599"/>
    <w:rsid w:val="00533E33"/>
    <w:rsid w:val="00536395"/>
    <w:rsid w:val="00536499"/>
    <w:rsid w:val="00537080"/>
    <w:rsid w:val="00542E73"/>
    <w:rsid w:val="00543903"/>
    <w:rsid w:val="00543F11"/>
    <w:rsid w:val="00546305"/>
    <w:rsid w:val="00547A95"/>
    <w:rsid w:val="0055119B"/>
    <w:rsid w:val="00551263"/>
    <w:rsid w:val="00553E58"/>
    <w:rsid w:val="005548B5"/>
    <w:rsid w:val="005630E4"/>
    <w:rsid w:val="00567AAF"/>
    <w:rsid w:val="00572031"/>
    <w:rsid w:val="00572282"/>
    <w:rsid w:val="005735AB"/>
    <w:rsid w:val="00573CE3"/>
    <w:rsid w:val="00576E84"/>
    <w:rsid w:val="00577E85"/>
    <w:rsid w:val="00580394"/>
    <w:rsid w:val="005809CD"/>
    <w:rsid w:val="00580C77"/>
    <w:rsid w:val="00582B8C"/>
    <w:rsid w:val="005868FB"/>
    <w:rsid w:val="00586D9C"/>
    <w:rsid w:val="0058757E"/>
    <w:rsid w:val="00595F7B"/>
    <w:rsid w:val="00596A4B"/>
    <w:rsid w:val="00597507"/>
    <w:rsid w:val="005A397F"/>
    <w:rsid w:val="005A479D"/>
    <w:rsid w:val="005B07C4"/>
    <w:rsid w:val="005B1C6D"/>
    <w:rsid w:val="005B21B6"/>
    <w:rsid w:val="005B247B"/>
    <w:rsid w:val="005B3A08"/>
    <w:rsid w:val="005B72E1"/>
    <w:rsid w:val="005B7A63"/>
    <w:rsid w:val="005B7E8F"/>
    <w:rsid w:val="005C0955"/>
    <w:rsid w:val="005C49DA"/>
    <w:rsid w:val="005C50F3"/>
    <w:rsid w:val="005C54B5"/>
    <w:rsid w:val="005C5D80"/>
    <w:rsid w:val="005C5D91"/>
    <w:rsid w:val="005D07B8"/>
    <w:rsid w:val="005D5AFC"/>
    <w:rsid w:val="005D6597"/>
    <w:rsid w:val="005E14E7"/>
    <w:rsid w:val="005E1CC0"/>
    <w:rsid w:val="005E26A3"/>
    <w:rsid w:val="005E2ECB"/>
    <w:rsid w:val="005E447E"/>
    <w:rsid w:val="005E4FD1"/>
    <w:rsid w:val="005E571E"/>
    <w:rsid w:val="005F0775"/>
    <w:rsid w:val="005F0CF5"/>
    <w:rsid w:val="005F161F"/>
    <w:rsid w:val="005F21EB"/>
    <w:rsid w:val="005F560E"/>
    <w:rsid w:val="00600EC0"/>
    <w:rsid w:val="006050AD"/>
    <w:rsid w:val="00605908"/>
    <w:rsid w:val="00607959"/>
    <w:rsid w:val="00610D7C"/>
    <w:rsid w:val="00613414"/>
    <w:rsid w:val="006138D3"/>
    <w:rsid w:val="00616E0D"/>
    <w:rsid w:val="00620154"/>
    <w:rsid w:val="00623FA6"/>
    <w:rsid w:val="0062408D"/>
    <w:rsid w:val="006240CC"/>
    <w:rsid w:val="00624940"/>
    <w:rsid w:val="006254F8"/>
    <w:rsid w:val="00626AF2"/>
    <w:rsid w:val="00627DA7"/>
    <w:rsid w:val="00630DA4"/>
    <w:rsid w:val="00632597"/>
    <w:rsid w:val="00632ABD"/>
    <w:rsid w:val="00633EAC"/>
    <w:rsid w:val="0063542E"/>
    <w:rsid w:val="006358B4"/>
    <w:rsid w:val="00641157"/>
    <w:rsid w:val="00641296"/>
    <w:rsid w:val="006419AA"/>
    <w:rsid w:val="0064421E"/>
    <w:rsid w:val="00644B1F"/>
    <w:rsid w:val="00644B7E"/>
    <w:rsid w:val="006454E6"/>
    <w:rsid w:val="00646235"/>
    <w:rsid w:val="00646A68"/>
    <w:rsid w:val="00646F19"/>
    <w:rsid w:val="00650564"/>
    <w:rsid w:val="006505BD"/>
    <w:rsid w:val="006508EA"/>
    <w:rsid w:val="0065092E"/>
    <w:rsid w:val="006557A7"/>
    <w:rsid w:val="00655933"/>
    <w:rsid w:val="00656290"/>
    <w:rsid w:val="006608D8"/>
    <w:rsid w:val="006621D7"/>
    <w:rsid w:val="0066302A"/>
    <w:rsid w:val="006657F1"/>
    <w:rsid w:val="00667770"/>
    <w:rsid w:val="0067053B"/>
    <w:rsid w:val="00670597"/>
    <w:rsid w:val="006706D0"/>
    <w:rsid w:val="00674ECB"/>
    <w:rsid w:val="00677574"/>
    <w:rsid w:val="00680BAA"/>
    <w:rsid w:val="0068454C"/>
    <w:rsid w:val="00691B62"/>
    <w:rsid w:val="00692F82"/>
    <w:rsid w:val="006933B5"/>
    <w:rsid w:val="0069398E"/>
    <w:rsid w:val="00693D14"/>
    <w:rsid w:val="00696F27"/>
    <w:rsid w:val="00697944"/>
    <w:rsid w:val="006A1505"/>
    <w:rsid w:val="006A18C2"/>
    <w:rsid w:val="006A1964"/>
    <w:rsid w:val="006A3383"/>
    <w:rsid w:val="006A37E9"/>
    <w:rsid w:val="006A76AE"/>
    <w:rsid w:val="006B077C"/>
    <w:rsid w:val="006B1DD8"/>
    <w:rsid w:val="006B522A"/>
    <w:rsid w:val="006B6803"/>
    <w:rsid w:val="006C266A"/>
    <w:rsid w:val="006C4D21"/>
    <w:rsid w:val="006C7B28"/>
    <w:rsid w:val="006D0115"/>
    <w:rsid w:val="006D0155"/>
    <w:rsid w:val="006D0F16"/>
    <w:rsid w:val="006D2A3F"/>
    <w:rsid w:val="006D2FBC"/>
    <w:rsid w:val="006E0541"/>
    <w:rsid w:val="006E138B"/>
    <w:rsid w:val="006E7B8D"/>
    <w:rsid w:val="006F0330"/>
    <w:rsid w:val="006F1FDC"/>
    <w:rsid w:val="006F44E5"/>
    <w:rsid w:val="006F5297"/>
    <w:rsid w:val="006F6B8C"/>
    <w:rsid w:val="006F6FF7"/>
    <w:rsid w:val="007013EF"/>
    <w:rsid w:val="00701434"/>
    <w:rsid w:val="0070195E"/>
    <w:rsid w:val="007055BD"/>
    <w:rsid w:val="007058DC"/>
    <w:rsid w:val="00711AE8"/>
    <w:rsid w:val="00712D28"/>
    <w:rsid w:val="0071452E"/>
    <w:rsid w:val="007173CA"/>
    <w:rsid w:val="007216AA"/>
    <w:rsid w:val="00721AB5"/>
    <w:rsid w:val="00721CFB"/>
    <w:rsid w:val="00721DEF"/>
    <w:rsid w:val="0072251A"/>
    <w:rsid w:val="00723AFC"/>
    <w:rsid w:val="00723D72"/>
    <w:rsid w:val="00724A43"/>
    <w:rsid w:val="007273AC"/>
    <w:rsid w:val="00731AD4"/>
    <w:rsid w:val="007345D2"/>
    <w:rsid w:val="007346E4"/>
    <w:rsid w:val="00734FCA"/>
    <w:rsid w:val="0073582E"/>
    <w:rsid w:val="00740F22"/>
    <w:rsid w:val="00741CF0"/>
    <w:rsid w:val="00741F1A"/>
    <w:rsid w:val="007447DA"/>
    <w:rsid w:val="00744F6D"/>
    <w:rsid w:val="007450F8"/>
    <w:rsid w:val="0074696E"/>
    <w:rsid w:val="00746B13"/>
    <w:rsid w:val="00750135"/>
    <w:rsid w:val="007506F9"/>
    <w:rsid w:val="00750C4E"/>
    <w:rsid w:val="00750EC2"/>
    <w:rsid w:val="00752B28"/>
    <w:rsid w:val="007541A9"/>
    <w:rsid w:val="00754E36"/>
    <w:rsid w:val="0076229C"/>
    <w:rsid w:val="00763139"/>
    <w:rsid w:val="007633F4"/>
    <w:rsid w:val="007703A7"/>
    <w:rsid w:val="00770F37"/>
    <w:rsid w:val="007711A0"/>
    <w:rsid w:val="0077159C"/>
    <w:rsid w:val="00772618"/>
    <w:rsid w:val="00772D5E"/>
    <w:rsid w:val="007743F7"/>
    <w:rsid w:val="007744DE"/>
    <w:rsid w:val="0077463E"/>
    <w:rsid w:val="00776928"/>
    <w:rsid w:val="00776E0F"/>
    <w:rsid w:val="007774B1"/>
    <w:rsid w:val="00777BE1"/>
    <w:rsid w:val="0078085A"/>
    <w:rsid w:val="00781B67"/>
    <w:rsid w:val="007833D8"/>
    <w:rsid w:val="0078435C"/>
    <w:rsid w:val="00785677"/>
    <w:rsid w:val="00786F16"/>
    <w:rsid w:val="00790DBF"/>
    <w:rsid w:val="00791BD7"/>
    <w:rsid w:val="007933F7"/>
    <w:rsid w:val="00796E20"/>
    <w:rsid w:val="00797C32"/>
    <w:rsid w:val="007A11E8"/>
    <w:rsid w:val="007A2921"/>
    <w:rsid w:val="007A63D5"/>
    <w:rsid w:val="007A640F"/>
    <w:rsid w:val="007A6783"/>
    <w:rsid w:val="007B0914"/>
    <w:rsid w:val="007B1374"/>
    <w:rsid w:val="007B32E5"/>
    <w:rsid w:val="007B3DB9"/>
    <w:rsid w:val="007B589F"/>
    <w:rsid w:val="007B6186"/>
    <w:rsid w:val="007B73BC"/>
    <w:rsid w:val="007C1838"/>
    <w:rsid w:val="007C1EAE"/>
    <w:rsid w:val="007C20B9"/>
    <w:rsid w:val="007C7301"/>
    <w:rsid w:val="007C7859"/>
    <w:rsid w:val="007C7BA8"/>
    <w:rsid w:val="007C7F28"/>
    <w:rsid w:val="007D1466"/>
    <w:rsid w:val="007D2BDE"/>
    <w:rsid w:val="007D2FB6"/>
    <w:rsid w:val="007D339A"/>
    <w:rsid w:val="007D49EB"/>
    <w:rsid w:val="007D52EF"/>
    <w:rsid w:val="007D5E1C"/>
    <w:rsid w:val="007E0DE2"/>
    <w:rsid w:val="007E1227"/>
    <w:rsid w:val="007E3B98"/>
    <w:rsid w:val="007E4020"/>
    <w:rsid w:val="007E417A"/>
    <w:rsid w:val="007E5C72"/>
    <w:rsid w:val="007F0B6D"/>
    <w:rsid w:val="007F31B6"/>
    <w:rsid w:val="007F35E3"/>
    <w:rsid w:val="007F546C"/>
    <w:rsid w:val="007F625F"/>
    <w:rsid w:val="007F665E"/>
    <w:rsid w:val="007F7501"/>
    <w:rsid w:val="00800412"/>
    <w:rsid w:val="00800D26"/>
    <w:rsid w:val="008021D1"/>
    <w:rsid w:val="00802DD4"/>
    <w:rsid w:val="00803E29"/>
    <w:rsid w:val="0080587B"/>
    <w:rsid w:val="00806468"/>
    <w:rsid w:val="00810E42"/>
    <w:rsid w:val="008119CA"/>
    <w:rsid w:val="0081228B"/>
    <w:rsid w:val="008130C4"/>
    <w:rsid w:val="008155F0"/>
    <w:rsid w:val="00816735"/>
    <w:rsid w:val="00816890"/>
    <w:rsid w:val="008175CA"/>
    <w:rsid w:val="00820141"/>
    <w:rsid w:val="00820E0C"/>
    <w:rsid w:val="008213F0"/>
    <w:rsid w:val="00823275"/>
    <w:rsid w:val="008233A5"/>
    <w:rsid w:val="0082366F"/>
    <w:rsid w:val="00825106"/>
    <w:rsid w:val="008264A8"/>
    <w:rsid w:val="008320AD"/>
    <w:rsid w:val="008338A2"/>
    <w:rsid w:val="00835FAF"/>
    <w:rsid w:val="0083677B"/>
    <w:rsid w:val="00841A03"/>
    <w:rsid w:val="00841AA9"/>
    <w:rsid w:val="00846028"/>
    <w:rsid w:val="008474FE"/>
    <w:rsid w:val="00851E9E"/>
    <w:rsid w:val="00853EE4"/>
    <w:rsid w:val="00855535"/>
    <w:rsid w:val="00855920"/>
    <w:rsid w:val="008576BA"/>
    <w:rsid w:val="00857C5A"/>
    <w:rsid w:val="00861546"/>
    <w:rsid w:val="0086255E"/>
    <w:rsid w:val="008633F0"/>
    <w:rsid w:val="00865FFD"/>
    <w:rsid w:val="00867D9D"/>
    <w:rsid w:val="00872C2C"/>
    <w:rsid w:val="00872E0A"/>
    <w:rsid w:val="00873594"/>
    <w:rsid w:val="00874477"/>
    <w:rsid w:val="00874990"/>
    <w:rsid w:val="00875285"/>
    <w:rsid w:val="00875747"/>
    <w:rsid w:val="00880209"/>
    <w:rsid w:val="00884B62"/>
    <w:rsid w:val="0088529C"/>
    <w:rsid w:val="008870E2"/>
    <w:rsid w:val="00887903"/>
    <w:rsid w:val="0089177F"/>
    <w:rsid w:val="00891A5D"/>
    <w:rsid w:val="00891C3F"/>
    <w:rsid w:val="0089270A"/>
    <w:rsid w:val="00893AF6"/>
    <w:rsid w:val="00894BC4"/>
    <w:rsid w:val="00894D76"/>
    <w:rsid w:val="008950AC"/>
    <w:rsid w:val="008A28A8"/>
    <w:rsid w:val="008A5B32"/>
    <w:rsid w:val="008B2EE4"/>
    <w:rsid w:val="008B4D3D"/>
    <w:rsid w:val="008B57C7"/>
    <w:rsid w:val="008C0205"/>
    <w:rsid w:val="008C2E73"/>
    <w:rsid w:val="008C2F92"/>
    <w:rsid w:val="008C3697"/>
    <w:rsid w:val="008C4661"/>
    <w:rsid w:val="008C5557"/>
    <w:rsid w:val="008C589D"/>
    <w:rsid w:val="008C6D51"/>
    <w:rsid w:val="008C7CB1"/>
    <w:rsid w:val="008D2846"/>
    <w:rsid w:val="008D400B"/>
    <w:rsid w:val="008D4236"/>
    <w:rsid w:val="008D462F"/>
    <w:rsid w:val="008D6DCF"/>
    <w:rsid w:val="008E3B82"/>
    <w:rsid w:val="008E3DE9"/>
    <w:rsid w:val="008E4376"/>
    <w:rsid w:val="008E5536"/>
    <w:rsid w:val="008E5AA4"/>
    <w:rsid w:val="008E7711"/>
    <w:rsid w:val="008E7A0A"/>
    <w:rsid w:val="008E7B49"/>
    <w:rsid w:val="008F1D9D"/>
    <w:rsid w:val="008F56C9"/>
    <w:rsid w:val="008F59F6"/>
    <w:rsid w:val="009005AE"/>
    <w:rsid w:val="00900719"/>
    <w:rsid w:val="009010F7"/>
    <w:rsid w:val="009017AC"/>
    <w:rsid w:val="00902A9A"/>
    <w:rsid w:val="00904A1C"/>
    <w:rsid w:val="00905030"/>
    <w:rsid w:val="00905B3F"/>
    <w:rsid w:val="00906490"/>
    <w:rsid w:val="00907618"/>
    <w:rsid w:val="009111B2"/>
    <w:rsid w:val="009151F5"/>
    <w:rsid w:val="00916D5B"/>
    <w:rsid w:val="00920F4C"/>
    <w:rsid w:val="009214BF"/>
    <w:rsid w:val="009220CA"/>
    <w:rsid w:val="00924AE1"/>
    <w:rsid w:val="009269B1"/>
    <w:rsid w:val="0092724D"/>
    <w:rsid w:val="009272B3"/>
    <w:rsid w:val="009315BE"/>
    <w:rsid w:val="0093338F"/>
    <w:rsid w:val="00935CF5"/>
    <w:rsid w:val="0093701A"/>
    <w:rsid w:val="00937BD9"/>
    <w:rsid w:val="00941620"/>
    <w:rsid w:val="00944E8F"/>
    <w:rsid w:val="00950E2C"/>
    <w:rsid w:val="00951D50"/>
    <w:rsid w:val="009525EB"/>
    <w:rsid w:val="00953AE9"/>
    <w:rsid w:val="0095470B"/>
    <w:rsid w:val="00954874"/>
    <w:rsid w:val="0095615A"/>
    <w:rsid w:val="00961400"/>
    <w:rsid w:val="0096298A"/>
    <w:rsid w:val="00963646"/>
    <w:rsid w:val="0096632D"/>
    <w:rsid w:val="00967AA8"/>
    <w:rsid w:val="00970D0C"/>
    <w:rsid w:val="009718C7"/>
    <w:rsid w:val="0097559F"/>
    <w:rsid w:val="00975EDD"/>
    <w:rsid w:val="00975F68"/>
    <w:rsid w:val="0097761E"/>
    <w:rsid w:val="00982454"/>
    <w:rsid w:val="00982CF0"/>
    <w:rsid w:val="009853E1"/>
    <w:rsid w:val="00986A84"/>
    <w:rsid w:val="00986E6B"/>
    <w:rsid w:val="00990032"/>
    <w:rsid w:val="00990B19"/>
    <w:rsid w:val="0099153B"/>
    <w:rsid w:val="00991769"/>
    <w:rsid w:val="0099232C"/>
    <w:rsid w:val="0099378E"/>
    <w:rsid w:val="00994221"/>
    <w:rsid w:val="00994386"/>
    <w:rsid w:val="009977F7"/>
    <w:rsid w:val="009A0FB4"/>
    <w:rsid w:val="009A13D8"/>
    <w:rsid w:val="009A266A"/>
    <w:rsid w:val="009A279E"/>
    <w:rsid w:val="009A3015"/>
    <w:rsid w:val="009A3490"/>
    <w:rsid w:val="009A3BE2"/>
    <w:rsid w:val="009A58C9"/>
    <w:rsid w:val="009B0A6F"/>
    <w:rsid w:val="009B0A94"/>
    <w:rsid w:val="009B1F1B"/>
    <w:rsid w:val="009B2AE8"/>
    <w:rsid w:val="009B363C"/>
    <w:rsid w:val="009B4BEA"/>
    <w:rsid w:val="009B59E9"/>
    <w:rsid w:val="009B70AA"/>
    <w:rsid w:val="009C2BAB"/>
    <w:rsid w:val="009C5E77"/>
    <w:rsid w:val="009C6BAB"/>
    <w:rsid w:val="009C7A7E"/>
    <w:rsid w:val="009D02E8"/>
    <w:rsid w:val="009D12B0"/>
    <w:rsid w:val="009D4591"/>
    <w:rsid w:val="009D51D0"/>
    <w:rsid w:val="009D5809"/>
    <w:rsid w:val="009D59FF"/>
    <w:rsid w:val="009D70A4"/>
    <w:rsid w:val="009D7644"/>
    <w:rsid w:val="009D7B14"/>
    <w:rsid w:val="009E08D1"/>
    <w:rsid w:val="009E1672"/>
    <w:rsid w:val="009E1B95"/>
    <w:rsid w:val="009E496F"/>
    <w:rsid w:val="009E4AD7"/>
    <w:rsid w:val="009E4B0D"/>
    <w:rsid w:val="009E5250"/>
    <w:rsid w:val="009E7F92"/>
    <w:rsid w:val="009F02A3"/>
    <w:rsid w:val="009F1B08"/>
    <w:rsid w:val="009F2F27"/>
    <w:rsid w:val="009F34AA"/>
    <w:rsid w:val="009F6BCB"/>
    <w:rsid w:val="009F7B78"/>
    <w:rsid w:val="00A0057A"/>
    <w:rsid w:val="00A0121A"/>
    <w:rsid w:val="00A02FA1"/>
    <w:rsid w:val="00A03080"/>
    <w:rsid w:val="00A04CCE"/>
    <w:rsid w:val="00A04D46"/>
    <w:rsid w:val="00A0620D"/>
    <w:rsid w:val="00A06675"/>
    <w:rsid w:val="00A07421"/>
    <w:rsid w:val="00A0776B"/>
    <w:rsid w:val="00A10FB9"/>
    <w:rsid w:val="00A11421"/>
    <w:rsid w:val="00A1389F"/>
    <w:rsid w:val="00A157B1"/>
    <w:rsid w:val="00A22229"/>
    <w:rsid w:val="00A22CDB"/>
    <w:rsid w:val="00A24442"/>
    <w:rsid w:val="00A24A35"/>
    <w:rsid w:val="00A25FC3"/>
    <w:rsid w:val="00A30448"/>
    <w:rsid w:val="00A304B4"/>
    <w:rsid w:val="00A315F8"/>
    <w:rsid w:val="00A330BB"/>
    <w:rsid w:val="00A35912"/>
    <w:rsid w:val="00A407F7"/>
    <w:rsid w:val="00A44882"/>
    <w:rsid w:val="00A45125"/>
    <w:rsid w:val="00A453C4"/>
    <w:rsid w:val="00A54715"/>
    <w:rsid w:val="00A57C3F"/>
    <w:rsid w:val="00A6061C"/>
    <w:rsid w:val="00A62D44"/>
    <w:rsid w:val="00A63BD5"/>
    <w:rsid w:val="00A64BCA"/>
    <w:rsid w:val="00A67263"/>
    <w:rsid w:val="00A7161C"/>
    <w:rsid w:val="00A71CFF"/>
    <w:rsid w:val="00A72934"/>
    <w:rsid w:val="00A77AA3"/>
    <w:rsid w:val="00A80421"/>
    <w:rsid w:val="00A8236D"/>
    <w:rsid w:val="00A82D51"/>
    <w:rsid w:val="00A84EAB"/>
    <w:rsid w:val="00A854B8"/>
    <w:rsid w:val="00A854EB"/>
    <w:rsid w:val="00A86855"/>
    <w:rsid w:val="00A869E1"/>
    <w:rsid w:val="00A872E5"/>
    <w:rsid w:val="00A91406"/>
    <w:rsid w:val="00A9157B"/>
    <w:rsid w:val="00A935A1"/>
    <w:rsid w:val="00A95024"/>
    <w:rsid w:val="00A951CB"/>
    <w:rsid w:val="00A957B9"/>
    <w:rsid w:val="00A95BD2"/>
    <w:rsid w:val="00A96E65"/>
    <w:rsid w:val="00A97C72"/>
    <w:rsid w:val="00AA0C85"/>
    <w:rsid w:val="00AA268E"/>
    <w:rsid w:val="00AA310B"/>
    <w:rsid w:val="00AA3919"/>
    <w:rsid w:val="00AA63D4"/>
    <w:rsid w:val="00AB06E8"/>
    <w:rsid w:val="00AB0BAE"/>
    <w:rsid w:val="00AB13DC"/>
    <w:rsid w:val="00AB1CD3"/>
    <w:rsid w:val="00AB2D61"/>
    <w:rsid w:val="00AB3202"/>
    <w:rsid w:val="00AB352F"/>
    <w:rsid w:val="00AB3F60"/>
    <w:rsid w:val="00AB42E3"/>
    <w:rsid w:val="00AB5439"/>
    <w:rsid w:val="00AB7176"/>
    <w:rsid w:val="00AC0E55"/>
    <w:rsid w:val="00AC274B"/>
    <w:rsid w:val="00AC4764"/>
    <w:rsid w:val="00AC6D36"/>
    <w:rsid w:val="00AC7E72"/>
    <w:rsid w:val="00AD0CBA"/>
    <w:rsid w:val="00AD177A"/>
    <w:rsid w:val="00AD2281"/>
    <w:rsid w:val="00AD26E2"/>
    <w:rsid w:val="00AD293D"/>
    <w:rsid w:val="00AD3DDA"/>
    <w:rsid w:val="00AD4D03"/>
    <w:rsid w:val="00AD784C"/>
    <w:rsid w:val="00AE0DCA"/>
    <w:rsid w:val="00AE126A"/>
    <w:rsid w:val="00AE1BAE"/>
    <w:rsid w:val="00AE3005"/>
    <w:rsid w:val="00AE3BD5"/>
    <w:rsid w:val="00AE3C9C"/>
    <w:rsid w:val="00AE59A0"/>
    <w:rsid w:val="00AF09A3"/>
    <w:rsid w:val="00AF0C57"/>
    <w:rsid w:val="00AF26F3"/>
    <w:rsid w:val="00AF3832"/>
    <w:rsid w:val="00AF421E"/>
    <w:rsid w:val="00AF5F04"/>
    <w:rsid w:val="00B00672"/>
    <w:rsid w:val="00B01B4D"/>
    <w:rsid w:val="00B027D5"/>
    <w:rsid w:val="00B05DE1"/>
    <w:rsid w:val="00B06571"/>
    <w:rsid w:val="00B068BA"/>
    <w:rsid w:val="00B07D9D"/>
    <w:rsid w:val="00B07FF7"/>
    <w:rsid w:val="00B12824"/>
    <w:rsid w:val="00B13851"/>
    <w:rsid w:val="00B13B1C"/>
    <w:rsid w:val="00B14780"/>
    <w:rsid w:val="00B2035F"/>
    <w:rsid w:val="00B21870"/>
    <w:rsid w:val="00B21F90"/>
    <w:rsid w:val="00B22291"/>
    <w:rsid w:val="00B23F9A"/>
    <w:rsid w:val="00B2417B"/>
    <w:rsid w:val="00B24E6F"/>
    <w:rsid w:val="00B25212"/>
    <w:rsid w:val="00B26CB5"/>
    <w:rsid w:val="00B2752E"/>
    <w:rsid w:val="00B307CC"/>
    <w:rsid w:val="00B315D1"/>
    <w:rsid w:val="00B326B7"/>
    <w:rsid w:val="00B3588E"/>
    <w:rsid w:val="00B365F7"/>
    <w:rsid w:val="00B36D5E"/>
    <w:rsid w:val="00B40934"/>
    <w:rsid w:val="00B40954"/>
    <w:rsid w:val="00B41F3D"/>
    <w:rsid w:val="00B431E8"/>
    <w:rsid w:val="00B45141"/>
    <w:rsid w:val="00B46DE7"/>
    <w:rsid w:val="00B46F80"/>
    <w:rsid w:val="00B514A6"/>
    <w:rsid w:val="00B519CD"/>
    <w:rsid w:val="00B5273A"/>
    <w:rsid w:val="00B55E79"/>
    <w:rsid w:val="00B57329"/>
    <w:rsid w:val="00B60E61"/>
    <w:rsid w:val="00B61DF4"/>
    <w:rsid w:val="00B62B50"/>
    <w:rsid w:val="00B635B7"/>
    <w:rsid w:val="00B63AE8"/>
    <w:rsid w:val="00B65950"/>
    <w:rsid w:val="00B66D83"/>
    <w:rsid w:val="00B672C0"/>
    <w:rsid w:val="00B673ED"/>
    <w:rsid w:val="00B676FD"/>
    <w:rsid w:val="00B73006"/>
    <w:rsid w:val="00B75646"/>
    <w:rsid w:val="00B778A1"/>
    <w:rsid w:val="00B84915"/>
    <w:rsid w:val="00B8728A"/>
    <w:rsid w:val="00B90729"/>
    <w:rsid w:val="00B907DA"/>
    <w:rsid w:val="00B9113E"/>
    <w:rsid w:val="00B9295A"/>
    <w:rsid w:val="00B94CD5"/>
    <w:rsid w:val="00B950BC"/>
    <w:rsid w:val="00B9714C"/>
    <w:rsid w:val="00B97371"/>
    <w:rsid w:val="00BA29AD"/>
    <w:rsid w:val="00BA33CF"/>
    <w:rsid w:val="00BA3F8D"/>
    <w:rsid w:val="00BB08E3"/>
    <w:rsid w:val="00BB119B"/>
    <w:rsid w:val="00BB2FB3"/>
    <w:rsid w:val="00BB7A10"/>
    <w:rsid w:val="00BC3E8F"/>
    <w:rsid w:val="00BC519C"/>
    <w:rsid w:val="00BC60BE"/>
    <w:rsid w:val="00BC7468"/>
    <w:rsid w:val="00BC7D4F"/>
    <w:rsid w:val="00BC7ED7"/>
    <w:rsid w:val="00BD2850"/>
    <w:rsid w:val="00BD2AC5"/>
    <w:rsid w:val="00BD2D4B"/>
    <w:rsid w:val="00BE28D2"/>
    <w:rsid w:val="00BE40DA"/>
    <w:rsid w:val="00BE4A64"/>
    <w:rsid w:val="00BE5E43"/>
    <w:rsid w:val="00BE7DFA"/>
    <w:rsid w:val="00BF1466"/>
    <w:rsid w:val="00BF2055"/>
    <w:rsid w:val="00BF30B2"/>
    <w:rsid w:val="00BF4BEC"/>
    <w:rsid w:val="00BF557D"/>
    <w:rsid w:val="00BF7F58"/>
    <w:rsid w:val="00C01381"/>
    <w:rsid w:val="00C01AB1"/>
    <w:rsid w:val="00C026A0"/>
    <w:rsid w:val="00C03E53"/>
    <w:rsid w:val="00C06137"/>
    <w:rsid w:val="00C079B8"/>
    <w:rsid w:val="00C10037"/>
    <w:rsid w:val="00C123EA"/>
    <w:rsid w:val="00C12A49"/>
    <w:rsid w:val="00C133EE"/>
    <w:rsid w:val="00C149D0"/>
    <w:rsid w:val="00C14EAF"/>
    <w:rsid w:val="00C16FBB"/>
    <w:rsid w:val="00C17DDA"/>
    <w:rsid w:val="00C23DAF"/>
    <w:rsid w:val="00C26588"/>
    <w:rsid w:val="00C27DE9"/>
    <w:rsid w:val="00C32989"/>
    <w:rsid w:val="00C33388"/>
    <w:rsid w:val="00C338B5"/>
    <w:rsid w:val="00C35484"/>
    <w:rsid w:val="00C35538"/>
    <w:rsid w:val="00C4173A"/>
    <w:rsid w:val="00C50891"/>
    <w:rsid w:val="00C50DED"/>
    <w:rsid w:val="00C53592"/>
    <w:rsid w:val="00C5482D"/>
    <w:rsid w:val="00C54EBE"/>
    <w:rsid w:val="00C602FF"/>
    <w:rsid w:val="00C61174"/>
    <w:rsid w:val="00C61260"/>
    <w:rsid w:val="00C6148F"/>
    <w:rsid w:val="00C621B1"/>
    <w:rsid w:val="00C62A15"/>
    <w:rsid w:val="00C62F7A"/>
    <w:rsid w:val="00C63B9C"/>
    <w:rsid w:val="00C65598"/>
    <w:rsid w:val="00C6682F"/>
    <w:rsid w:val="00C67BF4"/>
    <w:rsid w:val="00C67D7A"/>
    <w:rsid w:val="00C7275E"/>
    <w:rsid w:val="00C7376D"/>
    <w:rsid w:val="00C74C5D"/>
    <w:rsid w:val="00C834FD"/>
    <w:rsid w:val="00C8441F"/>
    <w:rsid w:val="00C85530"/>
    <w:rsid w:val="00C863C4"/>
    <w:rsid w:val="00C8717C"/>
    <w:rsid w:val="00C873FA"/>
    <w:rsid w:val="00C8746D"/>
    <w:rsid w:val="00C9209F"/>
    <w:rsid w:val="00C920EA"/>
    <w:rsid w:val="00C92E50"/>
    <w:rsid w:val="00C93C3E"/>
    <w:rsid w:val="00C93F55"/>
    <w:rsid w:val="00C95B7C"/>
    <w:rsid w:val="00C97A57"/>
    <w:rsid w:val="00CA0C91"/>
    <w:rsid w:val="00CA12E3"/>
    <w:rsid w:val="00CA1476"/>
    <w:rsid w:val="00CA1C00"/>
    <w:rsid w:val="00CA3100"/>
    <w:rsid w:val="00CA6611"/>
    <w:rsid w:val="00CA6AE6"/>
    <w:rsid w:val="00CA6EEB"/>
    <w:rsid w:val="00CA7164"/>
    <w:rsid w:val="00CA74F6"/>
    <w:rsid w:val="00CA782F"/>
    <w:rsid w:val="00CA7A10"/>
    <w:rsid w:val="00CB1767"/>
    <w:rsid w:val="00CB187B"/>
    <w:rsid w:val="00CB2835"/>
    <w:rsid w:val="00CB3285"/>
    <w:rsid w:val="00CB4500"/>
    <w:rsid w:val="00CB5E28"/>
    <w:rsid w:val="00CB7800"/>
    <w:rsid w:val="00CB7CC9"/>
    <w:rsid w:val="00CC0C72"/>
    <w:rsid w:val="00CC1B5C"/>
    <w:rsid w:val="00CC2BFD"/>
    <w:rsid w:val="00CC2CFA"/>
    <w:rsid w:val="00CC3C05"/>
    <w:rsid w:val="00CD09B8"/>
    <w:rsid w:val="00CD3476"/>
    <w:rsid w:val="00CD504C"/>
    <w:rsid w:val="00CD51F4"/>
    <w:rsid w:val="00CD64DF"/>
    <w:rsid w:val="00CD6F28"/>
    <w:rsid w:val="00CE225F"/>
    <w:rsid w:val="00CE5DD6"/>
    <w:rsid w:val="00CE79DF"/>
    <w:rsid w:val="00CF2F50"/>
    <w:rsid w:val="00CF3280"/>
    <w:rsid w:val="00CF37A4"/>
    <w:rsid w:val="00CF6198"/>
    <w:rsid w:val="00D00BBF"/>
    <w:rsid w:val="00D02919"/>
    <w:rsid w:val="00D02E28"/>
    <w:rsid w:val="00D03B4E"/>
    <w:rsid w:val="00D04C61"/>
    <w:rsid w:val="00D04DB7"/>
    <w:rsid w:val="00D05B8D"/>
    <w:rsid w:val="00D06561"/>
    <w:rsid w:val="00D065A2"/>
    <w:rsid w:val="00D079AA"/>
    <w:rsid w:val="00D07F00"/>
    <w:rsid w:val="00D1130F"/>
    <w:rsid w:val="00D138E8"/>
    <w:rsid w:val="00D13F72"/>
    <w:rsid w:val="00D149A1"/>
    <w:rsid w:val="00D17B72"/>
    <w:rsid w:val="00D17E0F"/>
    <w:rsid w:val="00D20593"/>
    <w:rsid w:val="00D220B4"/>
    <w:rsid w:val="00D23FC1"/>
    <w:rsid w:val="00D3185C"/>
    <w:rsid w:val="00D3205F"/>
    <w:rsid w:val="00D3318E"/>
    <w:rsid w:val="00D3354F"/>
    <w:rsid w:val="00D33E72"/>
    <w:rsid w:val="00D345A9"/>
    <w:rsid w:val="00D35BD6"/>
    <w:rsid w:val="00D361B5"/>
    <w:rsid w:val="00D405AC"/>
    <w:rsid w:val="00D411A2"/>
    <w:rsid w:val="00D45961"/>
    <w:rsid w:val="00D4606D"/>
    <w:rsid w:val="00D46C92"/>
    <w:rsid w:val="00D47A5C"/>
    <w:rsid w:val="00D5037C"/>
    <w:rsid w:val="00D50B9C"/>
    <w:rsid w:val="00D515C4"/>
    <w:rsid w:val="00D51FE2"/>
    <w:rsid w:val="00D52D73"/>
    <w:rsid w:val="00D52E58"/>
    <w:rsid w:val="00D5409D"/>
    <w:rsid w:val="00D56B20"/>
    <w:rsid w:val="00D578B3"/>
    <w:rsid w:val="00D608FD"/>
    <w:rsid w:val="00D618F4"/>
    <w:rsid w:val="00D6261F"/>
    <w:rsid w:val="00D700C4"/>
    <w:rsid w:val="00D714CC"/>
    <w:rsid w:val="00D734E0"/>
    <w:rsid w:val="00D73C80"/>
    <w:rsid w:val="00D75EA7"/>
    <w:rsid w:val="00D81597"/>
    <w:rsid w:val="00D81ADF"/>
    <w:rsid w:val="00D81F21"/>
    <w:rsid w:val="00D864F2"/>
    <w:rsid w:val="00D92F95"/>
    <w:rsid w:val="00D943F8"/>
    <w:rsid w:val="00D95470"/>
    <w:rsid w:val="00D96358"/>
    <w:rsid w:val="00D96B55"/>
    <w:rsid w:val="00D972BB"/>
    <w:rsid w:val="00DA2619"/>
    <w:rsid w:val="00DA2F81"/>
    <w:rsid w:val="00DA4239"/>
    <w:rsid w:val="00DA5D77"/>
    <w:rsid w:val="00DA5F2A"/>
    <w:rsid w:val="00DA65DE"/>
    <w:rsid w:val="00DA79E8"/>
    <w:rsid w:val="00DA7DFF"/>
    <w:rsid w:val="00DB0B61"/>
    <w:rsid w:val="00DB1474"/>
    <w:rsid w:val="00DB1647"/>
    <w:rsid w:val="00DB2962"/>
    <w:rsid w:val="00DB52FB"/>
    <w:rsid w:val="00DB59BF"/>
    <w:rsid w:val="00DB67D6"/>
    <w:rsid w:val="00DB7809"/>
    <w:rsid w:val="00DB7FF3"/>
    <w:rsid w:val="00DC013B"/>
    <w:rsid w:val="00DC086F"/>
    <w:rsid w:val="00DC090B"/>
    <w:rsid w:val="00DC1679"/>
    <w:rsid w:val="00DC17E1"/>
    <w:rsid w:val="00DC219B"/>
    <w:rsid w:val="00DC2CF1"/>
    <w:rsid w:val="00DC4FCF"/>
    <w:rsid w:val="00DC50E0"/>
    <w:rsid w:val="00DC6386"/>
    <w:rsid w:val="00DC7115"/>
    <w:rsid w:val="00DD03BF"/>
    <w:rsid w:val="00DD1130"/>
    <w:rsid w:val="00DD1951"/>
    <w:rsid w:val="00DD4316"/>
    <w:rsid w:val="00DD487D"/>
    <w:rsid w:val="00DD4E83"/>
    <w:rsid w:val="00DD6628"/>
    <w:rsid w:val="00DD6945"/>
    <w:rsid w:val="00DE2D04"/>
    <w:rsid w:val="00DE3250"/>
    <w:rsid w:val="00DE451A"/>
    <w:rsid w:val="00DE6028"/>
    <w:rsid w:val="00DE78A3"/>
    <w:rsid w:val="00DE7A8D"/>
    <w:rsid w:val="00DF1A71"/>
    <w:rsid w:val="00DF1F47"/>
    <w:rsid w:val="00DF2312"/>
    <w:rsid w:val="00DF34BE"/>
    <w:rsid w:val="00DF50FC"/>
    <w:rsid w:val="00DF5D92"/>
    <w:rsid w:val="00DF68C7"/>
    <w:rsid w:val="00DF731A"/>
    <w:rsid w:val="00DF7898"/>
    <w:rsid w:val="00E04F8F"/>
    <w:rsid w:val="00E067CA"/>
    <w:rsid w:val="00E06B75"/>
    <w:rsid w:val="00E10D20"/>
    <w:rsid w:val="00E11332"/>
    <w:rsid w:val="00E11352"/>
    <w:rsid w:val="00E11569"/>
    <w:rsid w:val="00E160EA"/>
    <w:rsid w:val="00E16945"/>
    <w:rsid w:val="00E16F76"/>
    <w:rsid w:val="00E170DC"/>
    <w:rsid w:val="00E17546"/>
    <w:rsid w:val="00E210B5"/>
    <w:rsid w:val="00E245E1"/>
    <w:rsid w:val="00E261B3"/>
    <w:rsid w:val="00E26818"/>
    <w:rsid w:val="00E27FFC"/>
    <w:rsid w:val="00E30B15"/>
    <w:rsid w:val="00E32363"/>
    <w:rsid w:val="00E326F7"/>
    <w:rsid w:val="00E32C31"/>
    <w:rsid w:val="00E32F27"/>
    <w:rsid w:val="00E330EE"/>
    <w:rsid w:val="00E33237"/>
    <w:rsid w:val="00E332F6"/>
    <w:rsid w:val="00E40181"/>
    <w:rsid w:val="00E44A13"/>
    <w:rsid w:val="00E46161"/>
    <w:rsid w:val="00E51C18"/>
    <w:rsid w:val="00E54950"/>
    <w:rsid w:val="00E56A01"/>
    <w:rsid w:val="00E60515"/>
    <w:rsid w:val="00E62622"/>
    <w:rsid w:val="00E629A1"/>
    <w:rsid w:val="00E6794C"/>
    <w:rsid w:val="00E71591"/>
    <w:rsid w:val="00E71CEB"/>
    <w:rsid w:val="00E734A3"/>
    <w:rsid w:val="00E7474F"/>
    <w:rsid w:val="00E75E56"/>
    <w:rsid w:val="00E80DE3"/>
    <w:rsid w:val="00E820BC"/>
    <w:rsid w:val="00E82C55"/>
    <w:rsid w:val="00E8396D"/>
    <w:rsid w:val="00E848FA"/>
    <w:rsid w:val="00E8787E"/>
    <w:rsid w:val="00E87C32"/>
    <w:rsid w:val="00E91E75"/>
    <w:rsid w:val="00E922FA"/>
    <w:rsid w:val="00E92AC3"/>
    <w:rsid w:val="00E93919"/>
    <w:rsid w:val="00E96FFB"/>
    <w:rsid w:val="00EA1360"/>
    <w:rsid w:val="00EA2AE9"/>
    <w:rsid w:val="00EA2F5A"/>
    <w:rsid w:val="00EA2F6A"/>
    <w:rsid w:val="00EA4ABA"/>
    <w:rsid w:val="00EB00E0"/>
    <w:rsid w:val="00EB1B50"/>
    <w:rsid w:val="00EB5949"/>
    <w:rsid w:val="00EC059F"/>
    <w:rsid w:val="00EC1F24"/>
    <w:rsid w:val="00EC22F6"/>
    <w:rsid w:val="00EC3EF3"/>
    <w:rsid w:val="00EC40D5"/>
    <w:rsid w:val="00ED0946"/>
    <w:rsid w:val="00ED5B9B"/>
    <w:rsid w:val="00ED6BAD"/>
    <w:rsid w:val="00ED6EB3"/>
    <w:rsid w:val="00ED7447"/>
    <w:rsid w:val="00EE00D6"/>
    <w:rsid w:val="00EE11E7"/>
    <w:rsid w:val="00EE1488"/>
    <w:rsid w:val="00EE29AD"/>
    <w:rsid w:val="00EE3E24"/>
    <w:rsid w:val="00EE4D5D"/>
    <w:rsid w:val="00EE5131"/>
    <w:rsid w:val="00EE5625"/>
    <w:rsid w:val="00EF109B"/>
    <w:rsid w:val="00EF1AF1"/>
    <w:rsid w:val="00EF201C"/>
    <w:rsid w:val="00EF36AF"/>
    <w:rsid w:val="00EF59A3"/>
    <w:rsid w:val="00EF6675"/>
    <w:rsid w:val="00EF795A"/>
    <w:rsid w:val="00F00F9C"/>
    <w:rsid w:val="00F01E5F"/>
    <w:rsid w:val="00F024F3"/>
    <w:rsid w:val="00F02ABA"/>
    <w:rsid w:val="00F0437A"/>
    <w:rsid w:val="00F04900"/>
    <w:rsid w:val="00F101B8"/>
    <w:rsid w:val="00F11037"/>
    <w:rsid w:val="00F13976"/>
    <w:rsid w:val="00F152CD"/>
    <w:rsid w:val="00F15F74"/>
    <w:rsid w:val="00F16F1B"/>
    <w:rsid w:val="00F216D9"/>
    <w:rsid w:val="00F21F0B"/>
    <w:rsid w:val="00F239D3"/>
    <w:rsid w:val="00F250A9"/>
    <w:rsid w:val="00F25E50"/>
    <w:rsid w:val="00F267AF"/>
    <w:rsid w:val="00F2771F"/>
    <w:rsid w:val="00F30FF4"/>
    <w:rsid w:val="00F3122E"/>
    <w:rsid w:val="00F32368"/>
    <w:rsid w:val="00F331AD"/>
    <w:rsid w:val="00F35287"/>
    <w:rsid w:val="00F4075A"/>
    <w:rsid w:val="00F40A70"/>
    <w:rsid w:val="00F43A37"/>
    <w:rsid w:val="00F451AB"/>
    <w:rsid w:val="00F456C5"/>
    <w:rsid w:val="00F4641B"/>
    <w:rsid w:val="00F46EB8"/>
    <w:rsid w:val="00F47BCF"/>
    <w:rsid w:val="00F508BD"/>
    <w:rsid w:val="00F50CD1"/>
    <w:rsid w:val="00F511E4"/>
    <w:rsid w:val="00F52D09"/>
    <w:rsid w:val="00F52E08"/>
    <w:rsid w:val="00F53A66"/>
    <w:rsid w:val="00F53DDD"/>
    <w:rsid w:val="00F5462D"/>
    <w:rsid w:val="00F55B21"/>
    <w:rsid w:val="00F56EF6"/>
    <w:rsid w:val="00F57B71"/>
    <w:rsid w:val="00F60082"/>
    <w:rsid w:val="00F6028F"/>
    <w:rsid w:val="00F61A9F"/>
    <w:rsid w:val="00F61B5F"/>
    <w:rsid w:val="00F62248"/>
    <w:rsid w:val="00F635CB"/>
    <w:rsid w:val="00F63DED"/>
    <w:rsid w:val="00F64696"/>
    <w:rsid w:val="00F65AA9"/>
    <w:rsid w:val="00F6768F"/>
    <w:rsid w:val="00F72C2C"/>
    <w:rsid w:val="00F76CAB"/>
    <w:rsid w:val="00F772C6"/>
    <w:rsid w:val="00F815B5"/>
    <w:rsid w:val="00F8338A"/>
    <w:rsid w:val="00F83618"/>
    <w:rsid w:val="00F84E36"/>
    <w:rsid w:val="00F84FA0"/>
    <w:rsid w:val="00F85195"/>
    <w:rsid w:val="00F8530F"/>
    <w:rsid w:val="00F854FD"/>
    <w:rsid w:val="00F868E3"/>
    <w:rsid w:val="00F938BA"/>
    <w:rsid w:val="00F97919"/>
    <w:rsid w:val="00FA2C46"/>
    <w:rsid w:val="00FA3525"/>
    <w:rsid w:val="00FA5A53"/>
    <w:rsid w:val="00FA70E4"/>
    <w:rsid w:val="00FB2551"/>
    <w:rsid w:val="00FB4769"/>
    <w:rsid w:val="00FB4CDA"/>
    <w:rsid w:val="00FB6481"/>
    <w:rsid w:val="00FB6D36"/>
    <w:rsid w:val="00FC022B"/>
    <w:rsid w:val="00FC0965"/>
    <w:rsid w:val="00FC0F81"/>
    <w:rsid w:val="00FC252F"/>
    <w:rsid w:val="00FC395C"/>
    <w:rsid w:val="00FC3FB5"/>
    <w:rsid w:val="00FC5E8E"/>
    <w:rsid w:val="00FD0657"/>
    <w:rsid w:val="00FD3766"/>
    <w:rsid w:val="00FD47C4"/>
    <w:rsid w:val="00FD722A"/>
    <w:rsid w:val="00FE09B0"/>
    <w:rsid w:val="00FE2DCF"/>
    <w:rsid w:val="00FE364B"/>
    <w:rsid w:val="00FE3FA7"/>
    <w:rsid w:val="00FE465A"/>
    <w:rsid w:val="00FE6765"/>
    <w:rsid w:val="00FE7043"/>
    <w:rsid w:val="00FF1762"/>
    <w:rsid w:val="00FF188F"/>
    <w:rsid w:val="00FF2A4E"/>
    <w:rsid w:val="00FF2FCE"/>
    <w:rsid w:val="00FF4DE4"/>
    <w:rsid w:val="00FF4F7D"/>
    <w:rsid w:val="00FF54DF"/>
    <w:rsid w:val="00FF55EB"/>
    <w:rsid w:val="00FF5849"/>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314842"/>
  <w15:docId w15:val="{90183F0A-5B30-45E5-8526-7C45E535C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1"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numbering" w:customStyle="1" w:styleId="ZZNumbers">
    <w:name w:val="ZZ Numbers"/>
    <w:rsid w:val="00D00BBF"/>
    <w:pPr>
      <w:numPr>
        <w:numId w:val="7"/>
      </w:numPr>
    </w:pPr>
  </w:style>
  <w:style w:type="paragraph" w:styleId="ListParagraph">
    <w:name w:val="List Paragraph"/>
    <w:basedOn w:val="Normal"/>
    <w:uiPriority w:val="1"/>
    <w:semiHidden/>
    <w:qFormat/>
    <w:rsid w:val="00AB13DC"/>
    <w:pPr>
      <w:ind w:left="720"/>
      <w:contextualSpacing/>
    </w:pPr>
  </w:style>
  <w:style w:type="table" w:customStyle="1" w:styleId="TableGrid1">
    <w:name w:val="Table Grid1"/>
    <w:basedOn w:val="TableNormal"/>
    <w:next w:val="TableGrid"/>
    <w:rsid w:val="00F15F74"/>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01E3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6Colorful-Accent1">
    <w:name w:val="Grid Table 6 Colorful Accent 1"/>
    <w:basedOn w:val="TableNormal"/>
    <w:uiPriority w:val="51"/>
    <w:rsid w:val="00D03B4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D03B4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AA391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403E98"/>
    <w:rPr>
      <w:rFonts w:ascii="Times New Roman" w:hAnsi="Times New Roman"/>
      <w:sz w:val="24"/>
      <w:szCs w:val="24"/>
    </w:rPr>
  </w:style>
  <w:style w:type="character" w:styleId="Mention">
    <w:name w:val="Mention"/>
    <w:basedOn w:val="DefaultParagraphFont"/>
    <w:uiPriority w:val="99"/>
    <w:unhideWhenUsed/>
    <w:rsid w:val="00A854B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0229">
      <w:bodyDiv w:val="1"/>
      <w:marLeft w:val="0"/>
      <w:marRight w:val="0"/>
      <w:marTop w:val="0"/>
      <w:marBottom w:val="0"/>
      <w:divBdr>
        <w:top w:val="none" w:sz="0" w:space="0" w:color="auto"/>
        <w:left w:val="none" w:sz="0" w:space="0" w:color="auto"/>
        <w:bottom w:val="none" w:sz="0" w:space="0" w:color="auto"/>
        <w:right w:val="none" w:sz="0" w:space="0" w:color="auto"/>
      </w:divBdr>
    </w:div>
    <w:div w:id="106825512">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34947022">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2130611">
      <w:bodyDiv w:val="1"/>
      <w:marLeft w:val="0"/>
      <w:marRight w:val="0"/>
      <w:marTop w:val="0"/>
      <w:marBottom w:val="0"/>
      <w:divBdr>
        <w:top w:val="none" w:sz="0" w:space="0" w:color="auto"/>
        <w:left w:val="none" w:sz="0" w:space="0" w:color="auto"/>
        <w:bottom w:val="none" w:sz="0" w:space="0" w:color="auto"/>
        <w:right w:val="none" w:sz="0" w:space="0" w:color="auto"/>
      </w:divBdr>
    </w:div>
    <w:div w:id="1007631937">
      <w:bodyDiv w:val="1"/>
      <w:marLeft w:val="0"/>
      <w:marRight w:val="0"/>
      <w:marTop w:val="0"/>
      <w:marBottom w:val="0"/>
      <w:divBdr>
        <w:top w:val="none" w:sz="0" w:space="0" w:color="auto"/>
        <w:left w:val="none" w:sz="0" w:space="0" w:color="auto"/>
        <w:bottom w:val="none" w:sz="0" w:space="0" w:color="auto"/>
        <w:right w:val="none" w:sz="0" w:space="0" w:color="auto"/>
      </w:divBdr>
    </w:div>
    <w:div w:id="1247836392">
      <w:bodyDiv w:val="1"/>
      <w:marLeft w:val="0"/>
      <w:marRight w:val="0"/>
      <w:marTop w:val="0"/>
      <w:marBottom w:val="0"/>
      <w:divBdr>
        <w:top w:val="none" w:sz="0" w:space="0" w:color="auto"/>
        <w:left w:val="none" w:sz="0" w:space="0" w:color="auto"/>
        <w:bottom w:val="none" w:sz="0" w:space="0" w:color="auto"/>
        <w:right w:val="none" w:sz="0" w:space="0" w:color="auto"/>
      </w:divBdr>
    </w:div>
    <w:div w:id="1272594253">
      <w:bodyDiv w:val="1"/>
      <w:marLeft w:val="0"/>
      <w:marRight w:val="0"/>
      <w:marTop w:val="0"/>
      <w:marBottom w:val="0"/>
      <w:divBdr>
        <w:top w:val="none" w:sz="0" w:space="0" w:color="auto"/>
        <w:left w:val="none" w:sz="0" w:space="0" w:color="auto"/>
        <w:bottom w:val="none" w:sz="0" w:space="0" w:color="auto"/>
        <w:right w:val="none" w:sz="0" w:space="0" w:color="auto"/>
      </w:divBdr>
    </w:div>
    <w:div w:id="132508802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vic.gov.au/patient-care/subcutaneous-immunoglobulin-scig-access-program" TargetMode="External"/><Relationship Id="rId21" Type="http://schemas.openxmlformats.org/officeDocument/2006/relationships/hyperlink" Target="https://www.health.vic.gov.au/publications/blood-matters-serious-transfusion-incident-reporting-guide" TargetMode="External"/><Relationship Id="rId42" Type="http://schemas.openxmlformats.org/officeDocument/2006/relationships/hyperlink" Target="https://www.criteria.blood.gov.au/" TargetMode="External"/><Relationship Id="rId47" Type="http://schemas.openxmlformats.org/officeDocument/2006/relationships/hyperlink" Target="https://www.lifeblood.com.au/about/our-strategy/annual-reports" TargetMode="External"/><Relationship Id="rId63" Type="http://schemas.openxmlformats.org/officeDocument/2006/relationships/hyperlink" Target="https://www.thanz.org.au/" TargetMode="External"/><Relationship Id="rId68" Type="http://schemas.openxmlformats.org/officeDocument/2006/relationships/hyperlink" Target="https://www.blood.gov.au/guideline-prophylactic-use-rh-d-immunoglobulin-pregnancy-care" TargetMode="External"/><Relationship Id="rId84" Type="http://schemas.openxmlformats.org/officeDocument/2006/relationships/hyperlink" Target="http://www.isbtweb.org/" TargetMode="External"/><Relationship Id="rId89" Type="http://schemas.openxmlformats.org/officeDocument/2006/relationships/image" Target="media/image5.png"/><Relationship Id="rId16" Type="http://schemas.openxmlformats.org/officeDocument/2006/relationships/hyperlink" Target="mailto:bloodmatters@redcrossblood.org.au" TargetMode="External"/><Relationship Id="rId11" Type="http://schemas.openxmlformats.org/officeDocument/2006/relationships/image" Target="media/image1.png"/><Relationship Id="rId32" Type="http://schemas.openxmlformats.org/officeDocument/2006/relationships/hyperlink" Target="https://www.lifeblood.com.au/health-professionals/clinical-practice/patient-blood-management/transfusion-committees" TargetMode="External"/><Relationship Id="rId37" Type="http://schemas.openxmlformats.org/officeDocument/2006/relationships/image" Target="media/image3.png"/><Relationship Id="rId53" Type="http://schemas.openxmlformats.org/officeDocument/2006/relationships/hyperlink" Target="https://www.lifeblood.com.au/health-professionals/learn" TargetMode="External"/><Relationship Id="rId58" Type="http://schemas.openxmlformats.org/officeDocument/2006/relationships/hyperlink" Target="https://www.criteria.blood.gov.au/" TargetMode="External"/><Relationship Id="rId74" Type="http://schemas.openxmlformats.org/officeDocument/2006/relationships/hyperlink" Target="http://www.isbtweb.org/my-isbt/isbt-membership/" TargetMode="External"/><Relationship Id="rId79" Type="http://schemas.openxmlformats.org/officeDocument/2006/relationships/hyperlink" Target="http://www.b-s-h.org.uk/" TargetMode="External"/><Relationship Id="rId102" Type="http://schemas.openxmlformats.org/officeDocument/2006/relationships/hyperlink" Target="https://www.health.vic.gov.au/patient-care/blood-matters-program" TargetMode="External"/><Relationship Id="rId5" Type="http://schemas.openxmlformats.org/officeDocument/2006/relationships/numbering" Target="numbering.xml"/><Relationship Id="rId90" Type="http://schemas.openxmlformats.org/officeDocument/2006/relationships/hyperlink" Target="https://www.lifeblood.com.au/health-professionals/learn/transfusion-courses" TargetMode="External"/><Relationship Id="rId95" Type="http://schemas.openxmlformats.org/officeDocument/2006/relationships/hyperlink" Target="https://anzsbt.org.au/guidelines-standards/anzsbt-guidelines/" TargetMode="External"/><Relationship Id="rId22" Type="http://schemas.openxmlformats.org/officeDocument/2006/relationships/hyperlink" Target="mailto:bloodmatters@redcrossblood.org.au" TargetMode="External"/><Relationship Id="rId27" Type="http://schemas.openxmlformats.org/officeDocument/2006/relationships/hyperlink" Target="mailto:angraham@redcrossblood.org.au" TargetMode="External"/><Relationship Id="rId43" Type="http://schemas.openxmlformats.org/officeDocument/2006/relationships/hyperlink" Target="https://www.blood.gov.au/guidelines-management-haemophilia-australia" TargetMode="External"/><Relationship Id="rId48" Type="http://schemas.openxmlformats.org/officeDocument/2006/relationships/hyperlink" Target="https://www.lifeblood.com.au/health-professionals" TargetMode="External"/><Relationship Id="rId64" Type="http://schemas.openxmlformats.org/officeDocument/2006/relationships/hyperlink" Target="http://www.hsanz.org.au/" TargetMode="External"/><Relationship Id="rId69" Type="http://schemas.openxmlformats.org/officeDocument/2006/relationships/hyperlink" Target="https://www.thanz.org.au/wp-content/uploads/2024/11/Updated-recommendations-for-warfarin-reversal-in-the4F-PCC-guideline-update-Nov-2024.pdf" TargetMode="External"/><Relationship Id="rId80" Type="http://schemas.openxmlformats.org/officeDocument/2006/relationships/hyperlink" Target="https://www.transfusion.ca/Home" TargetMode="External"/><Relationship Id="rId85" Type="http://schemas.openxmlformats.org/officeDocument/2006/relationships/hyperlink" Target="http://transfusionontario.org/en/" TargetMode="External"/><Relationship Id="rId12" Type="http://schemas.openxmlformats.org/officeDocument/2006/relationships/header" Target="header1.xml"/><Relationship Id="rId17" Type="http://schemas.openxmlformats.org/officeDocument/2006/relationships/hyperlink" Target="https://www.health.vic.gov.au/patient-care/about-the-blood-matters-program" TargetMode="External"/><Relationship Id="rId33" Type="http://schemas.openxmlformats.org/officeDocument/2006/relationships/hyperlink" Target="https://anzsbt.org.au/wp-content/uploads/2024/02/Guidelines-for-the-Administration-of-Blood-Products-revised-Feb-2024.pdf" TargetMode="External"/><Relationship Id="rId38" Type="http://schemas.openxmlformats.org/officeDocument/2006/relationships/hyperlink" Target="https://www.safetyandquality.gov.au/our-work/assessment-to-the-nsqhs-standards/nsqhs-standards-second-edition" TargetMode="External"/><Relationship Id="rId59" Type="http://schemas.openxmlformats.org/officeDocument/2006/relationships/hyperlink" Target="https://www.health.vic.gov.au/patient-care/intravenous-immunoglobulin-ivig-changes-to-supply-and-governance" TargetMode="External"/><Relationship Id="rId103" Type="http://schemas.openxmlformats.org/officeDocument/2006/relationships/footer" Target="footer3.xml"/><Relationship Id="rId20" Type="http://schemas.openxmlformats.org/officeDocument/2006/relationships/hyperlink" Target="https://www.health.vic.gov.au/patient-care/blood-matters-program-contacts" TargetMode="External"/><Relationship Id="rId41" Type="http://schemas.openxmlformats.org/officeDocument/2006/relationships/hyperlink" Target="https://www.blood.gov.au/national-product-price-list" TargetMode="External"/><Relationship Id="rId54" Type="http://schemas.openxmlformats.org/officeDocument/2006/relationships/hyperlink" Target="https://www.lifeblood.com.au/health-professionals/clinical-practice/patient-blood-management/governance-principles/the-audit-tool" TargetMode="External"/><Relationship Id="rId62" Type="http://schemas.openxmlformats.org/officeDocument/2006/relationships/hyperlink" Target="https://anzsbt.org.au/about/about-anzsbt/" TargetMode="External"/><Relationship Id="rId70" Type="http://schemas.openxmlformats.org/officeDocument/2006/relationships/hyperlink" Target="https://www.rch.org.au/bloodtrans" TargetMode="External"/><Relationship Id="rId75" Type="http://schemas.openxmlformats.org/officeDocument/2006/relationships/hyperlink" Target="https://www.isbtweb.org/communities/transfusion-practitioners/transfusion-practitioners-podcast.html" TargetMode="External"/><Relationship Id="rId83" Type="http://schemas.openxmlformats.org/officeDocument/2006/relationships/hyperlink" Target="http://www.nhsbt.nhs.uk/" TargetMode="External"/><Relationship Id="rId88" Type="http://schemas.openxmlformats.org/officeDocument/2006/relationships/hyperlink" Target="https://www.monash.edu/medicine/sphpm/units/transfusionresearch" TargetMode="External"/><Relationship Id="rId91" Type="http://schemas.openxmlformats.org/officeDocument/2006/relationships/hyperlink" Target="https://anzsbt.org.au/wp-content/uploads/2021/10/Guidelines-for-the-prescription-of-blood-and-blood-products-by-nurse-practitioners-FINAL-20211018.pd" TargetMode="External"/><Relationship Id="rId96" Type="http://schemas.openxmlformats.org/officeDocument/2006/relationships/hyperlink" Target="https://www.safetyandquality.gov.au/standards/nsqhs-standards/blood-management-standar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stir.transfusion.com.au/" TargetMode="External"/><Relationship Id="rId28" Type="http://schemas.openxmlformats.org/officeDocument/2006/relationships/hyperlink" Target="https://www.health.vic.gov.au/patient-care/transfusion-science-and-blood-stewardship" TargetMode="External"/><Relationship Id="rId36" Type="http://schemas.openxmlformats.org/officeDocument/2006/relationships/hyperlink" Target="https://www.directory.gov.au/portfolios/health-and-aged-care/jurisdictional-blood-committee" TargetMode="External"/><Relationship Id="rId49" Type="http://schemas.openxmlformats.org/officeDocument/2006/relationships/hyperlink" Target="https://www.lifeblood.com.au/blood/eligibility" TargetMode="External"/><Relationship Id="rId57" Type="http://schemas.openxmlformats.org/officeDocument/2006/relationships/hyperlink" Target="https://www.blood.gov.au/blood-products/national-product-price-list" TargetMode="External"/><Relationship Id="rId10" Type="http://schemas.openxmlformats.org/officeDocument/2006/relationships/endnotes" Target="endnotes.xml"/><Relationship Id="rId31" Type="http://schemas.openxmlformats.org/officeDocument/2006/relationships/hyperlink" Target="https://bloodsafelearning.org.au" TargetMode="External"/><Relationship Id="rId44" Type="http://schemas.openxmlformats.org/officeDocument/2006/relationships/hyperlink" Target="https://www.blood.gov.au/haemovigilance-reporting" TargetMode="External"/><Relationship Id="rId52" Type="http://schemas.openxmlformats.org/officeDocument/2006/relationships/hyperlink" Target="https://www.lifeblood.com.au/health-professionals/learn/resource-library" TargetMode="External"/><Relationship Id="rId60" Type="http://schemas.openxmlformats.org/officeDocument/2006/relationships/hyperlink" Target="https://www.blood.gov.au/blood-products/immunoglobulin-products" TargetMode="External"/><Relationship Id="rId65" Type="http://schemas.openxmlformats.org/officeDocument/2006/relationships/hyperlink" Target="https://www.isbtweb.org/" TargetMode="External"/><Relationship Id="rId73" Type="http://schemas.openxmlformats.org/officeDocument/2006/relationships/hyperlink" Target="https://www.isbtweb.org/shop.html" TargetMode="External"/><Relationship Id="rId78" Type="http://schemas.openxmlformats.org/officeDocument/2006/relationships/hyperlink" Target="file:///\\sfpsou03\Bloodmatters$\Education\Blood%20Matters%20resources\Handbook\2024\AABB" TargetMode="External"/><Relationship Id="rId81" Type="http://schemas.openxmlformats.org/officeDocument/2006/relationships/hyperlink" Target="http://www.shotuk.org/home/" TargetMode="External"/><Relationship Id="rId86" Type="http://schemas.openxmlformats.org/officeDocument/2006/relationships/hyperlink" Target="https://www.ontracprogram.com/Login.aspx?company=&amp;ReturnUrl=%2fdefault.aspx" TargetMode="External"/><Relationship Id="rId94" Type="http://schemas.openxmlformats.org/officeDocument/2006/relationships/hyperlink" Target="https://www.health.vic.gov.au/publications/two-person-independent-checking-for-safe-transfusion-poster" TargetMode="External"/><Relationship Id="rId99" Type="http://schemas.openxmlformats.org/officeDocument/2006/relationships/hyperlink" Target="https://www.lifeblood.com.au/health-professionals/learn/resource-library?query=transfusion%20reactions&amp;category=All&amp;filetype=All&amp;sort_bef_combine=changed_1_DESC" TargetMode="External"/><Relationship Id="rId101" Type="http://schemas.openxmlformats.org/officeDocument/2006/relationships/hyperlink" Target="mailto:bloodmatters@redcrossblood.org.a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health.vic.gov.au/patient-care/blood-matters-audits" TargetMode="External"/><Relationship Id="rId39" Type="http://schemas.openxmlformats.org/officeDocument/2006/relationships/hyperlink" Target="https://www.blood.gov.au/patient-blood-management-guidelines" TargetMode="External"/><Relationship Id="rId34" Type="http://schemas.openxmlformats.org/officeDocument/2006/relationships/hyperlink" Target="https://www.safetyandquality.gov.au/standards/nsqhs-standards/blood-management-standard/clinical-governance-and-quality-improvement-support-blood-management/action-701" TargetMode="External"/><Relationship Id="rId50" Type="http://schemas.openxmlformats.org/officeDocument/2006/relationships/hyperlink" Target="https://www.lifeblood.com.au/health-professionals/testing/donation" TargetMode="External"/><Relationship Id="rId55" Type="http://schemas.openxmlformats.org/officeDocument/2006/relationships/hyperlink" Target="https://www.cslbehring.com.au/" TargetMode="External"/><Relationship Id="rId76" Type="http://schemas.openxmlformats.org/officeDocument/2006/relationships/hyperlink" Target="https://www.isbtweb.org/isbt-working-parties/join-a-working-party.html" TargetMode="External"/><Relationship Id="rId97" Type="http://schemas.openxmlformats.org/officeDocument/2006/relationships/hyperlink" Target="https://www.health.vic.gov.au/patient-care/prescribing-and-clinical-use-of-blood-and-blood" TargetMode="External"/><Relationship Id="rId10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rch.org.au/bloodtrans/" TargetMode="External"/><Relationship Id="rId92" Type="http://schemas.openxmlformats.org/officeDocument/2006/relationships/hyperlink" Target="https://anzsbt.org.au/wp-content/uploads/2021/04/Guideline_-for_Transfusion_and_Immunohaematology_Laboratory_Practice_FINAL_Published_20210426.pdf" TargetMode="External"/><Relationship Id="rId2" Type="http://schemas.openxmlformats.org/officeDocument/2006/relationships/customXml" Target="../customXml/item2.xml"/><Relationship Id="rId29" Type="http://schemas.openxmlformats.org/officeDocument/2006/relationships/hyperlink" Target="https://www.lifeblood.com.au/health-professionals/learn/transfusion-courses" TargetMode="External"/><Relationship Id="rId24" Type="http://schemas.openxmlformats.org/officeDocument/2006/relationships/hyperlink" Target="https://stir.transfusion.com.au" TargetMode="External"/><Relationship Id="rId40" Type="http://schemas.openxmlformats.org/officeDocument/2006/relationships/image" Target="media/image4.png"/><Relationship Id="rId45" Type="http://schemas.openxmlformats.org/officeDocument/2006/relationships/hyperlink" Target="https://www.health.vic.gov.au/patient-care/serious-transfusion-incident-reporting-system-stir" TargetMode="External"/><Relationship Id="rId66" Type="http://schemas.openxmlformats.org/officeDocument/2006/relationships/hyperlink" Target="https://anzsbt.org.au/join-us/how-to-join/" TargetMode="External"/><Relationship Id="rId87" Type="http://schemas.openxmlformats.org/officeDocument/2006/relationships/hyperlink" Target="http://nataonline.com/" TargetMode="External"/><Relationship Id="rId61" Type="http://schemas.openxmlformats.org/officeDocument/2006/relationships/hyperlink" Target="https://www.blood.gov.au/supply-system/governance-immunoglobulin-products/criteria-immunoglobulin-products" TargetMode="External"/><Relationship Id="rId82" Type="http://schemas.openxmlformats.org/officeDocument/2006/relationships/hyperlink" Target="http://www.shotuk.org/home/" TargetMode="External"/><Relationship Id="rId19" Type="http://schemas.openxmlformats.org/officeDocument/2006/relationships/hyperlink" Target="https://www.health.vic.gov.au/patient-care/audit-and-data-collection" TargetMode="External"/><Relationship Id="rId14" Type="http://schemas.openxmlformats.org/officeDocument/2006/relationships/footer" Target="footer2.xml"/><Relationship Id="rId30" Type="http://schemas.openxmlformats.org/officeDocument/2006/relationships/hyperlink" Target="https://www.lifeblood.com.au/health-professionals" TargetMode="External"/><Relationship Id="rId35" Type="http://schemas.openxmlformats.org/officeDocument/2006/relationships/hyperlink" Target="https://www.blood.gov.au/australian-health-ministers-conference-statement-national-stewardship-expectations-supply-blood-and-blood-products" TargetMode="External"/><Relationship Id="rId56" Type="http://schemas.openxmlformats.org/officeDocument/2006/relationships/hyperlink" Target="https://www.blood.gov.au/transition-australias-domestic-plasma-products" TargetMode="External"/><Relationship Id="rId77" Type="http://schemas.openxmlformats.org/officeDocument/2006/relationships/hyperlink" Target="https://www.aabb.org/home" TargetMode="External"/><Relationship Id="rId100" Type="http://schemas.openxmlformats.org/officeDocument/2006/relationships/hyperlink" Target="mailto:Bloodmatters@redcrossblood.org.au" TargetMode="Externa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lifeblood.com.au/health-professionals/learn/resource-library" TargetMode="External"/><Relationship Id="rId72" Type="http://schemas.openxmlformats.org/officeDocument/2006/relationships/hyperlink" Target="https://www.isbtweb.org/isbt-academy-support/endorsed-courses.html" TargetMode="External"/><Relationship Id="rId93" Type="http://schemas.openxmlformats.org/officeDocument/2006/relationships/hyperlink" Target="https://anzsbt.org.au/wp-content/uploads/2024/02/Guidelines-for-the-Administration-of-Blood-Products-revised-Feb-2024.pdf" TargetMode="External"/><Relationship Id="rId98" Type="http://schemas.openxmlformats.org/officeDocument/2006/relationships/hyperlink" Target="https://www.lifeblood.com.au/health-professionals/clinical-practice/adverse-events" TargetMode="External"/><Relationship Id="rId3" Type="http://schemas.openxmlformats.org/officeDocument/2006/relationships/customXml" Target="../customXml/item3.xml"/><Relationship Id="rId25" Type="http://schemas.openxmlformats.org/officeDocument/2006/relationships/hyperlink" Target="https://www.criteria.blood.gov.au/" TargetMode="External"/><Relationship Id="rId46" Type="http://schemas.openxmlformats.org/officeDocument/2006/relationships/hyperlink" Target="https://www.cslbehring.com.au/" TargetMode="External"/><Relationship Id="rId67" Type="http://schemas.openxmlformats.org/officeDocument/2006/relationships/hyperlink" Target="https://anzsbt.org.au/guidelines-standards/anzsbt-guideli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d9262fe-586d-4d19-94d3-2a13903414dc}"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Normal.dotm</Template>
  <TotalTime>475</TotalTime>
  <Pages>20</Pages>
  <Words>9097</Words>
  <Characters>51854</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Blood Management and Transfusion Practice Handbook</vt:lpstr>
    </vt:vector>
  </TitlesOfParts>
  <Manager/>
  <Company>Victoria State Government, Department of Health, Blood Matters</Company>
  <LinksUpToDate>false</LinksUpToDate>
  <CharactersWithSpaces>60830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Management and Transfusion Practice Handbook</dc:title>
  <dc:subject/>
  <dc:creator>Bloodmatters@redcrossblood.org.au</dc:creator>
  <cp:keywords>TP, blood management, handbook, transfusion, practitioner</cp:keywords>
  <dc:description/>
  <cp:lastModifiedBy>Emily Hirst (Health)</cp:lastModifiedBy>
  <cp:revision>16</cp:revision>
  <cp:lastPrinted>2025-01-20T01:13:00Z</cp:lastPrinted>
  <dcterms:created xsi:type="dcterms:W3CDTF">2024-12-05T23:17:00Z</dcterms:created>
  <dcterms:modified xsi:type="dcterms:W3CDTF">2026-03-03T02:02:00Z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