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97C24" w14:textId="5094ED1C" w:rsidR="00306E5F" w:rsidRPr="00BE2218" w:rsidRDefault="00E076DC" w:rsidP="00DE6028">
      <w:pPr>
        <w:pStyle w:val="Spacerparatopoffirstpage"/>
      </w:pPr>
      <w:r>
        <mc:AlternateContent>
          <mc:Choice Requires="wps">
            <w:drawing>
              <wp:anchor distT="0" distB="0" distL="114300" distR="114300" simplePos="0" relativeHeight="251659264" behindDoc="0" locked="0" layoutInCell="1" allowOverlap="1" wp14:anchorId="7475887C" wp14:editId="4B3351DB">
                <wp:simplePos x="0" y="0"/>
                <wp:positionH relativeFrom="column">
                  <wp:posOffset>1767205</wp:posOffset>
                </wp:positionH>
                <wp:positionV relativeFrom="paragraph">
                  <wp:posOffset>-410845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009311F8" w:rsidR="007F209B" w:rsidRPr="007B44BE" w:rsidRDefault="003D5BED" w:rsidP="00BA17C2">
                            <w:pPr>
                              <w:pStyle w:val="VAHImainheading"/>
                            </w:pPr>
                            <w:r>
                              <w:rPr>
                                <w:rFonts w:ascii="VIC Medium" w:hAnsi="VIC Medium"/>
                                <w:sz w:val="28"/>
                                <w:szCs w:val="28"/>
                              </w:rPr>
                              <w:t>October</w:t>
                            </w:r>
                            <w:r w:rsidR="0097224A">
                              <w:rPr>
                                <w:rFonts w:ascii="VIC Medium" w:hAnsi="VIC Medium"/>
                                <w:sz w:val="28"/>
                                <w:szCs w:val="28"/>
                              </w:rPr>
                              <w:t xml:space="preserve"> – </w:t>
                            </w:r>
                            <w:r>
                              <w:rPr>
                                <w:rFonts w:ascii="VIC Medium" w:hAnsi="VIC Medium"/>
                                <w:sz w:val="28"/>
                                <w:szCs w:val="28"/>
                              </w:rPr>
                              <w:t>December</w:t>
                            </w:r>
                            <w:r w:rsidR="0097224A">
                              <w:rPr>
                                <w:rFonts w:ascii="VIC Medium" w:hAnsi="VIC Medium"/>
                                <w:sz w:val="28"/>
                                <w:szCs w:val="28"/>
                              </w:rPr>
                              <w:t xml:space="preserve">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39.15pt;margin-top:-32.3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H87Lv7jAAAACwEAAA8AAABkcnMvZG93&#10;bnJldi54bWxMj8tuwjAQRfeV+g/WVOoOHMIjUZoJQpFQpapdQNl058RDEuFHGhtI+/U1K7qcmaM7&#10;5+brUSt2ocF11iDMphEwMrWVnWkQDp/bSQrMeWGkUNYQwg85WBePD7nIpL2aHV32vmEhxLhMILTe&#10;9xnnrm5JCze1PZlwO9pBCx/GoeFyENcQrhWPo2jFtehM+NCKnsqW6tP+rBHeyu2H2FWxTn9V+fp+&#10;3PTfh68l4vPTuHkB5mn0dxhu+kEdiuBU2bORjimEOEnnAUWYrBYJsBsxTxdLYBVCEja8yPn/DsUf&#10;AAAA//8DAFBLAQItABQABgAIAAAAIQC2gziS/gAAAOEBAAATAAAAAAAAAAAAAAAAAAAAAABbQ29u&#10;dGVudF9UeXBlc10ueG1sUEsBAi0AFAAGAAgAAAAhADj9If/WAAAAlAEAAAsAAAAAAAAAAAAAAAAA&#10;LwEAAF9yZWxzLy5yZWxzUEsBAi0AFAAGAAgAAAAhANd7Us4uAgAAUQQAAA4AAAAAAAAAAAAAAAAA&#10;LgIAAGRycy9lMm9Eb2MueG1sUEsBAi0AFAAGAAgAAAAhAH87Lv7jAAAACwEAAA8AAAAAAAAAAAAA&#10;AAAAiAQAAGRycy9kb3ducmV2LnhtbFBLBQYAAAAABAAEAPMAAACYBQAAAAA=&#10;" filled="f" stroked="f" strokeweight=".5pt">
                <v:textbo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009311F8" w:rsidR="007F209B" w:rsidRPr="007B44BE" w:rsidRDefault="003D5BED" w:rsidP="00BA17C2">
                      <w:pPr>
                        <w:pStyle w:val="VAHImainheading"/>
                      </w:pPr>
                      <w:r>
                        <w:rPr>
                          <w:rFonts w:ascii="VIC Medium" w:hAnsi="VIC Medium"/>
                          <w:sz w:val="28"/>
                          <w:szCs w:val="28"/>
                        </w:rPr>
                        <w:t>October</w:t>
                      </w:r>
                      <w:r w:rsidR="0097224A">
                        <w:rPr>
                          <w:rFonts w:ascii="VIC Medium" w:hAnsi="VIC Medium"/>
                          <w:sz w:val="28"/>
                          <w:szCs w:val="28"/>
                        </w:rPr>
                        <w:t xml:space="preserve"> – </w:t>
                      </w:r>
                      <w:r>
                        <w:rPr>
                          <w:rFonts w:ascii="VIC Medium" w:hAnsi="VIC Medium"/>
                          <w:sz w:val="28"/>
                          <w:szCs w:val="28"/>
                        </w:rPr>
                        <w:t>December</w:t>
                      </w:r>
                      <w:r w:rsidR="0097224A">
                        <w:rPr>
                          <w:rFonts w:ascii="VIC Medium" w:hAnsi="VIC Medium"/>
                          <w:sz w:val="28"/>
                          <w:szCs w:val="28"/>
                        </w:rPr>
                        <w:t xml:space="preserve"> 2019</w:t>
                      </w:r>
                    </w:p>
                  </w:txbxContent>
                </v:textbox>
              </v:shape>
            </w:pict>
          </mc:Fallback>
        </mc:AlternateContent>
      </w:r>
      <w:r>
        <w:rPr>
          <w:rFonts w:eastAsia="Times New Roman"/>
        </w:rPr>
        <w:drawing>
          <wp:anchor distT="0" distB="0" distL="114300" distR="114300" simplePos="0" relativeHeight="251660288" behindDoc="1" locked="0" layoutInCell="1" allowOverlap="1" wp14:anchorId="511ECEDD" wp14:editId="0EB770FE">
            <wp:simplePos x="0" y="0"/>
            <wp:positionH relativeFrom="page">
              <wp:align>left</wp:align>
            </wp:positionH>
            <wp:positionV relativeFrom="paragraph">
              <wp:posOffset>-536575</wp:posOffset>
            </wp:positionV>
            <wp:extent cx="7627344" cy="10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ultMentalHealthQuarterly_1000x140(x3)banner.png"/>
                    <pic:cNvPicPr/>
                  </pic:nvPicPr>
                  <pic:blipFill>
                    <a:blip r:embed="rId8"/>
                    <a:stretch>
                      <a:fillRect/>
                    </a:stretch>
                  </pic:blipFill>
                  <pic:spPr>
                    <a:xfrm>
                      <a:off x="0" y="0"/>
                      <a:ext cx="7648372" cy="1069741"/>
                    </a:xfrm>
                    <a:prstGeom prst="rect">
                      <a:avLst/>
                    </a:prstGeom>
                  </pic:spPr>
                </pic:pic>
              </a:graphicData>
            </a:graphic>
            <wp14:sizeRelH relativeFrom="margin">
              <wp14:pctWidth>0</wp14:pctWidth>
            </wp14:sizeRelH>
            <wp14:sizeRelV relativeFrom="margin">
              <wp14:pctHeight>0</wp14:pctHeight>
            </wp14:sizeRelV>
          </wp:anchor>
        </w:drawing>
      </w:r>
    </w:p>
    <w:p w14:paraId="0A7F47BD" w14:textId="7C59290E" w:rsidR="00CF11E1" w:rsidRPr="0067289E" w:rsidRDefault="00CF11E1" w:rsidP="00CF11E1">
      <w:pPr>
        <w:pStyle w:val="VAHIbody"/>
        <w:spacing w:before="240"/>
        <w:sectPr w:rsidR="00CF11E1" w:rsidRPr="0067289E" w:rsidSect="00E076DC">
          <w:footerReference w:type="default" r:id="rId9"/>
          <w:pgSz w:w="11906" w:h="16838"/>
          <w:pgMar w:top="851" w:right="851" w:bottom="851" w:left="851" w:header="567" w:footer="510" w:gutter="0"/>
          <w:cols w:space="720"/>
          <w:docGrid w:linePitch="272"/>
        </w:sectPr>
      </w:pPr>
    </w:p>
    <w:p w14:paraId="490CE2FC" w14:textId="6408A8E7" w:rsidR="00E076DC" w:rsidRDefault="00E076DC" w:rsidP="00E076DC">
      <w:pPr>
        <w:pStyle w:val="VAHInumberloweralpha"/>
        <w:numPr>
          <w:ilvl w:val="0"/>
          <w:numId w:val="0"/>
        </w:numPr>
        <w:ind w:left="397" w:hanging="397"/>
        <w:rPr>
          <w:sz w:val="8"/>
        </w:rPr>
      </w:pPr>
    </w:p>
    <w:p w14:paraId="0E079E32" w14:textId="3904E388" w:rsidR="00F76D9A" w:rsidRDefault="00F76D9A" w:rsidP="00851497">
      <w:pPr>
        <w:pStyle w:val="VAHInumberloweralpha"/>
        <w:numPr>
          <w:ilvl w:val="0"/>
          <w:numId w:val="0"/>
        </w:numPr>
        <w:spacing w:after="0" w:line="240" w:lineRule="auto"/>
        <w:ind w:left="397" w:hanging="397"/>
        <w:rPr>
          <w:sz w:val="2"/>
        </w:rPr>
      </w:pPr>
    </w:p>
    <w:p w14:paraId="0B99A643" w14:textId="208C0141" w:rsidR="009910F4" w:rsidRDefault="009910F4" w:rsidP="00851497">
      <w:pPr>
        <w:pStyle w:val="VAHInumberloweralpha"/>
        <w:numPr>
          <w:ilvl w:val="0"/>
          <w:numId w:val="0"/>
        </w:numPr>
        <w:spacing w:after="0" w:line="240" w:lineRule="auto"/>
        <w:ind w:left="397" w:hanging="397"/>
        <w:rPr>
          <w:sz w:val="2"/>
        </w:rPr>
      </w:pPr>
    </w:p>
    <w:p w14:paraId="3618D4D5" w14:textId="71A9CE63" w:rsidR="009910F4" w:rsidRDefault="009910F4" w:rsidP="00851497">
      <w:pPr>
        <w:pStyle w:val="VAHInumberloweralpha"/>
        <w:numPr>
          <w:ilvl w:val="0"/>
          <w:numId w:val="0"/>
        </w:numPr>
        <w:spacing w:after="0" w:line="240" w:lineRule="auto"/>
        <w:ind w:left="397" w:hanging="397"/>
        <w:rPr>
          <w:sz w:val="2"/>
        </w:rPr>
      </w:pPr>
    </w:p>
    <w:p w14:paraId="1A5F9218" w14:textId="5F746C5F" w:rsidR="009910F4" w:rsidRDefault="009910F4" w:rsidP="00851497">
      <w:pPr>
        <w:pStyle w:val="VAHInumberloweralpha"/>
        <w:numPr>
          <w:ilvl w:val="0"/>
          <w:numId w:val="0"/>
        </w:numPr>
        <w:spacing w:after="0" w:line="240" w:lineRule="auto"/>
        <w:ind w:left="397" w:hanging="397"/>
        <w:rPr>
          <w:sz w:val="2"/>
        </w:rPr>
      </w:pPr>
    </w:p>
    <w:p w14:paraId="106E678F" w14:textId="768793C4" w:rsidR="009910F4" w:rsidRDefault="009910F4" w:rsidP="00851497">
      <w:pPr>
        <w:pStyle w:val="VAHInumberloweralpha"/>
        <w:numPr>
          <w:ilvl w:val="0"/>
          <w:numId w:val="0"/>
        </w:numPr>
        <w:spacing w:after="0" w:line="240" w:lineRule="auto"/>
        <w:ind w:left="397" w:hanging="397"/>
        <w:rPr>
          <w:sz w:val="2"/>
        </w:rPr>
      </w:pPr>
    </w:p>
    <w:p w14:paraId="4A3CB698" w14:textId="1635D0BE" w:rsidR="009910F4" w:rsidRDefault="009910F4" w:rsidP="00851497">
      <w:pPr>
        <w:pStyle w:val="VAHInumberloweralpha"/>
        <w:numPr>
          <w:ilvl w:val="0"/>
          <w:numId w:val="0"/>
        </w:numPr>
        <w:spacing w:after="0" w:line="240" w:lineRule="auto"/>
        <w:ind w:left="397" w:hanging="397"/>
        <w:rPr>
          <w:sz w:val="2"/>
        </w:rPr>
      </w:pPr>
    </w:p>
    <w:p w14:paraId="2995D59A" w14:textId="743040D8" w:rsidR="009910F4" w:rsidRDefault="009910F4" w:rsidP="00851497">
      <w:pPr>
        <w:pStyle w:val="VAHInumberloweralpha"/>
        <w:numPr>
          <w:ilvl w:val="0"/>
          <w:numId w:val="0"/>
        </w:numPr>
        <w:spacing w:after="0" w:line="240" w:lineRule="auto"/>
        <w:ind w:left="397" w:hanging="397"/>
        <w:rPr>
          <w:sz w:val="2"/>
        </w:rPr>
      </w:pPr>
    </w:p>
    <w:p w14:paraId="7A349EBE" w14:textId="4FBADE07" w:rsidR="009910F4" w:rsidRDefault="009910F4" w:rsidP="00851497">
      <w:pPr>
        <w:pStyle w:val="VAHInumberloweralpha"/>
        <w:numPr>
          <w:ilvl w:val="0"/>
          <w:numId w:val="0"/>
        </w:numPr>
        <w:spacing w:after="0" w:line="240" w:lineRule="auto"/>
        <w:ind w:left="397" w:hanging="397"/>
        <w:rPr>
          <w:sz w:val="2"/>
        </w:rPr>
      </w:pPr>
    </w:p>
    <w:p w14:paraId="4EE487E3" w14:textId="303DE509" w:rsidR="009910F4" w:rsidRDefault="009910F4" w:rsidP="00851497">
      <w:pPr>
        <w:pStyle w:val="VAHInumberloweralpha"/>
        <w:numPr>
          <w:ilvl w:val="0"/>
          <w:numId w:val="0"/>
        </w:numPr>
        <w:spacing w:after="0" w:line="240" w:lineRule="auto"/>
        <w:ind w:left="397" w:hanging="397"/>
        <w:rPr>
          <w:sz w:val="2"/>
        </w:rPr>
      </w:pPr>
    </w:p>
    <w:p w14:paraId="51884E61" w14:textId="7533BD58" w:rsidR="009910F4" w:rsidRDefault="009910F4" w:rsidP="00851497">
      <w:pPr>
        <w:pStyle w:val="VAHInumberloweralpha"/>
        <w:numPr>
          <w:ilvl w:val="0"/>
          <w:numId w:val="0"/>
        </w:numPr>
        <w:spacing w:after="0" w:line="240" w:lineRule="auto"/>
        <w:ind w:left="397" w:hanging="397"/>
        <w:rPr>
          <w:sz w:val="2"/>
        </w:rPr>
      </w:pPr>
    </w:p>
    <w:p w14:paraId="5CF3DE91" w14:textId="12AE356C" w:rsidR="009910F4" w:rsidRDefault="009910F4" w:rsidP="00851497">
      <w:pPr>
        <w:pStyle w:val="VAHInumberloweralpha"/>
        <w:numPr>
          <w:ilvl w:val="0"/>
          <w:numId w:val="0"/>
        </w:numPr>
        <w:spacing w:after="0" w:line="240" w:lineRule="auto"/>
        <w:ind w:left="397" w:hanging="397"/>
        <w:rPr>
          <w:sz w:val="2"/>
        </w:rPr>
      </w:pPr>
    </w:p>
    <w:p w14:paraId="4044346B" w14:textId="139BD1F4" w:rsidR="009910F4" w:rsidRDefault="009910F4" w:rsidP="00851497">
      <w:pPr>
        <w:pStyle w:val="VAHInumberloweralpha"/>
        <w:numPr>
          <w:ilvl w:val="0"/>
          <w:numId w:val="0"/>
        </w:numPr>
        <w:spacing w:after="0" w:line="240" w:lineRule="auto"/>
        <w:ind w:left="397" w:hanging="397"/>
        <w:rPr>
          <w:sz w:val="2"/>
        </w:rPr>
      </w:pPr>
    </w:p>
    <w:p w14:paraId="5BD23264" w14:textId="77777777" w:rsidR="009910F4" w:rsidRDefault="009910F4" w:rsidP="00851497">
      <w:pPr>
        <w:pStyle w:val="VAHInumberloweralpha"/>
        <w:numPr>
          <w:ilvl w:val="0"/>
          <w:numId w:val="0"/>
        </w:numPr>
        <w:spacing w:after="0" w:line="240" w:lineRule="auto"/>
        <w:ind w:left="397" w:hanging="397"/>
        <w:rPr>
          <w:sz w:val="2"/>
        </w:rPr>
      </w:pPr>
    </w:p>
    <w:p w14:paraId="5BD42668" w14:textId="29E3FB60" w:rsidR="00851497" w:rsidRDefault="00851497" w:rsidP="009910F4">
      <w:pPr>
        <w:pStyle w:val="VAHInumberloweralpha"/>
        <w:numPr>
          <w:ilvl w:val="0"/>
          <w:numId w:val="0"/>
        </w:numPr>
        <w:spacing w:after="0"/>
        <w:ind w:left="397" w:hanging="397"/>
        <w:rPr>
          <w:sz w:val="2"/>
        </w:rPr>
      </w:pPr>
    </w:p>
    <w:tbl>
      <w:tblPr>
        <w:tblW w:w="9949"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tblGrid>
      <w:tr w:rsidR="00D765CB" w:rsidRPr="00A6366B" w14:paraId="437E05E8" w14:textId="77777777" w:rsidTr="005853D5">
        <w:trPr>
          <w:tblHeader/>
        </w:trPr>
        <w:tc>
          <w:tcPr>
            <w:tcW w:w="2704" w:type="dxa"/>
            <w:shd w:val="clear" w:color="auto" w:fill="FFFFFF"/>
            <w:tcMar>
              <w:left w:w="57" w:type="dxa"/>
            </w:tcMar>
            <w:vAlign w:val="bottom"/>
          </w:tcPr>
          <w:p w14:paraId="066F8432" w14:textId="36ABD1EC" w:rsidR="00D765CB" w:rsidRPr="00592F37" w:rsidRDefault="00D765CB" w:rsidP="007B18AA">
            <w:pPr>
              <w:pStyle w:val="Heading1"/>
              <w:spacing w:before="0" w:line="240" w:lineRule="auto"/>
              <w:rPr>
                <w:color w:val="244C5A"/>
                <w:sz w:val="28"/>
                <w:szCs w:val="28"/>
              </w:rPr>
            </w:pPr>
            <w:bookmarkStart w:id="0" w:name="_Toc17978050"/>
            <w:bookmarkStart w:id="1" w:name="_Toc21699119"/>
            <w:r>
              <w:rPr>
                <w:color w:val="244C5A"/>
                <w:sz w:val="22"/>
                <w:szCs w:val="28"/>
              </w:rPr>
              <w:t>Health service</w:t>
            </w:r>
          </w:p>
        </w:tc>
        <w:bookmarkEnd w:id="0"/>
        <w:bookmarkEnd w:id="1"/>
        <w:tc>
          <w:tcPr>
            <w:tcW w:w="1449" w:type="dxa"/>
            <w:shd w:val="clear" w:color="auto" w:fill="FFFFFF"/>
            <w:vAlign w:val="center"/>
          </w:tcPr>
          <w:p w14:paraId="2D37B0FF" w14:textId="19BCED16" w:rsidR="00D765CB" w:rsidRPr="00A76D9F" w:rsidRDefault="00D765CB" w:rsidP="003D5BED">
            <w:pPr>
              <w:pStyle w:val="VAHItablecolhead"/>
              <w:jc w:val="right"/>
              <w:rPr>
                <w:rFonts w:eastAsia="Verdana"/>
                <w:color w:val="244C5A"/>
                <w:sz w:val="16"/>
              </w:rPr>
            </w:pPr>
            <w:r>
              <w:rPr>
                <w:sz w:val="16"/>
              </w:rPr>
              <w:t>2019-20 Q</w:t>
            </w:r>
            <w:r w:rsidR="003D5BED">
              <w:rPr>
                <w:sz w:val="16"/>
              </w:rPr>
              <w:t>2</w:t>
            </w:r>
            <w:r>
              <w:rPr>
                <w:sz w:val="16"/>
              </w:rPr>
              <w:t xml:space="preserve"> </w:t>
            </w:r>
            <w:r>
              <w:rPr>
                <w:sz w:val="16"/>
              </w:rPr>
              <w:br w:type="textWrapping" w:clear="all"/>
              <w:t>result</w:t>
            </w:r>
          </w:p>
        </w:tc>
        <w:tc>
          <w:tcPr>
            <w:tcW w:w="1449" w:type="dxa"/>
            <w:shd w:val="clear" w:color="auto" w:fill="FFFFFF"/>
            <w:vAlign w:val="center"/>
          </w:tcPr>
          <w:p w14:paraId="5824C481" w14:textId="37332208" w:rsidR="00D765CB" w:rsidRDefault="00D765CB" w:rsidP="003D5BED">
            <w:pPr>
              <w:pStyle w:val="VAHItablecolhead"/>
              <w:jc w:val="right"/>
              <w:rPr>
                <w:sz w:val="16"/>
              </w:rPr>
            </w:pPr>
            <w:r>
              <w:rPr>
                <w:sz w:val="16"/>
              </w:rPr>
              <w:t xml:space="preserve">Financial year </w:t>
            </w:r>
            <w:r w:rsidR="003D5BED">
              <w:rPr>
                <w:sz w:val="16"/>
              </w:rPr>
              <w:br w:type="textWrapping" w:clear="all"/>
            </w:r>
            <w:r>
              <w:rPr>
                <w:sz w:val="16"/>
              </w:rPr>
              <w:t xml:space="preserve">to date (FYTD) </w:t>
            </w:r>
            <w:r w:rsidR="00851497">
              <w:rPr>
                <w:sz w:val="16"/>
              </w:rPr>
              <w:br w:type="textWrapping" w:clear="all"/>
            </w:r>
            <w:r>
              <w:rPr>
                <w:sz w:val="16"/>
              </w:rPr>
              <w:t>result</w:t>
            </w:r>
          </w:p>
        </w:tc>
        <w:tc>
          <w:tcPr>
            <w:tcW w:w="1449" w:type="dxa"/>
            <w:shd w:val="clear" w:color="auto" w:fill="FFFFFF"/>
            <w:vAlign w:val="center"/>
          </w:tcPr>
          <w:p w14:paraId="4C8DF469" w14:textId="7AE9AEA9" w:rsidR="00D765CB" w:rsidRPr="00A76D9F" w:rsidRDefault="00D765CB" w:rsidP="003D5BED">
            <w:pPr>
              <w:pStyle w:val="VAHItablecolhead"/>
              <w:jc w:val="right"/>
              <w:rPr>
                <w:rFonts w:eastAsia="Verdana"/>
                <w:color w:val="244C5A"/>
                <w:sz w:val="16"/>
              </w:rPr>
            </w:pPr>
            <w:r>
              <w:rPr>
                <w:sz w:val="16"/>
              </w:rPr>
              <w:t xml:space="preserve">2019-20 </w:t>
            </w:r>
            <w:r>
              <w:rPr>
                <w:sz w:val="16"/>
              </w:rPr>
              <w:br w:type="textWrapping" w:clear="all"/>
              <w:t>target</w:t>
            </w:r>
          </w:p>
        </w:tc>
        <w:tc>
          <w:tcPr>
            <w:tcW w:w="1449" w:type="dxa"/>
            <w:shd w:val="clear" w:color="auto" w:fill="FFFFFF"/>
            <w:vAlign w:val="center"/>
          </w:tcPr>
          <w:p w14:paraId="3E86D627" w14:textId="1EAF6644" w:rsidR="00D765CB" w:rsidRDefault="00D765CB" w:rsidP="003D5BED">
            <w:pPr>
              <w:pStyle w:val="VAHItablecolhead"/>
              <w:jc w:val="right"/>
              <w:rPr>
                <w:sz w:val="16"/>
              </w:rPr>
            </w:pPr>
            <w:r>
              <w:rPr>
                <w:sz w:val="16"/>
              </w:rPr>
              <w:t xml:space="preserve">FYTD </w:t>
            </w:r>
            <w:r>
              <w:rPr>
                <w:sz w:val="16"/>
              </w:rPr>
              <w:br w:type="textWrapping" w:clear="all"/>
              <w:t>target</w:t>
            </w:r>
          </w:p>
        </w:tc>
        <w:tc>
          <w:tcPr>
            <w:tcW w:w="1449" w:type="dxa"/>
            <w:shd w:val="clear" w:color="auto" w:fill="FFFFFF"/>
            <w:tcMar>
              <w:bottom w:w="0" w:type="dxa"/>
              <w:right w:w="57" w:type="dxa"/>
            </w:tcMar>
            <w:vAlign w:val="center"/>
          </w:tcPr>
          <w:p w14:paraId="7CE64ECF" w14:textId="270097DC" w:rsidR="00D765CB" w:rsidRPr="00A76D9F" w:rsidRDefault="00D765CB" w:rsidP="003D5BED">
            <w:pPr>
              <w:pStyle w:val="VAHItablecolhead"/>
              <w:jc w:val="right"/>
              <w:rPr>
                <w:rFonts w:eastAsia="Verdana"/>
                <w:color w:val="244C5A"/>
                <w:sz w:val="16"/>
              </w:rPr>
            </w:pPr>
            <w:r>
              <w:rPr>
                <w:sz w:val="16"/>
              </w:rPr>
              <w:t xml:space="preserve">FYTD result </w:t>
            </w:r>
            <w:r w:rsidR="00F24E48">
              <w:rPr>
                <w:sz w:val="16"/>
              </w:rPr>
              <w:t>as a percentage of</w:t>
            </w:r>
            <w:r>
              <w:rPr>
                <w:sz w:val="16"/>
              </w:rPr>
              <w:t xml:space="preserve"> </w:t>
            </w:r>
            <w:r>
              <w:rPr>
                <w:sz w:val="16"/>
              </w:rPr>
              <w:br w:type="textWrapping" w:clear="all"/>
              <w:t>2019-20 target</w:t>
            </w:r>
          </w:p>
        </w:tc>
      </w:tr>
      <w:tr w:rsidR="003D5BED" w:rsidRPr="00A6366B" w14:paraId="5AEF62E7" w14:textId="77777777" w:rsidTr="005853D5">
        <w:trPr>
          <w:trHeight w:val="340"/>
        </w:trPr>
        <w:tc>
          <w:tcPr>
            <w:tcW w:w="2704" w:type="dxa"/>
            <w:shd w:val="clear" w:color="auto" w:fill="BFCED6"/>
            <w:tcMar>
              <w:left w:w="57" w:type="dxa"/>
            </w:tcMar>
            <w:vAlign w:val="center"/>
          </w:tcPr>
          <w:p w14:paraId="54B56F45" w14:textId="4C04C6A1" w:rsidR="003D5BED" w:rsidRPr="00382424" w:rsidRDefault="003D5BED" w:rsidP="003D5BED">
            <w:pPr>
              <w:pStyle w:val="DHHStabletext"/>
              <w:spacing w:before="0" w:after="0"/>
              <w:rPr>
                <w:rFonts w:ascii="VIC" w:eastAsia="Verdana" w:hAnsi="VIC" w:cs="Verdana"/>
                <w:sz w:val="18"/>
                <w:szCs w:val="18"/>
              </w:rPr>
            </w:pPr>
            <w:bookmarkStart w:id="2" w:name="_Hlk15473260"/>
            <w:r>
              <w:rPr>
                <w:rFonts w:ascii="VIC" w:eastAsia="VIC" w:hAnsi="VIC"/>
                <w:color w:val="000000"/>
                <w:sz w:val="18"/>
              </w:rPr>
              <w:t>Alfred Health</w:t>
            </w:r>
          </w:p>
        </w:tc>
        <w:tc>
          <w:tcPr>
            <w:tcW w:w="1449" w:type="dxa"/>
            <w:shd w:val="clear" w:color="auto" w:fill="BFCED6"/>
            <w:vAlign w:val="center"/>
          </w:tcPr>
          <w:p w14:paraId="2B0082FF" w14:textId="3FD45681" w:rsidR="003D5BED" w:rsidRPr="005B1FEF" w:rsidRDefault="003D5BED" w:rsidP="003D5BED">
            <w:pPr>
              <w:jc w:val="right"/>
              <w:rPr>
                <w:rFonts w:ascii="VIC" w:hAnsi="VIC"/>
                <w:sz w:val="18"/>
                <w:szCs w:val="18"/>
              </w:rPr>
            </w:pPr>
            <w:r>
              <w:rPr>
                <w:rFonts w:ascii="VIC" w:eastAsia="VIC" w:hAnsi="VIC"/>
                <w:color w:val="000000"/>
                <w:sz w:val="18"/>
              </w:rPr>
              <w:t>22,631</w:t>
            </w:r>
          </w:p>
        </w:tc>
        <w:tc>
          <w:tcPr>
            <w:tcW w:w="1449" w:type="dxa"/>
            <w:shd w:val="clear" w:color="auto" w:fill="BFCED6"/>
            <w:vAlign w:val="center"/>
          </w:tcPr>
          <w:p w14:paraId="535AF842" w14:textId="6078A2C0" w:rsidR="003D5BED" w:rsidRPr="005B1FEF" w:rsidRDefault="003D5BED" w:rsidP="003D5BED">
            <w:pPr>
              <w:jc w:val="right"/>
              <w:rPr>
                <w:rFonts w:ascii="VIC" w:hAnsi="VIC"/>
                <w:sz w:val="18"/>
                <w:szCs w:val="18"/>
              </w:rPr>
            </w:pPr>
            <w:r>
              <w:rPr>
                <w:rFonts w:ascii="VIC" w:eastAsia="VIC" w:hAnsi="VIC"/>
                <w:color w:val="000000"/>
                <w:sz w:val="18"/>
              </w:rPr>
              <w:t>44,597</w:t>
            </w:r>
          </w:p>
        </w:tc>
        <w:tc>
          <w:tcPr>
            <w:tcW w:w="1449" w:type="dxa"/>
            <w:shd w:val="clear" w:color="auto" w:fill="BFCED6"/>
            <w:vAlign w:val="center"/>
          </w:tcPr>
          <w:p w14:paraId="4DAE3F9C" w14:textId="7EE66F51" w:rsidR="003D5BED" w:rsidRPr="005B1FEF" w:rsidRDefault="003D5BED" w:rsidP="003D5BED">
            <w:pPr>
              <w:jc w:val="right"/>
              <w:rPr>
                <w:rFonts w:ascii="VIC" w:hAnsi="VIC"/>
                <w:sz w:val="18"/>
                <w:szCs w:val="18"/>
              </w:rPr>
            </w:pPr>
            <w:r>
              <w:rPr>
                <w:rFonts w:ascii="VIC" w:eastAsia="VIC" w:hAnsi="VIC"/>
                <w:color w:val="000000"/>
                <w:sz w:val="18"/>
              </w:rPr>
              <w:t>92,271</w:t>
            </w:r>
          </w:p>
        </w:tc>
        <w:tc>
          <w:tcPr>
            <w:tcW w:w="1449" w:type="dxa"/>
            <w:shd w:val="clear" w:color="auto" w:fill="BFCED6"/>
            <w:vAlign w:val="center"/>
          </w:tcPr>
          <w:p w14:paraId="06536090" w14:textId="406D1F5A" w:rsidR="003D5BED" w:rsidRPr="005B1FEF" w:rsidRDefault="003D5BED" w:rsidP="003D5BED">
            <w:pPr>
              <w:jc w:val="right"/>
              <w:rPr>
                <w:rFonts w:ascii="VIC" w:hAnsi="VIC"/>
                <w:sz w:val="18"/>
                <w:szCs w:val="18"/>
              </w:rPr>
            </w:pPr>
            <w:r>
              <w:rPr>
                <w:rFonts w:ascii="VIC" w:hAnsi="VIC"/>
                <w:sz w:val="18"/>
                <w:szCs w:val="18"/>
              </w:rPr>
              <w:t>50</w:t>
            </w:r>
            <w:r w:rsidR="005853D5">
              <w:rPr>
                <w:rFonts w:ascii="VIC" w:hAnsi="VIC"/>
                <w:sz w:val="18"/>
                <w:szCs w:val="18"/>
              </w:rPr>
              <w:t xml:space="preserve"> </w:t>
            </w:r>
            <w:r>
              <w:rPr>
                <w:rFonts w:ascii="VIC" w:hAnsi="VIC"/>
                <w:sz w:val="18"/>
                <w:szCs w:val="18"/>
              </w:rPr>
              <w:t>%</w:t>
            </w:r>
          </w:p>
        </w:tc>
        <w:tc>
          <w:tcPr>
            <w:tcW w:w="1449" w:type="dxa"/>
            <w:shd w:val="clear" w:color="auto" w:fill="BFCED6"/>
            <w:tcMar>
              <w:bottom w:w="0" w:type="dxa"/>
              <w:right w:w="57" w:type="dxa"/>
            </w:tcMar>
            <w:vAlign w:val="center"/>
          </w:tcPr>
          <w:p w14:paraId="30CB2EBF" w14:textId="5EDD05E1" w:rsidR="003D5BED" w:rsidRPr="005B1FEF" w:rsidRDefault="003D5BED" w:rsidP="003D5BED">
            <w:pPr>
              <w:jc w:val="right"/>
              <w:rPr>
                <w:rFonts w:ascii="VIC" w:hAnsi="VIC"/>
                <w:sz w:val="18"/>
                <w:szCs w:val="18"/>
              </w:rPr>
            </w:pPr>
            <w:r>
              <w:rPr>
                <w:rFonts w:ascii="VIC" w:eastAsia="VIC" w:hAnsi="VIC"/>
                <w:color w:val="000000"/>
                <w:sz w:val="18"/>
              </w:rPr>
              <w:t>48 %</w:t>
            </w:r>
          </w:p>
        </w:tc>
      </w:tr>
      <w:bookmarkEnd w:id="2"/>
      <w:tr w:rsidR="005853D5" w:rsidRPr="00A6366B" w14:paraId="681BA44E" w14:textId="77777777" w:rsidTr="005853D5">
        <w:trPr>
          <w:trHeight w:val="340"/>
        </w:trPr>
        <w:tc>
          <w:tcPr>
            <w:tcW w:w="2704" w:type="dxa"/>
            <w:tcMar>
              <w:left w:w="57" w:type="dxa"/>
            </w:tcMar>
            <w:vAlign w:val="center"/>
          </w:tcPr>
          <w:p w14:paraId="2CB2150E" w14:textId="40FFDFC1" w:rsidR="005853D5" w:rsidRPr="00382424" w:rsidRDefault="005853D5" w:rsidP="005853D5">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449" w:type="dxa"/>
            <w:vAlign w:val="center"/>
          </w:tcPr>
          <w:p w14:paraId="6298EB62" w14:textId="46247B1C" w:rsidR="005853D5" w:rsidRPr="005B1FEF" w:rsidRDefault="005853D5" w:rsidP="005853D5">
            <w:pPr>
              <w:jc w:val="right"/>
              <w:rPr>
                <w:rFonts w:ascii="VIC" w:hAnsi="VIC"/>
                <w:sz w:val="18"/>
                <w:szCs w:val="18"/>
              </w:rPr>
            </w:pPr>
            <w:r>
              <w:rPr>
                <w:rFonts w:ascii="VIC" w:eastAsia="VIC" w:hAnsi="VIC"/>
                <w:color w:val="000000"/>
                <w:sz w:val="18"/>
              </w:rPr>
              <w:t>11,206</w:t>
            </w:r>
          </w:p>
        </w:tc>
        <w:tc>
          <w:tcPr>
            <w:tcW w:w="1449" w:type="dxa"/>
            <w:vAlign w:val="center"/>
          </w:tcPr>
          <w:p w14:paraId="7809CD30" w14:textId="57E1D157" w:rsidR="005853D5" w:rsidRPr="005B1FEF" w:rsidRDefault="005853D5" w:rsidP="005853D5">
            <w:pPr>
              <w:jc w:val="right"/>
              <w:rPr>
                <w:rFonts w:ascii="VIC" w:hAnsi="VIC"/>
                <w:sz w:val="18"/>
                <w:szCs w:val="18"/>
              </w:rPr>
            </w:pPr>
            <w:r>
              <w:rPr>
                <w:rFonts w:ascii="VIC" w:eastAsia="VIC" w:hAnsi="VIC"/>
                <w:color w:val="000000"/>
                <w:sz w:val="18"/>
              </w:rPr>
              <w:t>24,044</w:t>
            </w:r>
          </w:p>
        </w:tc>
        <w:tc>
          <w:tcPr>
            <w:tcW w:w="1449" w:type="dxa"/>
            <w:vAlign w:val="center"/>
          </w:tcPr>
          <w:p w14:paraId="1F8AED50" w14:textId="0DCE4900" w:rsidR="005853D5" w:rsidRPr="005B1FEF" w:rsidRDefault="005853D5" w:rsidP="005853D5">
            <w:pPr>
              <w:jc w:val="right"/>
              <w:rPr>
                <w:rFonts w:ascii="VIC" w:hAnsi="VIC"/>
                <w:sz w:val="18"/>
                <w:szCs w:val="18"/>
              </w:rPr>
            </w:pPr>
            <w:r>
              <w:rPr>
                <w:rFonts w:ascii="VIC" w:eastAsia="VIC" w:hAnsi="VIC"/>
                <w:color w:val="000000"/>
                <w:sz w:val="18"/>
              </w:rPr>
              <w:t>62,332</w:t>
            </w:r>
          </w:p>
        </w:tc>
        <w:tc>
          <w:tcPr>
            <w:tcW w:w="1449" w:type="dxa"/>
            <w:vAlign w:val="center"/>
          </w:tcPr>
          <w:p w14:paraId="35568156" w14:textId="681F1ADF" w:rsidR="005853D5" w:rsidRPr="00D765CB" w:rsidRDefault="005853D5" w:rsidP="005853D5">
            <w:pPr>
              <w:jc w:val="right"/>
              <w:rPr>
                <w:rFonts w:ascii="VIC" w:hAnsi="VIC"/>
                <w:sz w:val="18"/>
                <w:szCs w:val="18"/>
              </w:rPr>
            </w:pPr>
            <w:r w:rsidRPr="00483D39">
              <w:rPr>
                <w:rFonts w:ascii="VIC" w:hAnsi="VIC"/>
                <w:sz w:val="18"/>
                <w:szCs w:val="18"/>
              </w:rPr>
              <w:t>50 %</w:t>
            </w:r>
          </w:p>
        </w:tc>
        <w:tc>
          <w:tcPr>
            <w:tcW w:w="1449" w:type="dxa"/>
            <w:tcMar>
              <w:bottom w:w="0" w:type="dxa"/>
              <w:right w:w="57" w:type="dxa"/>
            </w:tcMar>
            <w:vAlign w:val="center"/>
          </w:tcPr>
          <w:p w14:paraId="2FBEE051" w14:textId="49012B99" w:rsidR="005853D5" w:rsidRPr="005B1FEF" w:rsidRDefault="005853D5" w:rsidP="005853D5">
            <w:pPr>
              <w:jc w:val="right"/>
              <w:rPr>
                <w:rFonts w:ascii="VIC" w:hAnsi="VIC"/>
                <w:sz w:val="18"/>
                <w:szCs w:val="18"/>
              </w:rPr>
            </w:pPr>
            <w:r>
              <w:rPr>
                <w:rFonts w:ascii="VIC" w:eastAsia="VIC" w:hAnsi="VIC"/>
                <w:color w:val="FF0000"/>
                <w:sz w:val="18"/>
              </w:rPr>
              <w:t>39 %</w:t>
            </w:r>
          </w:p>
        </w:tc>
      </w:tr>
      <w:tr w:rsidR="005853D5" w:rsidRPr="00A6366B" w14:paraId="1167B823" w14:textId="77777777" w:rsidTr="005853D5">
        <w:trPr>
          <w:trHeight w:val="340"/>
        </w:trPr>
        <w:tc>
          <w:tcPr>
            <w:tcW w:w="2704" w:type="dxa"/>
            <w:shd w:val="clear" w:color="auto" w:fill="BFCED6"/>
            <w:tcMar>
              <w:left w:w="57" w:type="dxa"/>
            </w:tcMar>
            <w:vAlign w:val="center"/>
          </w:tcPr>
          <w:p w14:paraId="05BDDF9D" w14:textId="696CE609" w:rsidR="005853D5" w:rsidRPr="00382424" w:rsidRDefault="005853D5" w:rsidP="005853D5">
            <w:pPr>
              <w:pStyle w:val="DHHStabletext"/>
              <w:spacing w:before="0" w:after="0"/>
              <w:rPr>
                <w:rFonts w:ascii="VIC" w:hAnsi="VIC"/>
                <w:sz w:val="18"/>
                <w:szCs w:val="18"/>
              </w:rPr>
            </w:pPr>
            <w:r>
              <w:rPr>
                <w:rFonts w:ascii="VIC" w:eastAsia="VIC" w:hAnsi="VIC"/>
                <w:color w:val="000000"/>
                <w:sz w:val="18"/>
              </w:rPr>
              <w:t>Eastern Health</w:t>
            </w:r>
          </w:p>
        </w:tc>
        <w:tc>
          <w:tcPr>
            <w:tcW w:w="1449" w:type="dxa"/>
            <w:shd w:val="clear" w:color="auto" w:fill="BFCED6"/>
            <w:vAlign w:val="center"/>
          </w:tcPr>
          <w:p w14:paraId="681B4214" w14:textId="3C666BB0" w:rsidR="005853D5" w:rsidRPr="005B1FEF" w:rsidRDefault="005853D5" w:rsidP="005853D5">
            <w:pPr>
              <w:jc w:val="right"/>
              <w:rPr>
                <w:rFonts w:ascii="VIC" w:hAnsi="VIC"/>
                <w:sz w:val="18"/>
                <w:szCs w:val="18"/>
              </w:rPr>
            </w:pPr>
            <w:r>
              <w:rPr>
                <w:rFonts w:ascii="VIC" w:eastAsia="VIC" w:hAnsi="VIC"/>
                <w:color w:val="000000"/>
                <w:sz w:val="18"/>
              </w:rPr>
              <w:t>39,872</w:t>
            </w:r>
          </w:p>
        </w:tc>
        <w:tc>
          <w:tcPr>
            <w:tcW w:w="1449" w:type="dxa"/>
            <w:shd w:val="clear" w:color="auto" w:fill="BFCED6"/>
            <w:vAlign w:val="center"/>
          </w:tcPr>
          <w:p w14:paraId="5D2E6588" w14:textId="71B1D881" w:rsidR="005853D5" w:rsidRPr="005B1FEF" w:rsidRDefault="005853D5" w:rsidP="005853D5">
            <w:pPr>
              <w:jc w:val="right"/>
              <w:rPr>
                <w:rFonts w:ascii="VIC" w:hAnsi="VIC"/>
                <w:sz w:val="18"/>
                <w:szCs w:val="18"/>
              </w:rPr>
            </w:pPr>
            <w:r>
              <w:rPr>
                <w:rFonts w:ascii="VIC" w:eastAsia="VIC" w:hAnsi="VIC"/>
                <w:color w:val="000000"/>
                <w:sz w:val="18"/>
              </w:rPr>
              <w:t>80,118</w:t>
            </w:r>
          </w:p>
        </w:tc>
        <w:tc>
          <w:tcPr>
            <w:tcW w:w="1449" w:type="dxa"/>
            <w:shd w:val="clear" w:color="auto" w:fill="BFCED6"/>
            <w:vAlign w:val="center"/>
          </w:tcPr>
          <w:p w14:paraId="78C2F2A5" w14:textId="6F33C254" w:rsidR="005853D5" w:rsidRPr="005B1FEF" w:rsidRDefault="005853D5" w:rsidP="005853D5">
            <w:pPr>
              <w:jc w:val="right"/>
              <w:rPr>
                <w:rFonts w:ascii="VIC" w:hAnsi="VIC"/>
                <w:sz w:val="18"/>
                <w:szCs w:val="18"/>
              </w:rPr>
            </w:pPr>
            <w:r>
              <w:rPr>
                <w:rFonts w:ascii="VIC" w:eastAsia="VIC" w:hAnsi="VIC"/>
                <w:color w:val="000000"/>
                <w:sz w:val="18"/>
              </w:rPr>
              <w:t>166,096</w:t>
            </w:r>
          </w:p>
        </w:tc>
        <w:tc>
          <w:tcPr>
            <w:tcW w:w="1449" w:type="dxa"/>
            <w:shd w:val="clear" w:color="auto" w:fill="BFCED6"/>
            <w:vAlign w:val="center"/>
          </w:tcPr>
          <w:p w14:paraId="418915D8" w14:textId="7A0CE8AF" w:rsidR="005853D5" w:rsidRPr="00D765CB" w:rsidRDefault="005853D5" w:rsidP="005853D5">
            <w:pPr>
              <w:jc w:val="right"/>
              <w:rPr>
                <w:rFonts w:ascii="VIC" w:hAnsi="VIC"/>
                <w:sz w:val="18"/>
                <w:szCs w:val="18"/>
              </w:rPr>
            </w:pPr>
            <w:r w:rsidRPr="00483D39">
              <w:rPr>
                <w:rFonts w:ascii="VIC" w:hAnsi="VIC"/>
                <w:sz w:val="18"/>
                <w:szCs w:val="18"/>
              </w:rPr>
              <w:t>50 %</w:t>
            </w:r>
          </w:p>
        </w:tc>
        <w:tc>
          <w:tcPr>
            <w:tcW w:w="1449" w:type="dxa"/>
            <w:shd w:val="clear" w:color="auto" w:fill="BFCED6"/>
            <w:tcMar>
              <w:bottom w:w="0" w:type="dxa"/>
              <w:right w:w="57" w:type="dxa"/>
            </w:tcMar>
            <w:vAlign w:val="center"/>
          </w:tcPr>
          <w:p w14:paraId="69E3AE08" w14:textId="0D274E31" w:rsidR="005853D5" w:rsidRPr="005B1FEF" w:rsidRDefault="005853D5" w:rsidP="005853D5">
            <w:pPr>
              <w:jc w:val="right"/>
              <w:rPr>
                <w:rFonts w:ascii="VIC" w:hAnsi="VIC"/>
                <w:sz w:val="18"/>
                <w:szCs w:val="18"/>
              </w:rPr>
            </w:pPr>
            <w:r>
              <w:rPr>
                <w:rFonts w:ascii="VIC" w:eastAsia="VIC" w:hAnsi="VIC"/>
                <w:color w:val="000000"/>
                <w:sz w:val="18"/>
              </w:rPr>
              <w:t>48 %</w:t>
            </w:r>
          </w:p>
        </w:tc>
      </w:tr>
      <w:tr w:rsidR="005853D5" w:rsidRPr="00A6366B" w14:paraId="3B60D1BE" w14:textId="77777777" w:rsidTr="005853D5">
        <w:trPr>
          <w:trHeight w:val="340"/>
        </w:trPr>
        <w:tc>
          <w:tcPr>
            <w:tcW w:w="2704" w:type="dxa"/>
            <w:shd w:val="clear" w:color="auto" w:fill="FFFFFF" w:themeFill="background1"/>
            <w:tcMar>
              <w:left w:w="57" w:type="dxa"/>
            </w:tcMar>
            <w:vAlign w:val="center"/>
          </w:tcPr>
          <w:p w14:paraId="0E554804" w14:textId="04728A90" w:rsidR="005853D5" w:rsidRDefault="005853D5" w:rsidP="005853D5">
            <w:pPr>
              <w:pStyle w:val="DHHStabletext"/>
              <w:spacing w:before="0" w:after="0"/>
              <w:rPr>
                <w:rFonts w:ascii="VIC" w:eastAsia="Verdana" w:hAnsi="VIC"/>
                <w:color w:val="000000"/>
                <w:sz w:val="18"/>
                <w:szCs w:val="18"/>
              </w:rPr>
            </w:pPr>
            <w:r>
              <w:rPr>
                <w:rFonts w:ascii="VIC" w:eastAsia="VIC" w:hAnsi="VIC"/>
                <w:color w:val="000000"/>
                <w:sz w:val="18"/>
              </w:rPr>
              <w:t>Melbourne Health</w:t>
            </w:r>
          </w:p>
        </w:tc>
        <w:tc>
          <w:tcPr>
            <w:tcW w:w="1449" w:type="dxa"/>
            <w:shd w:val="clear" w:color="auto" w:fill="FFFFFF" w:themeFill="background1"/>
            <w:vAlign w:val="center"/>
          </w:tcPr>
          <w:p w14:paraId="78B885C9" w14:textId="287D509D" w:rsidR="005853D5" w:rsidRPr="005B1FEF" w:rsidRDefault="005853D5" w:rsidP="005853D5">
            <w:pPr>
              <w:jc w:val="right"/>
              <w:rPr>
                <w:rFonts w:ascii="VIC" w:hAnsi="VIC"/>
                <w:sz w:val="18"/>
                <w:szCs w:val="18"/>
              </w:rPr>
            </w:pPr>
            <w:r>
              <w:rPr>
                <w:rFonts w:ascii="VIC" w:eastAsia="VIC" w:hAnsi="VIC"/>
                <w:color w:val="000000"/>
                <w:sz w:val="18"/>
              </w:rPr>
              <w:t>70,568</w:t>
            </w:r>
          </w:p>
        </w:tc>
        <w:tc>
          <w:tcPr>
            <w:tcW w:w="1449" w:type="dxa"/>
            <w:shd w:val="clear" w:color="auto" w:fill="FFFFFF" w:themeFill="background1"/>
            <w:vAlign w:val="center"/>
          </w:tcPr>
          <w:p w14:paraId="2C198557" w14:textId="7C80EBBE" w:rsidR="005853D5" w:rsidRPr="005B1FEF" w:rsidRDefault="005853D5" w:rsidP="005853D5">
            <w:pPr>
              <w:jc w:val="right"/>
              <w:rPr>
                <w:rFonts w:ascii="VIC" w:hAnsi="VIC"/>
                <w:sz w:val="18"/>
                <w:szCs w:val="18"/>
              </w:rPr>
            </w:pPr>
            <w:r>
              <w:rPr>
                <w:rFonts w:ascii="VIC" w:eastAsia="VIC" w:hAnsi="VIC"/>
                <w:color w:val="000000"/>
                <w:sz w:val="18"/>
              </w:rPr>
              <w:t>142,559</w:t>
            </w:r>
          </w:p>
        </w:tc>
        <w:tc>
          <w:tcPr>
            <w:tcW w:w="1449" w:type="dxa"/>
            <w:shd w:val="clear" w:color="auto" w:fill="FFFFFF" w:themeFill="background1"/>
            <w:vAlign w:val="center"/>
          </w:tcPr>
          <w:p w14:paraId="59F16309" w14:textId="6D805793" w:rsidR="005853D5" w:rsidRPr="005B1FEF" w:rsidRDefault="005853D5" w:rsidP="005853D5">
            <w:pPr>
              <w:jc w:val="right"/>
              <w:rPr>
                <w:rFonts w:ascii="VIC" w:hAnsi="VIC"/>
                <w:sz w:val="18"/>
                <w:szCs w:val="18"/>
              </w:rPr>
            </w:pPr>
            <w:r>
              <w:rPr>
                <w:rFonts w:ascii="VIC" w:eastAsia="VIC" w:hAnsi="VIC"/>
                <w:color w:val="000000"/>
                <w:sz w:val="18"/>
              </w:rPr>
              <w:t>271,244</w:t>
            </w:r>
          </w:p>
        </w:tc>
        <w:tc>
          <w:tcPr>
            <w:tcW w:w="1449" w:type="dxa"/>
            <w:shd w:val="clear" w:color="auto" w:fill="FFFFFF" w:themeFill="background1"/>
            <w:vAlign w:val="center"/>
          </w:tcPr>
          <w:p w14:paraId="07514259" w14:textId="4010AC9B" w:rsidR="005853D5" w:rsidRPr="00D765CB" w:rsidRDefault="005853D5" w:rsidP="005853D5">
            <w:pPr>
              <w:jc w:val="right"/>
              <w:rPr>
                <w:rFonts w:ascii="VIC" w:hAnsi="VIC"/>
                <w:sz w:val="18"/>
                <w:szCs w:val="18"/>
              </w:rPr>
            </w:pPr>
            <w:r w:rsidRPr="00483D39">
              <w:rPr>
                <w:rFonts w:ascii="VIC" w:hAnsi="VIC"/>
                <w:sz w:val="18"/>
                <w:szCs w:val="18"/>
              </w:rPr>
              <w:t>50 %</w:t>
            </w:r>
          </w:p>
        </w:tc>
        <w:tc>
          <w:tcPr>
            <w:tcW w:w="1449" w:type="dxa"/>
            <w:shd w:val="clear" w:color="auto" w:fill="FFFFFF" w:themeFill="background1"/>
            <w:tcMar>
              <w:bottom w:w="0" w:type="dxa"/>
              <w:right w:w="57" w:type="dxa"/>
            </w:tcMar>
            <w:vAlign w:val="center"/>
          </w:tcPr>
          <w:p w14:paraId="1C712338" w14:textId="745CDF02" w:rsidR="005853D5" w:rsidRPr="005B1FEF" w:rsidRDefault="005853D5" w:rsidP="005853D5">
            <w:pPr>
              <w:jc w:val="right"/>
              <w:rPr>
                <w:rFonts w:ascii="VIC" w:hAnsi="VIC"/>
                <w:sz w:val="18"/>
                <w:szCs w:val="18"/>
              </w:rPr>
            </w:pPr>
            <w:r>
              <w:rPr>
                <w:rFonts w:ascii="VIC" w:eastAsia="VIC" w:hAnsi="VIC"/>
                <w:color w:val="000000"/>
                <w:sz w:val="18"/>
              </w:rPr>
              <w:t>53 %</w:t>
            </w:r>
          </w:p>
        </w:tc>
      </w:tr>
      <w:tr w:rsidR="005853D5" w:rsidRPr="00A6366B" w14:paraId="2BE4D301" w14:textId="77777777" w:rsidTr="005853D5">
        <w:trPr>
          <w:trHeight w:val="340"/>
        </w:trPr>
        <w:tc>
          <w:tcPr>
            <w:tcW w:w="2704" w:type="dxa"/>
            <w:shd w:val="clear" w:color="auto" w:fill="BFCED6"/>
            <w:tcMar>
              <w:left w:w="57" w:type="dxa"/>
            </w:tcMar>
            <w:vAlign w:val="center"/>
          </w:tcPr>
          <w:p w14:paraId="5A2DD6EB" w14:textId="4D7F3F20" w:rsidR="005853D5" w:rsidRDefault="005853D5" w:rsidP="005853D5">
            <w:pPr>
              <w:pStyle w:val="DHHStabletext"/>
              <w:spacing w:before="0" w:after="0"/>
              <w:rPr>
                <w:rFonts w:ascii="VIC" w:eastAsia="Verdana" w:hAnsi="VIC"/>
                <w:color w:val="000000"/>
                <w:sz w:val="18"/>
                <w:szCs w:val="18"/>
              </w:rPr>
            </w:pPr>
            <w:r>
              <w:rPr>
                <w:rFonts w:ascii="VIC" w:eastAsia="VIC" w:hAnsi="VIC"/>
                <w:color w:val="000000"/>
                <w:sz w:val="18"/>
              </w:rPr>
              <w:t>Monash Health</w:t>
            </w:r>
          </w:p>
        </w:tc>
        <w:tc>
          <w:tcPr>
            <w:tcW w:w="1449" w:type="dxa"/>
            <w:shd w:val="clear" w:color="auto" w:fill="BFCED6"/>
            <w:vAlign w:val="center"/>
          </w:tcPr>
          <w:p w14:paraId="2B9AE086" w14:textId="58AF3A5C" w:rsidR="005853D5" w:rsidRPr="005B1FEF" w:rsidRDefault="005853D5" w:rsidP="005853D5">
            <w:pPr>
              <w:jc w:val="right"/>
              <w:rPr>
                <w:rFonts w:ascii="VIC" w:hAnsi="VIC"/>
                <w:sz w:val="18"/>
                <w:szCs w:val="18"/>
              </w:rPr>
            </w:pPr>
            <w:r>
              <w:rPr>
                <w:rFonts w:ascii="VIC" w:eastAsia="VIC" w:hAnsi="VIC"/>
                <w:color w:val="000000"/>
                <w:sz w:val="18"/>
              </w:rPr>
              <w:t>49,264</w:t>
            </w:r>
          </w:p>
        </w:tc>
        <w:tc>
          <w:tcPr>
            <w:tcW w:w="1449" w:type="dxa"/>
            <w:shd w:val="clear" w:color="auto" w:fill="BFCED6"/>
            <w:vAlign w:val="center"/>
          </w:tcPr>
          <w:p w14:paraId="7DAE285E" w14:textId="64DC9A81" w:rsidR="005853D5" w:rsidRPr="005B1FEF" w:rsidRDefault="005853D5" w:rsidP="005853D5">
            <w:pPr>
              <w:jc w:val="right"/>
              <w:rPr>
                <w:rFonts w:ascii="VIC" w:hAnsi="VIC"/>
                <w:sz w:val="18"/>
                <w:szCs w:val="18"/>
              </w:rPr>
            </w:pPr>
            <w:r>
              <w:rPr>
                <w:rFonts w:ascii="VIC" w:eastAsia="VIC" w:hAnsi="VIC"/>
                <w:color w:val="000000"/>
                <w:sz w:val="18"/>
              </w:rPr>
              <w:t>100,101</w:t>
            </w:r>
          </w:p>
        </w:tc>
        <w:tc>
          <w:tcPr>
            <w:tcW w:w="1449" w:type="dxa"/>
            <w:shd w:val="clear" w:color="auto" w:fill="BFCED6"/>
            <w:vAlign w:val="center"/>
          </w:tcPr>
          <w:p w14:paraId="6FA4356A" w14:textId="3C6C68F4" w:rsidR="005853D5" w:rsidRPr="005B1FEF" w:rsidRDefault="005853D5" w:rsidP="005853D5">
            <w:pPr>
              <w:jc w:val="right"/>
              <w:rPr>
                <w:rFonts w:ascii="VIC" w:hAnsi="VIC"/>
                <w:sz w:val="18"/>
                <w:szCs w:val="18"/>
              </w:rPr>
            </w:pPr>
            <w:r>
              <w:rPr>
                <w:rFonts w:ascii="VIC" w:eastAsia="VIC" w:hAnsi="VIC"/>
                <w:color w:val="000000"/>
                <w:sz w:val="18"/>
              </w:rPr>
              <w:t>195,861</w:t>
            </w:r>
          </w:p>
        </w:tc>
        <w:tc>
          <w:tcPr>
            <w:tcW w:w="1449" w:type="dxa"/>
            <w:shd w:val="clear" w:color="auto" w:fill="BFCED6"/>
            <w:vAlign w:val="center"/>
          </w:tcPr>
          <w:p w14:paraId="48D4AC85" w14:textId="435B266A" w:rsidR="005853D5" w:rsidRPr="00D765CB" w:rsidRDefault="005853D5" w:rsidP="005853D5">
            <w:pPr>
              <w:jc w:val="right"/>
              <w:rPr>
                <w:rFonts w:ascii="VIC" w:hAnsi="VIC"/>
                <w:sz w:val="18"/>
                <w:szCs w:val="18"/>
              </w:rPr>
            </w:pPr>
            <w:r w:rsidRPr="00483D39">
              <w:rPr>
                <w:rFonts w:ascii="VIC" w:hAnsi="VIC"/>
                <w:sz w:val="18"/>
                <w:szCs w:val="18"/>
              </w:rPr>
              <w:t>50 %</w:t>
            </w:r>
          </w:p>
        </w:tc>
        <w:tc>
          <w:tcPr>
            <w:tcW w:w="1449" w:type="dxa"/>
            <w:shd w:val="clear" w:color="auto" w:fill="BFCED6"/>
            <w:tcMar>
              <w:bottom w:w="0" w:type="dxa"/>
              <w:right w:w="57" w:type="dxa"/>
            </w:tcMar>
            <w:vAlign w:val="center"/>
          </w:tcPr>
          <w:p w14:paraId="09A22151" w14:textId="33743652" w:rsidR="005853D5" w:rsidRPr="005B1FEF" w:rsidRDefault="005853D5" w:rsidP="005853D5">
            <w:pPr>
              <w:jc w:val="right"/>
              <w:rPr>
                <w:rFonts w:ascii="VIC" w:hAnsi="VIC"/>
                <w:sz w:val="18"/>
                <w:szCs w:val="18"/>
              </w:rPr>
            </w:pPr>
            <w:r>
              <w:rPr>
                <w:rFonts w:ascii="VIC" w:eastAsia="VIC" w:hAnsi="VIC"/>
                <w:color w:val="000000"/>
                <w:sz w:val="18"/>
              </w:rPr>
              <w:t>51 %</w:t>
            </w:r>
          </w:p>
        </w:tc>
      </w:tr>
      <w:tr w:rsidR="005853D5" w:rsidRPr="00A6366B" w14:paraId="438A5ED7" w14:textId="77777777" w:rsidTr="005853D5">
        <w:trPr>
          <w:trHeight w:val="340"/>
        </w:trPr>
        <w:tc>
          <w:tcPr>
            <w:tcW w:w="2704" w:type="dxa"/>
            <w:shd w:val="clear" w:color="auto" w:fill="FFFFFF" w:themeFill="background1"/>
            <w:tcMar>
              <w:left w:w="57" w:type="dxa"/>
            </w:tcMar>
            <w:vAlign w:val="center"/>
          </w:tcPr>
          <w:p w14:paraId="5508A2FB" w14:textId="616FC47A" w:rsidR="005853D5" w:rsidRDefault="005853D5" w:rsidP="005853D5">
            <w:pPr>
              <w:pStyle w:val="DHHStabletext"/>
              <w:spacing w:before="0" w:after="0"/>
              <w:rPr>
                <w:rFonts w:ascii="VIC" w:eastAsia="Verdana" w:hAnsi="VIC"/>
                <w:color w:val="000000"/>
                <w:sz w:val="18"/>
                <w:szCs w:val="18"/>
              </w:rPr>
            </w:pPr>
            <w:r>
              <w:rPr>
                <w:rFonts w:ascii="VIC" w:eastAsia="VIC" w:hAnsi="VIC"/>
                <w:color w:val="000000"/>
                <w:sz w:val="18"/>
              </w:rPr>
              <w:t>Peninsula Health</w:t>
            </w:r>
          </w:p>
        </w:tc>
        <w:tc>
          <w:tcPr>
            <w:tcW w:w="1449" w:type="dxa"/>
            <w:shd w:val="clear" w:color="auto" w:fill="FFFFFF" w:themeFill="background1"/>
            <w:vAlign w:val="center"/>
          </w:tcPr>
          <w:p w14:paraId="476167F3" w14:textId="31113256" w:rsidR="005853D5" w:rsidRPr="005B1FEF" w:rsidRDefault="005853D5" w:rsidP="005853D5">
            <w:pPr>
              <w:jc w:val="right"/>
              <w:rPr>
                <w:rFonts w:ascii="VIC" w:hAnsi="VIC"/>
                <w:sz w:val="18"/>
                <w:szCs w:val="18"/>
              </w:rPr>
            </w:pPr>
            <w:r>
              <w:rPr>
                <w:rFonts w:ascii="VIC" w:eastAsia="VIC" w:hAnsi="VIC"/>
                <w:color w:val="000000"/>
                <w:sz w:val="18"/>
              </w:rPr>
              <w:t>13,306</w:t>
            </w:r>
          </w:p>
        </w:tc>
        <w:tc>
          <w:tcPr>
            <w:tcW w:w="1449" w:type="dxa"/>
            <w:shd w:val="clear" w:color="auto" w:fill="FFFFFF" w:themeFill="background1"/>
            <w:vAlign w:val="center"/>
          </w:tcPr>
          <w:p w14:paraId="10F0E63D" w14:textId="31C168FF" w:rsidR="005853D5" w:rsidRPr="005B1FEF" w:rsidRDefault="005853D5" w:rsidP="005853D5">
            <w:pPr>
              <w:jc w:val="right"/>
              <w:rPr>
                <w:rFonts w:ascii="VIC" w:hAnsi="VIC"/>
                <w:sz w:val="18"/>
                <w:szCs w:val="18"/>
              </w:rPr>
            </w:pPr>
            <w:r>
              <w:rPr>
                <w:rFonts w:ascii="VIC" w:eastAsia="VIC" w:hAnsi="VIC"/>
                <w:color w:val="000000"/>
                <w:sz w:val="18"/>
              </w:rPr>
              <w:t>27,029</w:t>
            </w:r>
          </w:p>
        </w:tc>
        <w:tc>
          <w:tcPr>
            <w:tcW w:w="1449" w:type="dxa"/>
            <w:shd w:val="clear" w:color="auto" w:fill="FFFFFF" w:themeFill="background1"/>
            <w:vAlign w:val="center"/>
          </w:tcPr>
          <w:p w14:paraId="7EDDBD46" w14:textId="2AE8D408" w:rsidR="005853D5" w:rsidRPr="005B1FEF" w:rsidRDefault="005853D5" w:rsidP="005853D5">
            <w:pPr>
              <w:jc w:val="right"/>
              <w:rPr>
                <w:rFonts w:ascii="VIC" w:hAnsi="VIC"/>
                <w:sz w:val="18"/>
                <w:szCs w:val="18"/>
              </w:rPr>
            </w:pPr>
            <w:r>
              <w:rPr>
                <w:rFonts w:ascii="VIC" w:eastAsia="VIC" w:hAnsi="VIC"/>
                <w:color w:val="000000"/>
                <w:sz w:val="18"/>
              </w:rPr>
              <w:t>61,104</w:t>
            </w:r>
          </w:p>
        </w:tc>
        <w:tc>
          <w:tcPr>
            <w:tcW w:w="1449" w:type="dxa"/>
            <w:shd w:val="clear" w:color="auto" w:fill="FFFFFF" w:themeFill="background1"/>
            <w:vAlign w:val="center"/>
          </w:tcPr>
          <w:p w14:paraId="5C34C696" w14:textId="40DD60D2" w:rsidR="005853D5" w:rsidRPr="00D765CB" w:rsidRDefault="005853D5" w:rsidP="005853D5">
            <w:pPr>
              <w:jc w:val="right"/>
              <w:rPr>
                <w:rFonts w:ascii="VIC" w:hAnsi="VIC"/>
                <w:sz w:val="18"/>
                <w:szCs w:val="18"/>
              </w:rPr>
            </w:pPr>
            <w:r w:rsidRPr="00483D39">
              <w:rPr>
                <w:rFonts w:ascii="VIC" w:hAnsi="VIC"/>
                <w:sz w:val="18"/>
                <w:szCs w:val="18"/>
              </w:rPr>
              <w:t>50 %</w:t>
            </w:r>
          </w:p>
        </w:tc>
        <w:tc>
          <w:tcPr>
            <w:tcW w:w="1449" w:type="dxa"/>
            <w:shd w:val="clear" w:color="auto" w:fill="FFFFFF" w:themeFill="background1"/>
            <w:tcMar>
              <w:bottom w:w="0" w:type="dxa"/>
              <w:right w:w="57" w:type="dxa"/>
            </w:tcMar>
            <w:vAlign w:val="center"/>
          </w:tcPr>
          <w:p w14:paraId="1BB32B21" w14:textId="27EBCDD0" w:rsidR="005853D5" w:rsidRPr="005B1FEF" w:rsidRDefault="005853D5" w:rsidP="005853D5">
            <w:pPr>
              <w:jc w:val="right"/>
              <w:rPr>
                <w:rFonts w:ascii="VIC" w:hAnsi="VIC"/>
                <w:sz w:val="18"/>
                <w:szCs w:val="18"/>
              </w:rPr>
            </w:pPr>
            <w:r>
              <w:rPr>
                <w:rFonts w:ascii="VIC" w:eastAsia="VIC" w:hAnsi="VIC"/>
                <w:color w:val="FF0000"/>
                <w:sz w:val="18"/>
              </w:rPr>
              <w:t>44 %</w:t>
            </w:r>
          </w:p>
        </w:tc>
      </w:tr>
      <w:tr w:rsidR="005853D5" w:rsidRPr="00A6366B" w14:paraId="5F773288" w14:textId="77777777" w:rsidTr="005853D5">
        <w:trPr>
          <w:trHeight w:val="340"/>
        </w:trPr>
        <w:tc>
          <w:tcPr>
            <w:tcW w:w="2704" w:type="dxa"/>
            <w:shd w:val="clear" w:color="auto" w:fill="BFCED6"/>
            <w:tcMar>
              <w:left w:w="57" w:type="dxa"/>
            </w:tcMar>
            <w:vAlign w:val="center"/>
          </w:tcPr>
          <w:p w14:paraId="3B22BA3E" w14:textId="42C0AAB4" w:rsidR="005853D5" w:rsidRDefault="005853D5" w:rsidP="005853D5">
            <w:pPr>
              <w:pStyle w:val="DHHStabletext"/>
              <w:spacing w:before="0" w:after="0"/>
              <w:rPr>
                <w:rFonts w:ascii="VIC" w:eastAsia="Verdana" w:hAnsi="VIC"/>
                <w:color w:val="000000"/>
                <w:sz w:val="18"/>
                <w:szCs w:val="18"/>
              </w:rPr>
            </w:pPr>
            <w:r>
              <w:rPr>
                <w:rFonts w:ascii="VIC" w:eastAsia="VIC" w:hAnsi="VIC"/>
                <w:color w:val="000000"/>
                <w:sz w:val="18"/>
              </w:rPr>
              <w:t>St Vincent's Hospital</w:t>
            </w:r>
          </w:p>
        </w:tc>
        <w:tc>
          <w:tcPr>
            <w:tcW w:w="1449" w:type="dxa"/>
            <w:shd w:val="clear" w:color="auto" w:fill="BFCED6"/>
            <w:vAlign w:val="center"/>
          </w:tcPr>
          <w:p w14:paraId="3E4F9E63" w14:textId="493B80D2" w:rsidR="005853D5" w:rsidRPr="005B1FEF" w:rsidRDefault="005853D5" w:rsidP="005853D5">
            <w:pPr>
              <w:jc w:val="right"/>
              <w:rPr>
                <w:rFonts w:ascii="VIC" w:hAnsi="VIC"/>
                <w:sz w:val="18"/>
                <w:szCs w:val="18"/>
              </w:rPr>
            </w:pPr>
            <w:r>
              <w:rPr>
                <w:rFonts w:ascii="VIC" w:eastAsia="VIC" w:hAnsi="VIC"/>
                <w:color w:val="000000"/>
                <w:sz w:val="18"/>
              </w:rPr>
              <w:t>17,674</w:t>
            </w:r>
          </w:p>
        </w:tc>
        <w:tc>
          <w:tcPr>
            <w:tcW w:w="1449" w:type="dxa"/>
            <w:shd w:val="clear" w:color="auto" w:fill="BFCED6"/>
            <w:vAlign w:val="center"/>
          </w:tcPr>
          <w:p w14:paraId="71558B5C" w14:textId="7F814219" w:rsidR="005853D5" w:rsidRPr="005B1FEF" w:rsidRDefault="005853D5" w:rsidP="005853D5">
            <w:pPr>
              <w:jc w:val="right"/>
              <w:rPr>
                <w:rFonts w:ascii="VIC" w:hAnsi="VIC"/>
                <w:sz w:val="18"/>
                <w:szCs w:val="18"/>
              </w:rPr>
            </w:pPr>
            <w:r>
              <w:rPr>
                <w:rFonts w:ascii="VIC" w:eastAsia="VIC" w:hAnsi="VIC"/>
                <w:color w:val="000000"/>
                <w:sz w:val="18"/>
              </w:rPr>
              <w:t>35,303</w:t>
            </w:r>
          </w:p>
        </w:tc>
        <w:tc>
          <w:tcPr>
            <w:tcW w:w="1449" w:type="dxa"/>
            <w:shd w:val="clear" w:color="auto" w:fill="BFCED6"/>
            <w:vAlign w:val="center"/>
          </w:tcPr>
          <w:p w14:paraId="0F7C08D8" w14:textId="1EB49D3E" w:rsidR="005853D5" w:rsidRPr="005B1FEF" w:rsidRDefault="005853D5" w:rsidP="005853D5">
            <w:pPr>
              <w:jc w:val="right"/>
              <w:rPr>
                <w:rFonts w:ascii="VIC" w:hAnsi="VIC"/>
                <w:sz w:val="18"/>
                <w:szCs w:val="18"/>
              </w:rPr>
            </w:pPr>
            <w:r>
              <w:rPr>
                <w:rFonts w:ascii="VIC" w:eastAsia="VIC" w:hAnsi="VIC"/>
                <w:color w:val="000000"/>
                <w:sz w:val="18"/>
              </w:rPr>
              <w:t>70,952</w:t>
            </w:r>
          </w:p>
        </w:tc>
        <w:tc>
          <w:tcPr>
            <w:tcW w:w="1449" w:type="dxa"/>
            <w:shd w:val="clear" w:color="auto" w:fill="BFCED6"/>
            <w:vAlign w:val="center"/>
          </w:tcPr>
          <w:p w14:paraId="4D408ED0" w14:textId="0E1BB5BD" w:rsidR="005853D5" w:rsidRPr="00D765CB" w:rsidRDefault="005853D5" w:rsidP="005853D5">
            <w:pPr>
              <w:jc w:val="right"/>
              <w:rPr>
                <w:rFonts w:ascii="VIC" w:hAnsi="VIC"/>
                <w:sz w:val="18"/>
                <w:szCs w:val="18"/>
              </w:rPr>
            </w:pPr>
            <w:r w:rsidRPr="00483D39">
              <w:rPr>
                <w:rFonts w:ascii="VIC" w:hAnsi="VIC"/>
                <w:sz w:val="18"/>
                <w:szCs w:val="18"/>
              </w:rPr>
              <w:t>50 %</w:t>
            </w:r>
          </w:p>
        </w:tc>
        <w:tc>
          <w:tcPr>
            <w:tcW w:w="1449" w:type="dxa"/>
            <w:shd w:val="clear" w:color="auto" w:fill="BFCED6"/>
            <w:tcMar>
              <w:bottom w:w="0" w:type="dxa"/>
              <w:right w:w="57" w:type="dxa"/>
            </w:tcMar>
            <w:vAlign w:val="center"/>
          </w:tcPr>
          <w:p w14:paraId="246C07E2" w14:textId="61278BB0" w:rsidR="005853D5" w:rsidRPr="005B1FEF" w:rsidRDefault="005853D5" w:rsidP="005853D5">
            <w:pPr>
              <w:jc w:val="right"/>
              <w:rPr>
                <w:rFonts w:ascii="VIC" w:hAnsi="VIC"/>
                <w:sz w:val="18"/>
                <w:szCs w:val="18"/>
              </w:rPr>
            </w:pPr>
            <w:r>
              <w:rPr>
                <w:rFonts w:ascii="VIC" w:eastAsia="VIC" w:hAnsi="VIC"/>
                <w:color w:val="000000"/>
                <w:sz w:val="18"/>
              </w:rPr>
              <w:t>50 %</w:t>
            </w:r>
          </w:p>
        </w:tc>
      </w:tr>
      <w:tr w:rsidR="005853D5" w:rsidRPr="00A6366B" w14:paraId="2258906B" w14:textId="77777777" w:rsidTr="005853D5">
        <w:trPr>
          <w:trHeight w:val="340"/>
        </w:trPr>
        <w:tc>
          <w:tcPr>
            <w:tcW w:w="2704" w:type="dxa"/>
            <w:shd w:val="clear" w:color="auto" w:fill="FFFFFF" w:themeFill="background1"/>
            <w:tcMar>
              <w:left w:w="57" w:type="dxa"/>
            </w:tcMar>
            <w:vAlign w:val="center"/>
          </w:tcPr>
          <w:p w14:paraId="71CD8163" w14:textId="4F113EAB" w:rsidR="005853D5" w:rsidRDefault="005853D5" w:rsidP="005853D5">
            <w:pPr>
              <w:pStyle w:val="DHHStabletext"/>
              <w:spacing w:before="0" w:after="0"/>
              <w:rPr>
                <w:rFonts w:ascii="VIC" w:eastAsia="Verdana" w:hAnsi="VIC"/>
                <w:color w:val="000000"/>
                <w:sz w:val="18"/>
                <w:szCs w:val="18"/>
              </w:rPr>
            </w:pPr>
            <w:r>
              <w:rPr>
                <w:rFonts w:ascii="VIC" w:eastAsia="VIC" w:hAnsi="VIC"/>
                <w:color w:val="000000"/>
                <w:sz w:val="18"/>
              </w:rPr>
              <w:t>Mercy Health</w:t>
            </w:r>
          </w:p>
        </w:tc>
        <w:tc>
          <w:tcPr>
            <w:tcW w:w="1449" w:type="dxa"/>
            <w:shd w:val="clear" w:color="auto" w:fill="FFFFFF" w:themeFill="background1"/>
            <w:vAlign w:val="center"/>
          </w:tcPr>
          <w:p w14:paraId="73E9A05B" w14:textId="7D88F6E5" w:rsidR="005853D5" w:rsidRPr="005B1FEF" w:rsidRDefault="005853D5" w:rsidP="005853D5">
            <w:pPr>
              <w:jc w:val="right"/>
              <w:rPr>
                <w:rFonts w:ascii="VIC" w:hAnsi="VIC"/>
                <w:sz w:val="18"/>
                <w:szCs w:val="18"/>
              </w:rPr>
            </w:pPr>
            <w:r>
              <w:rPr>
                <w:rFonts w:ascii="VIC" w:eastAsia="VIC" w:hAnsi="VIC"/>
                <w:color w:val="000000"/>
                <w:sz w:val="18"/>
              </w:rPr>
              <w:t>17,096</w:t>
            </w:r>
          </w:p>
        </w:tc>
        <w:tc>
          <w:tcPr>
            <w:tcW w:w="1449" w:type="dxa"/>
            <w:shd w:val="clear" w:color="auto" w:fill="FFFFFF" w:themeFill="background1"/>
            <w:vAlign w:val="center"/>
          </w:tcPr>
          <w:p w14:paraId="420F86E1" w14:textId="34733AA1" w:rsidR="005853D5" w:rsidRPr="005B1FEF" w:rsidRDefault="005853D5" w:rsidP="005853D5">
            <w:pPr>
              <w:jc w:val="right"/>
              <w:rPr>
                <w:rFonts w:ascii="VIC" w:hAnsi="VIC"/>
                <w:sz w:val="18"/>
                <w:szCs w:val="18"/>
              </w:rPr>
            </w:pPr>
            <w:r>
              <w:rPr>
                <w:rFonts w:ascii="VIC" w:eastAsia="VIC" w:hAnsi="VIC"/>
                <w:color w:val="000000"/>
                <w:sz w:val="18"/>
              </w:rPr>
              <w:t>33,231</w:t>
            </w:r>
          </w:p>
        </w:tc>
        <w:tc>
          <w:tcPr>
            <w:tcW w:w="1449" w:type="dxa"/>
            <w:shd w:val="clear" w:color="auto" w:fill="FFFFFF" w:themeFill="background1"/>
            <w:vAlign w:val="center"/>
          </w:tcPr>
          <w:p w14:paraId="64B9CAC0" w14:textId="2B637691" w:rsidR="005853D5" w:rsidRPr="005B1FEF" w:rsidRDefault="005853D5" w:rsidP="005853D5">
            <w:pPr>
              <w:jc w:val="right"/>
              <w:rPr>
                <w:rFonts w:ascii="VIC" w:hAnsi="VIC"/>
                <w:sz w:val="18"/>
                <w:szCs w:val="18"/>
              </w:rPr>
            </w:pPr>
            <w:r>
              <w:rPr>
                <w:rFonts w:ascii="VIC" w:eastAsia="VIC" w:hAnsi="VIC"/>
                <w:color w:val="000000"/>
                <w:sz w:val="18"/>
              </w:rPr>
              <w:t>65,644</w:t>
            </w:r>
          </w:p>
        </w:tc>
        <w:tc>
          <w:tcPr>
            <w:tcW w:w="1449" w:type="dxa"/>
            <w:shd w:val="clear" w:color="auto" w:fill="FFFFFF" w:themeFill="background1"/>
            <w:vAlign w:val="center"/>
          </w:tcPr>
          <w:p w14:paraId="48E4277B" w14:textId="23E8F3C2" w:rsidR="005853D5" w:rsidRPr="00D765CB" w:rsidRDefault="005853D5" w:rsidP="005853D5">
            <w:pPr>
              <w:jc w:val="right"/>
              <w:rPr>
                <w:rFonts w:ascii="VIC" w:hAnsi="VIC"/>
                <w:sz w:val="18"/>
                <w:szCs w:val="18"/>
              </w:rPr>
            </w:pPr>
            <w:r w:rsidRPr="00483D39">
              <w:rPr>
                <w:rFonts w:ascii="VIC" w:hAnsi="VIC"/>
                <w:sz w:val="18"/>
                <w:szCs w:val="18"/>
              </w:rPr>
              <w:t>50 %</w:t>
            </w:r>
          </w:p>
        </w:tc>
        <w:tc>
          <w:tcPr>
            <w:tcW w:w="1449" w:type="dxa"/>
            <w:shd w:val="clear" w:color="auto" w:fill="FFFFFF" w:themeFill="background1"/>
            <w:tcMar>
              <w:bottom w:w="0" w:type="dxa"/>
              <w:right w:w="57" w:type="dxa"/>
            </w:tcMar>
            <w:vAlign w:val="center"/>
          </w:tcPr>
          <w:p w14:paraId="46A42627" w14:textId="7BC7823A" w:rsidR="005853D5" w:rsidRPr="005B1FEF" w:rsidRDefault="005853D5" w:rsidP="005853D5">
            <w:pPr>
              <w:jc w:val="right"/>
              <w:rPr>
                <w:rFonts w:ascii="VIC" w:hAnsi="VIC"/>
                <w:sz w:val="18"/>
                <w:szCs w:val="18"/>
              </w:rPr>
            </w:pPr>
            <w:r>
              <w:rPr>
                <w:rFonts w:ascii="VIC" w:eastAsia="VIC" w:hAnsi="VIC"/>
                <w:color w:val="000000"/>
                <w:sz w:val="18"/>
              </w:rPr>
              <w:t>51 %</w:t>
            </w:r>
          </w:p>
        </w:tc>
      </w:tr>
      <w:tr w:rsidR="005853D5" w:rsidRPr="00A6366B" w14:paraId="1FF3F1C5" w14:textId="77777777" w:rsidTr="005853D5">
        <w:trPr>
          <w:trHeight w:val="340"/>
        </w:trPr>
        <w:tc>
          <w:tcPr>
            <w:tcW w:w="2704" w:type="dxa"/>
            <w:shd w:val="clear" w:color="auto" w:fill="BFCED6"/>
            <w:tcMar>
              <w:left w:w="57" w:type="dxa"/>
            </w:tcMar>
            <w:vAlign w:val="center"/>
          </w:tcPr>
          <w:p w14:paraId="1A232B5F" w14:textId="20F80DF9" w:rsidR="005853D5" w:rsidRDefault="005853D5" w:rsidP="005853D5">
            <w:pPr>
              <w:pStyle w:val="DHHStabletext"/>
              <w:spacing w:before="0" w:after="0"/>
              <w:rPr>
                <w:rFonts w:ascii="VIC" w:eastAsia="Verdana" w:hAnsi="VIC"/>
                <w:color w:val="000000"/>
                <w:sz w:val="18"/>
                <w:szCs w:val="18"/>
              </w:rPr>
            </w:pPr>
            <w:r>
              <w:rPr>
                <w:rFonts w:ascii="VIC" w:eastAsia="VIC" w:hAnsi="VIC"/>
                <w:color w:val="000000"/>
                <w:sz w:val="18"/>
              </w:rPr>
              <w:t>Royal Children's</w:t>
            </w:r>
          </w:p>
        </w:tc>
        <w:tc>
          <w:tcPr>
            <w:tcW w:w="1449" w:type="dxa"/>
            <w:shd w:val="clear" w:color="auto" w:fill="BFCED6"/>
            <w:vAlign w:val="center"/>
          </w:tcPr>
          <w:p w14:paraId="52438A44" w14:textId="39F24202" w:rsidR="005853D5" w:rsidRPr="005B1FEF" w:rsidRDefault="005853D5" w:rsidP="005853D5">
            <w:pPr>
              <w:jc w:val="right"/>
              <w:rPr>
                <w:rFonts w:ascii="VIC" w:hAnsi="VIC"/>
                <w:sz w:val="18"/>
                <w:szCs w:val="18"/>
              </w:rPr>
            </w:pPr>
            <w:r>
              <w:rPr>
                <w:rFonts w:ascii="VIC" w:eastAsia="VIC" w:hAnsi="VIC"/>
                <w:color w:val="000000"/>
                <w:sz w:val="18"/>
              </w:rPr>
              <w:t>8,277</w:t>
            </w:r>
          </w:p>
        </w:tc>
        <w:tc>
          <w:tcPr>
            <w:tcW w:w="1449" w:type="dxa"/>
            <w:shd w:val="clear" w:color="auto" w:fill="BFCED6"/>
            <w:vAlign w:val="center"/>
          </w:tcPr>
          <w:p w14:paraId="351EC681" w14:textId="7AB826A4" w:rsidR="005853D5" w:rsidRPr="005B1FEF" w:rsidRDefault="005853D5" w:rsidP="005853D5">
            <w:pPr>
              <w:jc w:val="right"/>
              <w:rPr>
                <w:rFonts w:ascii="VIC" w:hAnsi="VIC"/>
                <w:sz w:val="18"/>
                <w:szCs w:val="18"/>
              </w:rPr>
            </w:pPr>
            <w:r>
              <w:rPr>
                <w:rFonts w:ascii="VIC" w:eastAsia="VIC" w:hAnsi="VIC"/>
                <w:color w:val="000000"/>
                <w:sz w:val="18"/>
              </w:rPr>
              <w:t>17,118</w:t>
            </w:r>
          </w:p>
        </w:tc>
        <w:tc>
          <w:tcPr>
            <w:tcW w:w="1449" w:type="dxa"/>
            <w:shd w:val="clear" w:color="auto" w:fill="BFCED6"/>
            <w:vAlign w:val="center"/>
          </w:tcPr>
          <w:p w14:paraId="041C39BC" w14:textId="6BD24462" w:rsidR="005853D5" w:rsidRPr="005B1FEF" w:rsidRDefault="005853D5" w:rsidP="005853D5">
            <w:pPr>
              <w:jc w:val="right"/>
              <w:rPr>
                <w:rFonts w:ascii="VIC" w:hAnsi="VIC"/>
                <w:sz w:val="18"/>
                <w:szCs w:val="18"/>
              </w:rPr>
            </w:pPr>
            <w:r>
              <w:rPr>
                <w:rFonts w:ascii="VIC" w:eastAsia="VIC" w:hAnsi="VIC"/>
                <w:color w:val="000000"/>
                <w:sz w:val="18"/>
              </w:rPr>
              <w:t>37,584</w:t>
            </w:r>
          </w:p>
        </w:tc>
        <w:tc>
          <w:tcPr>
            <w:tcW w:w="1449" w:type="dxa"/>
            <w:shd w:val="clear" w:color="auto" w:fill="BFCED6"/>
            <w:vAlign w:val="center"/>
          </w:tcPr>
          <w:p w14:paraId="60971C47" w14:textId="2AA6F340" w:rsidR="005853D5" w:rsidRPr="00D765CB" w:rsidRDefault="005853D5" w:rsidP="005853D5">
            <w:pPr>
              <w:jc w:val="right"/>
              <w:rPr>
                <w:rFonts w:ascii="VIC" w:hAnsi="VIC"/>
                <w:sz w:val="18"/>
                <w:szCs w:val="18"/>
              </w:rPr>
            </w:pPr>
            <w:r w:rsidRPr="00483D39">
              <w:rPr>
                <w:rFonts w:ascii="VIC" w:hAnsi="VIC"/>
                <w:sz w:val="18"/>
                <w:szCs w:val="18"/>
              </w:rPr>
              <w:t>50 %</w:t>
            </w:r>
          </w:p>
        </w:tc>
        <w:tc>
          <w:tcPr>
            <w:tcW w:w="1449" w:type="dxa"/>
            <w:shd w:val="clear" w:color="auto" w:fill="BFCED6"/>
            <w:tcMar>
              <w:bottom w:w="0" w:type="dxa"/>
              <w:right w:w="57" w:type="dxa"/>
            </w:tcMar>
            <w:vAlign w:val="center"/>
          </w:tcPr>
          <w:p w14:paraId="49DF8B68" w14:textId="20A1A7D7" w:rsidR="005853D5" w:rsidRPr="005B1FEF" w:rsidRDefault="005853D5" w:rsidP="005853D5">
            <w:pPr>
              <w:jc w:val="right"/>
              <w:rPr>
                <w:rFonts w:ascii="VIC" w:hAnsi="VIC"/>
                <w:sz w:val="18"/>
                <w:szCs w:val="18"/>
              </w:rPr>
            </w:pPr>
            <w:r>
              <w:rPr>
                <w:rFonts w:ascii="VIC" w:eastAsia="VIC" w:hAnsi="VIC"/>
                <w:color w:val="000000"/>
                <w:sz w:val="18"/>
              </w:rPr>
              <w:t>46 %</w:t>
            </w:r>
          </w:p>
        </w:tc>
      </w:tr>
      <w:tr w:rsidR="005853D5" w:rsidRPr="00A6366B" w14:paraId="0BB44688" w14:textId="77777777" w:rsidTr="005853D5">
        <w:trPr>
          <w:trHeight w:val="340"/>
        </w:trPr>
        <w:tc>
          <w:tcPr>
            <w:tcW w:w="2704" w:type="dxa"/>
            <w:shd w:val="clear" w:color="auto" w:fill="FFFFFF" w:themeFill="background1"/>
            <w:tcMar>
              <w:left w:w="57" w:type="dxa"/>
            </w:tcMar>
            <w:vAlign w:val="center"/>
          </w:tcPr>
          <w:p w14:paraId="738C062A" w14:textId="2EF8B92C" w:rsidR="005853D5" w:rsidRDefault="005853D5" w:rsidP="005853D5">
            <w:pPr>
              <w:pStyle w:val="DHHStabletext"/>
              <w:spacing w:before="0" w:after="0"/>
              <w:rPr>
                <w:rFonts w:ascii="VIC" w:eastAsia="Verdana" w:hAnsi="VIC"/>
                <w:color w:val="000000"/>
                <w:sz w:val="18"/>
                <w:szCs w:val="18"/>
              </w:rPr>
            </w:pPr>
            <w:r>
              <w:rPr>
                <w:rFonts w:ascii="VIC" w:eastAsia="VIC" w:hAnsi="VIC"/>
                <w:color w:val="000000"/>
                <w:sz w:val="18"/>
              </w:rPr>
              <w:t>VIFMH (</w:t>
            </w:r>
            <w:proofErr w:type="spellStart"/>
            <w:r>
              <w:rPr>
                <w:rFonts w:ascii="VIC" w:eastAsia="VIC" w:hAnsi="VIC"/>
                <w:color w:val="000000"/>
                <w:sz w:val="18"/>
              </w:rPr>
              <w:t>Forensicare</w:t>
            </w:r>
            <w:proofErr w:type="spellEnd"/>
            <w:r>
              <w:rPr>
                <w:rFonts w:ascii="VIC" w:eastAsia="VIC" w:hAnsi="VIC"/>
                <w:color w:val="000000"/>
                <w:sz w:val="18"/>
              </w:rPr>
              <w:t>)</w:t>
            </w:r>
          </w:p>
        </w:tc>
        <w:tc>
          <w:tcPr>
            <w:tcW w:w="1449" w:type="dxa"/>
            <w:shd w:val="clear" w:color="auto" w:fill="FFFFFF" w:themeFill="background1"/>
            <w:vAlign w:val="center"/>
          </w:tcPr>
          <w:p w14:paraId="5DD55C89" w14:textId="788622FA" w:rsidR="005853D5" w:rsidRPr="005B1FEF" w:rsidRDefault="005853D5" w:rsidP="005853D5">
            <w:pPr>
              <w:jc w:val="right"/>
              <w:rPr>
                <w:rFonts w:ascii="VIC" w:hAnsi="VIC"/>
                <w:sz w:val="18"/>
                <w:szCs w:val="18"/>
              </w:rPr>
            </w:pPr>
            <w:r>
              <w:rPr>
                <w:rFonts w:ascii="VIC" w:eastAsia="VIC" w:hAnsi="VIC"/>
                <w:color w:val="000000"/>
                <w:sz w:val="18"/>
              </w:rPr>
              <w:t>4,081</w:t>
            </w:r>
          </w:p>
        </w:tc>
        <w:tc>
          <w:tcPr>
            <w:tcW w:w="1449" w:type="dxa"/>
            <w:shd w:val="clear" w:color="auto" w:fill="FFFFFF" w:themeFill="background1"/>
            <w:vAlign w:val="center"/>
          </w:tcPr>
          <w:p w14:paraId="62C7C549" w14:textId="3472258A" w:rsidR="005853D5" w:rsidRPr="005B1FEF" w:rsidRDefault="005853D5" w:rsidP="005853D5">
            <w:pPr>
              <w:jc w:val="right"/>
              <w:rPr>
                <w:rFonts w:ascii="VIC" w:hAnsi="VIC"/>
                <w:sz w:val="18"/>
                <w:szCs w:val="18"/>
              </w:rPr>
            </w:pPr>
            <w:r>
              <w:rPr>
                <w:rFonts w:ascii="VIC" w:eastAsia="VIC" w:hAnsi="VIC"/>
                <w:color w:val="000000"/>
                <w:sz w:val="18"/>
              </w:rPr>
              <w:t>8,245</w:t>
            </w:r>
          </w:p>
        </w:tc>
        <w:tc>
          <w:tcPr>
            <w:tcW w:w="1449" w:type="dxa"/>
            <w:shd w:val="clear" w:color="auto" w:fill="FFFFFF" w:themeFill="background1"/>
            <w:vAlign w:val="center"/>
          </w:tcPr>
          <w:p w14:paraId="5D4BE788" w14:textId="433A14D3" w:rsidR="005853D5" w:rsidRPr="005B1FEF" w:rsidRDefault="005853D5" w:rsidP="005853D5">
            <w:pPr>
              <w:jc w:val="right"/>
              <w:rPr>
                <w:rFonts w:ascii="VIC" w:hAnsi="VIC"/>
                <w:sz w:val="18"/>
                <w:szCs w:val="18"/>
              </w:rPr>
            </w:pPr>
            <w:r>
              <w:rPr>
                <w:rFonts w:ascii="VIC" w:eastAsia="VIC" w:hAnsi="VIC"/>
                <w:color w:val="000000"/>
                <w:sz w:val="18"/>
              </w:rPr>
              <w:t>19,818</w:t>
            </w:r>
          </w:p>
        </w:tc>
        <w:tc>
          <w:tcPr>
            <w:tcW w:w="1449" w:type="dxa"/>
            <w:shd w:val="clear" w:color="auto" w:fill="FFFFFF" w:themeFill="background1"/>
            <w:vAlign w:val="center"/>
          </w:tcPr>
          <w:p w14:paraId="3E3847B9" w14:textId="4DF86FE3" w:rsidR="005853D5" w:rsidRPr="00D765CB" w:rsidRDefault="005853D5" w:rsidP="005853D5">
            <w:pPr>
              <w:jc w:val="right"/>
              <w:rPr>
                <w:rFonts w:ascii="VIC" w:hAnsi="VIC"/>
                <w:sz w:val="18"/>
                <w:szCs w:val="18"/>
              </w:rPr>
            </w:pPr>
            <w:r w:rsidRPr="00483D39">
              <w:rPr>
                <w:rFonts w:ascii="VIC" w:hAnsi="VIC"/>
                <w:sz w:val="18"/>
                <w:szCs w:val="18"/>
              </w:rPr>
              <w:t>50 %</w:t>
            </w:r>
          </w:p>
        </w:tc>
        <w:tc>
          <w:tcPr>
            <w:tcW w:w="1449" w:type="dxa"/>
            <w:shd w:val="clear" w:color="auto" w:fill="FFFFFF" w:themeFill="background1"/>
            <w:tcMar>
              <w:bottom w:w="0" w:type="dxa"/>
              <w:right w:w="57" w:type="dxa"/>
            </w:tcMar>
            <w:vAlign w:val="center"/>
          </w:tcPr>
          <w:p w14:paraId="43FE3E99" w14:textId="37A72B9E" w:rsidR="005853D5" w:rsidRPr="005B1FEF" w:rsidRDefault="005853D5" w:rsidP="005853D5">
            <w:pPr>
              <w:jc w:val="right"/>
              <w:rPr>
                <w:rFonts w:ascii="VIC" w:hAnsi="VIC"/>
                <w:sz w:val="18"/>
                <w:szCs w:val="18"/>
              </w:rPr>
            </w:pPr>
            <w:r>
              <w:rPr>
                <w:rFonts w:ascii="VIC" w:eastAsia="VIC" w:hAnsi="VIC"/>
                <w:color w:val="FF0000"/>
                <w:sz w:val="18"/>
              </w:rPr>
              <w:t>42 %</w:t>
            </w:r>
          </w:p>
        </w:tc>
      </w:tr>
      <w:tr w:rsidR="005853D5" w:rsidRPr="00A6366B" w14:paraId="00C6C6C0" w14:textId="77777777" w:rsidTr="005853D5">
        <w:trPr>
          <w:trHeight w:val="340"/>
        </w:trPr>
        <w:tc>
          <w:tcPr>
            <w:tcW w:w="2704" w:type="dxa"/>
            <w:shd w:val="clear" w:color="auto" w:fill="BFCED6"/>
            <w:tcMar>
              <w:left w:w="57" w:type="dxa"/>
            </w:tcMar>
            <w:vAlign w:val="center"/>
          </w:tcPr>
          <w:p w14:paraId="22CAE699" w14:textId="27D71212" w:rsidR="005853D5" w:rsidRDefault="005853D5" w:rsidP="005853D5">
            <w:pPr>
              <w:pStyle w:val="DHHStabletext"/>
              <w:spacing w:before="0" w:after="0"/>
              <w:rPr>
                <w:rFonts w:ascii="VIC" w:eastAsia="Verdana" w:hAnsi="VIC"/>
                <w:color w:val="000000"/>
                <w:sz w:val="18"/>
                <w:szCs w:val="18"/>
              </w:rPr>
            </w:pPr>
            <w:r>
              <w:rPr>
                <w:rFonts w:ascii="VIC" w:eastAsia="VIC" w:hAnsi="VIC"/>
                <w:color w:val="000000"/>
                <w:sz w:val="18"/>
              </w:rPr>
              <w:t>Ballarat Health</w:t>
            </w:r>
          </w:p>
        </w:tc>
        <w:tc>
          <w:tcPr>
            <w:tcW w:w="1449" w:type="dxa"/>
            <w:shd w:val="clear" w:color="auto" w:fill="BFCED6"/>
            <w:vAlign w:val="center"/>
          </w:tcPr>
          <w:p w14:paraId="5CFD4995" w14:textId="7F3E5318" w:rsidR="005853D5" w:rsidRPr="005B1FEF" w:rsidRDefault="005853D5" w:rsidP="005853D5">
            <w:pPr>
              <w:jc w:val="right"/>
              <w:rPr>
                <w:rFonts w:ascii="VIC" w:hAnsi="VIC"/>
                <w:sz w:val="18"/>
                <w:szCs w:val="18"/>
              </w:rPr>
            </w:pPr>
            <w:r>
              <w:rPr>
                <w:rFonts w:ascii="VIC" w:eastAsia="VIC" w:hAnsi="VIC"/>
                <w:color w:val="000000"/>
                <w:sz w:val="18"/>
              </w:rPr>
              <w:t>13,646</w:t>
            </w:r>
          </w:p>
        </w:tc>
        <w:tc>
          <w:tcPr>
            <w:tcW w:w="1449" w:type="dxa"/>
            <w:shd w:val="clear" w:color="auto" w:fill="BFCED6"/>
            <w:vAlign w:val="center"/>
          </w:tcPr>
          <w:p w14:paraId="05A5F4D1" w14:textId="7CDBEB53" w:rsidR="005853D5" w:rsidRPr="005B1FEF" w:rsidRDefault="005853D5" w:rsidP="005853D5">
            <w:pPr>
              <w:jc w:val="right"/>
              <w:rPr>
                <w:rFonts w:ascii="VIC" w:hAnsi="VIC"/>
                <w:sz w:val="18"/>
                <w:szCs w:val="18"/>
              </w:rPr>
            </w:pPr>
            <w:r>
              <w:rPr>
                <w:rFonts w:ascii="VIC" w:eastAsia="VIC" w:hAnsi="VIC"/>
                <w:color w:val="000000"/>
                <w:sz w:val="18"/>
              </w:rPr>
              <w:t>27,403</w:t>
            </w:r>
          </w:p>
        </w:tc>
        <w:tc>
          <w:tcPr>
            <w:tcW w:w="1449" w:type="dxa"/>
            <w:shd w:val="clear" w:color="auto" w:fill="BFCED6"/>
            <w:vAlign w:val="center"/>
          </w:tcPr>
          <w:p w14:paraId="7BFCB656" w14:textId="266F8A3D" w:rsidR="005853D5" w:rsidRPr="005B1FEF" w:rsidRDefault="005853D5" w:rsidP="005853D5">
            <w:pPr>
              <w:jc w:val="right"/>
              <w:rPr>
                <w:rFonts w:ascii="VIC" w:hAnsi="VIC"/>
                <w:sz w:val="18"/>
                <w:szCs w:val="18"/>
              </w:rPr>
            </w:pPr>
            <w:r>
              <w:rPr>
                <w:rFonts w:ascii="VIC" w:eastAsia="VIC" w:hAnsi="VIC"/>
                <w:color w:val="000000"/>
                <w:sz w:val="18"/>
              </w:rPr>
              <w:t>61,208</w:t>
            </w:r>
          </w:p>
        </w:tc>
        <w:tc>
          <w:tcPr>
            <w:tcW w:w="1449" w:type="dxa"/>
            <w:shd w:val="clear" w:color="auto" w:fill="BFCED6"/>
            <w:vAlign w:val="center"/>
          </w:tcPr>
          <w:p w14:paraId="5FF3701D" w14:textId="63742ABD" w:rsidR="005853D5" w:rsidRPr="00D765CB" w:rsidRDefault="005853D5" w:rsidP="005853D5">
            <w:pPr>
              <w:jc w:val="right"/>
              <w:rPr>
                <w:rFonts w:ascii="VIC" w:hAnsi="VIC"/>
                <w:sz w:val="18"/>
                <w:szCs w:val="18"/>
              </w:rPr>
            </w:pPr>
            <w:r w:rsidRPr="00483D39">
              <w:rPr>
                <w:rFonts w:ascii="VIC" w:hAnsi="VIC"/>
                <w:sz w:val="18"/>
                <w:szCs w:val="18"/>
              </w:rPr>
              <w:t>50 %</w:t>
            </w:r>
          </w:p>
        </w:tc>
        <w:tc>
          <w:tcPr>
            <w:tcW w:w="1449" w:type="dxa"/>
            <w:shd w:val="clear" w:color="auto" w:fill="BFCED6"/>
            <w:tcMar>
              <w:bottom w:w="0" w:type="dxa"/>
              <w:right w:w="57" w:type="dxa"/>
            </w:tcMar>
            <w:vAlign w:val="center"/>
          </w:tcPr>
          <w:p w14:paraId="28EBFFF3" w14:textId="14D50A4D" w:rsidR="005853D5" w:rsidRPr="005B1FEF" w:rsidRDefault="005853D5" w:rsidP="005853D5">
            <w:pPr>
              <w:jc w:val="right"/>
              <w:rPr>
                <w:rFonts w:ascii="VIC" w:hAnsi="VIC"/>
                <w:sz w:val="18"/>
                <w:szCs w:val="18"/>
              </w:rPr>
            </w:pPr>
            <w:r>
              <w:rPr>
                <w:rFonts w:ascii="VIC" w:eastAsia="VIC" w:hAnsi="VIC"/>
                <w:color w:val="FF0000"/>
                <w:sz w:val="18"/>
              </w:rPr>
              <w:t>45 %</w:t>
            </w:r>
          </w:p>
        </w:tc>
      </w:tr>
      <w:tr w:rsidR="005853D5" w:rsidRPr="00A6366B" w14:paraId="27BEC895" w14:textId="77777777" w:rsidTr="005853D5">
        <w:trPr>
          <w:trHeight w:val="340"/>
        </w:trPr>
        <w:tc>
          <w:tcPr>
            <w:tcW w:w="2704" w:type="dxa"/>
            <w:shd w:val="clear" w:color="auto" w:fill="FFFFFF" w:themeFill="background1"/>
            <w:tcMar>
              <w:left w:w="57" w:type="dxa"/>
            </w:tcMar>
            <w:vAlign w:val="center"/>
          </w:tcPr>
          <w:p w14:paraId="17225578" w14:textId="2F22B4FB" w:rsidR="005853D5" w:rsidRDefault="005853D5" w:rsidP="005853D5">
            <w:pPr>
              <w:pStyle w:val="DHHStabletext"/>
              <w:spacing w:before="0" w:after="0"/>
              <w:rPr>
                <w:rFonts w:ascii="VIC" w:eastAsia="Verdana" w:hAnsi="VIC"/>
                <w:color w:val="000000"/>
                <w:sz w:val="18"/>
                <w:szCs w:val="18"/>
              </w:rPr>
            </w:pPr>
            <w:r>
              <w:rPr>
                <w:rFonts w:ascii="VIC" w:eastAsia="VIC" w:hAnsi="VIC"/>
                <w:color w:val="000000"/>
                <w:sz w:val="18"/>
              </w:rPr>
              <w:t>Barwon Health</w:t>
            </w:r>
          </w:p>
        </w:tc>
        <w:tc>
          <w:tcPr>
            <w:tcW w:w="1449" w:type="dxa"/>
            <w:shd w:val="clear" w:color="auto" w:fill="FFFFFF" w:themeFill="background1"/>
            <w:vAlign w:val="center"/>
          </w:tcPr>
          <w:p w14:paraId="1B35A67A" w14:textId="3F56AE8C" w:rsidR="005853D5" w:rsidRPr="005B1FEF" w:rsidRDefault="005853D5" w:rsidP="005853D5">
            <w:pPr>
              <w:jc w:val="right"/>
              <w:rPr>
                <w:rFonts w:ascii="VIC" w:hAnsi="VIC"/>
                <w:sz w:val="18"/>
                <w:szCs w:val="18"/>
              </w:rPr>
            </w:pPr>
            <w:r>
              <w:rPr>
                <w:rFonts w:ascii="VIC" w:eastAsia="VIC" w:hAnsi="VIC"/>
                <w:color w:val="000000"/>
                <w:sz w:val="18"/>
              </w:rPr>
              <w:t>17,457</w:t>
            </w:r>
          </w:p>
        </w:tc>
        <w:tc>
          <w:tcPr>
            <w:tcW w:w="1449" w:type="dxa"/>
            <w:shd w:val="clear" w:color="auto" w:fill="FFFFFF" w:themeFill="background1"/>
            <w:vAlign w:val="center"/>
          </w:tcPr>
          <w:p w14:paraId="01BBF7F1" w14:textId="75B7F57E" w:rsidR="005853D5" w:rsidRPr="005B1FEF" w:rsidRDefault="005853D5" w:rsidP="005853D5">
            <w:pPr>
              <w:jc w:val="right"/>
              <w:rPr>
                <w:rFonts w:ascii="VIC" w:hAnsi="VIC"/>
                <w:sz w:val="18"/>
                <w:szCs w:val="18"/>
              </w:rPr>
            </w:pPr>
            <w:r>
              <w:rPr>
                <w:rFonts w:ascii="VIC" w:eastAsia="VIC" w:hAnsi="VIC"/>
                <w:color w:val="000000"/>
                <w:sz w:val="18"/>
              </w:rPr>
              <w:t>35,508</w:t>
            </w:r>
          </w:p>
        </w:tc>
        <w:tc>
          <w:tcPr>
            <w:tcW w:w="1449" w:type="dxa"/>
            <w:shd w:val="clear" w:color="auto" w:fill="FFFFFF" w:themeFill="background1"/>
            <w:vAlign w:val="center"/>
          </w:tcPr>
          <w:p w14:paraId="74404D8A" w14:textId="12FE6567" w:rsidR="005853D5" w:rsidRPr="005B1FEF" w:rsidRDefault="005853D5" w:rsidP="005853D5">
            <w:pPr>
              <w:jc w:val="right"/>
              <w:rPr>
                <w:rFonts w:ascii="VIC" w:hAnsi="VIC"/>
                <w:sz w:val="18"/>
                <w:szCs w:val="18"/>
              </w:rPr>
            </w:pPr>
            <w:r>
              <w:rPr>
                <w:rFonts w:ascii="VIC" w:eastAsia="VIC" w:hAnsi="VIC"/>
                <w:color w:val="000000"/>
                <w:sz w:val="18"/>
              </w:rPr>
              <w:t>72,115</w:t>
            </w:r>
          </w:p>
        </w:tc>
        <w:tc>
          <w:tcPr>
            <w:tcW w:w="1449" w:type="dxa"/>
            <w:shd w:val="clear" w:color="auto" w:fill="FFFFFF" w:themeFill="background1"/>
            <w:vAlign w:val="center"/>
          </w:tcPr>
          <w:p w14:paraId="2028B110" w14:textId="476078D1" w:rsidR="005853D5" w:rsidRPr="00D765CB" w:rsidRDefault="005853D5" w:rsidP="005853D5">
            <w:pPr>
              <w:jc w:val="right"/>
              <w:rPr>
                <w:rFonts w:ascii="VIC" w:hAnsi="VIC"/>
                <w:sz w:val="18"/>
                <w:szCs w:val="18"/>
              </w:rPr>
            </w:pPr>
            <w:r w:rsidRPr="00483D39">
              <w:rPr>
                <w:rFonts w:ascii="VIC" w:hAnsi="VIC"/>
                <w:sz w:val="18"/>
                <w:szCs w:val="18"/>
              </w:rPr>
              <w:t>50 %</w:t>
            </w:r>
          </w:p>
        </w:tc>
        <w:tc>
          <w:tcPr>
            <w:tcW w:w="1449" w:type="dxa"/>
            <w:shd w:val="clear" w:color="auto" w:fill="FFFFFF" w:themeFill="background1"/>
            <w:tcMar>
              <w:bottom w:w="0" w:type="dxa"/>
              <w:right w:w="57" w:type="dxa"/>
            </w:tcMar>
            <w:vAlign w:val="center"/>
          </w:tcPr>
          <w:p w14:paraId="61EBA250" w14:textId="27B1F8A8" w:rsidR="005853D5" w:rsidRPr="005B1FEF" w:rsidRDefault="005853D5" w:rsidP="005853D5">
            <w:pPr>
              <w:jc w:val="right"/>
              <w:rPr>
                <w:rFonts w:ascii="VIC" w:hAnsi="VIC"/>
                <w:sz w:val="18"/>
                <w:szCs w:val="18"/>
              </w:rPr>
            </w:pPr>
            <w:r>
              <w:rPr>
                <w:rFonts w:ascii="VIC" w:eastAsia="VIC" w:hAnsi="VIC"/>
                <w:color w:val="000000"/>
                <w:sz w:val="18"/>
              </w:rPr>
              <w:t>49 %</w:t>
            </w:r>
          </w:p>
        </w:tc>
      </w:tr>
      <w:tr w:rsidR="005853D5" w:rsidRPr="00A6366B" w14:paraId="3707AD97" w14:textId="77777777" w:rsidTr="005853D5">
        <w:trPr>
          <w:trHeight w:val="340"/>
        </w:trPr>
        <w:tc>
          <w:tcPr>
            <w:tcW w:w="2704" w:type="dxa"/>
            <w:shd w:val="clear" w:color="auto" w:fill="BFCED6"/>
            <w:tcMar>
              <w:left w:w="57" w:type="dxa"/>
            </w:tcMar>
            <w:vAlign w:val="center"/>
          </w:tcPr>
          <w:p w14:paraId="750BF54B" w14:textId="3706C6C3" w:rsidR="005853D5" w:rsidRDefault="005853D5" w:rsidP="005853D5">
            <w:pPr>
              <w:pStyle w:val="DHHStabletext"/>
              <w:spacing w:before="0" w:after="0"/>
              <w:rPr>
                <w:rFonts w:ascii="VIC" w:eastAsia="Verdana" w:hAnsi="VIC"/>
                <w:color w:val="000000"/>
                <w:sz w:val="18"/>
                <w:szCs w:val="18"/>
              </w:rPr>
            </w:pPr>
            <w:r>
              <w:rPr>
                <w:rFonts w:ascii="VIC" w:eastAsia="VIC" w:hAnsi="VIC"/>
                <w:color w:val="000000"/>
                <w:sz w:val="18"/>
              </w:rPr>
              <w:t>Bendigo Health</w:t>
            </w:r>
          </w:p>
        </w:tc>
        <w:tc>
          <w:tcPr>
            <w:tcW w:w="1449" w:type="dxa"/>
            <w:shd w:val="clear" w:color="auto" w:fill="BFCED6"/>
            <w:vAlign w:val="center"/>
          </w:tcPr>
          <w:p w14:paraId="66CE2F9C" w14:textId="078DE548" w:rsidR="005853D5" w:rsidRPr="005B1FEF" w:rsidRDefault="005853D5" w:rsidP="005853D5">
            <w:pPr>
              <w:jc w:val="right"/>
              <w:rPr>
                <w:rFonts w:ascii="VIC" w:hAnsi="VIC"/>
                <w:sz w:val="18"/>
                <w:szCs w:val="18"/>
              </w:rPr>
            </w:pPr>
            <w:r>
              <w:rPr>
                <w:rFonts w:ascii="VIC" w:eastAsia="VIC" w:hAnsi="VIC"/>
                <w:color w:val="000000"/>
                <w:sz w:val="18"/>
              </w:rPr>
              <w:t>18,288</w:t>
            </w:r>
          </w:p>
        </w:tc>
        <w:tc>
          <w:tcPr>
            <w:tcW w:w="1449" w:type="dxa"/>
            <w:shd w:val="clear" w:color="auto" w:fill="BFCED6"/>
            <w:vAlign w:val="center"/>
          </w:tcPr>
          <w:p w14:paraId="24ABC6A2" w14:textId="38948D1E" w:rsidR="005853D5" w:rsidRPr="005B1FEF" w:rsidRDefault="005853D5" w:rsidP="005853D5">
            <w:pPr>
              <w:jc w:val="right"/>
              <w:rPr>
                <w:rFonts w:ascii="VIC" w:hAnsi="VIC"/>
                <w:sz w:val="18"/>
                <w:szCs w:val="18"/>
              </w:rPr>
            </w:pPr>
            <w:r>
              <w:rPr>
                <w:rFonts w:ascii="VIC" w:eastAsia="VIC" w:hAnsi="VIC"/>
                <w:color w:val="000000"/>
                <w:sz w:val="18"/>
              </w:rPr>
              <w:t>38,053</w:t>
            </w:r>
          </w:p>
        </w:tc>
        <w:tc>
          <w:tcPr>
            <w:tcW w:w="1449" w:type="dxa"/>
            <w:shd w:val="clear" w:color="auto" w:fill="BFCED6"/>
            <w:vAlign w:val="center"/>
          </w:tcPr>
          <w:p w14:paraId="0F056D22" w14:textId="1F317059" w:rsidR="005853D5" w:rsidRPr="005B1FEF" w:rsidRDefault="005853D5" w:rsidP="005853D5">
            <w:pPr>
              <w:jc w:val="right"/>
              <w:rPr>
                <w:rFonts w:ascii="VIC" w:hAnsi="VIC"/>
                <w:sz w:val="18"/>
                <w:szCs w:val="18"/>
              </w:rPr>
            </w:pPr>
            <w:r>
              <w:rPr>
                <w:rFonts w:ascii="VIC" w:eastAsia="VIC" w:hAnsi="VIC"/>
                <w:color w:val="000000"/>
                <w:sz w:val="18"/>
              </w:rPr>
              <w:t>73,500</w:t>
            </w:r>
          </w:p>
        </w:tc>
        <w:tc>
          <w:tcPr>
            <w:tcW w:w="1449" w:type="dxa"/>
            <w:shd w:val="clear" w:color="auto" w:fill="BFCED6"/>
            <w:vAlign w:val="center"/>
          </w:tcPr>
          <w:p w14:paraId="09C415B6" w14:textId="51A961FF" w:rsidR="005853D5" w:rsidRPr="00D765CB" w:rsidRDefault="005853D5" w:rsidP="005853D5">
            <w:pPr>
              <w:jc w:val="right"/>
              <w:rPr>
                <w:rFonts w:ascii="VIC" w:hAnsi="VIC"/>
                <w:sz w:val="18"/>
                <w:szCs w:val="18"/>
              </w:rPr>
            </w:pPr>
            <w:r w:rsidRPr="00483D39">
              <w:rPr>
                <w:rFonts w:ascii="VIC" w:hAnsi="VIC"/>
                <w:sz w:val="18"/>
                <w:szCs w:val="18"/>
              </w:rPr>
              <w:t>50 %</w:t>
            </w:r>
          </w:p>
        </w:tc>
        <w:tc>
          <w:tcPr>
            <w:tcW w:w="1449" w:type="dxa"/>
            <w:shd w:val="clear" w:color="auto" w:fill="BFCED6"/>
            <w:tcMar>
              <w:bottom w:w="0" w:type="dxa"/>
              <w:right w:w="57" w:type="dxa"/>
            </w:tcMar>
            <w:vAlign w:val="center"/>
          </w:tcPr>
          <w:p w14:paraId="5E3875AF" w14:textId="2F3E1628" w:rsidR="005853D5" w:rsidRPr="005B1FEF" w:rsidRDefault="005853D5" w:rsidP="005853D5">
            <w:pPr>
              <w:jc w:val="right"/>
              <w:rPr>
                <w:rFonts w:ascii="VIC" w:hAnsi="VIC"/>
                <w:sz w:val="18"/>
                <w:szCs w:val="18"/>
              </w:rPr>
            </w:pPr>
            <w:r>
              <w:rPr>
                <w:rFonts w:ascii="VIC" w:eastAsia="VIC" w:hAnsi="VIC"/>
                <w:color w:val="000000"/>
                <w:sz w:val="18"/>
              </w:rPr>
              <w:t>52 %</w:t>
            </w:r>
          </w:p>
        </w:tc>
      </w:tr>
      <w:tr w:rsidR="005853D5" w:rsidRPr="00A6366B" w14:paraId="716843BE" w14:textId="77777777" w:rsidTr="005853D5">
        <w:trPr>
          <w:trHeight w:val="340"/>
        </w:trPr>
        <w:tc>
          <w:tcPr>
            <w:tcW w:w="2704" w:type="dxa"/>
            <w:shd w:val="clear" w:color="auto" w:fill="FFFFFF" w:themeFill="background1"/>
            <w:tcMar>
              <w:left w:w="57" w:type="dxa"/>
            </w:tcMar>
            <w:vAlign w:val="center"/>
          </w:tcPr>
          <w:p w14:paraId="30A203C7" w14:textId="60FBEEE6" w:rsidR="005853D5" w:rsidRDefault="005853D5" w:rsidP="005853D5">
            <w:pPr>
              <w:pStyle w:val="DHHStabletext"/>
              <w:spacing w:before="0" w:after="0"/>
              <w:rPr>
                <w:rFonts w:ascii="VIC" w:eastAsia="Verdana" w:hAnsi="VIC"/>
                <w:color w:val="000000"/>
                <w:sz w:val="18"/>
                <w:szCs w:val="18"/>
              </w:rPr>
            </w:pPr>
            <w:r>
              <w:rPr>
                <w:rFonts w:ascii="VIC" w:eastAsia="VIC" w:hAnsi="VIC"/>
                <w:color w:val="000000"/>
                <w:sz w:val="18"/>
              </w:rPr>
              <w:t>Goulburn Valley Health</w:t>
            </w:r>
          </w:p>
        </w:tc>
        <w:tc>
          <w:tcPr>
            <w:tcW w:w="1449" w:type="dxa"/>
            <w:shd w:val="clear" w:color="auto" w:fill="FFFFFF" w:themeFill="background1"/>
            <w:vAlign w:val="center"/>
          </w:tcPr>
          <w:p w14:paraId="5277BA71" w14:textId="799B9B32" w:rsidR="005853D5" w:rsidRPr="005B1FEF" w:rsidRDefault="005853D5" w:rsidP="005853D5">
            <w:pPr>
              <w:jc w:val="right"/>
              <w:rPr>
                <w:rFonts w:ascii="VIC" w:hAnsi="VIC"/>
                <w:sz w:val="18"/>
                <w:szCs w:val="18"/>
              </w:rPr>
            </w:pPr>
            <w:r>
              <w:rPr>
                <w:rFonts w:ascii="VIC" w:eastAsia="VIC" w:hAnsi="VIC"/>
                <w:color w:val="000000"/>
                <w:sz w:val="18"/>
              </w:rPr>
              <w:t>10,991</w:t>
            </w:r>
          </w:p>
        </w:tc>
        <w:tc>
          <w:tcPr>
            <w:tcW w:w="1449" w:type="dxa"/>
            <w:shd w:val="clear" w:color="auto" w:fill="FFFFFF" w:themeFill="background1"/>
            <w:vAlign w:val="center"/>
          </w:tcPr>
          <w:p w14:paraId="4FDDD491" w14:textId="4F8F6DD7" w:rsidR="005853D5" w:rsidRPr="005B1FEF" w:rsidRDefault="005853D5" w:rsidP="005853D5">
            <w:pPr>
              <w:jc w:val="right"/>
              <w:rPr>
                <w:rFonts w:ascii="VIC" w:hAnsi="VIC"/>
                <w:sz w:val="18"/>
                <w:szCs w:val="18"/>
              </w:rPr>
            </w:pPr>
            <w:r>
              <w:rPr>
                <w:rFonts w:ascii="VIC" w:eastAsia="VIC" w:hAnsi="VIC"/>
                <w:color w:val="000000"/>
                <w:sz w:val="18"/>
              </w:rPr>
              <w:t>21,141</w:t>
            </w:r>
          </w:p>
        </w:tc>
        <w:tc>
          <w:tcPr>
            <w:tcW w:w="1449" w:type="dxa"/>
            <w:shd w:val="clear" w:color="auto" w:fill="FFFFFF" w:themeFill="background1"/>
            <w:vAlign w:val="center"/>
          </w:tcPr>
          <w:p w14:paraId="56385006" w14:textId="1CE89B2A" w:rsidR="005853D5" w:rsidRPr="005B1FEF" w:rsidRDefault="005853D5" w:rsidP="005853D5">
            <w:pPr>
              <w:jc w:val="right"/>
              <w:rPr>
                <w:rFonts w:ascii="VIC" w:hAnsi="VIC"/>
                <w:sz w:val="18"/>
                <w:szCs w:val="18"/>
              </w:rPr>
            </w:pPr>
            <w:r>
              <w:rPr>
                <w:rFonts w:ascii="VIC" w:eastAsia="VIC" w:hAnsi="VIC"/>
                <w:color w:val="000000"/>
                <w:sz w:val="18"/>
              </w:rPr>
              <w:t>42,009</w:t>
            </w:r>
          </w:p>
        </w:tc>
        <w:tc>
          <w:tcPr>
            <w:tcW w:w="1449" w:type="dxa"/>
            <w:shd w:val="clear" w:color="auto" w:fill="FFFFFF" w:themeFill="background1"/>
            <w:vAlign w:val="center"/>
          </w:tcPr>
          <w:p w14:paraId="7F5F9E8B" w14:textId="1E99E579" w:rsidR="005853D5" w:rsidRPr="00D765CB" w:rsidRDefault="005853D5" w:rsidP="005853D5">
            <w:pPr>
              <w:jc w:val="right"/>
              <w:rPr>
                <w:rFonts w:ascii="VIC" w:hAnsi="VIC"/>
                <w:sz w:val="18"/>
                <w:szCs w:val="18"/>
              </w:rPr>
            </w:pPr>
            <w:r w:rsidRPr="00483D39">
              <w:rPr>
                <w:rFonts w:ascii="VIC" w:hAnsi="VIC"/>
                <w:sz w:val="18"/>
                <w:szCs w:val="18"/>
              </w:rPr>
              <w:t>50 %</w:t>
            </w:r>
          </w:p>
        </w:tc>
        <w:tc>
          <w:tcPr>
            <w:tcW w:w="1449" w:type="dxa"/>
            <w:shd w:val="clear" w:color="auto" w:fill="FFFFFF" w:themeFill="background1"/>
            <w:tcMar>
              <w:bottom w:w="0" w:type="dxa"/>
              <w:right w:w="57" w:type="dxa"/>
            </w:tcMar>
            <w:vAlign w:val="center"/>
          </w:tcPr>
          <w:p w14:paraId="4962E141" w14:textId="13855D42" w:rsidR="005853D5" w:rsidRPr="005B1FEF" w:rsidRDefault="005853D5" w:rsidP="005853D5">
            <w:pPr>
              <w:jc w:val="right"/>
              <w:rPr>
                <w:rFonts w:ascii="VIC" w:hAnsi="VIC"/>
                <w:sz w:val="18"/>
                <w:szCs w:val="18"/>
              </w:rPr>
            </w:pPr>
            <w:r>
              <w:rPr>
                <w:rFonts w:ascii="VIC" w:eastAsia="VIC" w:hAnsi="VIC"/>
                <w:color w:val="000000"/>
                <w:sz w:val="18"/>
              </w:rPr>
              <w:t>50 %</w:t>
            </w:r>
          </w:p>
        </w:tc>
      </w:tr>
      <w:tr w:rsidR="005853D5" w:rsidRPr="00A6366B" w14:paraId="42DE497F" w14:textId="77777777" w:rsidTr="005853D5">
        <w:trPr>
          <w:trHeight w:val="340"/>
        </w:trPr>
        <w:tc>
          <w:tcPr>
            <w:tcW w:w="2704" w:type="dxa"/>
            <w:shd w:val="clear" w:color="auto" w:fill="BFCED6"/>
            <w:tcMar>
              <w:left w:w="57" w:type="dxa"/>
            </w:tcMar>
            <w:vAlign w:val="center"/>
          </w:tcPr>
          <w:p w14:paraId="46075C76" w14:textId="56B6E13E" w:rsidR="005853D5" w:rsidRDefault="005853D5" w:rsidP="005853D5">
            <w:pPr>
              <w:pStyle w:val="DHHStabletext"/>
              <w:spacing w:before="0" w:after="0"/>
              <w:rPr>
                <w:rFonts w:ascii="VIC" w:eastAsia="Verdana" w:hAnsi="VIC"/>
                <w:color w:val="000000"/>
                <w:sz w:val="18"/>
                <w:szCs w:val="18"/>
              </w:rPr>
            </w:pPr>
            <w:r>
              <w:rPr>
                <w:rFonts w:ascii="VIC" w:eastAsia="VIC" w:hAnsi="VIC"/>
                <w:color w:val="000000"/>
                <w:sz w:val="18"/>
              </w:rPr>
              <w:t>Latrobe Regional</w:t>
            </w:r>
          </w:p>
        </w:tc>
        <w:tc>
          <w:tcPr>
            <w:tcW w:w="1449" w:type="dxa"/>
            <w:shd w:val="clear" w:color="auto" w:fill="BFCED6"/>
            <w:vAlign w:val="center"/>
          </w:tcPr>
          <w:p w14:paraId="2372FC81" w14:textId="7B1380F7" w:rsidR="005853D5" w:rsidRPr="005B1FEF" w:rsidRDefault="005853D5" w:rsidP="005853D5">
            <w:pPr>
              <w:jc w:val="right"/>
              <w:rPr>
                <w:rFonts w:ascii="VIC" w:hAnsi="VIC"/>
                <w:sz w:val="18"/>
                <w:szCs w:val="18"/>
              </w:rPr>
            </w:pPr>
            <w:r>
              <w:rPr>
                <w:rFonts w:ascii="VIC" w:eastAsia="VIC" w:hAnsi="VIC"/>
                <w:color w:val="000000"/>
                <w:sz w:val="18"/>
              </w:rPr>
              <w:t>15,417</w:t>
            </w:r>
          </w:p>
        </w:tc>
        <w:tc>
          <w:tcPr>
            <w:tcW w:w="1449" w:type="dxa"/>
            <w:shd w:val="clear" w:color="auto" w:fill="BFCED6"/>
            <w:vAlign w:val="center"/>
          </w:tcPr>
          <w:p w14:paraId="4209B296" w14:textId="59AD31C4" w:rsidR="005853D5" w:rsidRPr="005B1FEF" w:rsidRDefault="005853D5" w:rsidP="005853D5">
            <w:pPr>
              <w:jc w:val="right"/>
              <w:rPr>
                <w:rFonts w:ascii="VIC" w:hAnsi="VIC"/>
                <w:sz w:val="18"/>
                <w:szCs w:val="18"/>
              </w:rPr>
            </w:pPr>
            <w:r>
              <w:rPr>
                <w:rFonts w:ascii="VIC" w:eastAsia="VIC" w:hAnsi="VIC"/>
                <w:color w:val="000000"/>
                <w:sz w:val="18"/>
              </w:rPr>
              <w:t>32,398</w:t>
            </w:r>
          </w:p>
        </w:tc>
        <w:tc>
          <w:tcPr>
            <w:tcW w:w="1449" w:type="dxa"/>
            <w:shd w:val="clear" w:color="auto" w:fill="BFCED6"/>
            <w:vAlign w:val="center"/>
          </w:tcPr>
          <w:p w14:paraId="0D4D9371" w14:textId="7F7BCCA6" w:rsidR="005853D5" w:rsidRPr="005B1FEF" w:rsidRDefault="005853D5" w:rsidP="005853D5">
            <w:pPr>
              <w:jc w:val="right"/>
              <w:rPr>
                <w:rFonts w:ascii="VIC" w:hAnsi="VIC"/>
                <w:sz w:val="18"/>
                <w:szCs w:val="18"/>
              </w:rPr>
            </w:pPr>
            <w:r>
              <w:rPr>
                <w:rFonts w:ascii="VIC" w:eastAsia="VIC" w:hAnsi="VIC"/>
                <w:color w:val="000000"/>
                <w:sz w:val="18"/>
              </w:rPr>
              <w:t>73,138</w:t>
            </w:r>
          </w:p>
        </w:tc>
        <w:tc>
          <w:tcPr>
            <w:tcW w:w="1449" w:type="dxa"/>
            <w:shd w:val="clear" w:color="auto" w:fill="BFCED6"/>
            <w:vAlign w:val="center"/>
          </w:tcPr>
          <w:p w14:paraId="797461D2" w14:textId="09D7565C" w:rsidR="005853D5" w:rsidRPr="00D765CB" w:rsidRDefault="005853D5" w:rsidP="005853D5">
            <w:pPr>
              <w:jc w:val="right"/>
              <w:rPr>
                <w:rFonts w:ascii="VIC" w:hAnsi="VIC"/>
                <w:sz w:val="18"/>
                <w:szCs w:val="18"/>
              </w:rPr>
            </w:pPr>
            <w:r w:rsidRPr="00483D39">
              <w:rPr>
                <w:rFonts w:ascii="VIC" w:hAnsi="VIC"/>
                <w:sz w:val="18"/>
                <w:szCs w:val="18"/>
              </w:rPr>
              <w:t>50 %</w:t>
            </w:r>
          </w:p>
        </w:tc>
        <w:tc>
          <w:tcPr>
            <w:tcW w:w="1449" w:type="dxa"/>
            <w:shd w:val="clear" w:color="auto" w:fill="BFCED6"/>
            <w:tcMar>
              <w:bottom w:w="0" w:type="dxa"/>
              <w:right w:w="57" w:type="dxa"/>
            </w:tcMar>
            <w:vAlign w:val="center"/>
          </w:tcPr>
          <w:p w14:paraId="741E20D4" w14:textId="7A19086E" w:rsidR="005853D5" w:rsidRPr="005B1FEF" w:rsidRDefault="005853D5" w:rsidP="005853D5">
            <w:pPr>
              <w:jc w:val="right"/>
              <w:rPr>
                <w:rFonts w:ascii="VIC" w:hAnsi="VIC"/>
                <w:sz w:val="18"/>
                <w:szCs w:val="18"/>
              </w:rPr>
            </w:pPr>
            <w:r>
              <w:rPr>
                <w:rFonts w:ascii="VIC" w:eastAsia="VIC" w:hAnsi="VIC"/>
                <w:color w:val="FF0000"/>
                <w:sz w:val="18"/>
              </w:rPr>
              <w:t>44 %</w:t>
            </w:r>
          </w:p>
        </w:tc>
      </w:tr>
      <w:tr w:rsidR="005853D5" w:rsidRPr="00A6366B" w14:paraId="60E66D4A" w14:textId="77777777" w:rsidTr="005853D5">
        <w:trPr>
          <w:trHeight w:val="340"/>
        </w:trPr>
        <w:tc>
          <w:tcPr>
            <w:tcW w:w="2704" w:type="dxa"/>
            <w:shd w:val="clear" w:color="auto" w:fill="FFFFFF" w:themeFill="background1"/>
            <w:tcMar>
              <w:left w:w="57" w:type="dxa"/>
            </w:tcMar>
            <w:vAlign w:val="center"/>
          </w:tcPr>
          <w:p w14:paraId="7E78EDD5" w14:textId="4617B9D2" w:rsidR="005853D5" w:rsidRDefault="005853D5" w:rsidP="005853D5">
            <w:pPr>
              <w:pStyle w:val="DHHStabletext"/>
              <w:spacing w:before="0" w:after="0"/>
              <w:rPr>
                <w:rFonts w:ascii="VIC" w:eastAsia="Verdana" w:hAnsi="VIC"/>
                <w:color w:val="000000"/>
                <w:sz w:val="18"/>
                <w:szCs w:val="18"/>
              </w:rPr>
            </w:pPr>
            <w:r>
              <w:rPr>
                <w:rFonts w:ascii="VIC" w:eastAsia="VIC" w:hAnsi="VIC"/>
                <w:color w:val="000000"/>
                <w:sz w:val="18"/>
              </w:rPr>
              <w:t>Mildura Base Hospital</w:t>
            </w:r>
          </w:p>
        </w:tc>
        <w:tc>
          <w:tcPr>
            <w:tcW w:w="1449" w:type="dxa"/>
            <w:shd w:val="clear" w:color="auto" w:fill="FFFFFF" w:themeFill="background1"/>
            <w:vAlign w:val="center"/>
          </w:tcPr>
          <w:p w14:paraId="0048F47A" w14:textId="6F866630" w:rsidR="005853D5" w:rsidRPr="005B1FEF" w:rsidRDefault="005853D5" w:rsidP="005853D5">
            <w:pPr>
              <w:jc w:val="right"/>
              <w:rPr>
                <w:rFonts w:ascii="VIC" w:hAnsi="VIC"/>
                <w:sz w:val="18"/>
                <w:szCs w:val="18"/>
              </w:rPr>
            </w:pPr>
            <w:r>
              <w:rPr>
                <w:rFonts w:ascii="VIC" w:eastAsia="VIC" w:hAnsi="VIC"/>
                <w:color w:val="000000"/>
                <w:sz w:val="18"/>
              </w:rPr>
              <w:t>6,196</w:t>
            </w:r>
          </w:p>
        </w:tc>
        <w:tc>
          <w:tcPr>
            <w:tcW w:w="1449" w:type="dxa"/>
            <w:shd w:val="clear" w:color="auto" w:fill="FFFFFF" w:themeFill="background1"/>
            <w:vAlign w:val="center"/>
          </w:tcPr>
          <w:p w14:paraId="069E86D9" w14:textId="13E6BB74" w:rsidR="005853D5" w:rsidRPr="005B1FEF" w:rsidRDefault="005853D5" w:rsidP="005853D5">
            <w:pPr>
              <w:jc w:val="right"/>
              <w:rPr>
                <w:rFonts w:ascii="VIC" w:hAnsi="VIC"/>
                <w:sz w:val="18"/>
                <w:szCs w:val="18"/>
              </w:rPr>
            </w:pPr>
            <w:r>
              <w:rPr>
                <w:rFonts w:ascii="VIC" w:eastAsia="VIC" w:hAnsi="VIC"/>
                <w:color w:val="000000"/>
                <w:sz w:val="18"/>
              </w:rPr>
              <w:t>11,950</w:t>
            </w:r>
          </w:p>
        </w:tc>
        <w:tc>
          <w:tcPr>
            <w:tcW w:w="1449" w:type="dxa"/>
            <w:shd w:val="clear" w:color="auto" w:fill="FFFFFF" w:themeFill="background1"/>
            <w:vAlign w:val="center"/>
          </w:tcPr>
          <w:p w14:paraId="09D7959C" w14:textId="65D62FC1" w:rsidR="005853D5" w:rsidRPr="005B1FEF" w:rsidRDefault="005853D5" w:rsidP="005853D5">
            <w:pPr>
              <w:jc w:val="right"/>
              <w:rPr>
                <w:rFonts w:ascii="VIC" w:hAnsi="VIC"/>
                <w:sz w:val="18"/>
                <w:szCs w:val="18"/>
              </w:rPr>
            </w:pPr>
            <w:r>
              <w:rPr>
                <w:rFonts w:ascii="VIC" w:eastAsia="VIC" w:hAnsi="VIC"/>
                <w:color w:val="000000"/>
                <w:sz w:val="18"/>
              </w:rPr>
              <w:t>27,037</w:t>
            </w:r>
          </w:p>
        </w:tc>
        <w:tc>
          <w:tcPr>
            <w:tcW w:w="1449" w:type="dxa"/>
            <w:shd w:val="clear" w:color="auto" w:fill="FFFFFF" w:themeFill="background1"/>
            <w:vAlign w:val="center"/>
          </w:tcPr>
          <w:p w14:paraId="39BE63D6" w14:textId="429E4604" w:rsidR="005853D5" w:rsidRPr="00D765CB" w:rsidRDefault="005853D5" w:rsidP="005853D5">
            <w:pPr>
              <w:jc w:val="right"/>
              <w:rPr>
                <w:rFonts w:ascii="VIC" w:hAnsi="VIC"/>
                <w:sz w:val="18"/>
                <w:szCs w:val="18"/>
              </w:rPr>
            </w:pPr>
            <w:r w:rsidRPr="00483D39">
              <w:rPr>
                <w:rFonts w:ascii="VIC" w:hAnsi="VIC"/>
                <w:sz w:val="18"/>
                <w:szCs w:val="18"/>
              </w:rPr>
              <w:t>50 %</w:t>
            </w:r>
          </w:p>
        </w:tc>
        <w:tc>
          <w:tcPr>
            <w:tcW w:w="1449" w:type="dxa"/>
            <w:shd w:val="clear" w:color="auto" w:fill="FFFFFF" w:themeFill="background1"/>
            <w:tcMar>
              <w:bottom w:w="0" w:type="dxa"/>
              <w:right w:w="57" w:type="dxa"/>
            </w:tcMar>
            <w:vAlign w:val="center"/>
          </w:tcPr>
          <w:p w14:paraId="2E93385F" w14:textId="231A0F87" w:rsidR="005853D5" w:rsidRPr="005B1FEF" w:rsidRDefault="005853D5" w:rsidP="005853D5">
            <w:pPr>
              <w:jc w:val="right"/>
              <w:rPr>
                <w:rFonts w:ascii="VIC" w:hAnsi="VIC"/>
                <w:sz w:val="18"/>
                <w:szCs w:val="18"/>
              </w:rPr>
            </w:pPr>
            <w:r>
              <w:rPr>
                <w:rFonts w:ascii="VIC" w:eastAsia="VIC" w:hAnsi="VIC"/>
                <w:color w:val="FF0000"/>
                <w:sz w:val="18"/>
              </w:rPr>
              <w:t>44 %</w:t>
            </w:r>
          </w:p>
        </w:tc>
      </w:tr>
      <w:tr w:rsidR="005853D5" w:rsidRPr="00A6366B" w14:paraId="07526C1E" w14:textId="77777777" w:rsidTr="005853D5">
        <w:trPr>
          <w:trHeight w:val="340"/>
        </w:trPr>
        <w:tc>
          <w:tcPr>
            <w:tcW w:w="2704" w:type="dxa"/>
            <w:shd w:val="clear" w:color="auto" w:fill="BFCED6"/>
            <w:tcMar>
              <w:left w:w="57" w:type="dxa"/>
            </w:tcMar>
            <w:vAlign w:val="center"/>
          </w:tcPr>
          <w:p w14:paraId="2E2E24A8" w14:textId="56B2D532" w:rsidR="005853D5" w:rsidRDefault="005853D5" w:rsidP="005853D5">
            <w:pPr>
              <w:pStyle w:val="DHHStabletext"/>
              <w:spacing w:before="0" w:after="0"/>
              <w:rPr>
                <w:rFonts w:ascii="VIC" w:eastAsia="Verdana" w:hAnsi="VIC"/>
                <w:color w:val="000000"/>
                <w:sz w:val="18"/>
                <w:szCs w:val="18"/>
              </w:rPr>
            </w:pPr>
            <w:r>
              <w:rPr>
                <w:rFonts w:ascii="VIC" w:eastAsia="VIC" w:hAnsi="VIC"/>
                <w:color w:val="000000"/>
                <w:sz w:val="18"/>
              </w:rPr>
              <w:t>Albury Wodonga Health</w:t>
            </w:r>
          </w:p>
        </w:tc>
        <w:tc>
          <w:tcPr>
            <w:tcW w:w="1449" w:type="dxa"/>
            <w:shd w:val="clear" w:color="auto" w:fill="BFCED6"/>
            <w:vAlign w:val="center"/>
          </w:tcPr>
          <w:p w14:paraId="3B410405" w14:textId="5344F788" w:rsidR="005853D5" w:rsidRPr="005B1FEF" w:rsidRDefault="005853D5" w:rsidP="005853D5">
            <w:pPr>
              <w:jc w:val="right"/>
              <w:rPr>
                <w:rFonts w:ascii="VIC" w:hAnsi="VIC"/>
                <w:sz w:val="18"/>
                <w:szCs w:val="18"/>
              </w:rPr>
            </w:pPr>
            <w:r>
              <w:rPr>
                <w:rFonts w:ascii="VIC" w:eastAsia="VIC" w:hAnsi="VIC"/>
                <w:color w:val="000000"/>
                <w:sz w:val="18"/>
              </w:rPr>
              <w:t>10,864</w:t>
            </w:r>
          </w:p>
        </w:tc>
        <w:tc>
          <w:tcPr>
            <w:tcW w:w="1449" w:type="dxa"/>
            <w:shd w:val="clear" w:color="auto" w:fill="BFCED6"/>
            <w:vAlign w:val="center"/>
          </w:tcPr>
          <w:p w14:paraId="63F0D0C0" w14:textId="6C4AB1D5" w:rsidR="005853D5" w:rsidRPr="005B1FEF" w:rsidRDefault="005853D5" w:rsidP="005853D5">
            <w:pPr>
              <w:jc w:val="right"/>
              <w:rPr>
                <w:rFonts w:ascii="VIC" w:hAnsi="VIC"/>
                <w:sz w:val="18"/>
                <w:szCs w:val="18"/>
              </w:rPr>
            </w:pPr>
            <w:r>
              <w:rPr>
                <w:rFonts w:ascii="VIC" w:eastAsia="VIC" w:hAnsi="VIC"/>
                <w:color w:val="000000"/>
                <w:sz w:val="18"/>
              </w:rPr>
              <w:t>22,759</w:t>
            </w:r>
          </w:p>
        </w:tc>
        <w:tc>
          <w:tcPr>
            <w:tcW w:w="1449" w:type="dxa"/>
            <w:shd w:val="clear" w:color="auto" w:fill="BFCED6"/>
            <w:vAlign w:val="center"/>
          </w:tcPr>
          <w:p w14:paraId="4843F621" w14:textId="23EEF623" w:rsidR="005853D5" w:rsidRPr="005B1FEF" w:rsidRDefault="005853D5" w:rsidP="005853D5">
            <w:pPr>
              <w:jc w:val="right"/>
              <w:rPr>
                <w:rFonts w:ascii="VIC" w:hAnsi="VIC"/>
                <w:sz w:val="18"/>
                <w:szCs w:val="18"/>
              </w:rPr>
            </w:pPr>
            <w:r>
              <w:rPr>
                <w:rFonts w:ascii="VIC" w:eastAsia="VIC" w:hAnsi="VIC"/>
                <w:color w:val="000000"/>
                <w:sz w:val="18"/>
              </w:rPr>
              <w:t>37,754</w:t>
            </w:r>
          </w:p>
        </w:tc>
        <w:tc>
          <w:tcPr>
            <w:tcW w:w="1449" w:type="dxa"/>
            <w:shd w:val="clear" w:color="auto" w:fill="BFCED6"/>
            <w:vAlign w:val="center"/>
          </w:tcPr>
          <w:p w14:paraId="6698FA65" w14:textId="5221F358" w:rsidR="005853D5" w:rsidRPr="00D765CB" w:rsidRDefault="005853D5" w:rsidP="005853D5">
            <w:pPr>
              <w:jc w:val="right"/>
              <w:rPr>
                <w:rFonts w:ascii="VIC" w:hAnsi="VIC"/>
                <w:sz w:val="18"/>
                <w:szCs w:val="18"/>
              </w:rPr>
            </w:pPr>
            <w:r w:rsidRPr="00483D39">
              <w:rPr>
                <w:rFonts w:ascii="VIC" w:hAnsi="VIC"/>
                <w:sz w:val="18"/>
                <w:szCs w:val="18"/>
              </w:rPr>
              <w:t>50 %</w:t>
            </w:r>
          </w:p>
        </w:tc>
        <w:tc>
          <w:tcPr>
            <w:tcW w:w="1449" w:type="dxa"/>
            <w:shd w:val="clear" w:color="auto" w:fill="BFCED6"/>
            <w:tcMar>
              <w:bottom w:w="0" w:type="dxa"/>
              <w:right w:w="57" w:type="dxa"/>
            </w:tcMar>
            <w:vAlign w:val="center"/>
          </w:tcPr>
          <w:p w14:paraId="7246204F" w14:textId="59F37A75" w:rsidR="005853D5" w:rsidRPr="005B1FEF" w:rsidRDefault="005853D5" w:rsidP="005853D5">
            <w:pPr>
              <w:jc w:val="right"/>
              <w:rPr>
                <w:rFonts w:ascii="VIC" w:hAnsi="VIC"/>
                <w:sz w:val="18"/>
                <w:szCs w:val="18"/>
              </w:rPr>
            </w:pPr>
            <w:r>
              <w:rPr>
                <w:rFonts w:ascii="VIC" w:eastAsia="VIC" w:hAnsi="VIC"/>
                <w:color w:val="008000"/>
                <w:sz w:val="18"/>
              </w:rPr>
              <w:t>60 %</w:t>
            </w:r>
          </w:p>
        </w:tc>
      </w:tr>
      <w:tr w:rsidR="005853D5" w:rsidRPr="00A6366B" w14:paraId="5595FDEE" w14:textId="77777777" w:rsidTr="005853D5">
        <w:trPr>
          <w:trHeight w:val="340"/>
        </w:trPr>
        <w:tc>
          <w:tcPr>
            <w:tcW w:w="2704" w:type="dxa"/>
            <w:shd w:val="clear" w:color="auto" w:fill="FFFFFF" w:themeFill="background1"/>
            <w:tcMar>
              <w:left w:w="57" w:type="dxa"/>
            </w:tcMar>
            <w:vAlign w:val="center"/>
          </w:tcPr>
          <w:p w14:paraId="7B2E0A29" w14:textId="47ADEEDE" w:rsidR="005853D5" w:rsidRDefault="005853D5" w:rsidP="005853D5">
            <w:pPr>
              <w:pStyle w:val="DHHStabletext"/>
              <w:spacing w:before="0" w:after="0"/>
              <w:rPr>
                <w:rFonts w:ascii="VIC" w:eastAsia="Verdana" w:hAnsi="VIC"/>
                <w:color w:val="000000"/>
                <w:sz w:val="18"/>
                <w:szCs w:val="18"/>
              </w:rPr>
            </w:pPr>
            <w:r>
              <w:rPr>
                <w:rFonts w:ascii="VIC" w:eastAsia="VIC" w:hAnsi="VIC"/>
                <w:color w:val="000000"/>
                <w:sz w:val="18"/>
              </w:rPr>
              <w:t>South West Health</w:t>
            </w:r>
          </w:p>
        </w:tc>
        <w:tc>
          <w:tcPr>
            <w:tcW w:w="1449" w:type="dxa"/>
            <w:shd w:val="clear" w:color="auto" w:fill="FFFFFF" w:themeFill="background1"/>
            <w:vAlign w:val="center"/>
          </w:tcPr>
          <w:p w14:paraId="3048C992" w14:textId="78F5C5DC" w:rsidR="005853D5" w:rsidRPr="005B1FEF" w:rsidRDefault="005853D5" w:rsidP="005853D5">
            <w:pPr>
              <w:jc w:val="right"/>
              <w:rPr>
                <w:rFonts w:ascii="VIC" w:hAnsi="VIC"/>
                <w:sz w:val="18"/>
                <w:szCs w:val="18"/>
              </w:rPr>
            </w:pPr>
            <w:r>
              <w:rPr>
                <w:rFonts w:ascii="VIC" w:eastAsia="VIC" w:hAnsi="VIC"/>
                <w:color w:val="000000"/>
                <w:sz w:val="18"/>
              </w:rPr>
              <w:t>8,345</w:t>
            </w:r>
          </w:p>
        </w:tc>
        <w:tc>
          <w:tcPr>
            <w:tcW w:w="1449" w:type="dxa"/>
            <w:shd w:val="clear" w:color="auto" w:fill="FFFFFF" w:themeFill="background1"/>
            <w:vAlign w:val="center"/>
          </w:tcPr>
          <w:p w14:paraId="1DAF89C8" w14:textId="5C1946F2" w:rsidR="005853D5" w:rsidRPr="005B1FEF" w:rsidRDefault="005853D5" w:rsidP="005853D5">
            <w:pPr>
              <w:jc w:val="right"/>
              <w:rPr>
                <w:rFonts w:ascii="VIC" w:hAnsi="VIC"/>
                <w:sz w:val="18"/>
                <w:szCs w:val="18"/>
              </w:rPr>
            </w:pPr>
            <w:r>
              <w:rPr>
                <w:rFonts w:ascii="VIC" w:eastAsia="VIC" w:hAnsi="VIC"/>
                <w:color w:val="000000"/>
                <w:sz w:val="18"/>
              </w:rPr>
              <w:t>17,637</w:t>
            </w:r>
          </w:p>
        </w:tc>
        <w:tc>
          <w:tcPr>
            <w:tcW w:w="1449" w:type="dxa"/>
            <w:shd w:val="clear" w:color="auto" w:fill="FFFFFF" w:themeFill="background1"/>
            <w:vAlign w:val="center"/>
          </w:tcPr>
          <w:p w14:paraId="7369B77C" w14:textId="5E22A444" w:rsidR="005853D5" w:rsidRPr="005B1FEF" w:rsidRDefault="005853D5" w:rsidP="005853D5">
            <w:pPr>
              <w:jc w:val="right"/>
              <w:rPr>
                <w:rFonts w:ascii="VIC" w:hAnsi="VIC"/>
                <w:sz w:val="18"/>
                <w:szCs w:val="18"/>
              </w:rPr>
            </w:pPr>
            <w:r>
              <w:rPr>
                <w:rFonts w:ascii="VIC" w:eastAsia="VIC" w:hAnsi="VIC"/>
                <w:color w:val="000000"/>
                <w:sz w:val="18"/>
              </w:rPr>
              <w:t>35,629</w:t>
            </w:r>
          </w:p>
        </w:tc>
        <w:tc>
          <w:tcPr>
            <w:tcW w:w="1449" w:type="dxa"/>
            <w:shd w:val="clear" w:color="auto" w:fill="FFFFFF" w:themeFill="background1"/>
            <w:vAlign w:val="center"/>
          </w:tcPr>
          <w:p w14:paraId="2261B20F" w14:textId="2E58C098" w:rsidR="005853D5" w:rsidRPr="00D765CB" w:rsidRDefault="005853D5" w:rsidP="005853D5">
            <w:pPr>
              <w:jc w:val="right"/>
              <w:rPr>
                <w:rFonts w:ascii="VIC" w:hAnsi="VIC"/>
                <w:sz w:val="18"/>
                <w:szCs w:val="18"/>
              </w:rPr>
            </w:pPr>
            <w:r w:rsidRPr="00483D39">
              <w:rPr>
                <w:rFonts w:ascii="VIC" w:hAnsi="VIC"/>
                <w:sz w:val="18"/>
                <w:szCs w:val="18"/>
              </w:rPr>
              <w:t>50 %</w:t>
            </w:r>
          </w:p>
        </w:tc>
        <w:tc>
          <w:tcPr>
            <w:tcW w:w="1449" w:type="dxa"/>
            <w:shd w:val="clear" w:color="auto" w:fill="FFFFFF" w:themeFill="background1"/>
            <w:tcMar>
              <w:bottom w:w="0" w:type="dxa"/>
              <w:right w:w="57" w:type="dxa"/>
            </w:tcMar>
            <w:vAlign w:val="center"/>
          </w:tcPr>
          <w:p w14:paraId="39B0FAE5" w14:textId="60AFB156" w:rsidR="005853D5" w:rsidRPr="005B1FEF" w:rsidRDefault="005853D5" w:rsidP="005853D5">
            <w:pPr>
              <w:jc w:val="right"/>
              <w:rPr>
                <w:rFonts w:ascii="VIC" w:hAnsi="VIC"/>
                <w:sz w:val="18"/>
                <w:szCs w:val="18"/>
              </w:rPr>
            </w:pPr>
            <w:r>
              <w:rPr>
                <w:rFonts w:ascii="VIC" w:eastAsia="VIC" w:hAnsi="VIC"/>
                <w:color w:val="000000"/>
                <w:sz w:val="18"/>
              </w:rPr>
              <w:t>50 %</w:t>
            </w:r>
          </w:p>
        </w:tc>
      </w:tr>
      <w:tr w:rsidR="003D5BED" w:rsidRPr="003D5BED" w14:paraId="31F0BD6D" w14:textId="77777777" w:rsidTr="005853D5">
        <w:trPr>
          <w:trHeight w:val="312"/>
        </w:trPr>
        <w:tc>
          <w:tcPr>
            <w:tcW w:w="2704" w:type="dxa"/>
            <w:shd w:val="clear" w:color="auto" w:fill="244C5A"/>
            <w:tcMar>
              <w:left w:w="57" w:type="dxa"/>
            </w:tcMar>
            <w:vAlign w:val="center"/>
          </w:tcPr>
          <w:p w14:paraId="5FDD5C66" w14:textId="37DB39CE" w:rsidR="003D5BED" w:rsidRPr="003D5BED" w:rsidRDefault="003D5BED" w:rsidP="003D5BED">
            <w:pPr>
              <w:pStyle w:val="DHHStabletext"/>
              <w:spacing w:before="0" w:after="0"/>
              <w:rPr>
                <w:rFonts w:ascii="VIC SemiBold" w:eastAsia="Verdana" w:hAnsi="VIC SemiBold" w:cs="Verdana"/>
                <w:color w:val="FFFFFF" w:themeColor="background1"/>
                <w:sz w:val="18"/>
                <w:szCs w:val="18"/>
              </w:rPr>
            </w:pPr>
            <w:r w:rsidRPr="003D5BED">
              <w:rPr>
                <w:rFonts w:ascii="VIC SemiBold" w:eastAsia="VIC SemiBold" w:hAnsi="VIC SemiBold"/>
                <w:color w:val="FFFFFF"/>
                <w:sz w:val="18"/>
              </w:rPr>
              <w:t>TOTAL STATEWIDE</w:t>
            </w:r>
          </w:p>
        </w:tc>
        <w:tc>
          <w:tcPr>
            <w:tcW w:w="1449" w:type="dxa"/>
            <w:shd w:val="clear" w:color="auto" w:fill="244C5A"/>
            <w:vAlign w:val="center"/>
          </w:tcPr>
          <w:p w14:paraId="7743B7D3" w14:textId="307F6A85" w:rsidR="003D5BED" w:rsidRPr="003D5BED" w:rsidRDefault="003D5BED" w:rsidP="003D5BED">
            <w:pPr>
              <w:jc w:val="right"/>
              <w:rPr>
                <w:rFonts w:ascii="VIC SemiBold" w:hAnsi="VIC SemiBold"/>
                <w:color w:val="FFFFFF" w:themeColor="background1"/>
                <w:sz w:val="18"/>
                <w:szCs w:val="18"/>
              </w:rPr>
            </w:pPr>
            <w:r w:rsidRPr="003D5BED">
              <w:rPr>
                <w:rFonts w:ascii="VIC SemiBold" w:eastAsia="VIC SemiBold" w:hAnsi="VIC SemiBold"/>
                <w:color w:val="FFFFFF"/>
                <w:sz w:val="18"/>
              </w:rPr>
              <w:t>355,180</w:t>
            </w:r>
          </w:p>
        </w:tc>
        <w:tc>
          <w:tcPr>
            <w:tcW w:w="1449" w:type="dxa"/>
            <w:shd w:val="clear" w:color="auto" w:fill="244C5A"/>
            <w:vAlign w:val="center"/>
          </w:tcPr>
          <w:p w14:paraId="6F22DF3A" w14:textId="7B284203" w:rsidR="003D5BED" w:rsidRPr="003D5BED" w:rsidRDefault="003D5BED" w:rsidP="003D5BED">
            <w:pPr>
              <w:jc w:val="right"/>
              <w:rPr>
                <w:rFonts w:ascii="VIC SemiBold" w:hAnsi="VIC SemiBold"/>
                <w:color w:val="FFFFFF" w:themeColor="background1"/>
                <w:sz w:val="18"/>
                <w:szCs w:val="18"/>
              </w:rPr>
            </w:pPr>
            <w:r w:rsidRPr="003D5BED">
              <w:rPr>
                <w:rFonts w:ascii="VIC SemiBold" w:eastAsia="VIC SemiBold" w:hAnsi="VIC SemiBold"/>
                <w:color w:val="FFFFFF"/>
                <w:sz w:val="18"/>
              </w:rPr>
              <w:t>719,194</w:t>
            </w:r>
          </w:p>
        </w:tc>
        <w:tc>
          <w:tcPr>
            <w:tcW w:w="1449" w:type="dxa"/>
            <w:shd w:val="clear" w:color="auto" w:fill="244C5A"/>
            <w:vAlign w:val="center"/>
          </w:tcPr>
          <w:p w14:paraId="7BF01ECC" w14:textId="53089F4B" w:rsidR="003D5BED" w:rsidRPr="003D5BED" w:rsidRDefault="003D5BED" w:rsidP="003D5BED">
            <w:pPr>
              <w:jc w:val="right"/>
              <w:rPr>
                <w:rFonts w:ascii="VIC SemiBold" w:hAnsi="VIC SemiBold"/>
                <w:color w:val="FFFFFF" w:themeColor="background1"/>
                <w:sz w:val="18"/>
                <w:szCs w:val="18"/>
              </w:rPr>
            </w:pPr>
            <w:r w:rsidRPr="003D5BED">
              <w:rPr>
                <w:rFonts w:ascii="VIC SemiBold" w:eastAsia="VIC SemiBold" w:hAnsi="VIC SemiBold"/>
                <w:color w:val="FFFFFF"/>
                <w:sz w:val="18"/>
              </w:rPr>
              <w:t>1,465,296</w:t>
            </w:r>
          </w:p>
        </w:tc>
        <w:tc>
          <w:tcPr>
            <w:tcW w:w="1449" w:type="dxa"/>
            <w:shd w:val="clear" w:color="auto" w:fill="244C5A"/>
            <w:vAlign w:val="center"/>
          </w:tcPr>
          <w:p w14:paraId="19A5485A" w14:textId="1DE14231" w:rsidR="003D5BED" w:rsidRPr="003D5BED" w:rsidRDefault="003D5BED" w:rsidP="003D5BED">
            <w:pPr>
              <w:jc w:val="right"/>
              <w:rPr>
                <w:rFonts w:ascii="VIC SemiBold" w:hAnsi="VIC SemiBold"/>
                <w:color w:val="FFFFFF" w:themeColor="background1"/>
                <w:sz w:val="18"/>
                <w:szCs w:val="18"/>
              </w:rPr>
            </w:pPr>
            <w:r w:rsidRPr="003D5BED">
              <w:rPr>
                <w:rFonts w:ascii="VIC SemiBold" w:hAnsi="VIC SemiBold"/>
                <w:color w:val="FFFFFF" w:themeColor="background1"/>
                <w:sz w:val="18"/>
                <w:szCs w:val="18"/>
              </w:rPr>
              <w:t>50</w:t>
            </w:r>
            <w:r w:rsidR="005853D5">
              <w:rPr>
                <w:rFonts w:ascii="VIC SemiBold" w:hAnsi="VIC SemiBold"/>
                <w:color w:val="FFFFFF" w:themeColor="background1"/>
                <w:sz w:val="18"/>
                <w:szCs w:val="18"/>
              </w:rPr>
              <w:t xml:space="preserve"> </w:t>
            </w:r>
            <w:r w:rsidRPr="003D5BED">
              <w:rPr>
                <w:rFonts w:ascii="VIC SemiBold" w:hAnsi="VIC SemiBold"/>
                <w:color w:val="FFFFFF" w:themeColor="background1"/>
                <w:sz w:val="18"/>
                <w:szCs w:val="18"/>
              </w:rPr>
              <w:t>%</w:t>
            </w:r>
          </w:p>
        </w:tc>
        <w:tc>
          <w:tcPr>
            <w:tcW w:w="1449" w:type="dxa"/>
            <w:shd w:val="clear" w:color="auto" w:fill="244C5A"/>
            <w:tcMar>
              <w:bottom w:w="0" w:type="dxa"/>
              <w:right w:w="57" w:type="dxa"/>
            </w:tcMar>
            <w:vAlign w:val="center"/>
          </w:tcPr>
          <w:p w14:paraId="45DA6FC5" w14:textId="74CE9105" w:rsidR="003D5BED" w:rsidRPr="003D5BED" w:rsidRDefault="003D5BED" w:rsidP="003D5BED">
            <w:pPr>
              <w:jc w:val="right"/>
              <w:rPr>
                <w:rFonts w:ascii="VIC SemiBold" w:hAnsi="VIC SemiBold"/>
                <w:color w:val="FFFFFF" w:themeColor="background1"/>
                <w:sz w:val="18"/>
                <w:szCs w:val="18"/>
              </w:rPr>
            </w:pPr>
            <w:r w:rsidRPr="003D5BED">
              <w:rPr>
                <w:rFonts w:ascii="VIC SemiBold" w:eastAsia="VIC SemiBold" w:hAnsi="VIC SemiBold"/>
                <w:color w:val="FFFFFF"/>
                <w:sz w:val="18"/>
              </w:rPr>
              <w:t>49 %</w:t>
            </w:r>
          </w:p>
        </w:tc>
      </w:tr>
    </w:tbl>
    <w:p w14:paraId="68F4E4EA" w14:textId="28DF4CE1" w:rsidR="00BF031D" w:rsidRDefault="00BF031D">
      <w:pPr>
        <w:rPr>
          <w:sz w:val="6"/>
        </w:rPr>
      </w:pPr>
    </w:p>
    <w:p w14:paraId="19952C75" w14:textId="14CB31E5" w:rsidR="00BF031D" w:rsidRDefault="00BF031D">
      <w:pPr>
        <w:widowControl/>
        <w:rPr>
          <w:sz w:val="6"/>
        </w:rPr>
      </w:pPr>
    </w:p>
    <w:tbl>
      <w:tblPr>
        <w:tblStyle w:val="TableGrid"/>
        <w:tblW w:w="0" w:type="auto"/>
        <w:jc w:val="right"/>
        <w:tblInd w:w="0" w:type="dxa"/>
        <w:tblBorders>
          <w:top w:val="dotted" w:sz="4" w:space="0" w:color="244C5A"/>
          <w:left w:val="dotted" w:sz="4" w:space="0" w:color="244C5A"/>
          <w:bottom w:val="dotted" w:sz="4" w:space="0" w:color="244C5A"/>
          <w:right w:val="dotted" w:sz="4" w:space="0" w:color="244C5A"/>
          <w:insideH w:val="none" w:sz="0" w:space="0" w:color="auto"/>
          <w:insideV w:val="none" w:sz="0" w:space="0" w:color="auto"/>
        </w:tblBorders>
        <w:tblLook w:val="04A0" w:firstRow="1" w:lastRow="0" w:firstColumn="1" w:lastColumn="0" w:noHBand="0" w:noVBand="1"/>
      </w:tblPr>
      <w:tblGrid>
        <w:gridCol w:w="704"/>
        <w:gridCol w:w="3260"/>
      </w:tblGrid>
      <w:tr w:rsidR="003D5BED" w:rsidRPr="006D59E1" w14:paraId="7F00380F" w14:textId="77777777" w:rsidTr="0016676F">
        <w:trPr>
          <w:jc w:val="right"/>
        </w:trPr>
        <w:tc>
          <w:tcPr>
            <w:tcW w:w="704" w:type="dxa"/>
          </w:tcPr>
          <w:p w14:paraId="419A8BD8" w14:textId="77777777" w:rsidR="003D5BED" w:rsidRPr="006D59E1" w:rsidRDefault="003D5BED" w:rsidP="0016676F">
            <w:pPr>
              <w:pStyle w:val="VAHInumberloweralpha"/>
              <w:numPr>
                <w:ilvl w:val="0"/>
                <w:numId w:val="0"/>
              </w:numPr>
              <w:spacing w:after="0" w:line="240" w:lineRule="auto"/>
              <w:rPr>
                <w:sz w:val="16"/>
                <w:szCs w:val="16"/>
              </w:rPr>
            </w:pPr>
            <w:r w:rsidRPr="006D59E1">
              <w:rPr>
                <w:color w:val="FF0000"/>
                <w:sz w:val="16"/>
                <w:szCs w:val="16"/>
              </w:rPr>
              <w:t>Red</w:t>
            </w:r>
          </w:p>
        </w:tc>
        <w:tc>
          <w:tcPr>
            <w:tcW w:w="3260" w:type="dxa"/>
          </w:tcPr>
          <w:p w14:paraId="60F3AB51"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FTYD r</w:t>
            </w:r>
            <w:r w:rsidRPr="006D59E1">
              <w:rPr>
                <w:color w:val="696969"/>
                <w:sz w:val="16"/>
                <w:szCs w:val="16"/>
              </w:rPr>
              <w:t xml:space="preserve">esult </w:t>
            </w:r>
            <w:r>
              <w:rPr>
                <w:color w:val="696969"/>
                <w:sz w:val="16"/>
                <w:szCs w:val="16"/>
              </w:rPr>
              <w:t>is</w:t>
            </w:r>
            <w:r w:rsidRPr="006D59E1">
              <w:rPr>
                <w:color w:val="696969"/>
                <w:sz w:val="16"/>
                <w:szCs w:val="16"/>
              </w:rPr>
              <w:t xml:space="preserve"> </w:t>
            </w:r>
            <w:r>
              <w:rPr>
                <w:color w:val="696969"/>
                <w:sz w:val="16"/>
                <w:szCs w:val="16"/>
              </w:rPr>
              <w:t>&gt;</w:t>
            </w:r>
            <w:r w:rsidRPr="006D59E1">
              <w:rPr>
                <w:color w:val="696969"/>
                <w:sz w:val="16"/>
                <w:szCs w:val="16"/>
              </w:rPr>
              <w:t xml:space="preserve">5% below </w:t>
            </w:r>
            <w:r>
              <w:rPr>
                <w:color w:val="696969"/>
                <w:sz w:val="16"/>
                <w:szCs w:val="16"/>
              </w:rPr>
              <w:t>FYTD</w:t>
            </w:r>
            <w:r w:rsidRPr="006D59E1">
              <w:rPr>
                <w:color w:val="696969"/>
                <w:sz w:val="16"/>
                <w:szCs w:val="16"/>
              </w:rPr>
              <w:t xml:space="preserve"> target</w:t>
            </w:r>
          </w:p>
        </w:tc>
      </w:tr>
      <w:tr w:rsidR="003D5BED" w:rsidRPr="006D59E1" w14:paraId="2AEA0407" w14:textId="77777777" w:rsidTr="0016676F">
        <w:trPr>
          <w:jc w:val="right"/>
        </w:trPr>
        <w:tc>
          <w:tcPr>
            <w:tcW w:w="704" w:type="dxa"/>
          </w:tcPr>
          <w:p w14:paraId="46739E65" w14:textId="77777777" w:rsidR="003D5BED" w:rsidRDefault="003D5BED" w:rsidP="0016676F">
            <w:pPr>
              <w:pStyle w:val="VAHInumberloweralpha"/>
              <w:numPr>
                <w:ilvl w:val="0"/>
                <w:numId w:val="0"/>
              </w:numPr>
              <w:spacing w:after="0" w:line="240" w:lineRule="auto"/>
              <w:rPr>
                <w:sz w:val="16"/>
                <w:szCs w:val="16"/>
              </w:rPr>
            </w:pPr>
            <w:r w:rsidRPr="006D59E1">
              <w:rPr>
                <w:color w:val="00B050"/>
                <w:sz w:val="16"/>
                <w:szCs w:val="16"/>
              </w:rPr>
              <w:t>Green</w:t>
            </w:r>
          </w:p>
        </w:tc>
        <w:tc>
          <w:tcPr>
            <w:tcW w:w="3260" w:type="dxa"/>
          </w:tcPr>
          <w:p w14:paraId="5C9067C6"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FYTD</w:t>
            </w:r>
            <w:r w:rsidRPr="006D59E1">
              <w:rPr>
                <w:color w:val="696969"/>
                <w:sz w:val="16"/>
                <w:szCs w:val="16"/>
              </w:rPr>
              <w:t xml:space="preserve"> </w:t>
            </w:r>
            <w:r>
              <w:rPr>
                <w:color w:val="696969"/>
                <w:sz w:val="16"/>
                <w:szCs w:val="16"/>
              </w:rPr>
              <w:t>result is</w:t>
            </w:r>
            <w:r w:rsidRPr="006D59E1">
              <w:rPr>
                <w:color w:val="696969"/>
                <w:sz w:val="16"/>
                <w:szCs w:val="16"/>
              </w:rPr>
              <w:t xml:space="preserve"> </w:t>
            </w:r>
            <w:r>
              <w:rPr>
                <w:color w:val="696969"/>
                <w:sz w:val="16"/>
                <w:szCs w:val="16"/>
              </w:rPr>
              <w:t>&gt;</w:t>
            </w:r>
            <w:r w:rsidRPr="006D59E1">
              <w:rPr>
                <w:color w:val="696969"/>
                <w:sz w:val="16"/>
                <w:szCs w:val="16"/>
              </w:rPr>
              <w:t xml:space="preserve">5% above </w:t>
            </w:r>
            <w:r>
              <w:rPr>
                <w:color w:val="696969"/>
                <w:sz w:val="16"/>
                <w:szCs w:val="16"/>
              </w:rPr>
              <w:t>FYTD</w:t>
            </w:r>
            <w:r w:rsidRPr="006D59E1">
              <w:rPr>
                <w:color w:val="696969"/>
                <w:sz w:val="16"/>
                <w:szCs w:val="16"/>
              </w:rPr>
              <w:t xml:space="preserve"> target</w:t>
            </w:r>
          </w:p>
        </w:tc>
      </w:tr>
    </w:tbl>
    <w:p w14:paraId="63CF182D" w14:textId="77777777" w:rsidR="003D5BED" w:rsidRDefault="003D5BED" w:rsidP="00851497">
      <w:pPr>
        <w:widowControl/>
        <w:spacing w:after="60"/>
        <w:rPr>
          <w:rFonts w:ascii="VIC" w:hAnsi="VIC"/>
          <w:color w:val="696969"/>
          <w:sz w:val="18"/>
          <w:szCs w:val="18"/>
        </w:rPr>
      </w:pPr>
    </w:p>
    <w:p w14:paraId="08AAFB02" w14:textId="6ED45BB5" w:rsidR="00851497" w:rsidRPr="00F05B39" w:rsidRDefault="00F05B39" w:rsidP="00851497">
      <w:pPr>
        <w:widowControl/>
        <w:spacing w:after="60"/>
        <w:rPr>
          <w:rFonts w:ascii="VIC" w:hAnsi="VIC"/>
          <w:color w:val="696969"/>
          <w:sz w:val="18"/>
          <w:szCs w:val="18"/>
        </w:rPr>
      </w:pPr>
      <w:r>
        <w:rPr>
          <w:rFonts w:ascii="VIC" w:hAnsi="VIC"/>
          <w:color w:val="696969"/>
          <w:sz w:val="18"/>
          <w:szCs w:val="18"/>
        </w:rPr>
        <w:t>Measure definition</w:t>
      </w:r>
      <w:r w:rsidR="00851497" w:rsidRPr="00F05B39">
        <w:rPr>
          <w:rFonts w:ascii="VIC" w:hAnsi="VIC"/>
          <w:color w:val="696969"/>
          <w:sz w:val="18"/>
          <w:szCs w:val="18"/>
        </w:rPr>
        <w:t xml:space="preserve"> - Number of service hours, by sector, excluding (a) Veterans, CEED and the Bouverie Centre contacts and (b) contacts recorded against inpatient or residential program types.</w:t>
      </w:r>
    </w:p>
    <w:p w14:paraId="226C2FBB" w14:textId="77777777" w:rsidR="00851497" w:rsidRPr="00F05B39" w:rsidRDefault="00851497" w:rsidP="00851497">
      <w:pPr>
        <w:widowControl/>
        <w:spacing w:after="60"/>
        <w:rPr>
          <w:rFonts w:ascii="VIC" w:hAnsi="VIC"/>
          <w:color w:val="696969"/>
          <w:sz w:val="18"/>
          <w:szCs w:val="18"/>
        </w:rPr>
      </w:pPr>
      <w:r w:rsidRPr="00F05B39">
        <w:rPr>
          <w:rFonts w:ascii="VIC" w:hAnsi="VIC"/>
          <w:color w:val="696969"/>
          <w:sz w:val="18"/>
          <w:szCs w:val="18"/>
        </w:rPr>
        <w:t xml:space="preserve">Targets specified in Policy and Funding Guidelines. Results include type 'A' and 'E' registered, type 'B' unregistered and type 'C' community contacts. 'Service hours' is defined as contact hours adjusted for group session contacts. For group session contacts, contact duration is multiplied by the number of healthcare professionals present, and divided by the number </w:t>
      </w:r>
      <w:bookmarkStart w:id="3" w:name="_GoBack"/>
      <w:bookmarkEnd w:id="3"/>
      <w:r w:rsidRPr="00F05B39">
        <w:rPr>
          <w:rFonts w:ascii="VIC" w:hAnsi="VIC"/>
          <w:color w:val="696969"/>
          <w:sz w:val="18"/>
          <w:szCs w:val="18"/>
        </w:rPr>
        <w:t>of consumers involved.</w:t>
      </w:r>
    </w:p>
    <w:p w14:paraId="7B57E5EF" w14:textId="37A2DA73" w:rsidR="00851497" w:rsidRPr="00F05B39" w:rsidRDefault="00851497" w:rsidP="00851497">
      <w:pPr>
        <w:widowControl/>
        <w:spacing w:after="60"/>
        <w:rPr>
          <w:rFonts w:ascii="VIC" w:hAnsi="VIC"/>
          <w:color w:val="696969"/>
          <w:sz w:val="18"/>
          <w:szCs w:val="18"/>
        </w:rPr>
      </w:pPr>
      <w:r w:rsidRPr="00F05B39">
        <w:rPr>
          <w:rFonts w:ascii="VIC" w:hAnsi="VIC"/>
          <w:color w:val="696969"/>
          <w:sz w:val="18"/>
          <w:szCs w:val="18"/>
        </w:rPr>
        <w:t>Statewide mental health ambulatory targets within the Department of Health and Human Services' Policy and funding guidelines 2019-20 exclude both Victorian Institute of Forensic Mental Health (</w:t>
      </w:r>
      <w:proofErr w:type="spellStart"/>
      <w:r w:rsidRPr="00F05B39">
        <w:rPr>
          <w:rFonts w:ascii="VIC" w:hAnsi="VIC"/>
          <w:color w:val="696969"/>
          <w:sz w:val="18"/>
          <w:szCs w:val="18"/>
        </w:rPr>
        <w:t>Forensicare</w:t>
      </w:r>
      <w:proofErr w:type="spellEnd"/>
      <w:r w:rsidRPr="00F05B39">
        <w:rPr>
          <w:rFonts w:ascii="VIC" w:hAnsi="VIC"/>
          <w:color w:val="696969"/>
          <w:sz w:val="18"/>
          <w:szCs w:val="18"/>
        </w:rPr>
        <w:t xml:space="preserve">) and Albury New South Wales activity within Albury Wodonga Health. Reported data include </w:t>
      </w:r>
      <w:proofErr w:type="spellStart"/>
      <w:r w:rsidRPr="00F05B39">
        <w:rPr>
          <w:rFonts w:ascii="VIC" w:hAnsi="VIC"/>
          <w:color w:val="696969"/>
          <w:sz w:val="18"/>
          <w:szCs w:val="18"/>
        </w:rPr>
        <w:t>Forensicare</w:t>
      </w:r>
      <w:proofErr w:type="spellEnd"/>
      <w:r w:rsidRPr="00F05B39">
        <w:rPr>
          <w:rFonts w:ascii="VIC" w:hAnsi="VIC"/>
          <w:color w:val="696969"/>
          <w:sz w:val="18"/>
          <w:szCs w:val="18"/>
        </w:rPr>
        <w:t xml:space="preserve"> and Albury New South Wales data.</w:t>
      </w:r>
    </w:p>
    <w:p w14:paraId="05EE3A61" w14:textId="5A2D6CD5" w:rsidR="0069621D" w:rsidRDefault="0069621D">
      <w:pPr>
        <w:rPr>
          <w:sz w:val="6"/>
        </w:rPr>
      </w:pPr>
    </w:p>
    <w:tbl>
      <w:tblPr>
        <w:tblStyle w:val="TableGrid"/>
        <w:tblW w:w="0" w:type="auto"/>
        <w:tblInd w:w="0" w:type="dxa"/>
        <w:tblLook w:val="04A0" w:firstRow="1" w:lastRow="0" w:firstColumn="1" w:lastColumn="0" w:noHBand="0" w:noVBand="1"/>
      </w:tblPr>
      <w:tblGrid>
        <w:gridCol w:w="9801"/>
      </w:tblGrid>
      <w:tr w:rsidR="00E772CD" w14:paraId="2DD4EDA3" w14:textId="77777777" w:rsidTr="00E772CD">
        <w:tc>
          <w:tcPr>
            <w:tcW w:w="9801" w:type="dxa"/>
          </w:tcPr>
          <w:p w14:paraId="46AF4EC9" w14:textId="77777777" w:rsidR="00E772CD" w:rsidRPr="00A844E8" w:rsidRDefault="00E772CD" w:rsidP="00F76D9A">
            <w:pPr>
              <w:pStyle w:val="DHHSaccessibilitypara"/>
              <w:spacing w:after="120" w:line="240" w:lineRule="auto"/>
              <w:rPr>
                <w:rFonts w:ascii="VIC" w:hAnsi="VIC"/>
                <w:sz w:val="20"/>
              </w:rPr>
            </w:pPr>
            <w:r w:rsidRPr="00A844E8">
              <w:rPr>
                <w:rFonts w:ascii="VIC" w:hAnsi="VIC"/>
                <w:sz w:val="20"/>
              </w:rPr>
              <w:t>To receive this publication in an accessible format phone (03) 9096 1878, using the National Relay Service 13 36 77 if required, or email Victorian Agency for Health Information &lt;</w:t>
            </w:r>
            <w:hyperlink r:id="rId10" w:history="1">
              <w:r w:rsidRPr="00A844E8">
                <w:rPr>
                  <w:rStyle w:val="Hyperlink"/>
                  <w:rFonts w:ascii="VIC" w:hAnsi="VIC"/>
                  <w:sz w:val="20"/>
                </w:rPr>
                <w:t>vahi@vahi.vic.gov.au</w:t>
              </w:r>
            </w:hyperlink>
            <w:r w:rsidRPr="00A844E8">
              <w:rPr>
                <w:rFonts w:ascii="VIC" w:hAnsi="VIC"/>
                <w:sz w:val="20"/>
              </w:rPr>
              <w:t>&gt;</w:t>
            </w:r>
          </w:p>
          <w:p w14:paraId="4E6E4C16" w14:textId="77777777" w:rsidR="00E772CD" w:rsidRPr="00A844E8" w:rsidRDefault="00E772CD" w:rsidP="00F76D9A">
            <w:pPr>
              <w:pStyle w:val="DHHSbody"/>
              <w:spacing w:line="240" w:lineRule="auto"/>
              <w:rPr>
                <w:rFonts w:ascii="VIC" w:hAnsi="VIC"/>
                <w:sz w:val="16"/>
              </w:rPr>
            </w:pPr>
            <w:r w:rsidRPr="00A844E8">
              <w:rPr>
                <w:rFonts w:ascii="VIC" w:hAnsi="VIC"/>
                <w:sz w:val="16"/>
              </w:rPr>
              <w:t>Authorised and published by the Victorian Government, 1 Treasury Place, Melbourne.</w:t>
            </w:r>
          </w:p>
          <w:p w14:paraId="7869C460" w14:textId="1838596E" w:rsidR="00E772CD" w:rsidRPr="00A844E8" w:rsidRDefault="00E772CD" w:rsidP="00F76D9A">
            <w:pPr>
              <w:pStyle w:val="DHHSbody"/>
              <w:spacing w:line="240" w:lineRule="auto"/>
              <w:rPr>
                <w:rFonts w:ascii="VIC" w:hAnsi="VIC"/>
                <w:sz w:val="16"/>
              </w:rPr>
            </w:pPr>
            <w:r w:rsidRPr="00A844E8">
              <w:rPr>
                <w:rFonts w:ascii="VIC" w:hAnsi="VIC"/>
                <w:sz w:val="16"/>
              </w:rPr>
              <w:t xml:space="preserve">© State of Victoria, Department of Health and Human Services </w:t>
            </w:r>
            <w:r w:rsidR="003D5BED">
              <w:rPr>
                <w:rFonts w:ascii="VIC" w:hAnsi="VIC"/>
                <w:sz w:val="16"/>
              </w:rPr>
              <w:t>January 2020.</w:t>
            </w:r>
          </w:p>
          <w:p w14:paraId="648DC53F" w14:textId="681B94A8" w:rsidR="00E772CD" w:rsidRDefault="00E772CD" w:rsidP="00F76D9A">
            <w:pPr>
              <w:rPr>
                <w:sz w:val="6"/>
              </w:rPr>
            </w:pPr>
            <w:r w:rsidRPr="00A844E8">
              <w:rPr>
                <w:rFonts w:ascii="VIC" w:hAnsi="VIC"/>
                <w:sz w:val="18"/>
              </w:rPr>
              <w:t xml:space="preserve">Available from </w:t>
            </w:r>
            <w:hyperlink r:id="rId11" w:history="1">
              <w:r w:rsidRPr="00A844E8">
                <w:rPr>
                  <w:rStyle w:val="Hyperlink"/>
                  <w:rFonts w:ascii="VIC" w:hAnsi="VIC"/>
                  <w:sz w:val="18"/>
                </w:rPr>
                <w:t>Service hours - mental health performance indicator reports page</w:t>
              </w:r>
            </w:hyperlink>
            <w:r w:rsidRPr="00A844E8">
              <w:rPr>
                <w:rFonts w:ascii="VIC" w:hAnsi="VIC"/>
                <w:sz w:val="18"/>
              </w:rPr>
              <w:t xml:space="preserve"> &lt;https://www2.health.vic.gov.au/mental-health/research-and-reporting/mental-health-performance-reports/service-hours-performance-indicator-reports&gt; on the </w:t>
            </w:r>
            <w:proofErr w:type="spellStart"/>
            <w:r w:rsidRPr="00A844E8">
              <w:rPr>
                <w:rFonts w:ascii="VIC" w:hAnsi="VIC"/>
                <w:sz w:val="18"/>
              </w:rPr>
              <w:t>Health.vic</w:t>
            </w:r>
            <w:proofErr w:type="spellEnd"/>
            <w:r w:rsidRPr="00A844E8">
              <w:rPr>
                <w:rFonts w:ascii="VIC" w:hAnsi="VIC"/>
                <w:sz w:val="18"/>
              </w:rPr>
              <w:t xml:space="preserve"> website.</w:t>
            </w:r>
          </w:p>
        </w:tc>
      </w:tr>
    </w:tbl>
    <w:p w14:paraId="1BB509B0" w14:textId="5160F0E0" w:rsidR="00E772CD" w:rsidRPr="00F76D9A" w:rsidRDefault="00E772CD">
      <w:pPr>
        <w:rPr>
          <w:sz w:val="2"/>
        </w:rPr>
      </w:pPr>
    </w:p>
    <w:sectPr w:rsidR="00E772CD" w:rsidRPr="00F76D9A" w:rsidSect="009910F4">
      <w:headerReference w:type="default" r:id="rId12"/>
      <w:footerReference w:type="default" r:id="rId13"/>
      <w:type w:val="continuous"/>
      <w:pgSz w:w="11906" w:h="16838"/>
      <w:pgMar w:top="851" w:right="1133" w:bottom="851"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7B505" w14:textId="77777777" w:rsidR="007F209B" w:rsidRDefault="007F209B">
      <w:r>
        <w:separator/>
      </w:r>
    </w:p>
  </w:endnote>
  <w:endnote w:type="continuationSeparator" w:id="0">
    <w:p w14:paraId="72E806BE" w14:textId="77777777" w:rsidR="007F209B" w:rsidRDefault="007F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000" w:firstRow="0" w:lastRow="0" w:firstColumn="0" w:lastColumn="0" w:noHBand="0" w:noVBand="0"/>
    </w:tblPr>
    <w:tblGrid>
      <w:gridCol w:w="5285"/>
      <w:gridCol w:w="1102"/>
      <w:gridCol w:w="156"/>
      <w:gridCol w:w="1828"/>
      <w:gridCol w:w="1533"/>
      <w:gridCol w:w="300"/>
    </w:tblGrid>
    <w:tr w:rsidR="009A2A6E" w14:paraId="25141E6F" w14:textId="77777777" w:rsidTr="003D0E58">
      <w:tc>
        <w:tcPr>
          <w:tcW w:w="5760" w:type="dxa"/>
        </w:tcPr>
        <w:p w14:paraId="65EC088D" w14:textId="77777777" w:rsidR="009A2A6E" w:rsidRDefault="009A2A6E" w:rsidP="009A2A6E">
          <w:pPr>
            <w:pStyle w:val="EmptyLayoutCell"/>
          </w:pPr>
        </w:p>
      </w:tc>
      <w:tc>
        <w:tcPr>
          <w:tcW w:w="1215" w:type="dxa"/>
        </w:tcPr>
        <w:p w14:paraId="2B10F738" w14:textId="77777777" w:rsidR="009A2A6E" w:rsidRDefault="009A2A6E" w:rsidP="009A2A6E">
          <w:pPr>
            <w:pStyle w:val="EmptyLayoutCell"/>
          </w:pPr>
        </w:p>
      </w:tc>
      <w:tc>
        <w:tcPr>
          <w:tcW w:w="171" w:type="dxa"/>
        </w:tcPr>
        <w:p w14:paraId="44E8EBB2" w14:textId="77777777" w:rsidR="009A2A6E" w:rsidRDefault="009A2A6E" w:rsidP="009A2A6E">
          <w:pPr>
            <w:pStyle w:val="EmptyLayoutCell"/>
          </w:pPr>
        </w:p>
      </w:tc>
      <w:tc>
        <w:tcPr>
          <w:tcW w:w="3612" w:type="dxa"/>
          <w:gridSpan w:val="2"/>
          <w:vMerge w:val="restart"/>
        </w:tcPr>
        <w:tbl>
          <w:tblPr>
            <w:tblW w:w="0" w:type="auto"/>
            <w:tblCellMar>
              <w:left w:w="0" w:type="dxa"/>
              <w:right w:w="0" w:type="dxa"/>
            </w:tblCellMar>
            <w:tblLook w:val="0000" w:firstRow="0" w:lastRow="0" w:firstColumn="0" w:lastColumn="0" w:noHBand="0" w:noVBand="0"/>
          </w:tblPr>
          <w:tblGrid>
            <w:gridCol w:w="3361"/>
          </w:tblGrid>
          <w:tr w:rsidR="009A2A6E" w14:paraId="3C467175" w14:textId="77777777" w:rsidTr="003D0E58">
            <w:trPr>
              <w:trHeight w:val="141"/>
            </w:trPr>
            <w:tc>
              <w:tcPr>
                <w:tcW w:w="3612" w:type="dxa"/>
                <w:tcMar>
                  <w:top w:w="0" w:type="dxa"/>
                  <w:left w:w="0" w:type="dxa"/>
                  <w:bottom w:w="0" w:type="dxa"/>
                  <w:right w:w="0" w:type="dxa"/>
                </w:tcMar>
              </w:tcPr>
              <w:p w14:paraId="36A6E907" w14:textId="77777777" w:rsidR="009A2A6E" w:rsidRDefault="009A2A6E" w:rsidP="009A2A6E">
                <w:pPr>
                  <w:jc w:val="right"/>
                </w:pPr>
                <w:r>
                  <w:rPr>
                    <w:rFonts w:ascii="VIC SemiBold" w:eastAsia="VIC SemiBold" w:hAnsi="VIC SemiBold"/>
                    <w:color w:val="244C5A"/>
                    <w:sz w:val="16"/>
                  </w:rPr>
                  <w:t>Victorian Agency for Health Information</w:t>
                </w:r>
              </w:p>
            </w:tc>
          </w:tr>
        </w:tbl>
        <w:p w14:paraId="757B6D04" w14:textId="77777777" w:rsidR="009A2A6E" w:rsidRDefault="009A2A6E" w:rsidP="009A2A6E"/>
      </w:tc>
      <w:tc>
        <w:tcPr>
          <w:tcW w:w="330" w:type="dxa"/>
        </w:tcPr>
        <w:p w14:paraId="1B1238A7" w14:textId="77777777" w:rsidR="009A2A6E" w:rsidRDefault="009A2A6E" w:rsidP="009A2A6E">
          <w:pPr>
            <w:pStyle w:val="EmptyLayoutCell"/>
          </w:pPr>
        </w:p>
      </w:tc>
    </w:tr>
    <w:tr w:rsidR="009A2A6E" w14:paraId="14599C8A" w14:textId="77777777" w:rsidTr="003D0E58">
      <w:tc>
        <w:tcPr>
          <w:tcW w:w="5760" w:type="dxa"/>
          <w:vMerge w:val="restart"/>
        </w:tcPr>
        <w:tbl>
          <w:tblPr>
            <w:tblW w:w="0" w:type="auto"/>
            <w:tblCellMar>
              <w:left w:w="0" w:type="dxa"/>
              <w:right w:w="0" w:type="dxa"/>
            </w:tblCellMar>
            <w:tblLook w:val="0000" w:firstRow="0" w:lastRow="0" w:firstColumn="0" w:lastColumn="0" w:noHBand="0" w:noVBand="0"/>
          </w:tblPr>
          <w:tblGrid>
            <w:gridCol w:w="5285"/>
          </w:tblGrid>
          <w:tr w:rsidR="009A2A6E" w14:paraId="2BB2F2FF" w14:textId="77777777" w:rsidTr="003D0E58">
            <w:trPr>
              <w:trHeight w:val="170"/>
            </w:trPr>
            <w:tc>
              <w:tcPr>
                <w:tcW w:w="5760" w:type="dxa"/>
                <w:tcMar>
                  <w:top w:w="0" w:type="dxa"/>
                  <w:left w:w="0" w:type="dxa"/>
                  <w:bottom w:w="0" w:type="dxa"/>
                  <w:right w:w="0" w:type="dxa"/>
                </w:tcMar>
              </w:tcPr>
              <w:p w14:paraId="0FE051E8" w14:textId="30AEA954" w:rsidR="009A2A6E" w:rsidRDefault="009A2A6E" w:rsidP="009A2A6E">
                <w:r>
                  <w:rPr>
                    <w:rFonts w:ascii="VIC" w:eastAsia="VIC" w:hAnsi="VIC"/>
                    <w:color w:val="244C5A"/>
                    <w:sz w:val="16"/>
                  </w:rPr>
                  <w:t xml:space="preserve">Data Source: CMI/ODS as at </w:t>
                </w:r>
                <w:r w:rsidR="003D5BED">
                  <w:rPr>
                    <w:rFonts w:ascii="VIC" w:eastAsia="VIC" w:hAnsi="VIC"/>
                    <w:color w:val="244C5A"/>
                    <w:sz w:val="16"/>
                  </w:rPr>
                  <w:t>10 January 2020</w:t>
                </w:r>
                <w:r>
                  <w:rPr>
                    <w:rFonts w:ascii="VIC" w:eastAsia="VIC" w:hAnsi="VIC"/>
                    <w:color w:val="244C5A"/>
                    <w:sz w:val="16"/>
                  </w:rPr>
                  <w:t>.</w:t>
                </w:r>
              </w:p>
            </w:tc>
          </w:tr>
        </w:tbl>
        <w:p w14:paraId="0B20DF94" w14:textId="77777777" w:rsidR="009A2A6E" w:rsidRDefault="009A2A6E" w:rsidP="009A2A6E"/>
      </w:tc>
      <w:tc>
        <w:tcPr>
          <w:tcW w:w="1215" w:type="dxa"/>
        </w:tcPr>
        <w:p w14:paraId="072DFA6D" w14:textId="77777777" w:rsidR="009A2A6E" w:rsidRDefault="009A2A6E" w:rsidP="009A2A6E">
          <w:pPr>
            <w:pStyle w:val="EmptyLayoutCell"/>
          </w:pPr>
        </w:p>
      </w:tc>
      <w:tc>
        <w:tcPr>
          <w:tcW w:w="171" w:type="dxa"/>
        </w:tcPr>
        <w:p w14:paraId="09ECC9EB" w14:textId="77777777" w:rsidR="009A2A6E" w:rsidRDefault="009A2A6E" w:rsidP="009A2A6E">
          <w:pPr>
            <w:pStyle w:val="EmptyLayoutCell"/>
          </w:pPr>
        </w:p>
      </w:tc>
      <w:tc>
        <w:tcPr>
          <w:tcW w:w="3612" w:type="dxa"/>
          <w:gridSpan w:val="2"/>
          <w:vMerge/>
        </w:tcPr>
        <w:p w14:paraId="5C0AF730" w14:textId="77777777" w:rsidR="009A2A6E" w:rsidRDefault="009A2A6E" w:rsidP="009A2A6E">
          <w:pPr>
            <w:pStyle w:val="EmptyLayoutCell"/>
          </w:pPr>
        </w:p>
      </w:tc>
      <w:tc>
        <w:tcPr>
          <w:tcW w:w="330" w:type="dxa"/>
        </w:tcPr>
        <w:p w14:paraId="2BB9DCD5" w14:textId="77777777" w:rsidR="009A2A6E" w:rsidRDefault="009A2A6E" w:rsidP="009A2A6E">
          <w:pPr>
            <w:pStyle w:val="EmptyLayoutCell"/>
          </w:pPr>
        </w:p>
      </w:tc>
    </w:tr>
    <w:tr w:rsidR="009A2A6E" w14:paraId="485BFA1D" w14:textId="77777777" w:rsidTr="003D0E58">
      <w:tc>
        <w:tcPr>
          <w:tcW w:w="5760" w:type="dxa"/>
          <w:vMerge/>
        </w:tcPr>
        <w:p w14:paraId="4CD726B6" w14:textId="77777777" w:rsidR="009A2A6E" w:rsidRDefault="009A2A6E" w:rsidP="009A2A6E">
          <w:pPr>
            <w:pStyle w:val="EmptyLayoutCell"/>
          </w:pPr>
        </w:p>
      </w:tc>
      <w:tc>
        <w:tcPr>
          <w:tcW w:w="1215" w:type="dxa"/>
        </w:tcPr>
        <w:p w14:paraId="74F4E004" w14:textId="77777777" w:rsidR="009A2A6E" w:rsidRDefault="009A2A6E" w:rsidP="009A2A6E">
          <w:pPr>
            <w:pStyle w:val="EmptyLayoutCell"/>
          </w:pPr>
        </w:p>
      </w:tc>
      <w:tc>
        <w:tcPr>
          <w:tcW w:w="171" w:type="dxa"/>
        </w:tcPr>
        <w:p w14:paraId="7142F9BA" w14:textId="77777777" w:rsidR="009A2A6E" w:rsidRDefault="009A2A6E" w:rsidP="009A2A6E">
          <w:pPr>
            <w:pStyle w:val="EmptyLayoutCell"/>
          </w:pPr>
        </w:p>
      </w:tc>
      <w:tc>
        <w:tcPr>
          <w:tcW w:w="1957" w:type="dxa"/>
        </w:tcPr>
        <w:p w14:paraId="31735393" w14:textId="77777777" w:rsidR="009A2A6E" w:rsidRDefault="009A2A6E" w:rsidP="009A2A6E">
          <w:pPr>
            <w:pStyle w:val="EmptyLayoutCell"/>
          </w:pPr>
        </w:p>
      </w:tc>
      <w:tc>
        <w:tcPr>
          <w:tcW w:w="1655" w:type="dxa"/>
        </w:tcPr>
        <w:p w14:paraId="305A03BF" w14:textId="77777777" w:rsidR="009A2A6E" w:rsidRDefault="009A2A6E" w:rsidP="009A2A6E">
          <w:pPr>
            <w:pStyle w:val="EmptyLayoutCell"/>
          </w:pPr>
        </w:p>
      </w:tc>
      <w:tc>
        <w:tcPr>
          <w:tcW w:w="330" w:type="dxa"/>
        </w:tcPr>
        <w:p w14:paraId="084E8BF5" w14:textId="77777777" w:rsidR="009A2A6E" w:rsidRDefault="009A2A6E" w:rsidP="009A2A6E">
          <w:pPr>
            <w:pStyle w:val="EmptyLayoutCell"/>
          </w:pPr>
        </w:p>
      </w:tc>
    </w:tr>
    <w:tr w:rsidR="009A2A6E" w14:paraId="2E2AAA0D" w14:textId="77777777" w:rsidTr="003D0E58">
      <w:tc>
        <w:tcPr>
          <w:tcW w:w="6975" w:type="dxa"/>
          <w:gridSpan w:val="2"/>
          <w:vMerge w:val="restart"/>
        </w:tcPr>
        <w:tbl>
          <w:tblPr>
            <w:tblW w:w="0" w:type="auto"/>
            <w:tblCellMar>
              <w:left w:w="0" w:type="dxa"/>
              <w:right w:w="0" w:type="dxa"/>
            </w:tblCellMar>
            <w:tblLook w:val="0000" w:firstRow="0" w:lastRow="0" w:firstColumn="0" w:lastColumn="0" w:noHBand="0" w:noVBand="0"/>
          </w:tblPr>
          <w:tblGrid>
            <w:gridCol w:w="6387"/>
          </w:tblGrid>
          <w:tr w:rsidR="009A2A6E" w14:paraId="3C33812D" w14:textId="77777777" w:rsidTr="003D0E58">
            <w:trPr>
              <w:trHeight w:val="170"/>
            </w:trPr>
            <w:tc>
              <w:tcPr>
                <w:tcW w:w="6975" w:type="dxa"/>
                <w:tcMar>
                  <w:top w:w="0" w:type="dxa"/>
                  <w:left w:w="0" w:type="dxa"/>
                  <w:bottom w:w="0" w:type="dxa"/>
                  <w:right w:w="0" w:type="dxa"/>
                </w:tcMar>
              </w:tcPr>
              <w:p w14:paraId="0B9708A6" w14:textId="13941761" w:rsidR="009A2A6E" w:rsidRPr="009A2A6E" w:rsidRDefault="009A2A6E" w:rsidP="009A2A6E">
                <w:pPr>
                  <w:rPr>
                    <w:sz w:val="8"/>
                  </w:rPr>
                </w:pPr>
              </w:p>
            </w:tc>
          </w:tr>
        </w:tbl>
        <w:p w14:paraId="1EEF7005" w14:textId="77777777" w:rsidR="009A2A6E" w:rsidRDefault="009A2A6E" w:rsidP="009A2A6E"/>
      </w:tc>
      <w:tc>
        <w:tcPr>
          <w:tcW w:w="171" w:type="dxa"/>
        </w:tcPr>
        <w:p w14:paraId="62A92D08" w14:textId="77777777" w:rsidR="009A2A6E" w:rsidRDefault="009A2A6E" w:rsidP="009A2A6E">
          <w:pPr>
            <w:pStyle w:val="EmptyLayoutCell"/>
          </w:pPr>
        </w:p>
      </w:tc>
      <w:tc>
        <w:tcPr>
          <w:tcW w:w="1957" w:type="dxa"/>
        </w:tcPr>
        <w:p w14:paraId="0F31751C" w14:textId="77777777" w:rsidR="009A2A6E" w:rsidRDefault="009A2A6E" w:rsidP="009A2A6E">
          <w:pPr>
            <w:pStyle w:val="EmptyLayoutCell"/>
          </w:pPr>
        </w:p>
      </w:tc>
      <w:tc>
        <w:tcPr>
          <w:tcW w:w="1655" w:type="dxa"/>
        </w:tcPr>
        <w:p w14:paraId="7766678B" w14:textId="77777777" w:rsidR="009A2A6E" w:rsidRDefault="009A2A6E" w:rsidP="009A2A6E">
          <w:pPr>
            <w:pStyle w:val="EmptyLayoutCell"/>
          </w:pPr>
        </w:p>
      </w:tc>
      <w:tc>
        <w:tcPr>
          <w:tcW w:w="330" w:type="dxa"/>
        </w:tcPr>
        <w:p w14:paraId="2E9F3E6D" w14:textId="77777777" w:rsidR="009A2A6E" w:rsidRDefault="009A2A6E" w:rsidP="009A2A6E">
          <w:pPr>
            <w:pStyle w:val="EmptyLayoutCell"/>
          </w:pPr>
        </w:p>
      </w:tc>
    </w:tr>
    <w:tr w:rsidR="009A2A6E" w14:paraId="1E57A8B0" w14:textId="77777777" w:rsidTr="003D0E58">
      <w:tc>
        <w:tcPr>
          <w:tcW w:w="6975" w:type="dxa"/>
          <w:gridSpan w:val="2"/>
          <w:vMerge/>
        </w:tcPr>
        <w:p w14:paraId="35CA6F05" w14:textId="77777777" w:rsidR="009A2A6E" w:rsidRDefault="009A2A6E" w:rsidP="009A2A6E">
          <w:pPr>
            <w:pStyle w:val="EmptyLayoutCell"/>
          </w:pPr>
        </w:p>
      </w:tc>
      <w:tc>
        <w:tcPr>
          <w:tcW w:w="171" w:type="dxa"/>
        </w:tcPr>
        <w:p w14:paraId="3211D26F" w14:textId="77777777" w:rsidR="009A2A6E" w:rsidRDefault="009A2A6E" w:rsidP="009A2A6E">
          <w:pPr>
            <w:pStyle w:val="EmptyLayoutCell"/>
          </w:pPr>
        </w:p>
      </w:tc>
      <w:tc>
        <w:tcPr>
          <w:tcW w:w="1957" w:type="dxa"/>
        </w:tcPr>
        <w:p w14:paraId="70C2A7F7" w14:textId="77777777" w:rsidR="009A2A6E" w:rsidRDefault="009A2A6E" w:rsidP="009A2A6E">
          <w:pPr>
            <w:pStyle w:val="EmptyLayoutCell"/>
          </w:pPr>
        </w:p>
      </w:tc>
      <w:tc>
        <w:tcPr>
          <w:tcW w:w="1655" w:type="dxa"/>
        </w:tcPr>
        <w:tbl>
          <w:tblPr>
            <w:tblW w:w="0" w:type="auto"/>
            <w:tblCellMar>
              <w:left w:w="0" w:type="dxa"/>
              <w:right w:w="0" w:type="dxa"/>
            </w:tblCellMar>
            <w:tblLook w:val="0000" w:firstRow="0" w:lastRow="0" w:firstColumn="0" w:lastColumn="0" w:noHBand="0" w:noVBand="0"/>
          </w:tblPr>
          <w:tblGrid>
            <w:gridCol w:w="1533"/>
          </w:tblGrid>
          <w:tr w:rsidR="009A2A6E" w14:paraId="3D8C73FD" w14:textId="77777777" w:rsidTr="003D0E58">
            <w:trPr>
              <w:trHeight w:val="226"/>
            </w:trPr>
            <w:tc>
              <w:tcPr>
                <w:tcW w:w="1655" w:type="dxa"/>
                <w:tcMar>
                  <w:top w:w="0" w:type="dxa"/>
                  <w:left w:w="0" w:type="dxa"/>
                  <w:bottom w:w="0" w:type="dxa"/>
                  <w:right w:w="0" w:type="dxa"/>
                </w:tcMar>
              </w:tcPr>
              <w:p w14:paraId="76B29F0C" w14:textId="77777777" w:rsidR="009A2A6E" w:rsidRDefault="009A2A6E" w:rsidP="009A2A6E">
                <w:pPr>
                  <w:jc w:val="right"/>
                </w:pPr>
                <w:r>
                  <w:rPr>
                    <w:rFonts w:ascii="VIC SemiBold" w:eastAsia="VIC SemiBold" w:hAnsi="VIC SemiBold"/>
                    <w:color w:val="244C5A"/>
                    <w:sz w:val="16"/>
                  </w:rPr>
                  <w:fldChar w:fldCharType="begin"/>
                </w:r>
                <w:r>
                  <w:rPr>
                    <w:rFonts w:ascii="VIC SemiBold" w:eastAsia="VIC SemiBold" w:hAnsi="VIC SemiBold"/>
                    <w:color w:val="244C5A"/>
                    <w:sz w:val="16"/>
                  </w:rPr>
                  <w:instrText xml:space="preserve"> PAGE </w:instrText>
                </w:r>
                <w:r>
                  <w:rPr>
                    <w:rFonts w:ascii="VIC SemiBold" w:eastAsia="VIC SemiBold" w:hAnsi="VIC SemiBold"/>
                    <w:color w:val="244C5A"/>
                    <w:sz w:val="16"/>
                  </w:rPr>
                  <w:fldChar w:fldCharType="separate"/>
                </w:r>
                <w:r>
                  <w:rPr>
                    <w:rFonts w:ascii="VIC SemiBold" w:eastAsia="VIC SemiBold" w:hAnsi="VIC SemiBold"/>
                    <w:color w:val="244C5A"/>
                    <w:sz w:val="16"/>
                  </w:rPr>
                  <w:t>1</w:t>
                </w:r>
                <w:r>
                  <w:rPr>
                    <w:rFonts w:ascii="VIC SemiBold" w:eastAsia="VIC SemiBold" w:hAnsi="VIC SemiBold"/>
                    <w:color w:val="244C5A"/>
                    <w:sz w:val="16"/>
                  </w:rPr>
                  <w:fldChar w:fldCharType="end"/>
                </w:r>
              </w:p>
            </w:tc>
          </w:tr>
        </w:tbl>
        <w:p w14:paraId="504A88A7" w14:textId="77777777" w:rsidR="009A2A6E" w:rsidRDefault="009A2A6E" w:rsidP="009A2A6E"/>
      </w:tc>
      <w:tc>
        <w:tcPr>
          <w:tcW w:w="330" w:type="dxa"/>
        </w:tcPr>
        <w:p w14:paraId="56693D0B" w14:textId="77777777" w:rsidR="009A2A6E" w:rsidRDefault="009A2A6E" w:rsidP="009A2A6E">
          <w:pPr>
            <w:pStyle w:val="EmptyLayoutCell"/>
          </w:pPr>
        </w:p>
      </w:tc>
    </w:tr>
  </w:tbl>
  <w:p w14:paraId="46648E54" w14:textId="3A0E7094" w:rsidR="009A2A6E" w:rsidRPr="009A2A6E" w:rsidRDefault="009A2A6E" w:rsidP="009A2A6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361D" w14:textId="4790287C" w:rsidR="007F209B" w:rsidRDefault="007F209B" w:rsidP="000B0CCC">
    <w:pPr>
      <w:pStyle w:val="VAHIfooter"/>
      <w:rPr>
        <w:b w:val="0"/>
        <w:color w:val="244C5A"/>
      </w:rPr>
    </w:pPr>
    <w:r w:rsidRPr="000B0CCC">
      <w:rPr>
        <w:b w:val="0"/>
        <w:color w:val="244C5A"/>
        <w:sz w:val="16"/>
        <w:szCs w:val="16"/>
      </w:rPr>
      <w:t xml:space="preserve">Data Source: CMI/ODS, as at 11 </w:t>
    </w:r>
    <w:r>
      <w:rPr>
        <w:b w:val="0"/>
        <w:color w:val="244C5A"/>
        <w:sz w:val="16"/>
        <w:szCs w:val="16"/>
      </w:rPr>
      <w:t>October</w:t>
    </w:r>
    <w:r w:rsidRPr="000B0CCC">
      <w:rPr>
        <w:b w:val="0"/>
        <w:color w:val="244C5A"/>
        <w:sz w:val="16"/>
        <w:szCs w:val="16"/>
      </w:rPr>
      <w:t xml:space="preserve"> 2019 and </w:t>
    </w:r>
    <w:r w:rsidR="004118F0">
      <w:rPr>
        <w:b w:val="0"/>
        <w:color w:val="244C5A"/>
        <w:sz w:val="16"/>
        <w:szCs w:val="16"/>
      </w:rPr>
      <w:t xml:space="preserve">estimated residential population </w:t>
    </w:r>
    <w:r w:rsidRPr="000B0CCC">
      <w:rPr>
        <w:b w:val="0"/>
        <w:color w:val="244C5A"/>
        <w:sz w:val="16"/>
        <w:szCs w:val="16"/>
      </w:rPr>
      <w:t xml:space="preserve">as at </w:t>
    </w:r>
    <w:r>
      <w:rPr>
        <w:b w:val="0"/>
        <w:color w:val="244C5A"/>
        <w:sz w:val="16"/>
        <w:szCs w:val="16"/>
      </w:rPr>
      <w:t xml:space="preserve">1 </w:t>
    </w:r>
    <w:r w:rsidR="00941BD3">
      <w:rPr>
        <w:b w:val="0"/>
        <w:color w:val="244C5A"/>
        <w:sz w:val="16"/>
        <w:szCs w:val="16"/>
      </w:rPr>
      <w:t>June</w:t>
    </w:r>
    <w:r w:rsidR="004118F0">
      <w:rPr>
        <w:b w:val="0"/>
        <w:color w:val="244C5A"/>
        <w:sz w:val="16"/>
        <w:szCs w:val="16"/>
      </w:rPr>
      <w:t xml:space="preserve"> </w:t>
    </w:r>
    <w:r w:rsidRPr="000B0CCC">
      <w:rPr>
        <w:b w:val="0"/>
        <w:color w:val="244C5A"/>
        <w:sz w:val="16"/>
        <w:szCs w:val="16"/>
      </w:rPr>
      <w:t>201</w:t>
    </w:r>
    <w:r w:rsidR="00941BD3">
      <w:rPr>
        <w:b w:val="0"/>
        <w:color w:val="244C5A"/>
        <w:sz w:val="16"/>
        <w:szCs w:val="16"/>
      </w:rPr>
      <w:t>6</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13A3F" w14:textId="77777777" w:rsidR="007F209B" w:rsidRDefault="007F209B" w:rsidP="002862F1">
      <w:pPr>
        <w:spacing w:before="120"/>
      </w:pPr>
      <w:r>
        <w:separator/>
      </w:r>
    </w:p>
  </w:footnote>
  <w:footnote w:type="continuationSeparator" w:id="0">
    <w:p w14:paraId="33BA48A4" w14:textId="77777777" w:rsidR="007F209B" w:rsidRDefault="007F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660A6" w14:textId="4E1573F4" w:rsidR="007F209B" w:rsidRPr="00052DAD" w:rsidRDefault="00A76D9F" w:rsidP="00052DAD">
    <w:pPr>
      <w:ind w:hanging="284"/>
      <w:rPr>
        <w:rFonts w:ascii="VIC Medium" w:hAnsi="VIC Medium"/>
        <w:color w:val="244C5A"/>
        <w:szCs w:val="24"/>
      </w:rPr>
    </w:pPr>
    <w:proofErr w:type="spellStart"/>
    <w:r>
      <w:rPr>
        <w:rFonts w:ascii="VIC Medium" w:hAnsi="VIC Medium"/>
        <w:color w:val="244C5A"/>
        <w:szCs w:val="24"/>
      </w:rPr>
      <w:t>Forensicare</w:t>
    </w:r>
    <w:proofErr w:type="spellEnd"/>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7F209B">
      <w:rPr>
        <w:rFonts w:ascii="VIC Medium" w:hAnsi="VIC Medium"/>
        <w:color w:val="244C5A"/>
        <w:szCs w:val="24"/>
      </w:rPr>
      <w:t>2019-20 Q1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E3CC7"/>
    <w:rsid w:val="000E6BD4"/>
    <w:rsid w:val="000F1F1E"/>
    <w:rsid w:val="000F2259"/>
    <w:rsid w:val="001005E4"/>
    <w:rsid w:val="0010392D"/>
    <w:rsid w:val="00104FE3"/>
    <w:rsid w:val="00120BD3"/>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0C25"/>
    <w:rsid w:val="001B50A4"/>
    <w:rsid w:val="001C2A72"/>
    <w:rsid w:val="001D0B75"/>
    <w:rsid w:val="001D3A15"/>
    <w:rsid w:val="001D3C09"/>
    <w:rsid w:val="001D44E8"/>
    <w:rsid w:val="001D5E43"/>
    <w:rsid w:val="001D60EC"/>
    <w:rsid w:val="001E0879"/>
    <w:rsid w:val="001E44DF"/>
    <w:rsid w:val="001E68A5"/>
    <w:rsid w:val="001E73EF"/>
    <w:rsid w:val="001F3826"/>
    <w:rsid w:val="001F3C65"/>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865"/>
    <w:rsid w:val="00257951"/>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29FF"/>
    <w:rsid w:val="003C43A1"/>
    <w:rsid w:val="003C4FC0"/>
    <w:rsid w:val="003C55F4"/>
    <w:rsid w:val="003C7A3F"/>
    <w:rsid w:val="003D3E8F"/>
    <w:rsid w:val="003D5030"/>
    <w:rsid w:val="003D5BED"/>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6499"/>
    <w:rsid w:val="00541ADB"/>
    <w:rsid w:val="00543903"/>
    <w:rsid w:val="00547A95"/>
    <w:rsid w:val="00557E03"/>
    <w:rsid w:val="00572031"/>
    <w:rsid w:val="00576E84"/>
    <w:rsid w:val="00582B8C"/>
    <w:rsid w:val="005853D5"/>
    <w:rsid w:val="0058757E"/>
    <w:rsid w:val="005954CE"/>
    <w:rsid w:val="00596A4B"/>
    <w:rsid w:val="00597507"/>
    <w:rsid w:val="005A5E67"/>
    <w:rsid w:val="005A7945"/>
    <w:rsid w:val="005B21B6"/>
    <w:rsid w:val="005B3A08"/>
    <w:rsid w:val="005B7A63"/>
    <w:rsid w:val="005C06BE"/>
    <w:rsid w:val="005C0955"/>
    <w:rsid w:val="005C44E0"/>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454C"/>
    <w:rsid w:val="0069007F"/>
    <w:rsid w:val="00691B62"/>
    <w:rsid w:val="00693D14"/>
    <w:rsid w:val="0069621D"/>
    <w:rsid w:val="00697E36"/>
    <w:rsid w:val="006A18C2"/>
    <w:rsid w:val="006B077C"/>
    <w:rsid w:val="006D2A3F"/>
    <w:rsid w:val="006D59E1"/>
    <w:rsid w:val="006E138B"/>
    <w:rsid w:val="006F1FDC"/>
    <w:rsid w:val="007013EF"/>
    <w:rsid w:val="007034E7"/>
    <w:rsid w:val="00706F89"/>
    <w:rsid w:val="007216AA"/>
    <w:rsid w:val="00721AB5"/>
    <w:rsid w:val="00721DEF"/>
    <w:rsid w:val="00724A43"/>
    <w:rsid w:val="00725508"/>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6F16"/>
    <w:rsid w:val="00796E20"/>
    <w:rsid w:val="00797C32"/>
    <w:rsid w:val="007B08C1"/>
    <w:rsid w:val="007B0914"/>
    <w:rsid w:val="007B1374"/>
    <w:rsid w:val="007B18AA"/>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1497"/>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E2C"/>
    <w:rsid w:val="00951D50"/>
    <w:rsid w:val="009525EB"/>
    <w:rsid w:val="0095645E"/>
    <w:rsid w:val="00961400"/>
    <w:rsid w:val="00963646"/>
    <w:rsid w:val="0097224A"/>
    <w:rsid w:val="00973843"/>
    <w:rsid w:val="009853E1"/>
    <w:rsid w:val="00986E6B"/>
    <w:rsid w:val="009910F4"/>
    <w:rsid w:val="00991769"/>
    <w:rsid w:val="00994386"/>
    <w:rsid w:val="009A13D8"/>
    <w:rsid w:val="009A279E"/>
    <w:rsid w:val="009A2A6E"/>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4882"/>
    <w:rsid w:val="00A47400"/>
    <w:rsid w:val="00A507C5"/>
    <w:rsid w:val="00A54715"/>
    <w:rsid w:val="00A6061C"/>
    <w:rsid w:val="00A62787"/>
    <w:rsid w:val="00A62A86"/>
    <w:rsid w:val="00A62D44"/>
    <w:rsid w:val="00A67263"/>
    <w:rsid w:val="00A71470"/>
    <w:rsid w:val="00A7161C"/>
    <w:rsid w:val="00A76D9F"/>
    <w:rsid w:val="00A77AA3"/>
    <w:rsid w:val="00A844E8"/>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5950"/>
    <w:rsid w:val="00B659FE"/>
    <w:rsid w:val="00B672C0"/>
    <w:rsid w:val="00B75646"/>
    <w:rsid w:val="00B806AB"/>
    <w:rsid w:val="00B811C0"/>
    <w:rsid w:val="00B84CF2"/>
    <w:rsid w:val="00B869B4"/>
    <w:rsid w:val="00B90729"/>
    <w:rsid w:val="00B907DA"/>
    <w:rsid w:val="00B950BC"/>
    <w:rsid w:val="00B9714C"/>
    <w:rsid w:val="00BA17C2"/>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1381"/>
    <w:rsid w:val="00C02040"/>
    <w:rsid w:val="00C079B8"/>
    <w:rsid w:val="00C123EA"/>
    <w:rsid w:val="00C125E4"/>
    <w:rsid w:val="00C12A49"/>
    <w:rsid w:val="00C133EE"/>
    <w:rsid w:val="00C17504"/>
    <w:rsid w:val="00C27DE9"/>
    <w:rsid w:val="00C33388"/>
    <w:rsid w:val="00C4173A"/>
    <w:rsid w:val="00C41C2E"/>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2BFD"/>
    <w:rsid w:val="00CD3476"/>
    <w:rsid w:val="00CD64DF"/>
    <w:rsid w:val="00CE18BF"/>
    <w:rsid w:val="00CF11E1"/>
    <w:rsid w:val="00CF2F50"/>
    <w:rsid w:val="00CF41DA"/>
    <w:rsid w:val="00CF600E"/>
    <w:rsid w:val="00D02919"/>
    <w:rsid w:val="00D04C61"/>
    <w:rsid w:val="00D0539B"/>
    <w:rsid w:val="00D05B8D"/>
    <w:rsid w:val="00D065A2"/>
    <w:rsid w:val="00D067E7"/>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765CB"/>
    <w:rsid w:val="00D81F21"/>
    <w:rsid w:val="00D9522F"/>
    <w:rsid w:val="00D95470"/>
    <w:rsid w:val="00DA2619"/>
    <w:rsid w:val="00DA4239"/>
    <w:rsid w:val="00DB0B61"/>
    <w:rsid w:val="00DB17C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076DC"/>
    <w:rsid w:val="00E14388"/>
    <w:rsid w:val="00E170DC"/>
    <w:rsid w:val="00E21842"/>
    <w:rsid w:val="00E264CD"/>
    <w:rsid w:val="00E26818"/>
    <w:rsid w:val="00E27680"/>
    <w:rsid w:val="00E27FFC"/>
    <w:rsid w:val="00E30B15"/>
    <w:rsid w:val="00E30F56"/>
    <w:rsid w:val="00E36C2D"/>
    <w:rsid w:val="00E40181"/>
    <w:rsid w:val="00E41359"/>
    <w:rsid w:val="00E43426"/>
    <w:rsid w:val="00E45931"/>
    <w:rsid w:val="00E53A79"/>
    <w:rsid w:val="00E57A16"/>
    <w:rsid w:val="00E629A1"/>
    <w:rsid w:val="00E6552A"/>
    <w:rsid w:val="00E67D1F"/>
    <w:rsid w:val="00E67EC5"/>
    <w:rsid w:val="00E772CD"/>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05B39"/>
    <w:rsid w:val="00F11037"/>
    <w:rsid w:val="00F16F1B"/>
    <w:rsid w:val="00F17A3E"/>
    <w:rsid w:val="00F213F4"/>
    <w:rsid w:val="00F24E48"/>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6D9A"/>
    <w:rsid w:val="00F772C6"/>
    <w:rsid w:val="00F85195"/>
    <w:rsid w:val="00F92503"/>
    <w:rsid w:val="00F938BA"/>
    <w:rsid w:val="00FA06C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E772CD"/>
    <w:pPr>
      <w:widowControl/>
    </w:pPr>
    <w:rPr>
      <w:rFonts w:ascii="Times New Roman" w:eastAsia="Times New Roman" w:hAnsi="Times New Roman"/>
      <w:sz w:val="2"/>
      <w:szCs w:val="20"/>
    </w:rPr>
  </w:style>
  <w:style w:type="paragraph" w:customStyle="1" w:styleId="DHHSbody">
    <w:name w:val="DHHS body"/>
    <w:qFormat/>
    <w:rsid w:val="00E772CD"/>
    <w:pPr>
      <w:spacing w:after="120" w:line="270" w:lineRule="atLeast"/>
    </w:pPr>
    <w:rPr>
      <w:rFonts w:ascii="Arial" w:eastAsia="Times" w:hAnsi="Arial"/>
      <w:lang w:eastAsia="en-US"/>
    </w:rPr>
  </w:style>
  <w:style w:type="paragraph" w:customStyle="1" w:styleId="DHHSaccessibilitypara">
    <w:name w:val="DHHS accessibility para"/>
    <w:uiPriority w:val="8"/>
    <w:rsid w:val="00E772CD"/>
    <w:pPr>
      <w:spacing w:after="200" w:line="300" w:lineRule="atLeast"/>
    </w:pPr>
    <w:rPr>
      <w:rFonts w:ascii="Arial" w:eastAsia="Times" w:hAnsi="Arial"/>
      <w:sz w:val="24"/>
      <w:szCs w:val="19"/>
      <w:lang w:eastAsia="en-US"/>
    </w:rPr>
  </w:style>
  <w:style w:type="paragraph" w:styleId="ListParagraph">
    <w:name w:val="List Paragraph"/>
    <w:basedOn w:val="Normal"/>
    <w:uiPriority w:val="72"/>
    <w:semiHidden/>
    <w:qFormat/>
    <w:rsid w:val="00F7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health.vic.gov.au/mental-health/research-and-reporting/mental-health-performance-reports/service-hours-performance-indicator-repor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hi@vahi.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5F036-D28D-4507-B9FF-F9E7028A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Pages>
  <Words>416</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2019-20 Q2 Mental health community service hours report</vt:lpstr>
    </vt:vector>
  </TitlesOfParts>
  <Company>Department of Health and Human Services</Company>
  <LinksUpToDate>false</LinksUpToDate>
  <CharactersWithSpaces>2939</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 Q2 Mental health community service hours report</dc:title>
  <dc:subject/>
  <dc:creator>Victorian Agency for Health Information</dc:creator>
  <cp:keywords/>
  <cp:lastModifiedBy>Daniel Mendoza (DHHS)</cp:lastModifiedBy>
  <cp:revision>18</cp:revision>
  <cp:lastPrinted>2019-10-15T00:43:00Z</cp:lastPrinted>
  <dcterms:created xsi:type="dcterms:W3CDTF">2019-10-11T06:35:00Z</dcterms:created>
  <dcterms:modified xsi:type="dcterms:W3CDTF">2020-01-17T04:40:00Z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